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4064449A" w:rsidR="00B60939" w:rsidRPr="00EC57FB" w:rsidRDefault="007260DB" w:rsidP="009A37B2">
      <w:pPr>
        <w:pStyle w:val="1-MainHeading"/>
      </w:pPr>
      <w:bookmarkStart w:id="0" w:name="_Toc188619247"/>
      <w:r w:rsidRPr="00EC57FB">
        <w:t>7</w:t>
      </w:r>
      <w:r w:rsidR="00433044" w:rsidRPr="00EC57FB">
        <w:t>.</w:t>
      </w:r>
      <w:r w:rsidRPr="00EC57FB">
        <w:t>0</w:t>
      </w:r>
      <w:r w:rsidR="00F015A8" w:rsidRPr="00EC57FB">
        <w:t>3</w:t>
      </w:r>
      <w:r w:rsidR="00163F66" w:rsidRPr="00EC57FB">
        <w:tab/>
      </w:r>
      <w:r w:rsidR="00A202EC" w:rsidRPr="00EC57FB">
        <w:t>NIRSEVIMAB</w:t>
      </w:r>
      <w:r w:rsidR="00163F66" w:rsidRPr="00EC57FB">
        <w:t>,</w:t>
      </w:r>
      <w:r w:rsidR="00163F66" w:rsidRPr="00EC57FB">
        <w:br/>
      </w:r>
      <w:r w:rsidR="00E97D8E" w:rsidRPr="00EC57FB">
        <w:t>Solution for injection 50 mg in 0.5 mL pre-filled syringe</w:t>
      </w:r>
      <w:r w:rsidR="00E97D8E" w:rsidRPr="00EC57FB">
        <w:br/>
        <w:t>Solution for injection 100 mg in 1 mL pre-filled syringe</w:t>
      </w:r>
      <w:r w:rsidR="00E97D8E" w:rsidRPr="00EC57FB">
        <w:br/>
        <w:t>Beyfortus®,</w:t>
      </w:r>
      <w:r w:rsidR="009A37B2" w:rsidRPr="00EC57FB">
        <w:br/>
      </w:r>
      <w:r w:rsidR="00E97D8E" w:rsidRPr="00EC57FB">
        <w:t>SANOFI-AVENTIS AUSTRALIA PTY LTD</w:t>
      </w:r>
      <w:r w:rsidR="00B60939" w:rsidRPr="00EC57FB">
        <w:t>.</w:t>
      </w:r>
      <w:bookmarkEnd w:id="0"/>
    </w:p>
    <w:p w14:paraId="11C00795" w14:textId="17990FD0" w:rsidR="00B50DB8" w:rsidRPr="00EC57FB" w:rsidRDefault="00B50DB8" w:rsidP="004A6040">
      <w:pPr>
        <w:pStyle w:val="2-SectionHeading"/>
      </w:pPr>
      <w:bookmarkStart w:id="1" w:name="_Toc188619249"/>
      <w:r w:rsidRPr="00EC57FB">
        <w:t xml:space="preserve">Purpose of </w:t>
      </w:r>
      <w:r w:rsidR="00CD7193" w:rsidRPr="00EC57FB">
        <w:t>s</w:t>
      </w:r>
      <w:r w:rsidR="00BB3A45" w:rsidRPr="00EC57FB">
        <w:t>ubmission</w:t>
      </w:r>
      <w:bookmarkEnd w:id="1"/>
    </w:p>
    <w:p w14:paraId="05C339A7" w14:textId="315B8078" w:rsidR="006963FC" w:rsidRPr="00EC57FB" w:rsidRDefault="007170DA" w:rsidP="00DC4191">
      <w:pPr>
        <w:pStyle w:val="3-BodyText"/>
      </w:pPr>
      <w:r w:rsidRPr="00EC57FB">
        <w:t xml:space="preserve">The </w:t>
      </w:r>
      <w:r w:rsidR="000508C2" w:rsidRPr="00EC57FB">
        <w:t>Standard Re-entry</w:t>
      </w:r>
      <w:r w:rsidR="00F73E08" w:rsidRPr="00EC57FB">
        <w:t xml:space="preserve"> </w:t>
      </w:r>
      <w:r w:rsidR="002F01CB" w:rsidRPr="00EC57FB">
        <w:t>re</w:t>
      </w:r>
      <w:r w:rsidRPr="00EC57FB">
        <w:t xml:space="preserve">submission requested </w:t>
      </w:r>
      <w:r w:rsidR="00843892" w:rsidRPr="00EC57FB">
        <w:t>inclusion of nirsevimab on the National Immunisation Program (NIP)</w:t>
      </w:r>
      <w:r w:rsidR="008B1757" w:rsidRPr="00EC57FB">
        <w:t xml:space="preserve"> for </w:t>
      </w:r>
      <w:r w:rsidR="0050174E" w:rsidRPr="00EC57FB">
        <w:t xml:space="preserve">the </w:t>
      </w:r>
      <w:r w:rsidR="00843892" w:rsidRPr="00EC57FB">
        <w:t>prevention of respiratory syncytial virus (RSV) lower respiratory tract disease (LRTD) in</w:t>
      </w:r>
      <w:r w:rsidR="00994DF7" w:rsidRPr="00EC57FB">
        <w:t>: (i)</w:t>
      </w:r>
      <w:r w:rsidR="00843892" w:rsidRPr="00EC57FB">
        <w:t xml:space="preserve"> </w:t>
      </w:r>
      <w:bookmarkStart w:id="2" w:name="_Hlk184483194"/>
      <w:r w:rsidR="00843892" w:rsidRPr="00EC57FB">
        <w:t>neonates and infants born during or entering their first RSV season</w:t>
      </w:r>
      <w:bookmarkEnd w:id="2"/>
      <w:r w:rsidR="00843892" w:rsidRPr="00EC57FB">
        <w:t xml:space="preserve">; and </w:t>
      </w:r>
      <w:r w:rsidR="00994DF7" w:rsidRPr="00EC57FB">
        <w:t xml:space="preserve">(ii) </w:t>
      </w:r>
      <w:r w:rsidR="00843892" w:rsidRPr="00EC57FB">
        <w:t>children up to 24 months of age who remain vulnerable to severe RSV disease through their second RSV season</w:t>
      </w:r>
      <w:r w:rsidR="008B1757" w:rsidRPr="00EC57FB">
        <w:t>.</w:t>
      </w:r>
      <w:r w:rsidR="00433C62" w:rsidRPr="00EC57FB">
        <w:t xml:space="preserve"> </w:t>
      </w:r>
      <w:r w:rsidR="00E101AF" w:rsidRPr="00EC57FB">
        <w:t xml:space="preserve">Throughout </w:t>
      </w:r>
      <w:r w:rsidR="00A332C0" w:rsidRPr="00EC57FB">
        <w:t>these minutes</w:t>
      </w:r>
      <w:r w:rsidR="00E101AF" w:rsidRPr="00EC57FB">
        <w:t>, the wor</w:t>
      </w:r>
      <w:r w:rsidR="002A7542" w:rsidRPr="00EC57FB">
        <w:t>d infant refer</w:t>
      </w:r>
      <w:r w:rsidR="00573E2A" w:rsidRPr="00EC57FB">
        <w:t>s</w:t>
      </w:r>
      <w:r w:rsidR="002A7542" w:rsidRPr="00EC57FB">
        <w:t xml:space="preserve"> to</w:t>
      </w:r>
      <w:r w:rsidR="008707A7" w:rsidRPr="00EC57FB">
        <w:t xml:space="preserve"> a</w:t>
      </w:r>
      <w:r w:rsidR="0023080F" w:rsidRPr="00EC57FB">
        <w:t xml:space="preserve">n individual </w:t>
      </w:r>
      <w:r w:rsidR="009923B8" w:rsidRPr="00EC57FB">
        <w:t>under 1 year</w:t>
      </w:r>
      <w:r w:rsidR="00060F80" w:rsidRPr="00EC57FB">
        <w:t xml:space="preserve"> of age</w:t>
      </w:r>
      <w:r w:rsidR="00A332C0" w:rsidRPr="00EC57FB">
        <w:t>.</w:t>
      </w:r>
      <w:r w:rsidR="00060F80" w:rsidRPr="00EC57FB">
        <w:t xml:space="preserve"> </w:t>
      </w:r>
      <w:r w:rsidR="006963FC" w:rsidRPr="00EC57FB">
        <w:rPr>
          <w:color w:val="000000" w:themeColor="text1"/>
        </w:rPr>
        <w:t>These populations were unchanged from those previously considered by the PBAC when PBS listing of nirsevimab was requested in July 2024.</w:t>
      </w:r>
    </w:p>
    <w:p w14:paraId="5622B6DF" w14:textId="700DC9AB" w:rsidR="000367A4" w:rsidRPr="00EC57FB" w:rsidRDefault="009E2BB1" w:rsidP="00DC4191">
      <w:pPr>
        <w:pStyle w:val="3-BodyText"/>
      </w:pPr>
      <w:bookmarkStart w:id="3" w:name="_Ref194956069"/>
      <w:r w:rsidRPr="00EC57FB">
        <w:t>Inclusion</w:t>
      </w:r>
      <w:r w:rsidR="005750C5" w:rsidRPr="00EC57FB">
        <w:t xml:space="preserve"> </w:t>
      </w:r>
      <w:r w:rsidR="00230A81" w:rsidRPr="00EC57FB">
        <w:t xml:space="preserve">of </w:t>
      </w:r>
      <w:r w:rsidRPr="00EC57FB">
        <w:t xml:space="preserve">nirsevimab on the NIP </w:t>
      </w:r>
      <w:r w:rsidR="005750C5" w:rsidRPr="00EC57FB">
        <w:t xml:space="preserve">was </w:t>
      </w:r>
      <w:r w:rsidR="00994DF7" w:rsidRPr="00EC57FB">
        <w:t xml:space="preserve">requested </w:t>
      </w:r>
      <w:r w:rsidR="005750C5" w:rsidRPr="00EC57FB">
        <w:t xml:space="preserve">on the basis of </w:t>
      </w:r>
      <w:r w:rsidR="002B0FEB" w:rsidRPr="00EC57FB">
        <w:t xml:space="preserve">(i) a </w:t>
      </w:r>
      <w:r w:rsidR="005750C5" w:rsidRPr="00EC57FB">
        <w:t>cost</w:t>
      </w:r>
      <w:r w:rsidR="002B0FEB" w:rsidRPr="00EC57FB">
        <w:noBreakHyphen/>
      </w:r>
      <w:r w:rsidR="005750C5" w:rsidRPr="00EC57FB">
        <w:t xml:space="preserve">effectiveness </w:t>
      </w:r>
      <w:r w:rsidR="002B0FEB" w:rsidRPr="00EC57FB">
        <w:t xml:space="preserve">analysis </w:t>
      </w:r>
      <w:r w:rsidR="005750C5" w:rsidRPr="00EC57FB">
        <w:t xml:space="preserve">versus </w:t>
      </w:r>
      <w:r w:rsidR="002B0FEB" w:rsidRPr="00EC57FB">
        <w:t>placebo (</w:t>
      </w:r>
      <w:r w:rsidR="00BC21A8" w:rsidRPr="00EC57FB">
        <w:t>no immunisation</w:t>
      </w:r>
      <w:r w:rsidR="002B0FEB" w:rsidRPr="00EC57FB">
        <w:t>)</w:t>
      </w:r>
      <w:r w:rsidRPr="00EC57FB">
        <w:t xml:space="preserve"> </w:t>
      </w:r>
      <w:r w:rsidR="002B0FEB" w:rsidRPr="00EC57FB">
        <w:t>for infants born during or entering their first RSV season; and (ii) a cost</w:t>
      </w:r>
      <w:r w:rsidR="002B0FEB" w:rsidRPr="00EC57FB">
        <w:noBreakHyphen/>
        <w:t>effectiveness analysis versus placebo (no immunisation) for children up to 24 months of age who remain vulnerable to severe RSV disease through their second RSV season</w:t>
      </w:r>
      <w:r w:rsidR="00A332C0" w:rsidRPr="00EC57FB">
        <w:t>.</w:t>
      </w:r>
      <w:bookmarkEnd w:id="3"/>
    </w:p>
    <w:p w14:paraId="4E9FBCB5" w14:textId="0F910CC2" w:rsidR="00C2778B" w:rsidRPr="00EC57FB" w:rsidRDefault="00E66D04" w:rsidP="00A332C0">
      <w:pPr>
        <w:pStyle w:val="3-BodyText"/>
      </w:pPr>
      <w:r w:rsidRPr="00EC57FB">
        <w:t xml:space="preserve">The </w:t>
      </w:r>
      <w:r w:rsidR="00A332C0" w:rsidRPr="00EC57FB">
        <w:t xml:space="preserve">key components of the clinical issue addressed by the submission are </w:t>
      </w:r>
      <w:r w:rsidR="00636130" w:rsidRPr="00EC57FB">
        <w:t xml:space="preserve">presented in </w:t>
      </w:r>
      <w:r w:rsidRPr="00EC57FB">
        <w:fldChar w:fldCharType="begin"/>
      </w:r>
      <w:r w:rsidRPr="00EC57FB">
        <w:instrText xml:space="preserve"> REF _Ref183505583 \h </w:instrText>
      </w:r>
      <w:r w:rsidR="0098648C" w:rsidRPr="00EC57FB">
        <w:instrText xml:space="preserve"> \* MERGEFORMAT </w:instrText>
      </w:r>
      <w:r w:rsidRPr="00EC57FB">
        <w:fldChar w:fldCharType="separate"/>
      </w:r>
      <w:r w:rsidR="00502C25" w:rsidRPr="00EC57FB">
        <w:t xml:space="preserve">Table </w:t>
      </w:r>
      <w:r w:rsidR="00502C25">
        <w:t>1</w:t>
      </w:r>
      <w:r w:rsidRPr="00EC57FB">
        <w:fldChar w:fldCharType="end"/>
      </w:r>
      <w:r w:rsidR="00A332C0" w:rsidRPr="00EC57FB">
        <w:t>. The only difference</w:t>
      </w:r>
      <w:r w:rsidR="000D38E5" w:rsidRPr="00EC57FB">
        <w:t xml:space="preserve"> compared to the </w:t>
      </w:r>
      <w:r w:rsidR="00D10668" w:rsidRPr="00EC57FB">
        <w:t xml:space="preserve">first </w:t>
      </w:r>
      <w:r w:rsidR="000D38E5" w:rsidRPr="00EC57FB">
        <w:t>submission</w:t>
      </w:r>
      <w:r w:rsidRPr="00EC57FB">
        <w:t xml:space="preserve"> </w:t>
      </w:r>
      <w:r w:rsidR="009314D5" w:rsidRPr="00EC57FB">
        <w:t>was</w:t>
      </w:r>
      <w:r w:rsidR="00074FD4" w:rsidRPr="00EC57FB">
        <w:t xml:space="preserve"> that </w:t>
      </w:r>
      <w:r w:rsidR="00A332C0" w:rsidRPr="00EC57FB">
        <w:t xml:space="preserve">the </w:t>
      </w:r>
      <w:r w:rsidR="00074FD4" w:rsidRPr="00EC57FB">
        <w:t>resubmission nominate</w:t>
      </w:r>
      <w:r w:rsidR="009314D5" w:rsidRPr="00EC57FB">
        <w:t>d</w:t>
      </w:r>
      <w:r w:rsidR="00074FD4" w:rsidRPr="00EC57FB">
        <w:t xml:space="preserve"> no immunisation as the comparator </w:t>
      </w:r>
      <w:r w:rsidR="00BE6D39" w:rsidRPr="00EC57FB">
        <w:t>for</w:t>
      </w:r>
      <w:r w:rsidR="00273869" w:rsidRPr="00EC57FB">
        <w:t xml:space="preserve"> the p</w:t>
      </w:r>
      <w:r w:rsidR="00BE6D39" w:rsidRPr="00EC57FB">
        <w:t>opulation</w:t>
      </w:r>
      <w:r w:rsidR="00273869" w:rsidRPr="00EC57FB">
        <w:t xml:space="preserve"> of</w:t>
      </w:r>
      <w:r w:rsidR="00BE6D39" w:rsidRPr="00EC57FB">
        <w:t xml:space="preserve"> </w:t>
      </w:r>
      <w:r w:rsidR="00562BFA" w:rsidRPr="00EC57FB">
        <w:t>children up to 24 months of age who remain vulnerable to severe RSV disease through their second RSV season</w:t>
      </w:r>
      <w:r w:rsidR="00A332C0" w:rsidRPr="00EC57FB">
        <w:t>, consistent with previous PBAC advice</w:t>
      </w:r>
      <w:r w:rsidR="00B7520C" w:rsidRPr="00EC57FB">
        <w:t xml:space="preserve"> (paragraph </w:t>
      </w:r>
      <w:r w:rsidR="002249B2" w:rsidRPr="00EC57FB">
        <w:t>7.11</w:t>
      </w:r>
      <w:r w:rsidR="00A37BFD" w:rsidRPr="00EC57FB">
        <w:t xml:space="preserve">, </w:t>
      </w:r>
      <w:r w:rsidR="008B5319" w:rsidRPr="00EC57FB">
        <w:t>nirsevimab July 2024 Public Summary Document (PSD))</w:t>
      </w:r>
      <w:r w:rsidR="009614E5" w:rsidRPr="00EC57FB">
        <w:t>.</w:t>
      </w:r>
    </w:p>
    <w:p w14:paraId="3718DE61" w14:textId="36DF85F3" w:rsidR="008B1757" w:rsidRPr="00EC57FB" w:rsidRDefault="00696EF9" w:rsidP="004A6040">
      <w:pPr>
        <w:pStyle w:val="TableFigureHeading"/>
        <w:rPr>
          <w:rStyle w:val="CommentReference"/>
          <w:b/>
          <w:szCs w:val="24"/>
        </w:rPr>
      </w:pPr>
      <w:bookmarkStart w:id="4" w:name="_Ref183505583"/>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1</w:t>
      </w:r>
      <w:r w:rsidR="00C51E7C" w:rsidRPr="00EC57FB">
        <w:fldChar w:fldCharType="end"/>
      </w:r>
      <w:bookmarkEnd w:id="4"/>
      <w:r w:rsidRPr="00EC57FB">
        <w:t>:</w:t>
      </w:r>
      <w:r w:rsidR="00BC591F" w:rsidRPr="00EC57FB">
        <w:rPr>
          <w:rStyle w:val="CommentReference"/>
          <w:b/>
          <w:szCs w:val="24"/>
        </w:rPr>
        <w:t xml:space="preserve"> </w:t>
      </w:r>
      <w:r w:rsidR="008B1757" w:rsidRPr="00EC57FB">
        <w:rPr>
          <w:rStyle w:val="CommentReference"/>
          <w:b/>
          <w:szCs w:val="24"/>
        </w:rPr>
        <w:t>Key components of the clinical issue addressed by the submission</w:t>
      </w:r>
      <w:r w:rsidR="007170DA" w:rsidRPr="00EC57FB">
        <w:rPr>
          <w:rStyle w:val="CommentReference"/>
          <w:b/>
          <w:szCs w:val="24"/>
        </w:rPr>
        <w:t xml:space="preserve"> (as stated in the </w:t>
      </w:r>
      <w:r w:rsidR="003158E1" w:rsidRPr="00EC57FB">
        <w:rPr>
          <w:rStyle w:val="CommentReference"/>
          <w:b/>
          <w:szCs w:val="24"/>
        </w:rPr>
        <w:t>re</w:t>
      </w:r>
      <w:r w:rsidR="007170DA" w:rsidRPr="00EC57FB">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EC57FB" w14:paraId="569F5103" w14:textId="77777777" w:rsidTr="00CB3723">
        <w:trPr>
          <w:cantSplit/>
          <w:tblHeader/>
        </w:trPr>
        <w:tc>
          <w:tcPr>
            <w:tcW w:w="924" w:type="pct"/>
          </w:tcPr>
          <w:p w14:paraId="501803FB" w14:textId="77777777" w:rsidR="008B1757" w:rsidRPr="00EC57FB" w:rsidRDefault="008B1757" w:rsidP="004A6040">
            <w:pPr>
              <w:pStyle w:val="In-tableHeading"/>
              <w:rPr>
                <w:szCs w:val="20"/>
                <w:lang w:val="en-AU"/>
              </w:rPr>
            </w:pPr>
            <w:r w:rsidRPr="00EC57FB">
              <w:rPr>
                <w:lang w:val="en-AU"/>
              </w:rPr>
              <w:t>Component</w:t>
            </w:r>
          </w:p>
        </w:tc>
        <w:tc>
          <w:tcPr>
            <w:tcW w:w="4076" w:type="pct"/>
          </w:tcPr>
          <w:p w14:paraId="445D9EBB" w14:textId="77777777" w:rsidR="008B1757" w:rsidRPr="00EC57FB" w:rsidRDefault="008B1757" w:rsidP="004A6040">
            <w:pPr>
              <w:pStyle w:val="In-tableHeading"/>
              <w:rPr>
                <w:lang w:val="en-AU"/>
              </w:rPr>
            </w:pPr>
            <w:r w:rsidRPr="00EC57FB">
              <w:rPr>
                <w:lang w:val="en-AU"/>
              </w:rPr>
              <w:t>Description</w:t>
            </w:r>
          </w:p>
        </w:tc>
      </w:tr>
      <w:tr w:rsidR="008B1757" w:rsidRPr="00EC57FB" w14:paraId="2EB546E2" w14:textId="77777777" w:rsidTr="00CB3723">
        <w:trPr>
          <w:cantSplit/>
        </w:trPr>
        <w:tc>
          <w:tcPr>
            <w:tcW w:w="924" w:type="pct"/>
          </w:tcPr>
          <w:p w14:paraId="38F3BB34" w14:textId="77777777" w:rsidR="008B1757" w:rsidRPr="00EC57FB" w:rsidRDefault="008B1757" w:rsidP="004A6040">
            <w:pPr>
              <w:pStyle w:val="TableText0"/>
            </w:pPr>
            <w:r w:rsidRPr="00EC57FB">
              <w:t>Population</w:t>
            </w:r>
          </w:p>
        </w:tc>
        <w:tc>
          <w:tcPr>
            <w:tcW w:w="4076" w:type="pct"/>
            <w:shd w:val="clear" w:color="auto" w:fill="B8CCE4"/>
          </w:tcPr>
          <w:p w14:paraId="4D27224F" w14:textId="77777777" w:rsidR="00293DDA" w:rsidRPr="00EC57FB" w:rsidRDefault="0060266D" w:rsidP="00A369BF">
            <w:pPr>
              <w:pStyle w:val="TableText0"/>
              <w:numPr>
                <w:ilvl w:val="0"/>
                <w:numId w:val="12"/>
              </w:numPr>
              <w:ind w:left="347" w:hanging="347"/>
            </w:pPr>
            <w:r w:rsidRPr="00EC57FB">
              <w:t>Neonates and infants born during or entering their first RSV season</w:t>
            </w:r>
          </w:p>
          <w:p w14:paraId="79618EEE" w14:textId="54AEB373" w:rsidR="00233C01" w:rsidRPr="00EC57FB" w:rsidRDefault="0060266D" w:rsidP="00A369BF">
            <w:pPr>
              <w:pStyle w:val="TableText0"/>
              <w:numPr>
                <w:ilvl w:val="0"/>
                <w:numId w:val="12"/>
              </w:numPr>
              <w:ind w:left="347" w:hanging="347"/>
            </w:pPr>
            <w:r w:rsidRPr="00EC57FB">
              <w:t>Children up to 24 months of age who remain vulnerable to severe RSV disease through their second RSV season</w:t>
            </w:r>
          </w:p>
        </w:tc>
      </w:tr>
      <w:tr w:rsidR="008B1757" w:rsidRPr="00EC57FB" w14:paraId="0CA523AF" w14:textId="77777777" w:rsidTr="00CB3723">
        <w:trPr>
          <w:cantSplit/>
        </w:trPr>
        <w:tc>
          <w:tcPr>
            <w:tcW w:w="924" w:type="pct"/>
          </w:tcPr>
          <w:p w14:paraId="7B6D20D8" w14:textId="77777777" w:rsidR="008B1757" w:rsidRPr="00EC57FB" w:rsidRDefault="008B1757" w:rsidP="004A6040">
            <w:pPr>
              <w:pStyle w:val="TableText0"/>
            </w:pPr>
            <w:r w:rsidRPr="00EC57FB">
              <w:t>Intervention</w:t>
            </w:r>
          </w:p>
        </w:tc>
        <w:tc>
          <w:tcPr>
            <w:tcW w:w="4076" w:type="pct"/>
            <w:shd w:val="clear" w:color="auto" w:fill="B8CCE4"/>
          </w:tcPr>
          <w:p w14:paraId="258CF0C2" w14:textId="77777777" w:rsidR="00233C01" w:rsidRPr="00EC57FB" w:rsidRDefault="004F7C0A" w:rsidP="00D43D83">
            <w:pPr>
              <w:pStyle w:val="TableText0"/>
            </w:pPr>
            <w:r w:rsidRPr="00EC57FB">
              <w:t>Nirsevimab 50 mg/0.5 mL and 100 mg/mL solution for injection in prefilled syringes</w:t>
            </w:r>
          </w:p>
          <w:p w14:paraId="1901FD8F" w14:textId="2AD3048D" w:rsidR="0023113E" w:rsidRPr="00EC57FB" w:rsidRDefault="0023113E" w:rsidP="00A369BF">
            <w:pPr>
              <w:pStyle w:val="TableText0"/>
              <w:numPr>
                <w:ilvl w:val="0"/>
                <w:numId w:val="8"/>
              </w:numPr>
              <w:ind w:left="360"/>
            </w:pPr>
            <w:r w:rsidRPr="00EC57FB">
              <w:t>The recommended dose of nirsevimab for infants weighing &lt; 5 kg born during or entering their first RSV season is 50 mg (0.5 mL)</w:t>
            </w:r>
            <w:r w:rsidR="008A789B" w:rsidRPr="00EC57FB">
              <w:t>,</w:t>
            </w:r>
            <w:r w:rsidRPr="00EC57FB">
              <w:t xml:space="preserve"> </w:t>
            </w:r>
            <w:r w:rsidR="00D24318" w:rsidRPr="00EC57FB">
              <w:t>administered</w:t>
            </w:r>
            <w:r w:rsidRPr="00EC57FB">
              <w:t xml:space="preserve"> by intramuscular injection.</w:t>
            </w:r>
          </w:p>
          <w:p w14:paraId="7C69130A" w14:textId="474E8862" w:rsidR="0023113E" w:rsidRPr="00EC57FB" w:rsidRDefault="0023113E" w:rsidP="00A369BF">
            <w:pPr>
              <w:pStyle w:val="TableText0"/>
              <w:numPr>
                <w:ilvl w:val="0"/>
                <w:numId w:val="8"/>
              </w:numPr>
              <w:ind w:left="360"/>
            </w:pPr>
            <w:r w:rsidRPr="00EC57FB">
              <w:t xml:space="preserve">The dose of nirsevimab for infants weighing </w:t>
            </w:r>
            <w:r w:rsidR="00D24318" w:rsidRPr="00EC57FB">
              <w:t xml:space="preserve">≥ </w:t>
            </w:r>
            <w:r w:rsidRPr="00EC57FB">
              <w:t>5 kg born during or entering their first RSV season is 100 mg (1 mL)</w:t>
            </w:r>
            <w:r w:rsidR="008A789B" w:rsidRPr="00EC57FB">
              <w:t>,</w:t>
            </w:r>
            <w:r w:rsidR="00D24318" w:rsidRPr="00EC57FB">
              <w:t xml:space="preserve"> administered</w:t>
            </w:r>
            <w:r w:rsidRPr="00EC57FB">
              <w:t xml:space="preserve"> by intramuscular injection.</w:t>
            </w:r>
          </w:p>
          <w:p w14:paraId="2491E905" w14:textId="6F210497" w:rsidR="004F7C0A" w:rsidRPr="00EC57FB" w:rsidRDefault="0023113E" w:rsidP="00A369BF">
            <w:pPr>
              <w:pStyle w:val="TableText0"/>
              <w:numPr>
                <w:ilvl w:val="0"/>
                <w:numId w:val="13"/>
              </w:numPr>
              <w:ind w:left="360"/>
            </w:pPr>
            <w:r w:rsidRPr="00EC57FB">
              <w:t xml:space="preserve">The recommended dose of nirsevimab for older children entering their second RSV season is 200 mg, </w:t>
            </w:r>
            <w:r w:rsidR="008A789B" w:rsidRPr="00EC57FB">
              <w:t>administered</w:t>
            </w:r>
            <w:r w:rsidRPr="00EC57FB">
              <w:t xml:space="preserve"> as </w:t>
            </w:r>
            <w:r w:rsidR="00F30E43" w:rsidRPr="00EC57FB">
              <w:t>two</w:t>
            </w:r>
            <w:r w:rsidRPr="00EC57FB">
              <w:t xml:space="preserve"> intramuscular injections (2 </w:t>
            </w:r>
            <w:r w:rsidR="00CB55CD" w:rsidRPr="00EC57FB">
              <w:t>x</w:t>
            </w:r>
            <w:r w:rsidRPr="00EC57FB">
              <w:t xml:space="preserve"> 1 mL of the 100 mg/mL formulation) at two different sites (preferably separate limbs, or else separated by 2.5 cm) during the same visit.</w:t>
            </w:r>
          </w:p>
        </w:tc>
      </w:tr>
      <w:tr w:rsidR="008B1757" w:rsidRPr="00EC57FB" w14:paraId="0F81EBE4" w14:textId="77777777" w:rsidTr="00CB3723">
        <w:trPr>
          <w:cantSplit/>
        </w:trPr>
        <w:tc>
          <w:tcPr>
            <w:tcW w:w="924" w:type="pct"/>
          </w:tcPr>
          <w:p w14:paraId="3656B343" w14:textId="77777777" w:rsidR="008B1757" w:rsidRPr="00EC57FB" w:rsidRDefault="008B1757" w:rsidP="004A6040">
            <w:pPr>
              <w:pStyle w:val="TableText0"/>
            </w:pPr>
            <w:r w:rsidRPr="00EC57FB">
              <w:t>Comparator</w:t>
            </w:r>
          </w:p>
        </w:tc>
        <w:tc>
          <w:tcPr>
            <w:tcW w:w="4076" w:type="pct"/>
          </w:tcPr>
          <w:p w14:paraId="318BF339" w14:textId="77777777" w:rsidR="00753D4E" w:rsidRPr="00EC57FB" w:rsidRDefault="00753D4E" w:rsidP="00B01559">
            <w:pPr>
              <w:pStyle w:val="TableText0"/>
              <w:shd w:val="clear" w:color="auto" w:fill="B8CCE4"/>
              <w:rPr>
                <w:u w:val="single"/>
              </w:rPr>
            </w:pPr>
            <w:r w:rsidRPr="00EC57FB">
              <w:rPr>
                <w:u w:val="single"/>
              </w:rPr>
              <w:t>Population (i) Neonates and infants born during or entering their first RSV season:</w:t>
            </w:r>
          </w:p>
          <w:p w14:paraId="60FEA5DA" w14:textId="6D9627BA" w:rsidR="00753D4E" w:rsidRPr="00EC57FB" w:rsidRDefault="00753D4E" w:rsidP="00A369BF">
            <w:pPr>
              <w:pStyle w:val="TableText0"/>
              <w:numPr>
                <w:ilvl w:val="0"/>
                <w:numId w:val="8"/>
              </w:numPr>
              <w:shd w:val="clear" w:color="auto" w:fill="B8CCE4"/>
              <w:ind w:left="360"/>
            </w:pPr>
            <w:r w:rsidRPr="00EC57FB">
              <w:t>Main comparator – no immunisation</w:t>
            </w:r>
          </w:p>
          <w:p w14:paraId="242D755D" w14:textId="73959B86" w:rsidR="00753D4E" w:rsidRPr="00EC57FB" w:rsidRDefault="00753D4E" w:rsidP="00A369BF">
            <w:pPr>
              <w:pStyle w:val="TableText0"/>
              <w:numPr>
                <w:ilvl w:val="0"/>
                <w:numId w:val="8"/>
              </w:numPr>
              <w:shd w:val="clear" w:color="auto" w:fill="B8CCE4"/>
              <w:ind w:left="360"/>
            </w:pPr>
            <w:r w:rsidRPr="00EC57FB">
              <w:t xml:space="preserve">Near market comparator – </w:t>
            </w:r>
            <w:bookmarkStart w:id="5" w:name="_Hlk183507809"/>
            <w:r w:rsidR="001E48B3" w:rsidRPr="00EC57FB">
              <w:t xml:space="preserve">recombinant </w:t>
            </w:r>
            <w:r w:rsidR="00794D9D" w:rsidRPr="00EC57FB">
              <w:t>RSV prefusion F</w:t>
            </w:r>
            <w:r w:rsidR="008D0579" w:rsidRPr="00EC57FB">
              <w:t xml:space="preserve"> </w:t>
            </w:r>
            <w:r w:rsidR="001E48B3" w:rsidRPr="00EC57FB">
              <w:t xml:space="preserve">protein </w:t>
            </w:r>
            <w:r w:rsidR="001637B1" w:rsidRPr="00EC57FB">
              <w:t xml:space="preserve">maternal </w:t>
            </w:r>
            <w:r w:rsidR="008D0579" w:rsidRPr="00EC57FB">
              <w:t>vaccine (</w:t>
            </w:r>
            <w:r w:rsidR="002451F2" w:rsidRPr="00EC57FB">
              <w:t>Abrysvo</w:t>
            </w:r>
            <w:r w:rsidR="002451F2" w:rsidRPr="00EC57FB">
              <w:rPr>
                <w:vertAlign w:val="superscript"/>
              </w:rPr>
              <w:t>®</w:t>
            </w:r>
            <w:r w:rsidR="002451F2" w:rsidRPr="00EC57FB">
              <w:t xml:space="preserve">, </w:t>
            </w:r>
            <w:r w:rsidR="008D0579" w:rsidRPr="00EC57FB">
              <w:t>RSVpreF)</w:t>
            </w:r>
            <w:bookmarkEnd w:id="5"/>
          </w:p>
          <w:p w14:paraId="7EFC2A1A" w14:textId="07677613" w:rsidR="00753D4E" w:rsidRPr="00EC57FB" w:rsidRDefault="00753D4E" w:rsidP="00B01559">
            <w:pPr>
              <w:pStyle w:val="TableText0"/>
              <w:shd w:val="clear" w:color="auto" w:fill="B8CCE4"/>
              <w:rPr>
                <w:u w:val="single"/>
              </w:rPr>
            </w:pPr>
            <w:r w:rsidRPr="00EC57FB">
              <w:rPr>
                <w:u w:val="single"/>
              </w:rPr>
              <w:t>Population (ii) Children up to 24 months of age who remain vulnerable to severe RSV disease through their second RSV season:</w:t>
            </w:r>
          </w:p>
          <w:p w14:paraId="3727DE24" w14:textId="04CAEDED" w:rsidR="00233C01" w:rsidRPr="00EC57FB" w:rsidRDefault="00753D4E" w:rsidP="00A369BF">
            <w:pPr>
              <w:pStyle w:val="TableText0"/>
              <w:numPr>
                <w:ilvl w:val="0"/>
                <w:numId w:val="8"/>
              </w:numPr>
              <w:ind w:left="360"/>
            </w:pPr>
            <w:r w:rsidRPr="00EC57FB">
              <w:t>Main comparator – no immunisation</w:t>
            </w:r>
          </w:p>
        </w:tc>
      </w:tr>
      <w:tr w:rsidR="008B1757" w:rsidRPr="00EC57FB" w14:paraId="02F86F0D" w14:textId="77777777" w:rsidTr="00CB3723">
        <w:trPr>
          <w:cantSplit/>
        </w:trPr>
        <w:tc>
          <w:tcPr>
            <w:tcW w:w="924" w:type="pct"/>
          </w:tcPr>
          <w:p w14:paraId="06433105" w14:textId="77777777" w:rsidR="008B1757" w:rsidRPr="00EC57FB" w:rsidRDefault="008B1757" w:rsidP="004A6040">
            <w:pPr>
              <w:pStyle w:val="TableText0"/>
            </w:pPr>
            <w:r w:rsidRPr="00EC57FB">
              <w:t>Outcomes</w:t>
            </w:r>
          </w:p>
        </w:tc>
        <w:tc>
          <w:tcPr>
            <w:tcW w:w="4076" w:type="pct"/>
            <w:shd w:val="clear" w:color="auto" w:fill="B8CCE4"/>
          </w:tcPr>
          <w:p w14:paraId="31632867" w14:textId="565CB938" w:rsidR="00C27C3B" w:rsidRPr="00EC57FB" w:rsidRDefault="00C27C3B" w:rsidP="00C27C3B">
            <w:pPr>
              <w:pStyle w:val="TableText0"/>
              <w:rPr>
                <w:color w:val="000000" w:themeColor="text1"/>
              </w:rPr>
            </w:pPr>
            <w:r w:rsidRPr="00EC57FB">
              <w:rPr>
                <w:color w:val="000000" w:themeColor="text1"/>
              </w:rPr>
              <w:t xml:space="preserve">Efficacy: Incidence of MA </w:t>
            </w:r>
            <w:r w:rsidR="00595CC3" w:rsidRPr="00EC57FB">
              <w:rPr>
                <w:color w:val="000000" w:themeColor="text1"/>
              </w:rPr>
              <w:t xml:space="preserve">RSV </w:t>
            </w:r>
            <w:r w:rsidRPr="00EC57FB">
              <w:rPr>
                <w:color w:val="000000" w:themeColor="text1"/>
              </w:rPr>
              <w:t xml:space="preserve">LRTI, incidence of MA </w:t>
            </w:r>
            <w:r w:rsidR="00595CC3" w:rsidRPr="00EC57FB">
              <w:rPr>
                <w:color w:val="000000" w:themeColor="text1"/>
              </w:rPr>
              <w:t xml:space="preserve">RSV </w:t>
            </w:r>
            <w:r w:rsidRPr="00EC57FB">
              <w:rPr>
                <w:color w:val="000000" w:themeColor="text1"/>
              </w:rPr>
              <w:t>LRTI resulting in hospitalisation</w:t>
            </w:r>
          </w:p>
          <w:p w14:paraId="5ABC4037" w14:textId="4411C7D1" w:rsidR="00233C01" w:rsidRPr="00EC57FB" w:rsidRDefault="00C27C3B" w:rsidP="00C27C3B">
            <w:pPr>
              <w:pStyle w:val="TableText0"/>
              <w:rPr>
                <w:rFonts w:eastAsia="Times New Roman" w:cs="Arial"/>
                <w:bCs w:val="0"/>
                <w:snapToGrid w:val="0"/>
                <w:color w:val="000000" w:themeColor="text1"/>
                <w:szCs w:val="20"/>
              </w:rPr>
            </w:pPr>
            <w:r w:rsidRPr="00EC57FB">
              <w:rPr>
                <w:color w:val="000000" w:themeColor="text1"/>
              </w:rPr>
              <w:t>Safety: TEAEs/TESAEs, AESIs, NOCD</w:t>
            </w:r>
          </w:p>
        </w:tc>
      </w:tr>
      <w:tr w:rsidR="00B774FE" w:rsidRPr="00EC57FB" w14:paraId="22223890" w14:textId="77777777" w:rsidTr="00CB3723">
        <w:trPr>
          <w:cantSplit/>
        </w:trPr>
        <w:tc>
          <w:tcPr>
            <w:tcW w:w="924" w:type="pct"/>
          </w:tcPr>
          <w:p w14:paraId="0FC8FCE0" w14:textId="77777777" w:rsidR="008B1757" w:rsidRPr="00EC57FB" w:rsidRDefault="008B1757" w:rsidP="004A6040">
            <w:pPr>
              <w:pStyle w:val="TableText0"/>
              <w:rPr>
                <w:color w:val="000000" w:themeColor="text1"/>
              </w:rPr>
            </w:pPr>
            <w:r w:rsidRPr="00EC57FB">
              <w:rPr>
                <w:color w:val="000000" w:themeColor="text1"/>
              </w:rPr>
              <w:t>Clinical claim</w:t>
            </w:r>
          </w:p>
        </w:tc>
        <w:tc>
          <w:tcPr>
            <w:tcW w:w="4076" w:type="pct"/>
            <w:shd w:val="clear" w:color="auto" w:fill="B8CCE4"/>
          </w:tcPr>
          <w:p w14:paraId="53F44541" w14:textId="77777777" w:rsidR="009476A8" w:rsidRPr="00EC57FB" w:rsidRDefault="009476A8" w:rsidP="009476A8">
            <w:pPr>
              <w:pStyle w:val="TableText0"/>
              <w:rPr>
                <w:color w:val="000000" w:themeColor="text1"/>
                <w:u w:val="single"/>
              </w:rPr>
            </w:pPr>
            <w:r w:rsidRPr="00EC57FB">
              <w:rPr>
                <w:color w:val="000000" w:themeColor="text1"/>
                <w:u w:val="single"/>
              </w:rPr>
              <w:t>Population (i) Neonates and infants born during or entering their first RSV season:</w:t>
            </w:r>
          </w:p>
          <w:p w14:paraId="5D11A9F3" w14:textId="6FF4AC43" w:rsidR="009476A8" w:rsidRPr="00EC57FB" w:rsidRDefault="009476A8" w:rsidP="009476A8">
            <w:pPr>
              <w:pStyle w:val="TableText0"/>
              <w:rPr>
                <w:color w:val="000000" w:themeColor="text1"/>
              </w:rPr>
            </w:pPr>
            <w:r w:rsidRPr="00EC57FB">
              <w:rPr>
                <w:color w:val="000000" w:themeColor="text1"/>
              </w:rPr>
              <w:t>Nirsevimab vs no immunisation</w:t>
            </w:r>
          </w:p>
          <w:p w14:paraId="09B1B93B" w14:textId="40AFE990" w:rsidR="009476A8" w:rsidRPr="00EC57FB" w:rsidRDefault="009476A8" w:rsidP="00A369BF">
            <w:pPr>
              <w:pStyle w:val="TableText0"/>
              <w:numPr>
                <w:ilvl w:val="0"/>
                <w:numId w:val="8"/>
              </w:numPr>
              <w:ind w:left="360"/>
              <w:rPr>
                <w:color w:val="000000" w:themeColor="text1"/>
              </w:rPr>
            </w:pPr>
            <w:r w:rsidRPr="00EC57FB">
              <w:rPr>
                <w:color w:val="000000" w:themeColor="text1"/>
              </w:rPr>
              <w:t xml:space="preserve">Superior in terms of comparative clinical effectiveness </w:t>
            </w:r>
          </w:p>
          <w:p w14:paraId="021BB9C5" w14:textId="542E6ABF" w:rsidR="009476A8" w:rsidRPr="00EC57FB" w:rsidRDefault="001F1D1C" w:rsidP="00A369BF">
            <w:pPr>
              <w:pStyle w:val="TableText0"/>
              <w:numPr>
                <w:ilvl w:val="0"/>
                <w:numId w:val="8"/>
              </w:numPr>
              <w:ind w:left="360"/>
              <w:rPr>
                <w:color w:val="000000" w:themeColor="text1"/>
              </w:rPr>
            </w:pPr>
            <w:r w:rsidRPr="00EC57FB">
              <w:rPr>
                <w:color w:val="000000" w:themeColor="text1"/>
              </w:rPr>
              <w:t>Non-inferior</w:t>
            </w:r>
            <w:r w:rsidR="009476A8" w:rsidRPr="00EC57FB">
              <w:rPr>
                <w:color w:val="000000" w:themeColor="text1"/>
              </w:rPr>
              <w:t xml:space="preserve"> in terms of comparative safety</w:t>
            </w:r>
          </w:p>
          <w:p w14:paraId="7CB269EB" w14:textId="77777777" w:rsidR="009476A8" w:rsidRPr="00EC57FB" w:rsidRDefault="009476A8" w:rsidP="009476A8">
            <w:pPr>
              <w:pStyle w:val="TableText0"/>
              <w:rPr>
                <w:color w:val="000000" w:themeColor="text1"/>
              </w:rPr>
            </w:pPr>
            <w:r w:rsidRPr="00EC57FB">
              <w:rPr>
                <w:color w:val="000000" w:themeColor="text1"/>
              </w:rPr>
              <w:t>Nirsevimab vs RSVpreF (near market comparator)</w:t>
            </w:r>
          </w:p>
          <w:p w14:paraId="639654C8" w14:textId="11F66EFC" w:rsidR="009476A8" w:rsidRPr="00EC57FB" w:rsidRDefault="009476A8" w:rsidP="00A369BF">
            <w:pPr>
              <w:pStyle w:val="TableText0"/>
              <w:numPr>
                <w:ilvl w:val="0"/>
                <w:numId w:val="8"/>
              </w:numPr>
              <w:ind w:left="360"/>
              <w:rPr>
                <w:color w:val="000000" w:themeColor="text1"/>
              </w:rPr>
            </w:pPr>
            <w:r w:rsidRPr="00EC57FB">
              <w:rPr>
                <w:color w:val="000000" w:themeColor="text1"/>
              </w:rPr>
              <w:t>Superior in terms of clinical effectiveness</w:t>
            </w:r>
          </w:p>
          <w:p w14:paraId="193F6988" w14:textId="2E080E86" w:rsidR="009476A8" w:rsidRPr="00EC57FB" w:rsidRDefault="001F1D1C" w:rsidP="00A369BF">
            <w:pPr>
              <w:pStyle w:val="TableText0"/>
              <w:numPr>
                <w:ilvl w:val="0"/>
                <w:numId w:val="8"/>
              </w:numPr>
              <w:ind w:left="360"/>
              <w:rPr>
                <w:color w:val="000000" w:themeColor="text1"/>
              </w:rPr>
            </w:pPr>
            <w:r w:rsidRPr="00EC57FB">
              <w:rPr>
                <w:color w:val="000000" w:themeColor="text1"/>
              </w:rPr>
              <w:t>Non-inferior</w:t>
            </w:r>
            <w:r w:rsidR="009476A8" w:rsidRPr="00EC57FB">
              <w:rPr>
                <w:color w:val="000000" w:themeColor="text1"/>
              </w:rPr>
              <w:t xml:space="preserve"> in terms of safety</w:t>
            </w:r>
          </w:p>
          <w:p w14:paraId="30C036F6" w14:textId="3EF5B532" w:rsidR="009476A8" w:rsidRPr="00EC57FB" w:rsidRDefault="009476A8" w:rsidP="009476A8">
            <w:pPr>
              <w:pStyle w:val="TableText0"/>
              <w:rPr>
                <w:color w:val="000000" w:themeColor="text1"/>
                <w:u w:val="single"/>
              </w:rPr>
            </w:pPr>
            <w:r w:rsidRPr="00EC57FB">
              <w:rPr>
                <w:color w:val="000000" w:themeColor="text1"/>
                <w:u w:val="single"/>
              </w:rPr>
              <w:t>Population (ii) Children up to 24 months of age who remain vulnerable to severe RSV disease through their second RSV season:</w:t>
            </w:r>
          </w:p>
          <w:p w14:paraId="590949D1" w14:textId="63B146A2" w:rsidR="009476A8" w:rsidRPr="00EC57FB" w:rsidRDefault="009476A8" w:rsidP="009476A8">
            <w:pPr>
              <w:pStyle w:val="TableText0"/>
              <w:rPr>
                <w:color w:val="000000" w:themeColor="text1"/>
              </w:rPr>
            </w:pPr>
            <w:r w:rsidRPr="00EC57FB">
              <w:rPr>
                <w:color w:val="000000" w:themeColor="text1"/>
              </w:rPr>
              <w:t>Nirsevimab vs no immunisation</w:t>
            </w:r>
          </w:p>
          <w:p w14:paraId="5461B795" w14:textId="27B9DD5D" w:rsidR="009476A8" w:rsidRPr="00EC57FB" w:rsidRDefault="009476A8" w:rsidP="00A369BF">
            <w:pPr>
              <w:pStyle w:val="TableText0"/>
              <w:numPr>
                <w:ilvl w:val="0"/>
                <w:numId w:val="8"/>
              </w:numPr>
              <w:ind w:left="360"/>
              <w:rPr>
                <w:color w:val="000000" w:themeColor="text1"/>
              </w:rPr>
            </w:pPr>
            <w:r w:rsidRPr="00EC57FB">
              <w:rPr>
                <w:color w:val="000000" w:themeColor="text1"/>
              </w:rPr>
              <w:t>Superior in terms of clinical effectiveness</w:t>
            </w:r>
          </w:p>
          <w:p w14:paraId="2C99C4DE" w14:textId="0917B3A0" w:rsidR="00233C01" w:rsidRPr="00EC57FB" w:rsidRDefault="001F1D1C" w:rsidP="00A369BF">
            <w:pPr>
              <w:pStyle w:val="TableText0"/>
              <w:numPr>
                <w:ilvl w:val="0"/>
                <w:numId w:val="8"/>
              </w:numPr>
              <w:ind w:left="360"/>
              <w:rPr>
                <w:rFonts w:eastAsia="Times New Roman" w:cs="Arial"/>
                <w:bCs w:val="0"/>
                <w:snapToGrid w:val="0"/>
                <w:color w:val="000000" w:themeColor="text1"/>
                <w:szCs w:val="20"/>
              </w:rPr>
            </w:pPr>
            <w:r w:rsidRPr="00EC57FB">
              <w:rPr>
                <w:color w:val="000000" w:themeColor="text1"/>
              </w:rPr>
              <w:t>Non-inferior</w:t>
            </w:r>
            <w:r w:rsidR="009476A8" w:rsidRPr="00EC57FB">
              <w:rPr>
                <w:color w:val="000000" w:themeColor="text1"/>
              </w:rPr>
              <w:t xml:space="preserve"> in terms of safety</w:t>
            </w:r>
          </w:p>
        </w:tc>
      </w:tr>
    </w:tbl>
    <w:p w14:paraId="527CA7F0" w14:textId="39FF6793" w:rsidR="004E43B2" w:rsidRPr="00EC57FB" w:rsidRDefault="008B1757" w:rsidP="004A6040">
      <w:pPr>
        <w:pStyle w:val="FooterTableFigure"/>
        <w:rPr>
          <w:color w:val="000000" w:themeColor="text1"/>
        </w:rPr>
      </w:pPr>
      <w:r w:rsidRPr="00EC57FB">
        <w:rPr>
          <w:color w:val="000000" w:themeColor="text1"/>
        </w:rPr>
        <w:t xml:space="preserve">Source: </w:t>
      </w:r>
      <w:r w:rsidR="0022755C" w:rsidRPr="00EC57FB">
        <w:rPr>
          <w:color w:val="000000" w:themeColor="text1"/>
        </w:rPr>
        <w:t>Table 1.1.1 on p</w:t>
      </w:r>
      <w:r w:rsidR="00D528CA" w:rsidRPr="00EC57FB">
        <w:rPr>
          <w:color w:val="000000" w:themeColor="text1"/>
        </w:rPr>
        <w:t xml:space="preserve">3 </w:t>
      </w:r>
      <w:r w:rsidRPr="00EC57FB">
        <w:rPr>
          <w:color w:val="000000" w:themeColor="text1"/>
        </w:rPr>
        <w:t xml:space="preserve">of the </w:t>
      </w:r>
      <w:r w:rsidR="004A2E4E" w:rsidRPr="00EC57FB">
        <w:rPr>
          <w:color w:val="000000" w:themeColor="text1"/>
        </w:rPr>
        <w:t>re</w:t>
      </w:r>
      <w:r w:rsidRPr="00EC57FB">
        <w:rPr>
          <w:color w:val="000000" w:themeColor="text1"/>
        </w:rPr>
        <w:t>submission</w:t>
      </w:r>
    </w:p>
    <w:p w14:paraId="15F2DF4D" w14:textId="77777777" w:rsidR="00A430BC" w:rsidRPr="00EC57FB" w:rsidRDefault="00E95293" w:rsidP="004A6040">
      <w:pPr>
        <w:pStyle w:val="FooterTableFigure"/>
        <w:rPr>
          <w:color w:val="000000" w:themeColor="text1"/>
        </w:rPr>
      </w:pPr>
      <w:r w:rsidRPr="00EC57FB">
        <w:rPr>
          <w:color w:val="000000" w:themeColor="text1"/>
        </w:rPr>
        <w:t xml:space="preserve">Blue shading </w:t>
      </w:r>
      <w:r w:rsidR="001304CD" w:rsidRPr="00EC57FB">
        <w:rPr>
          <w:color w:val="000000" w:themeColor="text1"/>
        </w:rPr>
        <w:t xml:space="preserve">is indicative of </w:t>
      </w:r>
      <w:r w:rsidR="00A430BC" w:rsidRPr="00EC57FB">
        <w:rPr>
          <w:color w:val="000000" w:themeColor="text1"/>
        </w:rPr>
        <w:t>information previously considered by the PBAC</w:t>
      </w:r>
    </w:p>
    <w:p w14:paraId="4360DBBD" w14:textId="1DEA5EC3" w:rsidR="00C23269" w:rsidRPr="00EC57FB" w:rsidRDefault="008B7A80" w:rsidP="00BA0B69">
      <w:pPr>
        <w:pStyle w:val="FooterTableFigure"/>
      </w:pPr>
      <w:r w:rsidRPr="00EC57FB">
        <w:rPr>
          <w:color w:val="000000" w:themeColor="text1"/>
        </w:rPr>
        <w:t xml:space="preserve">AESIs = adverse events of special interest; MA </w:t>
      </w:r>
      <w:r w:rsidR="00595CC3" w:rsidRPr="00EC57FB">
        <w:rPr>
          <w:color w:val="000000" w:themeColor="text1"/>
        </w:rPr>
        <w:t xml:space="preserve">RSV </w:t>
      </w:r>
      <w:r w:rsidRPr="00EC57FB">
        <w:rPr>
          <w:color w:val="000000" w:themeColor="text1"/>
        </w:rPr>
        <w:t>LRTI = medically attended</w:t>
      </w:r>
      <w:r w:rsidR="00C3762B" w:rsidRPr="00EC57FB">
        <w:rPr>
          <w:color w:val="000000" w:themeColor="text1"/>
        </w:rPr>
        <w:t xml:space="preserve"> RSV-associated</w:t>
      </w:r>
      <w:r w:rsidRPr="00EC57FB">
        <w:rPr>
          <w:color w:val="000000" w:themeColor="text1"/>
        </w:rPr>
        <w:t xml:space="preserve"> lower respiratory tract infection;</w:t>
      </w:r>
      <w:r w:rsidR="00C3762B" w:rsidRPr="00EC57FB">
        <w:rPr>
          <w:color w:val="000000" w:themeColor="text1"/>
        </w:rPr>
        <w:t xml:space="preserve"> </w:t>
      </w:r>
      <w:r w:rsidRPr="00EC57FB">
        <w:rPr>
          <w:color w:val="000000" w:themeColor="text1"/>
        </w:rPr>
        <w:t>NOCD = new onset chronic disease; PI = product information; RSV = respiratory syncytial virus;</w:t>
      </w:r>
      <w:r w:rsidR="00C3762B" w:rsidRPr="00EC57FB">
        <w:rPr>
          <w:color w:val="000000" w:themeColor="text1"/>
        </w:rPr>
        <w:t xml:space="preserve"> </w:t>
      </w:r>
      <w:r w:rsidRPr="00EC57FB">
        <w:rPr>
          <w:color w:val="000000" w:themeColor="text1"/>
        </w:rPr>
        <w:t xml:space="preserve">TEAEs = </w:t>
      </w:r>
      <w:r w:rsidR="00E30104" w:rsidRPr="00EC57FB">
        <w:rPr>
          <w:color w:val="000000" w:themeColor="text1"/>
        </w:rPr>
        <w:t>t</w:t>
      </w:r>
      <w:r w:rsidRPr="00EC57FB">
        <w:rPr>
          <w:color w:val="000000" w:themeColor="text1"/>
        </w:rPr>
        <w:t>reatment</w:t>
      </w:r>
      <w:r w:rsidR="00E30104" w:rsidRPr="00EC57FB">
        <w:rPr>
          <w:color w:val="000000" w:themeColor="text1"/>
        </w:rPr>
        <w:t>-</w:t>
      </w:r>
      <w:r w:rsidRPr="00EC57FB">
        <w:rPr>
          <w:color w:val="000000" w:themeColor="text1"/>
        </w:rPr>
        <w:t>emergent adverse events; TESAEs =</w:t>
      </w:r>
      <w:r w:rsidR="00E30104" w:rsidRPr="00EC57FB">
        <w:rPr>
          <w:color w:val="000000" w:themeColor="text1"/>
        </w:rPr>
        <w:t xml:space="preserve"> treatment-emergent </w:t>
      </w:r>
      <w:r w:rsidRPr="00EC57FB">
        <w:rPr>
          <w:color w:val="000000" w:themeColor="text1"/>
        </w:rPr>
        <w:t>serious adverse events</w:t>
      </w:r>
      <w:bookmarkStart w:id="6" w:name="_Hlk76375324"/>
    </w:p>
    <w:p w14:paraId="6B4AB6C2" w14:textId="3EF8DC30" w:rsidR="005C25FF" w:rsidRPr="00EC57FB" w:rsidRDefault="005C25FF" w:rsidP="004A6040">
      <w:pPr>
        <w:pStyle w:val="2-SectionHeading"/>
      </w:pPr>
      <w:bookmarkStart w:id="7" w:name="_Toc188619250"/>
      <w:bookmarkEnd w:id="6"/>
      <w:r w:rsidRPr="00EC57FB">
        <w:t>Background</w:t>
      </w:r>
      <w:bookmarkEnd w:id="7"/>
    </w:p>
    <w:p w14:paraId="2C521D6D" w14:textId="78CF03EE" w:rsidR="005C25FF" w:rsidRPr="00EC57FB" w:rsidRDefault="005C25FF" w:rsidP="004A6040">
      <w:pPr>
        <w:pStyle w:val="4-SubsectionHeading"/>
      </w:pPr>
      <w:bookmarkStart w:id="8" w:name="_Toc22897638"/>
      <w:bookmarkStart w:id="9" w:name="_Toc188619251"/>
      <w:r w:rsidRPr="00EC57FB">
        <w:t>Registration status</w:t>
      </w:r>
      <w:bookmarkEnd w:id="8"/>
      <w:bookmarkEnd w:id="9"/>
    </w:p>
    <w:p w14:paraId="504BA7F5" w14:textId="47DC38D4" w:rsidR="004A1159" w:rsidRPr="00EC57FB" w:rsidRDefault="00100399" w:rsidP="009407F5">
      <w:pPr>
        <w:pStyle w:val="3-BodyText"/>
        <w:keepNext/>
      </w:pPr>
      <w:r w:rsidRPr="00EC57FB">
        <w:rPr>
          <w:color w:val="000000" w:themeColor="text1"/>
        </w:rPr>
        <w:t>Nirsevimab (Beyfortus®)</w:t>
      </w:r>
      <w:r w:rsidR="005C25FF" w:rsidRPr="00EC57FB">
        <w:rPr>
          <w:color w:val="000000" w:themeColor="text1"/>
        </w:rPr>
        <w:t xml:space="preserve"> was </w:t>
      </w:r>
      <w:r w:rsidR="00355038" w:rsidRPr="00EC57FB">
        <w:rPr>
          <w:color w:val="000000" w:themeColor="text1"/>
        </w:rPr>
        <w:t>registered by the TGA on 24 November 2023 for</w:t>
      </w:r>
      <w:r w:rsidR="00AE7FA7" w:rsidRPr="00EC57FB">
        <w:rPr>
          <w:color w:val="000000" w:themeColor="text1"/>
        </w:rPr>
        <w:t xml:space="preserve"> </w:t>
      </w:r>
      <w:bookmarkStart w:id="10" w:name="_Hlk183507623"/>
      <w:r w:rsidR="009631D3" w:rsidRPr="00EC57FB">
        <w:rPr>
          <w:color w:val="000000" w:themeColor="text1"/>
        </w:rPr>
        <w:t xml:space="preserve">the prevention of RSV </w:t>
      </w:r>
      <w:r w:rsidR="0072303A" w:rsidRPr="00EC57FB">
        <w:rPr>
          <w:color w:val="000000" w:themeColor="text1"/>
        </w:rPr>
        <w:t>LRTD</w:t>
      </w:r>
      <w:r w:rsidR="009631D3" w:rsidRPr="00EC57FB">
        <w:t xml:space="preserve"> in:</w:t>
      </w:r>
    </w:p>
    <w:p w14:paraId="38CBCA3D" w14:textId="77FDD635" w:rsidR="003E45AC" w:rsidRPr="00EC57FB" w:rsidRDefault="003B30C8" w:rsidP="002C00D2">
      <w:pPr>
        <w:pStyle w:val="ListParagraph"/>
        <w:ind w:left="1134"/>
        <w:jc w:val="both"/>
      </w:pPr>
      <w:r w:rsidRPr="00EC57FB">
        <w:t>N</w:t>
      </w:r>
      <w:r w:rsidR="009631D3" w:rsidRPr="00EC57FB">
        <w:t>eonates and infants born during or entering their first RSV season</w:t>
      </w:r>
      <w:r w:rsidRPr="00EC57FB">
        <w:t>.</w:t>
      </w:r>
    </w:p>
    <w:p w14:paraId="45D1F7F7" w14:textId="3C98111E" w:rsidR="009631D3" w:rsidRPr="00EC57FB" w:rsidRDefault="003B30C8" w:rsidP="002C00D2">
      <w:pPr>
        <w:pStyle w:val="ListParagraph"/>
        <w:ind w:left="1134"/>
        <w:jc w:val="both"/>
      </w:pPr>
      <w:r w:rsidRPr="00EC57FB">
        <w:t>C</w:t>
      </w:r>
      <w:r w:rsidR="009631D3" w:rsidRPr="00EC57FB">
        <w:t>hildren up to 24 months of age who remain vulnerable to severe RSV disease through their second RSV season.</w:t>
      </w:r>
    </w:p>
    <w:bookmarkEnd w:id="10"/>
    <w:p w14:paraId="4B3D256D" w14:textId="2AF5E06A" w:rsidR="00C333FE" w:rsidRPr="00EC57FB" w:rsidRDefault="00C333FE" w:rsidP="008042C6">
      <w:pPr>
        <w:pStyle w:val="3-BodyText"/>
      </w:pPr>
      <w:r w:rsidRPr="00EC57FB">
        <w:lastRenderedPageBreak/>
        <w:t xml:space="preserve">The TGA-approved indication also states that nirsevimab should be used in accordance with official recommendations. </w:t>
      </w:r>
    </w:p>
    <w:p w14:paraId="2D01F01E" w14:textId="6D4B6307" w:rsidR="00220F0A" w:rsidRPr="00EC57FB" w:rsidRDefault="00220F0A" w:rsidP="004E18E9">
      <w:pPr>
        <w:pStyle w:val="4-SubsectionHeading"/>
      </w:pPr>
      <w:bookmarkStart w:id="11" w:name="_Toc188619252"/>
      <w:bookmarkStart w:id="12" w:name="_Toc22897639"/>
      <w:r w:rsidRPr="00EC57FB">
        <w:t>National Immunisation Program</w:t>
      </w:r>
      <w:bookmarkEnd w:id="11"/>
    </w:p>
    <w:p w14:paraId="236076C5" w14:textId="5EB0DC05" w:rsidR="00220F0A" w:rsidRPr="00EC57FB" w:rsidRDefault="00220F0A" w:rsidP="00220F0A">
      <w:pPr>
        <w:pStyle w:val="3-BodyText"/>
        <w:rPr>
          <w:lang w:eastAsia="en-US"/>
        </w:rPr>
      </w:pPr>
      <w:r w:rsidRPr="00EC57FB">
        <w:t>The resubmission stated that the NIP is the most appropriate framework for funding a whole of population immunisation program for protection against RSV, to ensure optimal uptake and coverage. The resubmission acknowledged that the current legislative framework underpinning the NIP may not support the inclusion of passive immunisation strategies like nirsevimab.</w:t>
      </w:r>
    </w:p>
    <w:p w14:paraId="31BF679D" w14:textId="1FB9E4DC" w:rsidR="00133A9D" w:rsidRPr="00EC57FB" w:rsidRDefault="00400E23" w:rsidP="00133A9D">
      <w:pPr>
        <w:pStyle w:val="3-BodyText"/>
        <w:rPr>
          <w:iCs/>
        </w:rPr>
      </w:pPr>
      <w:r w:rsidRPr="00EC57FB">
        <w:rPr>
          <w:iCs/>
        </w:rPr>
        <w:t xml:space="preserve">The </w:t>
      </w:r>
      <w:r w:rsidR="00133A9D" w:rsidRPr="00EC57FB">
        <w:rPr>
          <w:iCs/>
        </w:rPr>
        <w:t xml:space="preserve">ESC noted that a pathway for listing of </w:t>
      </w:r>
      <w:r w:rsidR="006F0066" w:rsidRPr="00EC57FB">
        <w:rPr>
          <w:iCs/>
        </w:rPr>
        <w:t>passive immunisation strategies</w:t>
      </w:r>
      <w:r w:rsidR="00133A9D" w:rsidRPr="00EC57FB">
        <w:rPr>
          <w:iCs/>
        </w:rPr>
        <w:t xml:space="preserve"> on the NIP would need to be established before the PBAC could recommend listing of nirsevimab on the NIP.</w:t>
      </w:r>
    </w:p>
    <w:p w14:paraId="4A336772" w14:textId="70BF64A7" w:rsidR="00BB7561" w:rsidRPr="00EC57FB" w:rsidRDefault="002459BC" w:rsidP="00A369BF">
      <w:pPr>
        <w:pStyle w:val="3-BodyText"/>
        <w:rPr>
          <w:iCs/>
        </w:rPr>
      </w:pPr>
      <w:r w:rsidRPr="00EC57FB">
        <w:rPr>
          <w:iCs/>
        </w:rPr>
        <w:t xml:space="preserve">The </w:t>
      </w:r>
      <w:r w:rsidR="00BB7561" w:rsidRPr="00EC57FB">
        <w:rPr>
          <w:iCs/>
        </w:rPr>
        <w:t>ESC</w:t>
      </w:r>
      <w:r w:rsidRPr="00EC57FB">
        <w:rPr>
          <w:iCs/>
        </w:rPr>
        <w:t xml:space="preserve"> considered</w:t>
      </w:r>
      <w:r w:rsidR="00BB7561" w:rsidRPr="00EC57FB">
        <w:rPr>
          <w:iCs/>
        </w:rPr>
        <w:t xml:space="preserve"> that the </w:t>
      </w:r>
      <w:r w:rsidRPr="00EC57FB">
        <w:rPr>
          <w:iCs/>
        </w:rPr>
        <w:t xml:space="preserve">proposed </w:t>
      </w:r>
      <w:r w:rsidR="00BB7561" w:rsidRPr="00EC57FB">
        <w:rPr>
          <w:iCs/>
        </w:rPr>
        <w:t xml:space="preserve">NIP listing </w:t>
      </w:r>
      <w:r w:rsidRPr="00EC57FB">
        <w:rPr>
          <w:iCs/>
        </w:rPr>
        <w:t>which would provide funding</w:t>
      </w:r>
      <w:r w:rsidR="00BB7561" w:rsidRPr="00EC57FB">
        <w:rPr>
          <w:iCs/>
        </w:rPr>
        <w:t xml:space="preserve"> under a national program, would be preferable to </w:t>
      </w:r>
      <w:r w:rsidR="0012084C" w:rsidRPr="00EC57FB">
        <w:rPr>
          <w:iCs/>
        </w:rPr>
        <w:t xml:space="preserve">different </w:t>
      </w:r>
      <w:r w:rsidR="00BB7561" w:rsidRPr="00EC57FB">
        <w:rPr>
          <w:iCs/>
        </w:rPr>
        <w:t>funding arrangements across the states and territories.</w:t>
      </w:r>
    </w:p>
    <w:p w14:paraId="730D5517" w14:textId="5450B4DB" w:rsidR="00770C21" w:rsidRPr="00EC57FB" w:rsidRDefault="005045A9" w:rsidP="00770C21">
      <w:pPr>
        <w:pStyle w:val="4-SubsectionHeading"/>
      </w:pPr>
      <w:bookmarkStart w:id="13" w:name="_Toc177558733"/>
      <w:bookmarkStart w:id="14" w:name="_Toc188619253"/>
      <w:r w:rsidRPr="00EC57FB">
        <w:t>RSV Mother &amp; Infant Protection Program (RSV-MIPP)</w:t>
      </w:r>
    </w:p>
    <w:p w14:paraId="434BD9E2" w14:textId="528B2356" w:rsidR="00A92202" w:rsidRPr="00EC57FB" w:rsidRDefault="005045A9" w:rsidP="00A92202">
      <w:pPr>
        <w:pStyle w:val="3-BodyText"/>
      </w:pPr>
      <w:r w:rsidRPr="00EC57FB">
        <w:t>The National RSV Mother and Infant Protection Program (RSV</w:t>
      </w:r>
      <w:r w:rsidRPr="00EC57FB">
        <w:noBreakHyphen/>
        <w:t xml:space="preserve">MIPP) </w:t>
      </w:r>
      <w:r w:rsidR="00A92202" w:rsidRPr="00EC57FB">
        <w:t xml:space="preserve">commenced </w:t>
      </w:r>
      <w:r w:rsidRPr="00EC57FB">
        <w:t>on 3 February 2025.</w:t>
      </w:r>
      <w:r w:rsidR="00577C66">
        <w:t xml:space="preserve"> </w:t>
      </w:r>
      <w:r w:rsidR="00A92202" w:rsidRPr="00EC57FB">
        <w:t>The RSV chapter in the AIH was updated to reflect the RSV-MIPP</w:t>
      </w:r>
      <w:r w:rsidR="00577C66">
        <w:t xml:space="preserve"> </w:t>
      </w:r>
      <w:r w:rsidR="00A92202" w:rsidRPr="00EC57FB">
        <w:t>on 17 January 2025,</w:t>
      </w:r>
      <w:r w:rsidR="00577C66">
        <w:t xml:space="preserve"> </w:t>
      </w:r>
      <w:r w:rsidR="00A92202" w:rsidRPr="00EC57FB">
        <w:t>including recommendations for the use of RSVpreF and nirsevimab.</w:t>
      </w:r>
      <w:r w:rsidR="00A92202" w:rsidRPr="00EC57FB">
        <w:rPr>
          <w:rStyle w:val="FootnoteReference"/>
        </w:rPr>
        <w:footnoteReference w:id="2"/>
      </w:r>
      <w:r w:rsidR="00A92202" w:rsidRPr="00EC57FB">
        <w:t xml:space="preserve"> </w:t>
      </w:r>
    </w:p>
    <w:p w14:paraId="55E659B6" w14:textId="64002884" w:rsidR="005045A9" w:rsidRPr="00EC57FB" w:rsidRDefault="005045A9" w:rsidP="00DC4191">
      <w:pPr>
        <w:pStyle w:val="3-BodyText"/>
      </w:pPr>
      <w:r w:rsidRPr="00EC57FB">
        <w:t>The RSV-MIPP provides free access to maternal RSVpreF vaccine under the NIP.</w:t>
      </w:r>
      <w:r w:rsidR="00577C66">
        <w:t xml:space="preserve"> </w:t>
      </w:r>
      <w:r w:rsidRPr="00EC57FB">
        <w:t>States and territories also offer nirsevimab free of charge to eligible infants as part of the program. Infants recommended to receive nirsevimab include babies born to mothers who did not receive RSV vaccine and infants at risk of severe disease from RSV infection, although precise eligibility criteria vary by jurisdiction</w:t>
      </w:r>
      <w:r w:rsidRPr="00EC57FB">
        <w:rPr>
          <w:rStyle w:val="FootnoteReference"/>
        </w:rPr>
        <w:footnoteReference w:id="3"/>
      </w:r>
      <w:r w:rsidRPr="00EC57FB">
        <w:t>.</w:t>
      </w:r>
      <w:r w:rsidR="00577C66">
        <w:t xml:space="preserve"> </w:t>
      </w:r>
    </w:p>
    <w:p w14:paraId="621AA04A" w14:textId="0F655545" w:rsidR="005045A9" w:rsidRPr="00EC57FB" w:rsidRDefault="005B07DC" w:rsidP="00DC4191">
      <w:pPr>
        <w:pStyle w:val="3-BodyText"/>
        <w:rPr>
          <w:iCs/>
        </w:rPr>
      </w:pPr>
      <w:bookmarkStart w:id="15" w:name="_Ref195702315"/>
      <w:r w:rsidRPr="00EC57FB">
        <w:rPr>
          <w:iCs/>
        </w:rPr>
        <w:t xml:space="preserve">The ESC noted </w:t>
      </w:r>
      <w:r w:rsidR="00B4300C" w:rsidRPr="00EC57FB">
        <w:rPr>
          <w:lang w:eastAsia="en-US"/>
        </w:rPr>
        <w:t>Australian Technical Advisory Group on Immunisation (</w:t>
      </w:r>
      <w:r w:rsidRPr="00EC57FB">
        <w:rPr>
          <w:iCs/>
        </w:rPr>
        <w:t>ATAGI</w:t>
      </w:r>
      <w:r w:rsidR="00B4300C" w:rsidRPr="00EC57FB">
        <w:rPr>
          <w:iCs/>
        </w:rPr>
        <w:t>)</w:t>
      </w:r>
      <w:r w:rsidRPr="00EC57FB">
        <w:rPr>
          <w:iCs/>
        </w:rPr>
        <w:t xml:space="preserve">’s advice that </w:t>
      </w:r>
      <w:r w:rsidR="005045A9" w:rsidRPr="00EC57FB">
        <w:rPr>
          <w:iCs/>
        </w:rPr>
        <w:t>uptake of nirsevimab in states that have implemented programs has been high, although estimates have not yet been published.</w:t>
      </w:r>
      <w:r w:rsidR="00577C66">
        <w:rPr>
          <w:iCs/>
        </w:rPr>
        <w:t xml:space="preserve"> </w:t>
      </w:r>
      <w:r w:rsidRPr="00EC57FB">
        <w:rPr>
          <w:iCs/>
        </w:rPr>
        <w:t xml:space="preserve">The ATAGI advice stated that </w:t>
      </w:r>
      <w:r w:rsidR="005045A9" w:rsidRPr="00EC57FB">
        <w:rPr>
          <w:iCs/>
        </w:rPr>
        <w:t>the goal will be to encourage strong RSVpreF vaccine uptake, and to offer nirsevimab to infants whose mothers do not receive the vaccine (or who meet other eligibility criteria).</w:t>
      </w:r>
      <w:r w:rsidR="00577C66">
        <w:rPr>
          <w:iCs/>
        </w:rPr>
        <w:t xml:space="preserve"> </w:t>
      </w:r>
      <w:r w:rsidRPr="00EC57FB">
        <w:rPr>
          <w:iCs/>
        </w:rPr>
        <w:t xml:space="preserve">It </w:t>
      </w:r>
      <w:r w:rsidR="005045A9" w:rsidRPr="00EC57FB">
        <w:rPr>
          <w:iCs/>
        </w:rPr>
        <w:t xml:space="preserve">is currently unclear whether a pattern of provider or parental choice will emerge, and the relative uptake of nirsevimab vs maternal RSVpreF is </w:t>
      </w:r>
      <w:r w:rsidR="0059040C" w:rsidRPr="00EC57FB">
        <w:rPr>
          <w:iCs/>
        </w:rPr>
        <w:t>currently unknown</w:t>
      </w:r>
      <w:r w:rsidR="005045A9" w:rsidRPr="00EC57FB">
        <w:rPr>
          <w:iCs/>
        </w:rPr>
        <w:t>, noting that for the majority of infants only one approach will be used.</w:t>
      </w:r>
      <w:bookmarkEnd w:id="15"/>
    </w:p>
    <w:p w14:paraId="4C61ABFE" w14:textId="27264E1F" w:rsidR="00401015" w:rsidRPr="00EC57FB" w:rsidRDefault="00401015" w:rsidP="00401015">
      <w:pPr>
        <w:pStyle w:val="4-SubsectionHeading"/>
      </w:pPr>
      <w:r w:rsidRPr="00EC57FB">
        <w:lastRenderedPageBreak/>
        <w:t>ATAGI advice</w:t>
      </w:r>
      <w:bookmarkEnd w:id="13"/>
      <w:r w:rsidRPr="00EC57FB">
        <w:t xml:space="preserve"> </w:t>
      </w:r>
    </w:p>
    <w:p w14:paraId="5A100571" w14:textId="519D858D" w:rsidR="00401015" w:rsidRPr="00EC57FB" w:rsidRDefault="00401015" w:rsidP="00DC4191">
      <w:pPr>
        <w:pStyle w:val="3-BodyText"/>
        <w:numPr>
          <w:ilvl w:val="1"/>
          <w:numId w:val="1"/>
        </w:numPr>
        <w:spacing w:before="60"/>
        <w:rPr>
          <w:lang w:eastAsia="en-US"/>
        </w:rPr>
      </w:pPr>
      <w:r w:rsidRPr="00EC57FB">
        <w:rPr>
          <w:lang w:eastAsia="en-US"/>
        </w:rPr>
        <w:t>The ATAGI provided pre</w:t>
      </w:r>
      <w:r w:rsidR="008B3FE9" w:rsidRPr="00EC57FB">
        <w:rPr>
          <w:lang w:eastAsia="en-US"/>
        </w:rPr>
        <w:noBreakHyphen/>
      </w:r>
      <w:r w:rsidRPr="00EC57FB">
        <w:rPr>
          <w:lang w:eastAsia="en-US"/>
        </w:rPr>
        <w:t xml:space="preserve">submission advice for the PBAC to consider for this </w:t>
      </w:r>
      <w:r w:rsidR="008B3FE9" w:rsidRPr="00EC57FB">
        <w:rPr>
          <w:lang w:eastAsia="en-US"/>
        </w:rPr>
        <w:t>re</w:t>
      </w:r>
      <w:r w:rsidRPr="00EC57FB">
        <w:rPr>
          <w:lang w:eastAsia="en-US"/>
        </w:rPr>
        <w:t>submission, dated 26 March 2025. The ATAGI also provided post-submission advice, dated 26 March 2025.</w:t>
      </w:r>
    </w:p>
    <w:p w14:paraId="3E2A6EAB" w14:textId="35A7F023" w:rsidR="005C25FF" w:rsidRPr="00EC57FB" w:rsidRDefault="005C25FF" w:rsidP="004E18E9">
      <w:pPr>
        <w:pStyle w:val="4-SubsectionHeading"/>
      </w:pPr>
      <w:r w:rsidRPr="00EC57FB">
        <w:t xml:space="preserve">Previous </w:t>
      </w:r>
      <w:r w:rsidR="00535CD9" w:rsidRPr="00EC57FB">
        <w:t xml:space="preserve">relevant </w:t>
      </w:r>
      <w:r w:rsidRPr="00EC57FB">
        <w:t>PBAC consideration</w:t>
      </w:r>
      <w:bookmarkEnd w:id="12"/>
      <w:r w:rsidR="0097796A" w:rsidRPr="00EC57FB">
        <w:t>s</w:t>
      </w:r>
      <w:bookmarkEnd w:id="14"/>
    </w:p>
    <w:p w14:paraId="3C58000E" w14:textId="7FAC931E" w:rsidR="00212EDF" w:rsidRPr="00EC57FB" w:rsidRDefault="001637B1" w:rsidP="0026274B">
      <w:pPr>
        <w:pStyle w:val="5-SubsectionSubheading"/>
        <w:spacing w:after="120"/>
        <w:rPr>
          <w:lang w:eastAsia="en-US"/>
        </w:rPr>
      </w:pPr>
      <w:bookmarkStart w:id="16" w:name="_Toc188619254"/>
      <w:r w:rsidRPr="00EC57FB">
        <w:rPr>
          <w:lang w:eastAsia="en-US"/>
        </w:rPr>
        <w:t>R</w:t>
      </w:r>
      <w:r w:rsidR="00AE0723" w:rsidRPr="00EC57FB">
        <w:rPr>
          <w:lang w:eastAsia="en-US"/>
        </w:rPr>
        <w:t xml:space="preserve">ecombinant RSV prefusion F protein </w:t>
      </w:r>
      <w:r w:rsidRPr="00EC57FB">
        <w:rPr>
          <w:lang w:eastAsia="en-US"/>
        </w:rPr>
        <w:t xml:space="preserve">maternal </w:t>
      </w:r>
      <w:r w:rsidR="00AE0723" w:rsidRPr="00EC57FB">
        <w:rPr>
          <w:lang w:eastAsia="en-US"/>
        </w:rPr>
        <w:t>vaccine (Abrysvo®, RSVpreF)</w:t>
      </w:r>
      <w:bookmarkEnd w:id="16"/>
    </w:p>
    <w:p w14:paraId="7CF9A9F7" w14:textId="69D8AB69" w:rsidR="009D64BE" w:rsidRPr="00EC57FB" w:rsidRDefault="00614311" w:rsidP="00751943">
      <w:pPr>
        <w:pStyle w:val="3-BodyText"/>
        <w:rPr>
          <w:color w:val="000000" w:themeColor="text1"/>
        </w:rPr>
      </w:pPr>
      <w:bookmarkStart w:id="17" w:name="_Ref187660529"/>
      <w:r w:rsidRPr="00EC57FB">
        <w:rPr>
          <w:color w:val="000000" w:themeColor="text1"/>
        </w:rPr>
        <w:t>S</w:t>
      </w:r>
      <w:r w:rsidR="008433E2" w:rsidRPr="00EC57FB">
        <w:rPr>
          <w:color w:val="000000" w:themeColor="text1"/>
        </w:rPr>
        <w:t>ubmissions</w:t>
      </w:r>
      <w:r w:rsidR="00911F47" w:rsidRPr="00EC57FB">
        <w:rPr>
          <w:color w:val="000000" w:themeColor="text1"/>
        </w:rPr>
        <w:t xml:space="preserve"> seeking inclusion of </w:t>
      </w:r>
      <w:r w:rsidR="00945AA8" w:rsidRPr="00EC57FB">
        <w:rPr>
          <w:color w:val="000000" w:themeColor="text1"/>
        </w:rPr>
        <w:t xml:space="preserve">the </w:t>
      </w:r>
      <w:bookmarkStart w:id="18" w:name="_Hlk184483327"/>
      <w:r w:rsidR="00911F47" w:rsidRPr="00EC57FB">
        <w:rPr>
          <w:color w:val="000000" w:themeColor="text1"/>
        </w:rPr>
        <w:t>RSVpreF</w:t>
      </w:r>
      <w:r w:rsidR="00FE41C4" w:rsidRPr="00EC57FB">
        <w:rPr>
          <w:color w:val="000000" w:themeColor="text1"/>
        </w:rPr>
        <w:t xml:space="preserve"> </w:t>
      </w:r>
      <w:r w:rsidR="001637B1" w:rsidRPr="00EC57FB">
        <w:rPr>
          <w:color w:val="000000" w:themeColor="text1"/>
        </w:rPr>
        <w:t xml:space="preserve">maternal </w:t>
      </w:r>
      <w:r w:rsidR="00FE41C4" w:rsidRPr="00EC57FB">
        <w:rPr>
          <w:color w:val="000000" w:themeColor="text1"/>
        </w:rPr>
        <w:t>vaccine</w:t>
      </w:r>
      <w:bookmarkEnd w:id="18"/>
      <w:r w:rsidR="00876895" w:rsidRPr="00EC57FB">
        <w:rPr>
          <w:color w:val="000000" w:themeColor="text1"/>
        </w:rPr>
        <w:t xml:space="preserve"> (referred to as RSVpreF hereafter)</w:t>
      </w:r>
      <w:r w:rsidR="00FE41C4" w:rsidRPr="00EC57FB">
        <w:rPr>
          <w:color w:val="000000" w:themeColor="text1"/>
        </w:rPr>
        <w:t xml:space="preserve"> </w:t>
      </w:r>
      <w:r w:rsidR="00BD0A91" w:rsidRPr="00EC57FB">
        <w:rPr>
          <w:color w:val="000000" w:themeColor="text1"/>
        </w:rPr>
        <w:t>on the N</w:t>
      </w:r>
      <w:r w:rsidR="004D1D12" w:rsidRPr="00EC57FB">
        <w:rPr>
          <w:color w:val="000000" w:themeColor="text1"/>
        </w:rPr>
        <w:t xml:space="preserve">IP for the prevention of LRTD caused by RSV in infants from birth through to 6 months of age by active immunisation of pregnant individuals </w:t>
      </w:r>
      <w:r w:rsidR="008433E2" w:rsidRPr="00EC57FB">
        <w:rPr>
          <w:color w:val="000000" w:themeColor="text1"/>
        </w:rPr>
        <w:t>were considered by the PBAC at its meetings</w:t>
      </w:r>
      <w:r w:rsidR="008E609F" w:rsidRPr="00EC57FB">
        <w:rPr>
          <w:color w:val="000000" w:themeColor="text1"/>
        </w:rPr>
        <w:t xml:space="preserve"> in March</w:t>
      </w:r>
      <w:r w:rsidR="00CF71BB" w:rsidRPr="00EC57FB">
        <w:rPr>
          <w:color w:val="000000" w:themeColor="text1"/>
        </w:rPr>
        <w:t xml:space="preserve"> and</w:t>
      </w:r>
      <w:r w:rsidR="008E609F" w:rsidRPr="00EC57FB">
        <w:rPr>
          <w:color w:val="000000" w:themeColor="text1"/>
        </w:rPr>
        <w:t xml:space="preserve"> May</w:t>
      </w:r>
      <w:r w:rsidR="00CF71BB" w:rsidRPr="00EC57FB">
        <w:rPr>
          <w:color w:val="000000" w:themeColor="text1"/>
        </w:rPr>
        <w:t xml:space="preserve"> 2024. </w:t>
      </w:r>
      <w:r w:rsidR="00583B7E" w:rsidRPr="00EC57FB">
        <w:rPr>
          <w:color w:val="000000" w:themeColor="text1"/>
        </w:rPr>
        <w:t xml:space="preserve">The PBAC did not recommend RSVpreF </w:t>
      </w:r>
      <w:r w:rsidR="004C2A27" w:rsidRPr="00EC57FB">
        <w:rPr>
          <w:color w:val="000000" w:themeColor="text1"/>
        </w:rPr>
        <w:t>in March</w:t>
      </w:r>
      <w:r w:rsidR="002B4EFF" w:rsidRPr="00EC57FB">
        <w:rPr>
          <w:color w:val="000000" w:themeColor="text1"/>
        </w:rPr>
        <w:t xml:space="preserve"> 2024</w:t>
      </w:r>
      <w:r w:rsidR="00B85F0D" w:rsidRPr="00EC57FB">
        <w:rPr>
          <w:color w:val="000000" w:themeColor="text1"/>
        </w:rPr>
        <w:t xml:space="preserve">. </w:t>
      </w:r>
      <w:r w:rsidR="00510FAD" w:rsidRPr="00EC57FB">
        <w:rPr>
          <w:color w:val="000000" w:themeColor="text1"/>
        </w:rPr>
        <w:t xml:space="preserve">Inclusion of RSVpreF on the NIP was recommended in </w:t>
      </w:r>
      <w:r w:rsidR="00B85F0D" w:rsidRPr="00EC57FB">
        <w:rPr>
          <w:color w:val="000000" w:themeColor="text1"/>
        </w:rPr>
        <w:t>May</w:t>
      </w:r>
      <w:r w:rsidR="009D64BE" w:rsidRPr="00EC57FB">
        <w:rPr>
          <w:color w:val="000000" w:themeColor="text1"/>
        </w:rPr>
        <w:t xml:space="preserve"> 2024</w:t>
      </w:r>
      <w:r w:rsidR="00760D69" w:rsidRPr="00EC57FB">
        <w:rPr>
          <w:color w:val="000000" w:themeColor="text1"/>
        </w:rPr>
        <w:t>.</w:t>
      </w:r>
      <w:bookmarkEnd w:id="17"/>
      <w:r w:rsidR="00B013D8" w:rsidRPr="00EC57FB">
        <w:rPr>
          <w:color w:val="000000" w:themeColor="text1"/>
        </w:rPr>
        <w:t xml:space="preserve"> </w:t>
      </w:r>
    </w:p>
    <w:p w14:paraId="458146DD" w14:textId="543EC8EA" w:rsidR="00FA271B" w:rsidRPr="00EC57FB" w:rsidRDefault="003A35B4" w:rsidP="00251B80">
      <w:pPr>
        <w:pStyle w:val="3-BodyText"/>
        <w:rPr>
          <w:color w:val="000000" w:themeColor="text1"/>
        </w:rPr>
      </w:pPr>
      <w:bookmarkStart w:id="19" w:name="_Ref188359761"/>
      <w:r w:rsidRPr="00EC57FB">
        <w:rPr>
          <w:color w:val="000000" w:themeColor="text1"/>
        </w:rPr>
        <w:t>On 19 January 2025</w:t>
      </w:r>
      <w:r w:rsidR="008F4E9C" w:rsidRPr="00EC57FB">
        <w:rPr>
          <w:color w:val="000000" w:themeColor="text1"/>
        </w:rPr>
        <w:t xml:space="preserve"> (after the resubmission was lodged)</w:t>
      </w:r>
      <w:r w:rsidRPr="00EC57FB">
        <w:rPr>
          <w:color w:val="000000" w:themeColor="text1"/>
        </w:rPr>
        <w:t xml:space="preserve">, </w:t>
      </w:r>
      <w:r w:rsidR="003A36D7" w:rsidRPr="00EC57FB">
        <w:rPr>
          <w:color w:val="000000" w:themeColor="text1"/>
        </w:rPr>
        <w:t>it was</w:t>
      </w:r>
      <w:r w:rsidRPr="00EC57FB">
        <w:rPr>
          <w:color w:val="000000" w:themeColor="text1"/>
        </w:rPr>
        <w:t xml:space="preserve"> announced that RSVpreF would be included on the NIP from 3 February 2025</w:t>
      </w:r>
      <w:r w:rsidR="001E1F27" w:rsidRPr="00EC57FB">
        <w:rPr>
          <w:rStyle w:val="FootnoteReference"/>
          <w:color w:val="000000" w:themeColor="text1"/>
        </w:rPr>
        <w:footnoteReference w:id="4"/>
      </w:r>
      <w:r w:rsidRPr="00EC57FB">
        <w:rPr>
          <w:color w:val="000000" w:themeColor="text1"/>
        </w:rPr>
        <w:t>.</w:t>
      </w:r>
      <w:bookmarkEnd w:id="19"/>
    </w:p>
    <w:p w14:paraId="0737D3F2" w14:textId="11A12C7E" w:rsidR="00521A2C" w:rsidRPr="00EC57FB" w:rsidRDefault="00521A2C" w:rsidP="00251B80">
      <w:pPr>
        <w:pStyle w:val="3-BodyText"/>
        <w:rPr>
          <w:color w:val="000000" w:themeColor="text1"/>
        </w:rPr>
      </w:pPr>
      <w:r w:rsidRPr="00EC57FB">
        <w:rPr>
          <w:color w:val="000000" w:themeColor="text1"/>
        </w:rPr>
        <w:t>The AIH recommends a single dose of RSVpreF for use in pregnant women. Administration is recommended at 28–36 weeks gestation, but may be given beyond 36 weeks gestation. Infants are not adequately protected unless they are born at least 2 weeks after their mother received the vaccine. The AIH states that advice on revaccination in subsequent pregnancies will be provided when data are available</w:t>
      </w:r>
      <w:r w:rsidRPr="00EC57FB">
        <w:rPr>
          <w:rStyle w:val="FootnoteReference"/>
          <w:color w:val="000000" w:themeColor="text1"/>
        </w:rPr>
        <w:footnoteReference w:id="5"/>
      </w:r>
      <w:r w:rsidRPr="00EC57FB">
        <w:rPr>
          <w:color w:val="000000" w:themeColor="text1"/>
        </w:rPr>
        <w:t>.</w:t>
      </w:r>
    </w:p>
    <w:p w14:paraId="23C51F12" w14:textId="0D2C2DB0" w:rsidR="00AE0723" w:rsidRPr="00EC57FB" w:rsidRDefault="00AE0723" w:rsidP="0026274B">
      <w:pPr>
        <w:pStyle w:val="5-SubsectionSubheading"/>
        <w:spacing w:after="120"/>
      </w:pPr>
      <w:bookmarkStart w:id="20" w:name="_Toc188619255"/>
      <w:r w:rsidRPr="00EC57FB">
        <w:t>Nirsevimab</w:t>
      </w:r>
      <w:bookmarkEnd w:id="20"/>
    </w:p>
    <w:p w14:paraId="6BB1857E" w14:textId="3EE05569" w:rsidR="00751943" w:rsidRPr="00EC57FB" w:rsidRDefault="00373FE2" w:rsidP="00751943">
      <w:pPr>
        <w:pStyle w:val="3-BodyText"/>
        <w:rPr>
          <w:color w:val="000000" w:themeColor="text1"/>
        </w:rPr>
      </w:pPr>
      <w:r w:rsidRPr="00EC57FB">
        <w:rPr>
          <w:color w:val="000000" w:themeColor="text1"/>
        </w:rPr>
        <w:t xml:space="preserve">A submission requesting </w:t>
      </w:r>
      <w:r w:rsidR="00711CB3" w:rsidRPr="00EC57FB">
        <w:rPr>
          <w:color w:val="000000" w:themeColor="text1"/>
        </w:rPr>
        <w:t xml:space="preserve">General Schedule </w:t>
      </w:r>
      <w:r w:rsidR="00B013D8" w:rsidRPr="00EC57FB">
        <w:rPr>
          <w:color w:val="000000" w:themeColor="text1"/>
        </w:rPr>
        <w:t>PBS</w:t>
      </w:r>
      <w:r w:rsidR="007C06E9" w:rsidRPr="00EC57FB">
        <w:rPr>
          <w:color w:val="000000" w:themeColor="text1"/>
        </w:rPr>
        <w:t xml:space="preserve"> listing of nirsevimab for the prevention of RSV LRTD in </w:t>
      </w:r>
      <w:r w:rsidR="00262A62" w:rsidRPr="00EC57FB">
        <w:rPr>
          <w:color w:val="000000" w:themeColor="text1"/>
        </w:rPr>
        <w:t>(i) n</w:t>
      </w:r>
      <w:r w:rsidR="007C06E9" w:rsidRPr="00EC57FB">
        <w:rPr>
          <w:color w:val="000000" w:themeColor="text1"/>
        </w:rPr>
        <w:t>eonates and infants born during or entering their first RSV season</w:t>
      </w:r>
      <w:r w:rsidR="00262A62" w:rsidRPr="00EC57FB">
        <w:rPr>
          <w:color w:val="000000" w:themeColor="text1"/>
        </w:rPr>
        <w:t>; and (ii) c</w:t>
      </w:r>
      <w:r w:rsidR="007C06E9" w:rsidRPr="00EC57FB">
        <w:rPr>
          <w:color w:val="000000" w:themeColor="text1"/>
        </w:rPr>
        <w:t>hildren up to 24 months of age who remain vulnerable to severe RSV disease through their second RSV season</w:t>
      </w:r>
      <w:r w:rsidR="00262A62" w:rsidRPr="00EC57FB">
        <w:rPr>
          <w:color w:val="000000" w:themeColor="text1"/>
        </w:rPr>
        <w:t xml:space="preserve"> was considered by the PBAC </w:t>
      </w:r>
      <w:r w:rsidR="00751943" w:rsidRPr="00EC57FB">
        <w:rPr>
          <w:color w:val="000000" w:themeColor="text1"/>
        </w:rPr>
        <w:t xml:space="preserve">at its meeting </w:t>
      </w:r>
      <w:r w:rsidR="00262A62" w:rsidRPr="00EC57FB">
        <w:rPr>
          <w:color w:val="000000" w:themeColor="text1"/>
        </w:rPr>
        <w:t>in July</w:t>
      </w:r>
      <w:r w:rsidR="00F101E0">
        <w:rPr>
          <w:color w:val="000000" w:themeColor="text1"/>
        </w:rPr>
        <w:t> </w:t>
      </w:r>
      <w:r w:rsidR="00262A62" w:rsidRPr="00EC57FB">
        <w:rPr>
          <w:color w:val="000000" w:themeColor="text1"/>
        </w:rPr>
        <w:t>2024</w:t>
      </w:r>
      <w:r w:rsidR="00B013D8" w:rsidRPr="00EC57FB">
        <w:rPr>
          <w:color w:val="000000" w:themeColor="text1"/>
        </w:rPr>
        <w:t>, and not recommended</w:t>
      </w:r>
      <w:r w:rsidR="00262A62" w:rsidRPr="00EC57FB">
        <w:rPr>
          <w:color w:val="000000" w:themeColor="text1"/>
        </w:rPr>
        <w:t>.</w:t>
      </w:r>
    </w:p>
    <w:p w14:paraId="4F12901B" w14:textId="512E0CA6" w:rsidR="00164F9C" w:rsidRPr="00EC57FB" w:rsidRDefault="00AF138D" w:rsidP="00047A3A">
      <w:pPr>
        <w:pStyle w:val="3-BodyText"/>
        <w:rPr>
          <w:color w:val="000000" w:themeColor="text1"/>
        </w:rPr>
      </w:pPr>
      <w:r w:rsidRPr="00EC57FB">
        <w:rPr>
          <w:color w:val="000000" w:themeColor="text1"/>
        </w:rPr>
        <w:fldChar w:fldCharType="begin"/>
      </w:r>
      <w:r w:rsidRPr="00EC57FB">
        <w:rPr>
          <w:color w:val="000000" w:themeColor="text1"/>
        </w:rPr>
        <w:instrText xml:space="preserve"> REF _Ref183535373 \h </w:instrText>
      </w:r>
      <w:r w:rsidRPr="00EC57FB">
        <w:rPr>
          <w:color w:val="000000" w:themeColor="text1"/>
        </w:rPr>
      </w:r>
      <w:r w:rsidRPr="00EC57FB">
        <w:rPr>
          <w:color w:val="000000" w:themeColor="text1"/>
        </w:rPr>
        <w:fldChar w:fldCharType="separate"/>
      </w:r>
      <w:r w:rsidR="00502C25" w:rsidRPr="00EC57FB">
        <w:t xml:space="preserve">Table </w:t>
      </w:r>
      <w:r w:rsidR="00502C25">
        <w:rPr>
          <w:noProof/>
        </w:rPr>
        <w:t>2</w:t>
      </w:r>
      <w:r w:rsidRPr="00EC57FB">
        <w:rPr>
          <w:color w:val="000000" w:themeColor="text1"/>
        </w:rPr>
        <w:fldChar w:fldCharType="end"/>
      </w:r>
      <w:r w:rsidR="00085D2A" w:rsidRPr="00EC57FB">
        <w:rPr>
          <w:color w:val="000000" w:themeColor="text1"/>
        </w:rPr>
        <w:t xml:space="preserve"> </w:t>
      </w:r>
      <w:r w:rsidR="00E7520D" w:rsidRPr="00EC57FB">
        <w:rPr>
          <w:color w:val="000000" w:themeColor="text1"/>
        </w:rPr>
        <w:t xml:space="preserve">summarises the key matters </w:t>
      </w:r>
      <w:r w:rsidR="00E20B75" w:rsidRPr="00EC57FB">
        <w:rPr>
          <w:color w:val="000000" w:themeColor="text1"/>
        </w:rPr>
        <w:t xml:space="preserve">of concern </w:t>
      </w:r>
      <w:r w:rsidR="00E7520D" w:rsidRPr="00EC57FB">
        <w:rPr>
          <w:color w:val="000000" w:themeColor="text1"/>
        </w:rPr>
        <w:t>from the previous PBAC consideration and how the resubmission addressed those concerns.</w:t>
      </w:r>
    </w:p>
    <w:p w14:paraId="2A23A49F" w14:textId="0D91CEAD" w:rsidR="005C25FF" w:rsidRPr="00EC57FB" w:rsidRDefault="00696EF9" w:rsidP="00603B59">
      <w:pPr>
        <w:pStyle w:val="TableFigureHeading"/>
        <w:rPr>
          <w:rStyle w:val="CommentReference"/>
          <w:b/>
          <w:szCs w:val="24"/>
        </w:rPr>
      </w:pPr>
      <w:bookmarkStart w:id="21" w:name="_Ref183535373"/>
      <w:bookmarkStart w:id="22" w:name="_Hlk199276241"/>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2</w:t>
      </w:r>
      <w:r w:rsidR="00C51E7C" w:rsidRPr="00EC57FB">
        <w:fldChar w:fldCharType="end"/>
      </w:r>
      <w:bookmarkEnd w:id="21"/>
      <w:r w:rsidRPr="00EC57FB">
        <w:t>:</w:t>
      </w:r>
      <w:r w:rsidR="005C25FF" w:rsidRPr="00EC57FB">
        <w:rPr>
          <w:rStyle w:val="CommentReference"/>
          <w:b/>
          <w:szCs w:val="24"/>
        </w:rPr>
        <w:t xml:space="preserve"> </w:t>
      </w:r>
      <w:bookmarkStart w:id="23" w:name="_Hlk187088344"/>
      <w:r w:rsidR="005C25FF" w:rsidRPr="00EC57FB">
        <w:rPr>
          <w:rStyle w:val="CommentReference"/>
          <w:b/>
          <w:szCs w:val="24"/>
        </w:rPr>
        <w:t>Summary of key matters of concern</w:t>
      </w:r>
      <w:r w:rsidR="00D361A5" w:rsidRPr="00EC57FB">
        <w:rPr>
          <w:rStyle w:val="CommentReference"/>
          <w:b/>
          <w:szCs w:val="24"/>
        </w:rPr>
        <w:t xml:space="preserve"> </w:t>
      </w:r>
      <w:r w:rsidR="005D110E" w:rsidRPr="00EC57FB">
        <w:rPr>
          <w:rStyle w:val="CommentReference"/>
          <w:b/>
          <w:szCs w:val="24"/>
        </w:rPr>
        <w:t xml:space="preserve">from the PBAC’s consideration of the </w:t>
      </w:r>
      <w:r w:rsidR="00D10668" w:rsidRPr="00EC57FB">
        <w:rPr>
          <w:rStyle w:val="CommentReference"/>
          <w:b/>
          <w:szCs w:val="24"/>
        </w:rPr>
        <w:t xml:space="preserve">first </w:t>
      </w:r>
      <w:r w:rsidR="005D110E" w:rsidRPr="00EC57FB">
        <w:rPr>
          <w:rStyle w:val="CommentReference"/>
          <w:b/>
          <w:szCs w:val="24"/>
        </w:rPr>
        <w:t xml:space="preserve">submission in July 2024 </w:t>
      </w:r>
      <w:r w:rsidR="00D361A5" w:rsidRPr="00EC57FB">
        <w:rPr>
          <w:rStyle w:val="CommentReference"/>
          <w:b/>
          <w:szCs w:val="24"/>
        </w:rPr>
        <w:t xml:space="preserve">and how the </w:t>
      </w:r>
      <w:r w:rsidR="00317B20" w:rsidRPr="00EC57FB">
        <w:rPr>
          <w:rStyle w:val="CommentReference"/>
          <w:b/>
          <w:szCs w:val="24"/>
        </w:rPr>
        <w:t>re</w:t>
      </w:r>
      <w:r w:rsidR="00D361A5" w:rsidRPr="00EC57FB">
        <w:rPr>
          <w:rStyle w:val="CommentReference"/>
          <w:b/>
          <w:szCs w:val="24"/>
        </w:rPr>
        <w:t>submission</w:t>
      </w:r>
      <w:r w:rsidR="005D110E" w:rsidRPr="00EC57FB">
        <w:rPr>
          <w:rStyle w:val="CommentReference"/>
          <w:b/>
          <w:szCs w:val="24"/>
        </w:rPr>
        <w:t xml:space="preserve"> addresse</w:t>
      </w:r>
      <w:r w:rsidR="00B013D8" w:rsidRPr="00EC57FB">
        <w:rPr>
          <w:rStyle w:val="CommentReference"/>
          <w:b/>
          <w:szCs w:val="24"/>
        </w:rPr>
        <w:t>d</w:t>
      </w:r>
      <w:r w:rsidR="005D110E" w:rsidRPr="00EC57FB">
        <w:rPr>
          <w:rStyle w:val="CommentReference"/>
          <w:b/>
          <w:szCs w:val="24"/>
        </w:rPr>
        <w:t xml:space="preserve"> the </w:t>
      </w:r>
      <w:r w:rsidR="00F12DDA" w:rsidRPr="00EC57FB">
        <w:rPr>
          <w:rStyle w:val="CommentReference"/>
          <w:b/>
          <w:szCs w:val="24"/>
        </w:rPr>
        <w:t>issues</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89"/>
        <w:gridCol w:w="4628"/>
      </w:tblGrid>
      <w:tr w:rsidR="00FC0D90" w:rsidRPr="00EC57FB" w14:paraId="6747F8E1" w14:textId="77777777" w:rsidTr="00024B88">
        <w:trPr>
          <w:tblHeader/>
        </w:trPr>
        <w:tc>
          <w:tcPr>
            <w:tcW w:w="2434" w:type="pct"/>
            <w:vAlign w:val="center"/>
          </w:tcPr>
          <w:p w14:paraId="2B7F3F42" w14:textId="77777777" w:rsidR="00FC0D90" w:rsidRPr="00EC57FB" w:rsidRDefault="00FC0D90" w:rsidP="00603B59">
            <w:pPr>
              <w:pStyle w:val="In-tableHeading"/>
              <w:keepLines w:val="0"/>
              <w:rPr>
                <w:lang w:val="en-AU"/>
              </w:rPr>
            </w:pPr>
            <w:r w:rsidRPr="00EC57FB">
              <w:rPr>
                <w:lang w:val="en-AU"/>
              </w:rPr>
              <w:t>Matter of concern</w:t>
            </w:r>
          </w:p>
        </w:tc>
        <w:tc>
          <w:tcPr>
            <w:tcW w:w="2566" w:type="pct"/>
          </w:tcPr>
          <w:p w14:paraId="4BAA81F2" w14:textId="0F803136" w:rsidR="00FC0D90" w:rsidRPr="00EC57FB" w:rsidRDefault="00FC0D90" w:rsidP="00603B59">
            <w:pPr>
              <w:pStyle w:val="In-tableHeading"/>
              <w:keepLines w:val="0"/>
              <w:rPr>
                <w:lang w:val="en-AU"/>
              </w:rPr>
            </w:pPr>
            <w:r w:rsidRPr="00EC57FB">
              <w:rPr>
                <w:lang w:val="en-AU"/>
              </w:rPr>
              <w:t>How the resubmission addresses the issues</w:t>
            </w:r>
          </w:p>
        </w:tc>
      </w:tr>
      <w:tr w:rsidR="005A1370" w:rsidRPr="00EC57FB" w14:paraId="1130E00F" w14:textId="77777777" w:rsidTr="00024B88">
        <w:tc>
          <w:tcPr>
            <w:tcW w:w="5000" w:type="pct"/>
            <w:gridSpan w:val="2"/>
          </w:tcPr>
          <w:p w14:paraId="70EEB8B5" w14:textId="509BA184" w:rsidR="005A1370" w:rsidRPr="00EC57FB" w:rsidRDefault="002A25BC" w:rsidP="00603B59">
            <w:pPr>
              <w:pStyle w:val="In-tableHeading"/>
              <w:keepLines w:val="0"/>
              <w:rPr>
                <w:lang w:val="en-AU"/>
              </w:rPr>
            </w:pPr>
            <w:r w:rsidRPr="00EC57FB">
              <w:rPr>
                <w:lang w:val="en-AU"/>
              </w:rPr>
              <w:t>Appropriate funding mechanism</w:t>
            </w:r>
          </w:p>
        </w:tc>
      </w:tr>
      <w:tr w:rsidR="005A1370" w:rsidRPr="00EC57FB" w14:paraId="0BC5F203" w14:textId="77777777" w:rsidTr="00024B88">
        <w:tc>
          <w:tcPr>
            <w:tcW w:w="2434" w:type="pct"/>
          </w:tcPr>
          <w:p w14:paraId="1B104CEF" w14:textId="0B36EFAE" w:rsidR="005A1370" w:rsidRPr="00EC57FB" w:rsidRDefault="002B23F3" w:rsidP="00603B59">
            <w:pPr>
              <w:pStyle w:val="TableText0"/>
              <w:keepLines w:val="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The ESC advised that inclusion on the NIP would likely increase uptake of nirsevimab and optimise use, in comparison with the proposed PBS listing, as it would reduce prescription and co-payment barriers. The ESC considered that a coordinated population-based program under the NIP would be preferred for nirsevimab, rather than PBS listing</w:t>
            </w:r>
            <w:r w:rsidR="00FE52C5" w:rsidRPr="00EC57FB">
              <w:rPr>
                <w:rFonts w:eastAsia="Times New Roman" w:cs="Arial"/>
                <w:bCs w:val="0"/>
                <w:snapToGrid w:val="0"/>
                <w:color w:val="000000" w:themeColor="text1"/>
                <w:szCs w:val="20"/>
              </w:rPr>
              <w:t xml:space="preserve"> (Para 3.4, July 2024 PSD)</w:t>
            </w:r>
            <w:r w:rsidR="00F46742" w:rsidRPr="00EC57FB">
              <w:rPr>
                <w:rFonts w:eastAsia="Times New Roman" w:cs="Arial"/>
                <w:bCs w:val="0"/>
                <w:snapToGrid w:val="0"/>
                <w:color w:val="000000" w:themeColor="text1"/>
                <w:szCs w:val="20"/>
              </w:rPr>
              <w:t>.</w:t>
            </w:r>
          </w:p>
        </w:tc>
        <w:tc>
          <w:tcPr>
            <w:tcW w:w="2566" w:type="pct"/>
          </w:tcPr>
          <w:p w14:paraId="3B3D77E5" w14:textId="77777777" w:rsidR="004D0B60" w:rsidRPr="00EC57FB" w:rsidRDefault="004D0B60" w:rsidP="00603B59">
            <w:pPr>
              <w:pStyle w:val="TableText0"/>
              <w:keepLines w:val="0"/>
              <w:spacing w:after="120"/>
            </w:pPr>
            <w:r w:rsidRPr="00EC57FB">
              <w:t>Addressed</w:t>
            </w:r>
          </w:p>
          <w:p w14:paraId="2CB08AB4" w14:textId="4FCE443C" w:rsidR="005A1370" w:rsidRPr="00EC57FB" w:rsidRDefault="00A12717" w:rsidP="00B50C74">
            <w:pPr>
              <w:pStyle w:val="TableText0"/>
              <w:keepLines w:val="0"/>
              <w:spacing w:after="120"/>
              <w:rPr>
                <w:iCs/>
              </w:rPr>
            </w:pPr>
            <w:r w:rsidRPr="00EC57FB">
              <w:t>The r</w:t>
            </w:r>
            <w:r w:rsidR="005A1370" w:rsidRPr="00EC57FB">
              <w:t xml:space="preserve">esubmission </w:t>
            </w:r>
            <w:r w:rsidR="002203B3" w:rsidRPr="00EC57FB">
              <w:t>propose</w:t>
            </w:r>
            <w:r w:rsidR="00B16AB9" w:rsidRPr="00EC57FB">
              <w:t>d</w:t>
            </w:r>
            <w:r w:rsidR="002203B3" w:rsidRPr="00EC57FB">
              <w:t xml:space="preserve"> inclusion of </w:t>
            </w:r>
            <w:r w:rsidR="00BB2334" w:rsidRPr="00EC57FB">
              <w:t xml:space="preserve">nirsevimab on the NIP </w:t>
            </w:r>
            <w:r w:rsidR="00B552A7" w:rsidRPr="00EC57FB">
              <w:t>rather than the PBS</w:t>
            </w:r>
            <w:r w:rsidR="00B94DA6" w:rsidRPr="00EC57FB">
              <w:t>.</w:t>
            </w:r>
          </w:p>
        </w:tc>
      </w:tr>
      <w:tr w:rsidR="003560E2" w:rsidRPr="00EC57FB" w14:paraId="0430EA68" w14:textId="77777777" w:rsidTr="00024B88">
        <w:tc>
          <w:tcPr>
            <w:tcW w:w="5000" w:type="pct"/>
            <w:gridSpan w:val="2"/>
          </w:tcPr>
          <w:p w14:paraId="4F04BF6F" w14:textId="1B71056A" w:rsidR="003560E2" w:rsidRPr="00EC57FB" w:rsidRDefault="003560E2" w:rsidP="00FE3358">
            <w:pPr>
              <w:pStyle w:val="In-tableHeading"/>
              <w:keepNext w:val="0"/>
              <w:keepLines w:val="0"/>
              <w:rPr>
                <w:lang w:val="en-AU"/>
              </w:rPr>
            </w:pPr>
            <w:r w:rsidRPr="00EC57FB">
              <w:rPr>
                <w:lang w:val="en-AU"/>
              </w:rPr>
              <w:t>Comparator</w:t>
            </w:r>
          </w:p>
        </w:tc>
      </w:tr>
      <w:tr w:rsidR="00FC0D90" w:rsidRPr="00EC57FB" w14:paraId="12E6A50B" w14:textId="77777777" w:rsidTr="00024B88">
        <w:tc>
          <w:tcPr>
            <w:tcW w:w="2434" w:type="pct"/>
          </w:tcPr>
          <w:p w14:paraId="27979425" w14:textId="50246D7F" w:rsidR="00037750" w:rsidRPr="00EC57FB" w:rsidRDefault="0070321C" w:rsidP="00E10379">
            <w:pPr>
              <w:pStyle w:val="TableText0"/>
              <w:keepNext w:val="0"/>
              <w:keepLines w:val="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 xml:space="preserve">Palivizumab was not accepted as the main comparator for </w:t>
            </w:r>
            <w:r w:rsidR="00531CAD" w:rsidRPr="00EC57FB">
              <w:rPr>
                <w:rFonts w:eastAsia="Times New Roman" w:cs="Arial"/>
                <w:bCs w:val="0"/>
                <w:snapToGrid w:val="0"/>
                <w:color w:val="000000" w:themeColor="text1"/>
                <w:szCs w:val="20"/>
              </w:rPr>
              <w:t>nirsevimab in children up to 24 months of age who remain vulnerable to severe RSV disease through their second RSV season</w:t>
            </w:r>
            <w:r w:rsidR="00037750" w:rsidRPr="00EC57FB">
              <w:rPr>
                <w:rFonts w:eastAsia="Times New Roman" w:cs="Arial"/>
                <w:bCs w:val="0"/>
                <w:snapToGrid w:val="0"/>
                <w:color w:val="000000" w:themeColor="text1"/>
                <w:szCs w:val="20"/>
              </w:rPr>
              <w:t xml:space="preserve">; no immunisation </w:t>
            </w:r>
            <w:r w:rsidR="002F5866" w:rsidRPr="00EC57FB">
              <w:rPr>
                <w:rFonts w:eastAsia="Times New Roman" w:cs="Arial"/>
                <w:bCs w:val="0"/>
                <w:snapToGrid w:val="0"/>
                <w:color w:val="000000" w:themeColor="text1"/>
                <w:szCs w:val="20"/>
              </w:rPr>
              <w:t>was</w:t>
            </w:r>
            <w:r w:rsidR="00037750" w:rsidRPr="00EC57FB">
              <w:rPr>
                <w:rFonts w:eastAsia="Times New Roman" w:cs="Arial"/>
                <w:bCs w:val="0"/>
                <w:snapToGrid w:val="0"/>
                <w:color w:val="000000" w:themeColor="text1"/>
                <w:szCs w:val="20"/>
              </w:rPr>
              <w:t xml:space="preserve"> considered the </w:t>
            </w:r>
            <w:r w:rsidR="002F5866" w:rsidRPr="00EC57FB">
              <w:rPr>
                <w:rFonts w:eastAsia="Times New Roman" w:cs="Arial"/>
                <w:bCs w:val="0"/>
                <w:snapToGrid w:val="0"/>
                <w:color w:val="000000" w:themeColor="text1"/>
                <w:szCs w:val="20"/>
              </w:rPr>
              <w:t xml:space="preserve">appropriate </w:t>
            </w:r>
            <w:r w:rsidR="00037750" w:rsidRPr="00EC57FB">
              <w:rPr>
                <w:rFonts w:eastAsia="Times New Roman" w:cs="Arial"/>
                <w:bCs w:val="0"/>
                <w:snapToGrid w:val="0"/>
                <w:color w:val="000000" w:themeColor="text1"/>
                <w:szCs w:val="20"/>
              </w:rPr>
              <w:t xml:space="preserve">main comparator for Season 2 </w:t>
            </w:r>
            <w:r w:rsidRPr="00EC57FB">
              <w:rPr>
                <w:rFonts w:eastAsia="Times New Roman" w:cs="Arial"/>
                <w:bCs w:val="0"/>
                <w:snapToGrid w:val="0"/>
                <w:color w:val="000000" w:themeColor="text1"/>
                <w:szCs w:val="20"/>
              </w:rPr>
              <w:t>(Para 7.</w:t>
            </w:r>
            <w:r w:rsidR="00F60625" w:rsidRPr="00EC57FB">
              <w:rPr>
                <w:rFonts w:eastAsia="Times New Roman" w:cs="Arial"/>
                <w:bCs w:val="0"/>
                <w:snapToGrid w:val="0"/>
                <w:color w:val="000000" w:themeColor="text1"/>
                <w:szCs w:val="20"/>
              </w:rPr>
              <w:t>1</w:t>
            </w:r>
            <w:r w:rsidR="008A627E" w:rsidRPr="00EC57FB">
              <w:rPr>
                <w:rFonts w:eastAsia="Times New Roman" w:cs="Arial"/>
                <w:bCs w:val="0"/>
                <w:snapToGrid w:val="0"/>
                <w:color w:val="000000" w:themeColor="text1"/>
                <w:szCs w:val="20"/>
              </w:rPr>
              <w:t xml:space="preserve">, </w:t>
            </w:r>
            <w:r w:rsidR="00522C99" w:rsidRPr="00EC57FB">
              <w:rPr>
                <w:rFonts w:eastAsia="Times New Roman" w:cs="Arial"/>
                <w:bCs w:val="0"/>
                <w:snapToGrid w:val="0"/>
                <w:color w:val="000000" w:themeColor="text1"/>
                <w:szCs w:val="20"/>
              </w:rPr>
              <w:t>7.1</w:t>
            </w:r>
            <w:r w:rsidR="004F6AED" w:rsidRPr="00EC57FB">
              <w:rPr>
                <w:rFonts w:eastAsia="Times New Roman" w:cs="Arial"/>
                <w:bCs w:val="0"/>
                <w:snapToGrid w:val="0"/>
                <w:color w:val="000000" w:themeColor="text1"/>
                <w:szCs w:val="20"/>
              </w:rPr>
              <w:t>1</w:t>
            </w:r>
            <w:r w:rsidR="00440669" w:rsidRPr="00EC57FB">
              <w:rPr>
                <w:rFonts w:eastAsia="Times New Roman" w:cs="Arial"/>
                <w:bCs w:val="0"/>
                <w:snapToGrid w:val="0"/>
                <w:color w:val="000000" w:themeColor="text1"/>
                <w:szCs w:val="20"/>
              </w:rPr>
              <w:t xml:space="preserve">, </w:t>
            </w:r>
            <w:r w:rsidR="008A627E" w:rsidRPr="00EC57FB">
              <w:rPr>
                <w:rFonts w:eastAsia="Times New Roman" w:cs="Arial"/>
                <w:bCs w:val="0"/>
                <w:snapToGrid w:val="0"/>
                <w:color w:val="000000" w:themeColor="text1"/>
                <w:szCs w:val="20"/>
              </w:rPr>
              <w:t xml:space="preserve">7.15 </w:t>
            </w:r>
            <w:r w:rsidR="00440669" w:rsidRPr="00EC57FB">
              <w:rPr>
                <w:rFonts w:eastAsia="Times New Roman" w:cs="Arial"/>
                <w:bCs w:val="0"/>
                <w:snapToGrid w:val="0"/>
                <w:color w:val="000000" w:themeColor="text1"/>
                <w:szCs w:val="20"/>
              </w:rPr>
              <w:t xml:space="preserve">&amp; 7.23, </w:t>
            </w:r>
            <w:r w:rsidR="00F60625" w:rsidRPr="00EC57FB">
              <w:rPr>
                <w:rFonts w:eastAsia="Times New Roman" w:cs="Arial"/>
                <w:bCs w:val="0"/>
                <w:snapToGrid w:val="0"/>
                <w:color w:val="000000" w:themeColor="text1"/>
                <w:szCs w:val="20"/>
              </w:rPr>
              <w:t>July 2024 PSD)</w:t>
            </w:r>
            <w:r w:rsidR="00F46742" w:rsidRPr="00EC57FB">
              <w:rPr>
                <w:rFonts w:eastAsia="Times New Roman" w:cs="Arial"/>
                <w:bCs w:val="0"/>
                <w:snapToGrid w:val="0"/>
                <w:color w:val="000000" w:themeColor="text1"/>
                <w:szCs w:val="20"/>
              </w:rPr>
              <w:t>.</w:t>
            </w:r>
          </w:p>
        </w:tc>
        <w:tc>
          <w:tcPr>
            <w:tcW w:w="2566" w:type="pct"/>
          </w:tcPr>
          <w:p w14:paraId="2C3B83AF" w14:textId="48BCE17B" w:rsidR="00B94DA6" w:rsidRPr="00EC57FB" w:rsidRDefault="00266022" w:rsidP="00024B88">
            <w:pPr>
              <w:pStyle w:val="TableText0"/>
              <w:keepNext w:val="0"/>
              <w:keepLines w:val="0"/>
              <w:spacing w:after="120"/>
              <w:rPr>
                <w:iCs/>
              </w:rPr>
            </w:pPr>
            <w:r w:rsidRPr="00EC57FB">
              <w:rPr>
                <w:iCs/>
              </w:rPr>
              <w:t>Addressed</w:t>
            </w:r>
          </w:p>
          <w:p w14:paraId="7D1B144C" w14:textId="706FF89C" w:rsidR="006878DA" w:rsidRPr="00EC57FB" w:rsidRDefault="00A12717" w:rsidP="0046585B">
            <w:pPr>
              <w:pStyle w:val="TableText0"/>
              <w:keepNext w:val="0"/>
              <w:keepLines w:val="0"/>
              <w:rPr>
                <w:i/>
              </w:rPr>
            </w:pPr>
            <w:r w:rsidRPr="00EC57FB">
              <w:t>The r</w:t>
            </w:r>
            <w:r w:rsidR="00055A58" w:rsidRPr="00EC57FB">
              <w:t>esubmission nominate</w:t>
            </w:r>
            <w:r w:rsidR="004D13DB" w:rsidRPr="00EC57FB">
              <w:t>d</w:t>
            </w:r>
            <w:r w:rsidR="00055A58" w:rsidRPr="00EC57FB">
              <w:t xml:space="preserve"> no immunisation as the appropriate comparator</w:t>
            </w:r>
            <w:r w:rsidR="00A77E5C" w:rsidRPr="00EC57FB">
              <w:t xml:space="preserve"> for nirsevimab when used</w:t>
            </w:r>
            <w:r w:rsidR="00055A58" w:rsidRPr="00EC57FB">
              <w:t xml:space="preserve"> </w:t>
            </w:r>
            <w:r w:rsidR="00163D4B" w:rsidRPr="00EC57FB">
              <w:t xml:space="preserve">in </w:t>
            </w:r>
            <w:r w:rsidR="00055A58" w:rsidRPr="00EC57FB">
              <w:t>children up to 24 months of age who remain vulnerable to severe RSV disease through th</w:t>
            </w:r>
            <w:r w:rsidR="00055A58" w:rsidRPr="00EC57FB">
              <w:rPr>
                <w:color w:val="000000" w:themeColor="text1"/>
              </w:rPr>
              <w:t>eir second RSV season</w:t>
            </w:r>
            <w:r w:rsidR="00B16AB9" w:rsidRPr="00EC57FB">
              <w:rPr>
                <w:color w:val="000000" w:themeColor="text1"/>
              </w:rPr>
              <w:t xml:space="preserve">. </w:t>
            </w:r>
            <w:r w:rsidR="00A6232F" w:rsidRPr="00EC57FB">
              <w:rPr>
                <w:color w:val="000000" w:themeColor="text1"/>
              </w:rPr>
              <w:t xml:space="preserve">However, the evidence presented </w:t>
            </w:r>
            <w:r w:rsidR="00482E5C" w:rsidRPr="00EC57FB">
              <w:rPr>
                <w:color w:val="000000" w:themeColor="text1"/>
              </w:rPr>
              <w:t>has limitations.</w:t>
            </w:r>
            <w:r w:rsidR="00482E5C" w:rsidRPr="00EC57FB">
              <w:rPr>
                <w:iCs/>
                <w:color w:val="000000" w:themeColor="text1"/>
              </w:rPr>
              <w:t xml:space="preserve"> </w:t>
            </w:r>
          </w:p>
        </w:tc>
      </w:tr>
      <w:tr w:rsidR="000232E7" w:rsidRPr="00EC57FB" w14:paraId="29EB7A05" w14:textId="77777777" w:rsidTr="00024B88">
        <w:tc>
          <w:tcPr>
            <w:tcW w:w="2434" w:type="pct"/>
          </w:tcPr>
          <w:p w14:paraId="13E185F5" w14:textId="05772A20" w:rsidR="000232E7" w:rsidRPr="00EC57FB" w:rsidRDefault="000232E7" w:rsidP="00E10379">
            <w:pPr>
              <w:pStyle w:val="TableText0"/>
              <w:keepNext w:val="0"/>
              <w:keepLines w:val="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 xml:space="preserve">Clinical comparison of nirsevimab versus RSVpreF would remain relevant in a resubmission </w:t>
            </w:r>
            <w:r w:rsidR="00482761" w:rsidRPr="00EC57FB">
              <w:rPr>
                <w:rFonts w:eastAsia="Times New Roman" w:cs="Arial"/>
                <w:bCs w:val="0"/>
                <w:snapToGrid w:val="0"/>
                <w:color w:val="000000" w:themeColor="text1"/>
                <w:szCs w:val="20"/>
              </w:rPr>
              <w:t>(Para 7.23, July 2024 PSD)</w:t>
            </w:r>
            <w:r w:rsidR="00F46742" w:rsidRPr="00EC57FB">
              <w:rPr>
                <w:rFonts w:eastAsia="Times New Roman" w:cs="Arial"/>
                <w:bCs w:val="0"/>
                <w:snapToGrid w:val="0"/>
                <w:color w:val="000000" w:themeColor="text1"/>
                <w:szCs w:val="20"/>
              </w:rPr>
              <w:t>.</w:t>
            </w:r>
          </w:p>
        </w:tc>
        <w:tc>
          <w:tcPr>
            <w:tcW w:w="2566" w:type="pct"/>
          </w:tcPr>
          <w:p w14:paraId="53CF561C" w14:textId="1CC50570" w:rsidR="00060A78" w:rsidRPr="00EC57FB" w:rsidRDefault="00060A78" w:rsidP="00024B88">
            <w:pPr>
              <w:pStyle w:val="TableText0"/>
              <w:keepNext w:val="0"/>
              <w:keepLines w:val="0"/>
              <w:spacing w:after="120"/>
            </w:pPr>
            <w:r w:rsidRPr="00EC57FB">
              <w:t>Ad</w:t>
            </w:r>
            <w:r w:rsidR="005F505C" w:rsidRPr="00EC57FB">
              <w:t>d</w:t>
            </w:r>
            <w:r w:rsidRPr="00EC57FB">
              <w:t>ressed</w:t>
            </w:r>
          </w:p>
          <w:p w14:paraId="4DDCC7D8" w14:textId="1AB5E8CD" w:rsidR="000232E7" w:rsidRPr="00EC57FB" w:rsidRDefault="00104C8B" w:rsidP="00024B88">
            <w:pPr>
              <w:pStyle w:val="TableText0"/>
              <w:keepNext w:val="0"/>
              <w:keepLines w:val="0"/>
              <w:rPr>
                <w:i/>
                <w:iCs/>
              </w:rPr>
            </w:pPr>
            <w:r w:rsidRPr="00EC57FB">
              <w:t>The r</w:t>
            </w:r>
            <w:r w:rsidR="003A5C56" w:rsidRPr="00EC57FB">
              <w:t xml:space="preserve">esubmission </w:t>
            </w:r>
            <w:r w:rsidR="008A76A6" w:rsidRPr="00EC57FB">
              <w:t>provided a clinical comparison of nirsevimab versus RSVpreF</w:t>
            </w:r>
            <w:r w:rsidR="003B49C4" w:rsidRPr="00EC57FB">
              <w:t>.</w:t>
            </w:r>
            <w:r w:rsidR="00A05CE8" w:rsidRPr="00EC57FB">
              <w:rPr>
                <w:iCs/>
              </w:rPr>
              <w:t xml:space="preserve"> </w:t>
            </w:r>
            <w:r w:rsidR="006B337E" w:rsidRPr="00EC57FB">
              <w:rPr>
                <w:color w:val="000000" w:themeColor="text1"/>
              </w:rPr>
              <w:t xml:space="preserve">However, the evidence presented has limitations. </w:t>
            </w:r>
          </w:p>
        </w:tc>
      </w:tr>
      <w:tr w:rsidR="00A24C41" w:rsidRPr="00EC57FB" w14:paraId="69009AE0" w14:textId="77777777" w:rsidTr="00024B88">
        <w:tc>
          <w:tcPr>
            <w:tcW w:w="5000" w:type="pct"/>
            <w:gridSpan w:val="2"/>
          </w:tcPr>
          <w:p w14:paraId="2DA333A2" w14:textId="3C0ABA6F" w:rsidR="00A24C41" w:rsidRPr="00EC57FB" w:rsidRDefault="00E66EA6" w:rsidP="00FE3358">
            <w:pPr>
              <w:pStyle w:val="TableText0"/>
              <w:keepNext w:val="0"/>
              <w:keepLines w:val="0"/>
              <w:rPr>
                <w:color w:val="000000" w:themeColor="text1"/>
              </w:rPr>
            </w:pPr>
            <w:r w:rsidRPr="00EC57FB">
              <w:rPr>
                <w:rFonts w:eastAsia="Times New Roman" w:cs="Arial"/>
                <w:b/>
                <w:snapToGrid w:val="0"/>
                <w:color w:val="000000" w:themeColor="text1"/>
                <w:szCs w:val="20"/>
              </w:rPr>
              <w:t>Eligibility criteria</w:t>
            </w:r>
          </w:p>
        </w:tc>
      </w:tr>
      <w:tr w:rsidR="00A24C41" w:rsidRPr="00EC57FB" w14:paraId="1D1C7EDE" w14:textId="77777777" w:rsidTr="00024B88">
        <w:tc>
          <w:tcPr>
            <w:tcW w:w="2434" w:type="pct"/>
          </w:tcPr>
          <w:p w14:paraId="4B59210D" w14:textId="77777777" w:rsidR="00530979" w:rsidRPr="00EC57FB" w:rsidRDefault="00530979" w:rsidP="00FE3358">
            <w:pPr>
              <w:pStyle w:val="TableText0"/>
              <w:keepNext w:val="0"/>
              <w:keepLines w:val="0"/>
              <w:spacing w:after="12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The PBAC advised that recommendations in the RSV chapter of the Australian Immunisation Handbook (AIH) for use of vaccines and monoclonal antibodies for prophylaxis of RSV disease should be taken into account in proposing restrictions, especially in relation to instances where it may be appropriate to administer nirsevimab to an infant after maternal vaccination has occurred, and additional considerations in regard to eligibility for nirsevimab in high-risk infants (Para 3.9 – 3.10, 7.9 – 7.10, July 2024 PSD).</w:t>
            </w:r>
          </w:p>
          <w:p w14:paraId="351C3763" w14:textId="229994EF" w:rsidR="001B4B86" w:rsidRPr="00EC57FB" w:rsidRDefault="00530979" w:rsidP="0046585B">
            <w:pPr>
              <w:pStyle w:val="TableText0"/>
              <w:keepNext w:val="0"/>
              <w:keepLines w:val="0"/>
              <w:spacing w:after="12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Regarding the restriction relating to children up to 24 months of age who remain vulnerable to severe RSV disease through their second RSV season, the definition of the high-risk group needed refinement to ensure that current ATAGI advice is incorporated (Para 7.10, July 2024 PSD).</w:t>
            </w:r>
          </w:p>
        </w:tc>
        <w:tc>
          <w:tcPr>
            <w:tcW w:w="2566" w:type="pct"/>
          </w:tcPr>
          <w:p w14:paraId="0112F053" w14:textId="77777777" w:rsidR="009E697E" w:rsidRPr="00EC57FB" w:rsidRDefault="009E697E" w:rsidP="00FE3358">
            <w:pPr>
              <w:pStyle w:val="TableText0"/>
              <w:keepNext w:val="0"/>
              <w:keepLines w:val="0"/>
              <w:spacing w:after="120"/>
              <w:rPr>
                <w:color w:val="000000" w:themeColor="text1"/>
              </w:rPr>
            </w:pPr>
            <w:r w:rsidRPr="00EC57FB">
              <w:rPr>
                <w:color w:val="000000" w:themeColor="text1"/>
              </w:rPr>
              <w:t>Partially addressed</w:t>
            </w:r>
          </w:p>
          <w:p w14:paraId="1685911B" w14:textId="16B3F3EC" w:rsidR="006808D8" w:rsidRPr="00EC57FB" w:rsidRDefault="0057716E" w:rsidP="0046585B">
            <w:pPr>
              <w:pStyle w:val="TableText0"/>
              <w:keepNext w:val="0"/>
              <w:keepLines w:val="0"/>
              <w:rPr>
                <w:color w:val="000000" w:themeColor="text1"/>
              </w:rPr>
            </w:pPr>
            <w:r w:rsidRPr="00EC57FB">
              <w:rPr>
                <w:color w:val="000000" w:themeColor="text1"/>
              </w:rPr>
              <w:t xml:space="preserve">The proposed </w:t>
            </w:r>
            <w:r w:rsidR="009B4DB0" w:rsidRPr="00EC57FB">
              <w:rPr>
                <w:color w:val="000000" w:themeColor="text1"/>
              </w:rPr>
              <w:t xml:space="preserve">NIP </w:t>
            </w:r>
            <w:r w:rsidR="0009098D" w:rsidRPr="00EC57FB">
              <w:rPr>
                <w:color w:val="000000" w:themeColor="text1"/>
              </w:rPr>
              <w:t>listing for</w:t>
            </w:r>
            <w:r w:rsidRPr="00EC57FB">
              <w:rPr>
                <w:color w:val="000000" w:themeColor="text1"/>
              </w:rPr>
              <w:t xml:space="preserve"> nirsevimab </w:t>
            </w:r>
            <w:r w:rsidR="00BA014E" w:rsidRPr="00EC57FB">
              <w:rPr>
                <w:color w:val="000000" w:themeColor="text1"/>
              </w:rPr>
              <w:t>in the re</w:t>
            </w:r>
            <w:r w:rsidRPr="00EC57FB">
              <w:rPr>
                <w:color w:val="000000" w:themeColor="text1"/>
              </w:rPr>
              <w:t xml:space="preserve">submission </w:t>
            </w:r>
            <w:r w:rsidR="00B575CE" w:rsidRPr="00EC57FB">
              <w:rPr>
                <w:color w:val="000000" w:themeColor="text1"/>
              </w:rPr>
              <w:t>are stated to be</w:t>
            </w:r>
            <w:r w:rsidRPr="00EC57FB">
              <w:rPr>
                <w:color w:val="000000" w:themeColor="text1"/>
              </w:rPr>
              <w:t xml:space="preserve"> based on the consideration that </w:t>
            </w:r>
            <w:r w:rsidR="00485EA7" w:rsidRPr="00EC57FB">
              <w:rPr>
                <w:color w:val="000000" w:themeColor="text1"/>
              </w:rPr>
              <w:t xml:space="preserve">RSVpreF </w:t>
            </w:r>
            <w:r w:rsidRPr="00EC57FB">
              <w:rPr>
                <w:color w:val="000000" w:themeColor="text1"/>
              </w:rPr>
              <w:t>and nirsevimab would be two alternative forms of immunisation against RSV infection.</w:t>
            </w:r>
            <w:r w:rsidR="00EB3692" w:rsidRPr="00EC57FB">
              <w:rPr>
                <w:color w:val="000000" w:themeColor="text1"/>
              </w:rPr>
              <w:t xml:space="preserve"> </w:t>
            </w:r>
            <w:r w:rsidR="000D6661" w:rsidRPr="00EC57FB">
              <w:rPr>
                <w:color w:val="000000" w:themeColor="text1"/>
              </w:rPr>
              <w:t xml:space="preserve">The proposed </w:t>
            </w:r>
            <w:r w:rsidR="009B4DB0" w:rsidRPr="00EC57FB">
              <w:rPr>
                <w:color w:val="000000" w:themeColor="text1"/>
              </w:rPr>
              <w:t xml:space="preserve">listing </w:t>
            </w:r>
            <w:r w:rsidR="000D6661" w:rsidRPr="00EC57FB">
              <w:rPr>
                <w:color w:val="000000" w:themeColor="text1"/>
              </w:rPr>
              <w:t xml:space="preserve">excludes </w:t>
            </w:r>
            <w:r w:rsidR="00792050" w:rsidRPr="00EC57FB">
              <w:rPr>
                <w:color w:val="000000" w:themeColor="text1"/>
              </w:rPr>
              <w:t>i</w:t>
            </w:r>
            <w:r w:rsidR="00EB3692" w:rsidRPr="00EC57FB">
              <w:rPr>
                <w:color w:val="000000" w:themeColor="text1"/>
              </w:rPr>
              <w:t xml:space="preserve">nfants born to mothers who had received RSVpreF </w:t>
            </w:r>
            <w:r w:rsidR="003330D8" w:rsidRPr="00EC57FB">
              <w:rPr>
                <w:color w:val="000000" w:themeColor="text1"/>
              </w:rPr>
              <w:t xml:space="preserve">more than 2 weeks before delivery </w:t>
            </w:r>
            <w:r w:rsidR="00A45316" w:rsidRPr="00EC57FB">
              <w:rPr>
                <w:color w:val="000000" w:themeColor="text1"/>
              </w:rPr>
              <w:t xml:space="preserve">from receiving nirsevimab </w:t>
            </w:r>
            <w:r w:rsidR="003330D8" w:rsidRPr="00EC57FB">
              <w:rPr>
                <w:color w:val="000000" w:themeColor="text1"/>
              </w:rPr>
              <w:t>unless the infant ha</w:t>
            </w:r>
            <w:r w:rsidR="00DA1B5A" w:rsidRPr="00EC57FB">
              <w:rPr>
                <w:color w:val="000000" w:themeColor="text1"/>
              </w:rPr>
              <w:t>s</w:t>
            </w:r>
            <w:r w:rsidR="003330D8" w:rsidRPr="00EC57FB">
              <w:rPr>
                <w:color w:val="000000" w:themeColor="text1"/>
              </w:rPr>
              <w:t xml:space="preserve"> a risk condition</w:t>
            </w:r>
            <w:r w:rsidR="006C01F0" w:rsidRPr="00EC57FB">
              <w:rPr>
                <w:color w:val="000000" w:themeColor="text1"/>
              </w:rPr>
              <w:t>. The clinical trials for nirsevimab excluded infants where the mother had received RSVpreF.</w:t>
            </w:r>
            <w:r w:rsidRPr="00EC57FB">
              <w:rPr>
                <w:color w:val="000000" w:themeColor="text1"/>
              </w:rPr>
              <w:t xml:space="preserve"> </w:t>
            </w:r>
            <w:r w:rsidR="007849E0" w:rsidRPr="00EC57FB">
              <w:rPr>
                <w:color w:val="000000" w:themeColor="text1"/>
              </w:rPr>
              <w:t xml:space="preserve">However, the proposed listing does permit </w:t>
            </w:r>
            <w:r w:rsidR="000C403A" w:rsidRPr="00EC57FB">
              <w:rPr>
                <w:color w:val="000000" w:themeColor="text1"/>
              </w:rPr>
              <w:t xml:space="preserve">the </w:t>
            </w:r>
            <w:r w:rsidR="007849E0" w:rsidRPr="00EC57FB">
              <w:rPr>
                <w:color w:val="000000" w:themeColor="text1"/>
              </w:rPr>
              <w:t xml:space="preserve">use of both products in </w:t>
            </w:r>
            <w:r w:rsidR="00B02104" w:rsidRPr="00EC57FB">
              <w:rPr>
                <w:color w:val="000000" w:themeColor="text1"/>
              </w:rPr>
              <w:t>the following</w:t>
            </w:r>
            <w:r w:rsidR="007849E0" w:rsidRPr="00EC57FB">
              <w:rPr>
                <w:color w:val="000000" w:themeColor="text1"/>
              </w:rPr>
              <w:t xml:space="preserve"> populations</w:t>
            </w:r>
            <w:r w:rsidR="000C403A" w:rsidRPr="00EC57FB">
              <w:rPr>
                <w:color w:val="000000" w:themeColor="text1"/>
              </w:rPr>
              <w:t>: (i)</w:t>
            </w:r>
            <w:r w:rsidR="009E05C8" w:rsidRPr="00EC57FB">
              <w:rPr>
                <w:color w:val="000000" w:themeColor="text1"/>
              </w:rPr>
              <w:t> </w:t>
            </w:r>
            <w:r w:rsidR="00D869CB" w:rsidRPr="00EC57FB">
              <w:rPr>
                <w:color w:val="000000" w:themeColor="text1"/>
              </w:rPr>
              <w:t xml:space="preserve">those </w:t>
            </w:r>
            <w:r w:rsidR="00397048" w:rsidRPr="00EC57FB">
              <w:rPr>
                <w:color w:val="000000" w:themeColor="text1"/>
              </w:rPr>
              <w:t>in whom</w:t>
            </w:r>
            <w:r w:rsidR="00DA0A2D" w:rsidRPr="00EC57FB">
              <w:rPr>
                <w:color w:val="000000" w:themeColor="text1"/>
              </w:rPr>
              <w:t xml:space="preserve"> the </w:t>
            </w:r>
            <w:r w:rsidR="00B975DF" w:rsidRPr="00EC57FB">
              <w:rPr>
                <w:color w:val="000000" w:themeColor="text1"/>
              </w:rPr>
              <w:t>immune response</w:t>
            </w:r>
            <w:r w:rsidR="00A516B7" w:rsidRPr="00EC57FB">
              <w:rPr>
                <w:color w:val="000000" w:themeColor="text1"/>
              </w:rPr>
              <w:t xml:space="preserve"> to</w:t>
            </w:r>
            <w:r w:rsidR="00DA0A2D" w:rsidRPr="00EC57FB">
              <w:rPr>
                <w:color w:val="000000" w:themeColor="text1"/>
              </w:rPr>
              <w:t xml:space="preserve"> </w:t>
            </w:r>
            <w:r w:rsidR="000A2F4F" w:rsidRPr="00EC57FB">
              <w:rPr>
                <w:color w:val="000000" w:themeColor="text1"/>
              </w:rPr>
              <w:t>RSVpreF</w:t>
            </w:r>
            <w:r w:rsidR="000A2F4F" w:rsidRPr="00EC57FB" w:rsidDel="000A2F4F">
              <w:rPr>
                <w:color w:val="000000" w:themeColor="text1"/>
              </w:rPr>
              <w:t xml:space="preserve"> </w:t>
            </w:r>
            <w:r w:rsidR="00DA0A2D" w:rsidRPr="00EC57FB">
              <w:rPr>
                <w:color w:val="000000" w:themeColor="text1"/>
              </w:rPr>
              <w:t xml:space="preserve">may be </w:t>
            </w:r>
            <w:r w:rsidR="00A516B7" w:rsidRPr="00EC57FB">
              <w:rPr>
                <w:color w:val="000000" w:themeColor="text1"/>
              </w:rPr>
              <w:t>impaired</w:t>
            </w:r>
            <w:r w:rsidR="00DA0A2D" w:rsidRPr="00EC57FB">
              <w:rPr>
                <w:color w:val="000000" w:themeColor="text1"/>
              </w:rPr>
              <w:t xml:space="preserve"> </w:t>
            </w:r>
            <w:r w:rsidR="00F73AF2" w:rsidRPr="00EC57FB">
              <w:rPr>
                <w:color w:val="000000" w:themeColor="text1"/>
              </w:rPr>
              <w:t xml:space="preserve">due to </w:t>
            </w:r>
            <w:r w:rsidR="00A232E3" w:rsidRPr="00EC57FB">
              <w:rPr>
                <w:color w:val="000000" w:themeColor="text1"/>
              </w:rPr>
              <w:t>it</w:t>
            </w:r>
            <w:r w:rsidR="00DA0A2D" w:rsidRPr="00EC57FB">
              <w:rPr>
                <w:color w:val="000000" w:themeColor="text1"/>
              </w:rPr>
              <w:t xml:space="preserve"> </w:t>
            </w:r>
            <w:r w:rsidR="00F73AF2" w:rsidRPr="00EC57FB">
              <w:rPr>
                <w:color w:val="000000" w:themeColor="text1"/>
              </w:rPr>
              <w:t>being</w:t>
            </w:r>
            <w:r w:rsidR="00DA0A2D" w:rsidRPr="00EC57FB">
              <w:rPr>
                <w:color w:val="000000" w:themeColor="text1"/>
              </w:rPr>
              <w:t xml:space="preserve"> administered within 2 weeks</w:t>
            </w:r>
            <w:r w:rsidR="00F113FF" w:rsidRPr="00EC57FB">
              <w:rPr>
                <w:color w:val="000000" w:themeColor="text1"/>
              </w:rPr>
              <w:t xml:space="preserve"> of the infant’s birth</w:t>
            </w:r>
            <w:r w:rsidR="000C403A" w:rsidRPr="00EC57FB">
              <w:rPr>
                <w:color w:val="000000" w:themeColor="text1"/>
              </w:rPr>
              <w:t>;</w:t>
            </w:r>
            <w:r w:rsidR="00F73AF2" w:rsidRPr="00EC57FB">
              <w:rPr>
                <w:color w:val="000000" w:themeColor="text1"/>
              </w:rPr>
              <w:t xml:space="preserve"> and </w:t>
            </w:r>
            <w:r w:rsidR="000C403A" w:rsidRPr="00EC57FB">
              <w:rPr>
                <w:color w:val="000000" w:themeColor="text1"/>
              </w:rPr>
              <w:t xml:space="preserve">(ii) </w:t>
            </w:r>
            <w:r w:rsidR="00F73AF2" w:rsidRPr="00EC57FB">
              <w:rPr>
                <w:color w:val="000000" w:themeColor="text1"/>
              </w:rPr>
              <w:t>for infants with risk conditions</w:t>
            </w:r>
            <w:r w:rsidR="00FC1A90" w:rsidRPr="00EC57FB">
              <w:rPr>
                <w:color w:val="000000" w:themeColor="text1"/>
              </w:rPr>
              <w:t xml:space="preserve"> born during or entering their first RSV season</w:t>
            </w:r>
            <w:r w:rsidR="0052196E" w:rsidRPr="00EC57FB">
              <w:rPr>
                <w:color w:val="000000" w:themeColor="text1"/>
              </w:rPr>
              <w:t xml:space="preserve">. As discussed </w:t>
            </w:r>
            <w:r w:rsidR="00067CC9" w:rsidRPr="00EC57FB">
              <w:rPr>
                <w:color w:val="000000" w:themeColor="text1"/>
              </w:rPr>
              <w:t xml:space="preserve">in </w:t>
            </w:r>
            <w:r w:rsidR="00DC7FEE" w:rsidRPr="00EC57FB">
              <w:rPr>
                <w:color w:val="000000" w:themeColor="text1"/>
              </w:rPr>
              <w:t xml:space="preserve">paragraphs </w:t>
            </w:r>
            <w:r w:rsidR="001D147D" w:rsidRPr="00EC57FB">
              <w:rPr>
                <w:color w:val="000000" w:themeColor="text1"/>
              </w:rPr>
              <w:fldChar w:fldCharType="begin"/>
            </w:r>
            <w:r w:rsidR="001D147D" w:rsidRPr="00EC57FB">
              <w:rPr>
                <w:color w:val="000000" w:themeColor="text1"/>
              </w:rPr>
              <w:instrText xml:space="preserve"> REF _Ref194956116 \r \h </w:instrText>
            </w:r>
            <w:r w:rsidR="001D147D" w:rsidRPr="00EC57FB">
              <w:rPr>
                <w:color w:val="000000" w:themeColor="text1"/>
              </w:rPr>
            </w:r>
            <w:r w:rsidR="001D147D" w:rsidRPr="00EC57FB">
              <w:rPr>
                <w:color w:val="000000" w:themeColor="text1"/>
              </w:rPr>
              <w:fldChar w:fldCharType="separate"/>
            </w:r>
            <w:r w:rsidR="00502C25">
              <w:rPr>
                <w:color w:val="000000" w:themeColor="text1"/>
              </w:rPr>
              <w:t>3.1</w:t>
            </w:r>
            <w:r w:rsidR="001D147D" w:rsidRPr="00EC57FB">
              <w:rPr>
                <w:color w:val="000000" w:themeColor="text1"/>
              </w:rPr>
              <w:fldChar w:fldCharType="end"/>
            </w:r>
            <w:r w:rsidR="00DC7FEE" w:rsidRPr="00EC57FB">
              <w:rPr>
                <w:color w:val="000000" w:themeColor="text1"/>
              </w:rPr>
              <w:t xml:space="preserve"> to </w:t>
            </w:r>
            <w:r w:rsidR="001D147D" w:rsidRPr="00EC57FB">
              <w:rPr>
                <w:color w:val="000000" w:themeColor="text1"/>
              </w:rPr>
              <w:fldChar w:fldCharType="begin"/>
            </w:r>
            <w:r w:rsidR="001D147D" w:rsidRPr="00EC57FB">
              <w:rPr>
                <w:color w:val="000000" w:themeColor="text1"/>
              </w:rPr>
              <w:instrText xml:space="preserve"> REF _Ref188226496 \r \h </w:instrText>
            </w:r>
            <w:r w:rsidR="001D147D" w:rsidRPr="00EC57FB">
              <w:rPr>
                <w:color w:val="000000" w:themeColor="text1"/>
              </w:rPr>
            </w:r>
            <w:r w:rsidR="001D147D" w:rsidRPr="00EC57FB">
              <w:rPr>
                <w:color w:val="000000" w:themeColor="text1"/>
              </w:rPr>
              <w:fldChar w:fldCharType="separate"/>
            </w:r>
            <w:r w:rsidR="00502C25">
              <w:rPr>
                <w:color w:val="000000" w:themeColor="text1"/>
              </w:rPr>
              <w:t>3.5</w:t>
            </w:r>
            <w:r w:rsidR="001D147D" w:rsidRPr="00EC57FB">
              <w:rPr>
                <w:color w:val="000000" w:themeColor="text1"/>
              </w:rPr>
              <w:fldChar w:fldCharType="end"/>
            </w:r>
            <w:r w:rsidR="00067CC9" w:rsidRPr="00EC57FB">
              <w:rPr>
                <w:color w:val="000000" w:themeColor="text1"/>
              </w:rPr>
              <w:t xml:space="preserve"> below, the AIH also suggests that nirsevimab use</w:t>
            </w:r>
            <w:r w:rsidR="003B3023" w:rsidRPr="00EC57FB">
              <w:rPr>
                <w:color w:val="000000" w:themeColor="text1"/>
              </w:rPr>
              <w:t xml:space="preserve"> is appropriate if the mother received RSV</w:t>
            </w:r>
            <w:r w:rsidR="000C403A" w:rsidRPr="00EC57FB">
              <w:rPr>
                <w:color w:val="000000" w:themeColor="text1"/>
              </w:rPr>
              <w:t>preF</w:t>
            </w:r>
            <w:r w:rsidR="003B3023" w:rsidRPr="00EC57FB">
              <w:rPr>
                <w:color w:val="000000" w:themeColor="text1"/>
              </w:rPr>
              <w:t xml:space="preserve"> at a time of severe immunosuppression or the </w:t>
            </w:r>
            <w:r w:rsidR="0008758A" w:rsidRPr="00EC57FB">
              <w:rPr>
                <w:color w:val="000000" w:themeColor="text1"/>
              </w:rPr>
              <w:t xml:space="preserve">infant </w:t>
            </w:r>
            <w:r w:rsidR="003B3023" w:rsidRPr="00EC57FB">
              <w:rPr>
                <w:color w:val="000000" w:themeColor="text1"/>
              </w:rPr>
              <w:t>had a treatment associated with loss of maternally derived antibodies (such as cardiopulmonary bypass or extracorporeal membrane oxygenation)</w:t>
            </w:r>
            <w:r w:rsidR="000C403A" w:rsidRPr="00EC57FB">
              <w:rPr>
                <w:color w:val="000000" w:themeColor="text1"/>
              </w:rPr>
              <w:t>.</w:t>
            </w:r>
            <w:r w:rsidR="00A62BC4" w:rsidRPr="00EC57FB">
              <w:rPr>
                <w:color w:val="000000" w:themeColor="text1"/>
              </w:rPr>
              <w:t xml:space="preserve"> This population was not included in the proposed listing in the resubmission.</w:t>
            </w:r>
          </w:p>
        </w:tc>
      </w:tr>
      <w:tr w:rsidR="00A24C41" w:rsidRPr="00EC57FB" w14:paraId="67B3BF63" w14:textId="77777777" w:rsidTr="00024B88">
        <w:tc>
          <w:tcPr>
            <w:tcW w:w="5000" w:type="pct"/>
            <w:gridSpan w:val="2"/>
          </w:tcPr>
          <w:p w14:paraId="3AB5B37E" w14:textId="2BF7192A" w:rsidR="00A24C41" w:rsidRPr="00EC57FB" w:rsidRDefault="00A24C41" w:rsidP="00D51D18">
            <w:pPr>
              <w:pStyle w:val="TableText0"/>
              <w:rPr>
                <w:color w:val="000000" w:themeColor="text1"/>
              </w:rPr>
            </w:pPr>
            <w:r w:rsidRPr="00EC57FB">
              <w:rPr>
                <w:rFonts w:eastAsia="Times New Roman" w:cs="Arial"/>
                <w:b/>
                <w:snapToGrid w:val="0"/>
                <w:color w:val="000000" w:themeColor="text1"/>
                <w:szCs w:val="20"/>
              </w:rPr>
              <w:lastRenderedPageBreak/>
              <w:t>Clinical evidence</w:t>
            </w:r>
          </w:p>
        </w:tc>
      </w:tr>
      <w:tr w:rsidR="00B84634" w:rsidRPr="00EC57FB" w14:paraId="6443C1CD" w14:textId="77777777" w:rsidTr="00024B88">
        <w:tc>
          <w:tcPr>
            <w:tcW w:w="2434" w:type="pct"/>
          </w:tcPr>
          <w:p w14:paraId="0740E148" w14:textId="193B4808" w:rsidR="00B84634" w:rsidRPr="00EC57FB" w:rsidRDefault="000F6253" w:rsidP="00D51D18">
            <w:pPr>
              <w:pStyle w:val="TableText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D</w:t>
            </w:r>
            <w:r w:rsidR="00B84634" w:rsidRPr="00EC57FB">
              <w:rPr>
                <w:rFonts w:eastAsia="Times New Roman" w:cs="Arial"/>
                <w:bCs w:val="0"/>
                <w:snapToGrid w:val="0"/>
                <w:color w:val="000000" w:themeColor="text1"/>
                <w:szCs w:val="20"/>
              </w:rPr>
              <w:t xml:space="preserve">ata for the overall infant population and for the </w:t>
            </w:r>
            <w:r w:rsidR="00CC691C" w:rsidRPr="00EC57FB">
              <w:rPr>
                <w:rFonts w:eastAsia="Times New Roman" w:cs="Arial"/>
                <w:bCs w:val="0"/>
                <w:snapToGrid w:val="0"/>
                <w:color w:val="000000" w:themeColor="text1"/>
                <w:szCs w:val="20"/>
              </w:rPr>
              <w:t>high-risk</w:t>
            </w:r>
            <w:r w:rsidR="00B84634" w:rsidRPr="00EC57FB">
              <w:rPr>
                <w:rFonts w:eastAsia="Times New Roman" w:cs="Arial"/>
                <w:bCs w:val="0"/>
                <w:snapToGrid w:val="0"/>
                <w:color w:val="000000" w:themeColor="text1"/>
                <w:szCs w:val="20"/>
              </w:rPr>
              <w:t xml:space="preserve"> subgroup should be presented separately </w:t>
            </w:r>
            <w:r w:rsidRPr="00EC57FB">
              <w:rPr>
                <w:rFonts w:eastAsia="Times New Roman" w:cs="Arial"/>
                <w:bCs w:val="0"/>
                <w:snapToGrid w:val="0"/>
                <w:color w:val="000000" w:themeColor="text1"/>
                <w:szCs w:val="20"/>
              </w:rPr>
              <w:t xml:space="preserve">(Para 7.23, July </w:t>
            </w:r>
            <w:r w:rsidR="00186BE8" w:rsidRPr="00EC57FB">
              <w:rPr>
                <w:rFonts w:eastAsia="Times New Roman" w:cs="Arial"/>
                <w:bCs w:val="0"/>
                <w:snapToGrid w:val="0"/>
                <w:color w:val="000000" w:themeColor="text1"/>
                <w:szCs w:val="20"/>
              </w:rPr>
              <w:t xml:space="preserve">2024 </w:t>
            </w:r>
            <w:r w:rsidRPr="00EC57FB">
              <w:rPr>
                <w:rFonts w:eastAsia="Times New Roman" w:cs="Arial"/>
                <w:bCs w:val="0"/>
                <w:snapToGrid w:val="0"/>
                <w:color w:val="000000" w:themeColor="text1"/>
                <w:szCs w:val="20"/>
              </w:rPr>
              <w:t>PSD)</w:t>
            </w:r>
            <w:r w:rsidR="009C383F" w:rsidRPr="00EC57FB">
              <w:rPr>
                <w:rFonts w:eastAsia="Times New Roman" w:cs="Arial"/>
                <w:bCs w:val="0"/>
                <w:snapToGrid w:val="0"/>
                <w:color w:val="000000" w:themeColor="text1"/>
                <w:szCs w:val="20"/>
              </w:rPr>
              <w:t>.</w:t>
            </w:r>
          </w:p>
        </w:tc>
        <w:tc>
          <w:tcPr>
            <w:tcW w:w="2566" w:type="pct"/>
          </w:tcPr>
          <w:p w14:paraId="11F33239" w14:textId="7CDE156B" w:rsidR="005F172D" w:rsidRPr="00EC57FB" w:rsidRDefault="00720D4A" w:rsidP="00D51D18">
            <w:pPr>
              <w:pStyle w:val="TableText0"/>
              <w:spacing w:after="120"/>
            </w:pPr>
            <w:r w:rsidRPr="00EC57FB" w:rsidDel="006D7A52">
              <w:t>Partially</w:t>
            </w:r>
            <w:r w:rsidR="00B552A7" w:rsidRPr="00EC57FB" w:rsidDel="006D7A52">
              <w:t xml:space="preserve"> </w:t>
            </w:r>
            <w:r w:rsidR="00B552A7" w:rsidRPr="00EC57FB">
              <w:t>addressed</w:t>
            </w:r>
          </w:p>
          <w:p w14:paraId="5F0F2D25" w14:textId="5D21FCC0" w:rsidR="00B84634" w:rsidRPr="00EC57FB" w:rsidRDefault="005E23C2" w:rsidP="00D51D18">
            <w:pPr>
              <w:pStyle w:val="TableText0"/>
              <w:rPr>
                <w:iCs/>
                <w:color w:val="000000" w:themeColor="text1"/>
                <w:highlight w:val="yellow"/>
              </w:rPr>
            </w:pPr>
            <w:r w:rsidRPr="00EC57FB">
              <w:t>T</w:t>
            </w:r>
            <w:r w:rsidR="00811DC1" w:rsidRPr="00EC57FB">
              <w:t>he resubmission present</w:t>
            </w:r>
            <w:r w:rsidR="001D7F3D" w:rsidRPr="00EC57FB">
              <w:t>ed</w:t>
            </w:r>
            <w:r w:rsidR="00811DC1" w:rsidRPr="00EC57FB">
              <w:t xml:space="preserve"> some information for infants with risk conditions</w:t>
            </w:r>
            <w:r w:rsidR="00275E68" w:rsidRPr="00EC57FB">
              <w:t>;</w:t>
            </w:r>
            <w:r w:rsidR="00811DC1" w:rsidRPr="00EC57FB">
              <w:t xml:space="preserve"> however, the presentation of evidence was limited.</w:t>
            </w:r>
            <w:r w:rsidR="00E8115A" w:rsidRPr="00EC57FB">
              <w:t xml:space="preserve"> </w:t>
            </w:r>
            <w:r w:rsidR="00811DC1" w:rsidRPr="00EC57FB">
              <w:rPr>
                <w:iCs/>
              </w:rPr>
              <w:t xml:space="preserve">Furthermore, the resubmission did not recognise that the proposed listing of nirsevimab for infants with risk conditions would </w:t>
            </w:r>
            <w:r w:rsidR="001D7F3D" w:rsidRPr="00EC57FB">
              <w:rPr>
                <w:iCs/>
              </w:rPr>
              <w:t>permit</w:t>
            </w:r>
            <w:r w:rsidR="00833B74" w:rsidRPr="00EC57FB">
              <w:rPr>
                <w:iCs/>
              </w:rPr>
              <w:t xml:space="preserve"> the </w:t>
            </w:r>
            <w:r w:rsidR="001D7F3D" w:rsidRPr="00EC57FB">
              <w:rPr>
                <w:iCs/>
              </w:rPr>
              <w:t xml:space="preserve">use of both </w:t>
            </w:r>
            <w:r w:rsidR="00485EA7" w:rsidRPr="00EC57FB">
              <w:rPr>
                <w:iCs/>
              </w:rPr>
              <w:t xml:space="preserve">RSVpreF </w:t>
            </w:r>
            <w:r w:rsidR="001D7F3D" w:rsidRPr="00EC57FB">
              <w:rPr>
                <w:iCs/>
              </w:rPr>
              <w:t>and nirsevimab</w:t>
            </w:r>
            <w:r w:rsidR="00EB48C7" w:rsidRPr="00EC57FB">
              <w:rPr>
                <w:iCs/>
              </w:rPr>
              <w:t xml:space="preserve"> in some infants</w:t>
            </w:r>
            <w:r w:rsidR="00B97DFE" w:rsidRPr="00EC57FB">
              <w:rPr>
                <w:iCs/>
              </w:rPr>
              <w:t xml:space="preserve"> and no </w:t>
            </w:r>
            <w:r w:rsidR="00720D4A" w:rsidRPr="00EC57FB">
              <w:rPr>
                <w:iCs/>
              </w:rPr>
              <w:t xml:space="preserve">evidence demonstrating additional benefit with nirsevimab + RSVpreF versus RSVpreF alone </w:t>
            </w:r>
            <w:r w:rsidR="00B013D8" w:rsidRPr="00EC57FB">
              <w:rPr>
                <w:iCs/>
              </w:rPr>
              <w:t xml:space="preserve">was </w:t>
            </w:r>
            <w:r w:rsidR="00720D4A" w:rsidRPr="00EC57FB">
              <w:rPr>
                <w:iCs/>
              </w:rPr>
              <w:t>presented</w:t>
            </w:r>
            <w:r w:rsidR="00EB48C7" w:rsidRPr="00EC57FB">
              <w:rPr>
                <w:iCs/>
              </w:rPr>
              <w:t>.</w:t>
            </w:r>
          </w:p>
        </w:tc>
      </w:tr>
      <w:tr w:rsidR="00A24C41" w:rsidRPr="00EC57FB" w14:paraId="228F2BA8" w14:textId="77777777" w:rsidTr="00024B88">
        <w:tc>
          <w:tcPr>
            <w:tcW w:w="2434" w:type="pct"/>
          </w:tcPr>
          <w:p w14:paraId="26EB9EBA" w14:textId="33AE7870" w:rsidR="00CC691C" w:rsidRPr="00EC57FB" w:rsidRDefault="001E5212" w:rsidP="00FE3358">
            <w:pPr>
              <w:pStyle w:val="TableText0"/>
              <w:keepNext w:val="0"/>
              <w:keepLines w:val="0"/>
              <w:spacing w:after="12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Clinical evidence to support the proposed listing of nirsevimab in the second season was limited (Para 7.</w:t>
            </w:r>
            <w:r w:rsidR="000C1B80" w:rsidRPr="00EC57FB">
              <w:rPr>
                <w:rFonts w:eastAsia="Times New Roman" w:cs="Arial"/>
                <w:bCs w:val="0"/>
                <w:snapToGrid w:val="0"/>
                <w:color w:val="000000" w:themeColor="text1"/>
                <w:szCs w:val="20"/>
              </w:rPr>
              <w:t>1</w:t>
            </w:r>
            <w:r w:rsidRPr="00EC57FB">
              <w:rPr>
                <w:rFonts w:eastAsia="Times New Roman" w:cs="Arial"/>
                <w:bCs w:val="0"/>
                <w:snapToGrid w:val="0"/>
                <w:color w:val="000000" w:themeColor="text1"/>
                <w:szCs w:val="20"/>
              </w:rPr>
              <w:t>, July 2024 PSD)</w:t>
            </w:r>
            <w:r w:rsidR="009C383F" w:rsidRPr="00EC57FB">
              <w:rPr>
                <w:rFonts w:eastAsia="Times New Roman" w:cs="Arial"/>
                <w:bCs w:val="0"/>
                <w:snapToGrid w:val="0"/>
                <w:color w:val="000000" w:themeColor="text1"/>
                <w:szCs w:val="20"/>
              </w:rPr>
              <w:t>.</w:t>
            </w:r>
          </w:p>
          <w:p w14:paraId="4F817F43" w14:textId="6E6A2DB2" w:rsidR="00CC691C" w:rsidRPr="00EC57FB" w:rsidRDefault="00440669" w:rsidP="00FE3358">
            <w:pPr>
              <w:pStyle w:val="TableText0"/>
              <w:keepNext w:val="0"/>
              <w:keepLines w:val="0"/>
              <w:rPr>
                <w:rFonts w:eastAsia="Times New Roman" w:cs="Arial"/>
                <w:bCs w:val="0"/>
                <w:snapToGrid w:val="0"/>
                <w:color w:val="000000" w:themeColor="text1"/>
                <w:szCs w:val="20"/>
              </w:rPr>
            </w:pPr>
            <w:r w:rsidRPr="00EC57FB">
              <w:rPr>
                <w:iCs/>
              </w:rPr>
              <w:t xml:space="preserve">In relation to </w:t>
            </w:r>
            <w:r w:rsidR="00F05D0B" w:rsidRPr="00EC57FB">
              <w:rPr>
                <w:iCs/>
              </w:rPr>
              <w:t xml:space="preserve">listing of nirsevimab in the second </w:t>
            </w:r>
            <w:r w:rsidRPr="00EC57FB">
              <w:rPr>
                <w:iCs/>
              </w:rPr>
              <w:t>season</w:t>
            </w:r>
            <w:r w:rsidR="00F05D0B" w:rsidRPr="00EC57FB">
              <w:rPr>
                <w:iCs/>
              </w:rPr>
              <w:t xml:space="preserve"> (where</w:t>
            </w:r>
            <w:r w:rsidRPr="00EC57FB">
              <w:rPr>
                <w:iCs/>
              </w:rPr>
              <w:t xml:space="preserve"> </w:t>
            </w:r>
            <w:r w:rsidR="0045493E" w:rsidRPr="00EC57FB">
              <w:rPr>
                <w:rFonts w:eastAsia="Times New Roman" w:cs="Arial"/>
                <w:bCs w:val="0"/>
                <w:snapToGrid w:val="0"/>
                <w:color w:val="000000" w:themeColor="text1"/>
                <w:szCs w:val="20"/>
              </w:rPr>
              <w:t>no immunisation should be the main comparator</w:t>
            </w:r>
            <w:r w:rsidR="00F05D0B" w:rsidRPr="00EC57FB">
              <w:rPr>
                <w:rFonts w:eastAsia="Times New Roman" w:cs="Arial"/>
                <w:bCs w:val="0"/>
                <w:snapToGrid w:val="0"/>
                <w:color w:val="000000" w:themeColor="text1"/>
                <w:szCs w:val="20"/>
              </w:rPr>
              <w:t>)</w:t>
            </w:r>
            <w:r w:rsidR="0045493E" w:rsidRPr="00EC57FB">
              <w:rPr>
                <w:rFonts w:eastAsia="Times New Roman" w:cs="Arial"/>
                <w:bCs w:val="0"/>
                <w:snapToGrid w:val="0"/>
                <w:color w:val="000000" w:themeColor="text1"/>
                <w:szCs w:val="20"/>
              </w:rPr>
              <w:t xml:space="preserve">, the </w:t>
            </w:r>
            <w:r w:rsidR="00F05D0B" w:rsidRPr="00EC57FB">
              <w:rPr>
                <w:rFonts w:eastAsia="Times New Roman" w:cs="Arial"/>
                <w:bCs w:val="0"/>
                <w:snapToGrid w:val="0"/>
                <w:color w:val="000000" w:themeColor="text1"/>
                <w:szCs w:val="20"/>
              </w:rPr>
              <w:t>re</w:t>
            </w:r>
            <w:r w:rsidR="0045493E" w:rsidRPr="00EC57FB">
              <w:rPr>
                <w:rFonts w:eastAsia="Times New Roman" w:cs="Arial"/>
                <w:bCs w:val="0"/>
                <w:snapToGrid w:val="0"/>
                <w:color w:val="000000" w:themeColor="text1"/>
                <w:szCs w:val="20"/>
              </w:rPr>
              <w:t>submission would need to present corresponding clinical evidence to support this proposed listing</w:t>
            </w:r>
            <w:r w:rsidR="00F05D0B" w:rsidRPr="00EC57FB">
              <w:rPr>
                <w:rFonts w:eastAsia="Times New Roman" w:cs="Arial"/>
                <w:bCs w:val="0"/>
                <w:snapToGrid w:val="0"/>
                <w:color w:val="000000" w:themeColor="text1"/>
                <w:szCs w:val="20"/>
              </w:rPr>
              <w:t xml:space="preserve"> (Para 7.23, July </w:t>
            </w:r>
            <w:r w:rsidR="00186BE8" w:rsidRPr="00EC57FB">
              <w:rPr>
                <w:rFonts w:eastAsia="Times New Roman" w:cs="Arial"/>
                <w:bCs w:val="0"/>
                <w:snapToGrid w:val="0"/>
                <w:color w:val="000000" w:themeColor="text1"/>
                <w:szCs w:val="20"/>
              </w:rPr>
              <w:t xml:space="preserve">2024 </w:t>
            </w:r>
            <w:r w:rsidR="00F05D0B" w:rsidRPr="00EC57FB">
              <w:rPr>
                <w:rFonts w:eastAsia="Times New Roman" w:cs="Arial"/>
                <w:bCs w:val="0"/>
                <w:snapToGrid w:val="0"/>
                <w:color w:val="000000" w:themeColor="text1"/>
                <w:szCs w:val="20"/>
              </w:rPr>
              <w:t>PSD)</w:t>
            </w:r>
            <w:r w:rsidR="009C383F" w:rsidRPr="00EC57FB">
              <w:rPr>
                <w:rFonts w:eastAsia="Times New Roman" w:cs="Arial"/>
                <w:bCs w:val="0"/>
                <w:snapToGrid w:val="0"/>
                <w:color w:val="000000" w:themeColor="text1"/>
                <w:szCs w:val="20"/>
              </w:rPr>
              <w:t>.</w:t>
            </w:r>
          </w:p>
        </w:tc>
        <w:tc>
          <w:tcPr>
            <w:tcW w:w="2566" w:type="pct"/>
          </w:tcPr>
          <w:p w14:paraId="4E121469" w14:textId="0BEC7D85" w:rsidR="00155444" w:rsidRPr="00EC57FB" w:rsidRDefault="006E6F0A" w:rsidP="00FE3358">
            <w:pPr>
              <w:pStyle w:val="TableText0"/>
              <w:keepNext w:val="0"/>
              <w:keepLines w:val="0"/>
              <w:spacing w:after="120"/>
              <w:rPr>
                <w:color w:val="000000" w:themeColor="text1"/>
              </w:rPr>
            </w:pPr>
            <w:r w:rsidRPr="00EC57FB">
              <w:rPr>
                <w:color w:val="000000" w:themeColor="text1"/>
              </w:rPr>
              <w:t>Partially</w:t>
            </w:r>
            <w:r w:rsidR="00155444" w:rsidRPr="00EC57FB">
              <w:rPr>
                <w:color w:val="000000" w:themeColor="text1"/>
              </w:rPr>
              <w:t xml:space="preserve"> addressed</w:t>
            </w:r>
          </w:p>
          <w:p w14:paraId="35FC13C5" w14:textId="2195B918" w:rsidR="00A24C41" w:rsidRPr="00EC57FB" w:rsidRDefault="008B78A5" w:rsidP="00FE3358">
            <w:pPr>
              <w:pStyle w:val="TableText0"/>
              <w:keepNext w:val="0"/>
              <w:keepLines w:val="0"/>
              <w:rPr>
                <w:rFonts w:eastAsia="Times New Roman" w:cs="Arial"/>
                <w:bCs w:val="0"/>
                <w:snapToGrid w:val="0"/>
                <w:color w:val="000000" w:themeColor="text1"/>
                <w:szCs w:val="20"/>
              </w:rPr>
            </w:pPr>
            <w:r w:rsidRPr="00EC57FB">
              <w:rPr>
                <w:color w:val="000000" w:themeColor="text1"/>
              </w:rPr>
              <w:t>The resubmission</w:t>
            </w:r>
            <w:r w:rsidR="00821A0D" w:rsidRPr="00EC57FB">
              <w:rPr>
                <w:color w:val="000000" w:themeColor="text1"/>
              </w:rPr>
              <w:t xml:space="preserve"> </w:t>
            </w:r>
            <w:r w:rsidR="00155444" w:rsidRPr="00EC57FB">
              <w:rPr>
                <w:color w:val="000000" w:themeColor="text1"/>
              </w:rPr>
              <w:t>noted that there is l</w:t>
            </w:r>
            <w:r w:rsidR="0087003D" w:rsidRPr="00EC57FB">
              <w:rPr>
                <w:color w:val="000000" w:themeColor="text1"/>
              </w:rPr>
              <w:t>imited clinical evidence for this population</w:t>
            </w:r>
            <w:r w:rsidR="00814D4D" w:rsidRPr="00EC57FB">
              <w:rPr>
                <w:color w:val="000000" w:themeColor="text1"/>
              </w:rPr>
              <w:t>.</w:t>
            </w:r>
            <w:r w:rsidR="0087003D" w:rsidRPr="00EC57FB">
              <w:rPr>
                <w:color w:val="000000" w:themeColor="text1"/>
              </w:rPr>
              <w:t xml:space="preserve"> </w:t>
            </w:r>
            <w:bookmarkStart w:id="24" w:name="_Hlk186123007"/>
            <w:r w:rsidR="00BB0D15" w:rsidRPr="00EC57FB">
              <w:rPr>
                <w:color w:val="000000" w:themeColor="text1"/>
              </w:rPr>
              <w:t xml:space="preserve">It presented </w:t>
            </w:r>
            <w:r w:rsidR="00E85E87" w:rsidRPr="00EC57FB">
              <w:rPr>
                <w:color w:val="000000" w:themeColor="text1"/>
              </w:rPr>
              <w:t xml:space="preserve">observational </w:t>
            </w:r>
            <w:r w:rsidR="00BB0D15" w:rsidRPr="00EC57FB">
              <w:rPr>
                <w:color w:val="000000" w:themeColor="text1"/>
              </w:rPr>
              <w:t>data from the WA nirsevimab program.</w:t>
            </w:r>
            <w:bookmarkEnd w:id="24"/>
            <w:r w:rsidR="006E6F0A" w:rsidRPr="00EC57FB">
              <w:rPr>
                <w:color w:val="000000" w:themeColor="text1"/>
              </w:rPr>
              <w:t xml:space="preserve"> </w:t>
            </w:r>
            <w:r w:rsidR="00482ED6" w:rsidRPr="00EC57FB">
              <w:rPr>
                <w:color w:val="000000" w:themeColor="text1"/>
              </w:rPr>
              <w:t xml:space="preserve">The resubmission </w:t>
            </w:r>
            <w:r w:rsidR="0087003D" w:rsidRPr="00EC57FB">
              <w:rPr>
                <w:color w:val="000000" w:themeColor="text1"/>
              </w:rPr>
              <w:t>request</w:t>
            </w:r>
            <w:r w:rsidR="00482ED6" w:rsidRPr="00EC57FB">
              <w:rPr>
                <w:color w:val="000000" w:themeColor="text1"/>
              </w:rPr>
              <w:t>ed</w:t>
            </w:r>
            <w:r w:rsidR="0087003D" w:rsidRPr="00EC57FB">
              <w:rPr>
                <w:color w:val="000000" w:themeColor="text1"/>
              </w:rPr>
              <w:t xml:space="preserve"> the PBAC take a </w:t>
            </w:r>
            <w:r w:rsidR="00482ED6" w:rsidRPr="00EC57FB">
              <w:rPr>
                <w:color w:val="000000" w:themeColor="text1"/>
              </w:rPr>
              <w:t>“</w:t>
            </w:r>
            <w:r w:rsidR="0087003D" w:rsidRPr="00EC57FB">
              <w:rPr>
                <w:color w:val="000000" w:themeColor="text1"/>
              </w:rPr>
              <w:t>pragmatic</w:t>
            </w:r>
            <w:r w:rsidR="00482ED6" w:rsidRPr="00EC57FB">
              <w:rPr>
                <w:color w:val="000000" w:themeColor="text1"/>
              </w:rPr>
              <w:t>”</w:t>
            </w:r>
            <w:r w:rsidR="0087003D" w:rsidRPr="00EC57FB">
              <w:rPr>
                <w:color w:val="000000" w:themeColor="text1"/>
              </w:rPr>
              <w:t xml:space="preserve"> approach to </w:t>
            </w:r>
            <w:r w:rsidR="00F2024A" w:rsidRPr="00EC57FB">
              <w:rPr>
                <w:color w:val="000000" w:themeColor="text1"/>
              </w:rPr>
              <w:t>its consideration of</w:t>
            </w:r>
            <w:r w:rsidR="0087003D" w:rsidRPr="00EC57FB">
              <w:rPr>
                <w:color w:val="000000" w:themeColor="text1"/>
              </w:rPr>
              <w:t xml:space="preserve"> this population</w:t>
            </w:r>
            <w:r w:rsidR="005E27D7" w:rsidRPr="00EC57FB">
              <w:rPr>
                <w:color w:val="000000" w:themeColor="text1"/>
              </w:rPr>
              <w:t>.</w:t>
            </w:r>
          </w:p>
        </w:tc>
      </w:tr>
      <w:tr w:rsidR="00143DDA" w:rsidRPr="00EC57FB" w14:paraId="2E4DA5C1" w14:textId="77777777" w:rsidTr="00024B88">
        <w:tc>
          <w:tcPr>
            <w:tcW w:w="2434" w:type="pct"/>
          </w:tcPr>
          <w:p w14:paraId="1786DD34" w14:textId="08267A28" w:rsidR="00143DDA" w:rsidRPr="00EC57FB" w:rsidRDefault="00143DDA" w:rsidP="00143DDA">
            <w:pPr>
              <w:pStyle w:val="TableText0"/>
              <w:keepNext w:val="0"/>
              <w:keepLines w:val="0"/>
              <w:spacing w:after="120"/>
            </w:pPr>
            <w:r w:rsidRPr="00EC57FB">
              <w:t>Clinical evidence does not support a conclusion of superiority between nirsevimab and the near-market comparator RSVpreF in Season 1 due to substantial transitivity issues between the nirsevimab trials and the RSVpreF MATISSE trial (Para 7.16 &amp; 7.23, July 2024 PSD)</w:t>
            </w:r>
            <w:r w:rsidR="009C383F" w:rsidRPr="00EC57FB">
              <w:t>.</w:t>
            </w:r>
          </w:p>
          <w:p w14:paraId="02B24F1E" w14:textId="0EDE6249" w:rsidR="00F40217" w:rsidRPr="00EC57FB" w:rsidRDefault="00F40217" w:rsidP="00143DDA">
            <w:pPr>
              <w:pStyle w:val="TableText0"/>
              <w:keepNext w:val="0"/>
              <w:keepLines w:val="0"/>
              <w:spacing w:after="12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The effect</w:t>
            </w:r>
            <w:r w:rsidR="00B84CBE" w:rsidRPr="00EC57FB">
              <w:rPr>
                <w:rFonts w:eastAsia="Times New Roman" w:cs="Arial"/>
                <w:bCs w:val="0"/>
                <w:snapToGrid w:val="0"/>
                <w:color w:val="000000" w:themeColor="text1"/>
                <w:szCs w:val="20"/>
              </w:rPr>
              <w:t>iveness</w:t>
            </w:r>
            <w:r w:rsidRPr="00EC57FB">
              <w:rPr>
                <w:rFonts w:eastAsia="Times New Roman" w:cs="Arial"/>
                <w:bCs w:val="0"/>
                <w:snapToGrid w:val="0"/>
                <w:color w:val="000000" w:themeColor="text1"/>
                <w:szCs w:val="20"/>
              </w:rPr>
              <w:t xml:space="preserve"> </w:t>
            </w:r>
            <w:r w:rsidR="00B84CBE" w:rsidRPr="00EC57FB">
              <w:rPr>
                <w:rFonts w:eastAsia="Times New Roman" w:cs="Arial"/>
                <w:bCs w:val="0"/>
                <w:snapToGrid w:val="0"/>
                <w:color w:val="000000" w:themeColor="text1"/>
                <w:szCs w:val="20"/>
              </w:rPr>
              <w:t xml:space="preserve">of </w:t>
            </w:r>
            <w:r w:rsidRPr="00EC57FB">
              <w:rPr>
                <w:rFonts w:eastAsia="Times New Roman" w:cs="Arial"/>
                <w:bCs w:val="0"/>
                <w:snapToGrid w:val="0"/>
                <w:color w:val="000000" w:themeColor="text1"/>
                <w:szCs w:val="20"/>
              </w:rPr>
              <w:t xml:space="preserve">nirsevimab presented in the submission was estimated from a pooled analysis of the MELODY study and the Phase </w:t>
            </w:r>
            <w:r w:rsidR="008E33EE" w:rsidRPr="00EC57FB">
              <w:rPr>
                <w:rFonts w:eastAsia="Times New Roman" w:cs="Arial"/>
                <w:bCs w:val="0"/>
                <w:snapToGrid w:val="0"/>
                <w:color w:val="000000" w:themeColor="text1"/>
                <w:szCs w:val="20"/>
              </w:rPr>
              <w:t>2</w:t>
            </w:r>
            <w:r w:rsidRPr="00EC57FB">
              <w:rPr>
                <w:rFonts w:eastAsia="Times New Roman" w:cs="Arial"/>
                <w:bCs w:val="0"/>
                <w:snapToGrid w:val="0"/>
                <w:color w:val="000000" w:themeColor="text1"/>
                <w:szCs w:val="20"/>
              </w:rPr>
              <w:t>b study (Sim</w:t>
            </w:r>
            <w:r w:rsidR="008E33EE" w:rsidRPr="00EC57FB">
              <w:rPr>
                <w:rFonts w:eastAsia="Times New Roman" w:cs="Arial"/>
                <w:bCs w:val="0"/>
                <w:snapToGrid w:val="0"/>
                <w:color w:val="000000" w:themeColor="text1"/>
                <w:szCs w:val="20"/>
              </w:rPr>
              <w:t>õ</w:t>
            </w:r>
            <w:r w:rsidRPr="00EC57FB">
              <w:rPr>
                <w:rFonts w:eastAsia="Times New Roman" w:cs="Arial"/>
                <w:bCs w:val="0"/>
                <w:snapToGrid w:val="0"/>
                <w:color w:val="000000" w:themeColor="text1"/>
                <w:szCs w:val="20"/>
              </w:rPr>
              <w:t xml:space="preserve">es 2023). The PBAC considered that the result from the MELODY trial (74.5%) should be used, as this was sourced from a randomised trial undertaken in the target population, rather than a post hoc analysis </w:t>
            </w:r>
            <w:r w:rsidRPr="00EC57FB">
              <w:t>(Para 7.51, July 2024 PSD).</w:t>
            </w:r>
          </w:p>
        </w:tc>
        <w:tc>
          <w:tcPr>
            <w:tcW w:w="2566" w:type="pct"/>
          </w:tcPr>
          <w:p w14:paraId="1C105671" w14:textId="25AEFF00" w:rsidR="009D15B2" w:rsidRPr="00EC57FB" w:rsidRDefault="00F40217" w:rsidP="00024B88">
            <w:pPr>
              <w:pStyle w:val="TableText0"/>
              <w:keepNext w:val="0"/>
              <w:keepLines w:val="0"/>
              <w:spacing w:after="120"/>
            </w:pPr>
            <w:r w:rsidRPr="00EC57FB">
              <w:t>N</w:t>
            </w:r>
            <w:r w:rsidR="00285001" w:rsidRPr="00EC57FB">
              <w:t>ot adequately addressed</w:t>
            </w:r>
          </w:p>
          <w:p w14:paraId="0D91D2B8" w14:textId="2E431774" w:rsidR="00143DDA" w:rsidRPr="00EC57FB" w:rsidRDefault="00DA7828" w:rsidP="0046585B">
            <w:pPr>
              <w:pStyle w:val="TableText0"/>
              <w:keepNext w:val="0"/>
              <w:keepLines w:val="0"/>
              <w:rPr>
                <w:color w:val="000000" w:themeColor="text1"/>
              </w:rPr>
            </w:pPr>
            <w:r w:rsidRPr="00EC57FB">
              <w:t>T</w:t>
            </w:r>
            <w:r w:rsidR="00B94DA6" w:rsidRPr="00EC57FB">
              <w:t>he resubmission maintained that, although the modality and target population for nirsevimab and RSVpreF are different, the objective of both interventions is the same, and as such the most relevant approach to assess the comparative efficacy and safety of the alternate immunisation strategies is to compare the outcomes of the two immunisation programs.</w:t>
            </w:r>
            <w:r w:rsidR="00577C66">
              <w:t xml:space="preserve"> </w:t>
            </w:r>
            <w:r w:rsidRPr="00EC57FB">
              <w:t>The transitivity issues were acknowledged by the resubmission.</w:t>
            </w:r>
            <w:r w:rsidR="00577C66">
              <w:t xml:space="preserve"> </w:t>
            </w:r>
            <w:r w:rsidR="00617B58" w:rsidRPr="00EC57FB">
              <w:t>T</w:t>
            </w:r>
            <w:r w:rsidRPr="00EC57FB">
              <w:t>h</w:t>
            </w:r>
            <w:r w:rsidR="009C263D" w:rsidRPr="00EC57FB">
              <w:t>e</w:t>
            </w:r>
            <w:r w:rsidR="00143DDA" w:rsidRPr="00EC57FB">
              <w:t xml:space="preserve"> resubmission</w:t>
            </w:r>
            <w:r w:rsidR="00F40217" w:rsidRPr="00EC57FB">
              <w:t xml:space="preserve"> maintained that nirsevimab is superior</w:t>
            </w:r>
            <w:r w:rsidR="00143DDA" w:rsidRPr="00EC57FB">
              <w:t xml:space="preserve"> </w:t>
            </w:r>
            <w:r w:rsidR="00F40217" w:rsidRPr="00EC57FB">
              <w:t>to</w:t>
            </w:r>
            <w:r w:rsidR="00143DDA" w:rsidRPr="00EC57FB">
              <w:t xml:space="preserve"> RSVpreF </w:t>
            </w:r>
            <w:r w:rsidR="00F40217" w:rsidRPr="00EC57FB">
              <w:t xml:space="preserve">based </w:t>
            </w:r>
            <w:r w:rsidR="00D420CD" w:rsidRPr="00EC57FB">
              <w:t>on a qualitative comparison of</w:t>
            </w:r>
            <w:r w:rsidR="008E33EE" w:rsidRPr="00EC57FB">
              <w:t xml:space="preserve"> evidence for nirsevimab from the</w:t>
            </w:r>
            <w:r w:rsidR="00F40217" w:rsidRPr="00EC57FB">
              <w:t xml:space="preserve"> meta-analysis of the MELODY and Phase 2b trials</w:t>
            </w:r>
            <w:r w:rsidR="008E33EE" w:rsidRPr="00EC57FB">
              <w:t xml:space="preserve"> </w:t>
            </w:r>
            <w:r w:rsidR="008E33EE" w:rsidRPr="00EC57FB">
              <w:rPr>
                <w:rFonts w:eastAsia="Times New Roman" w:cs="Arial"/>
                <w:bCs w:val="0"/>
                <w:snapToGrid w:val="0"/>
                <w:color w:val="000000" w:themeColor="text1"/>
                <w:szCs w:val="20"/>
              </w:rPr>
              <w:t>(as reported by Simões 2023) and evidence for RSVpreF from the MATISSE trial</w:t>
            </w:r>
            <w:r w:rsidR="00143DDA" w:rsidRPr="00EC57FB">
              <w:t>.</w:t>
            </w:r>
            <w:r w:rsidR="00B94DA6" w:rsidRPr="00EC57FB">
              <w:t xml:space="preserve"> The </w:t>
            </w:r>
            <w:r w:rsidR="00B43132" w:rsidRPr="00EC57FB">
              <w:t xml:space="preserve">comparison </w:t>
            </w:r>
            <w:r w:rsidR="00B94DA6" w:rsidRPr="00EC57FB">
              <w:t xml:space="preserve">presented was not consistent with the </w:t>
            </w:r>
            <w:r w:rsidR="00486A5F" w:rsidRPr="00EC57FB">
              <w:t xml:space="preserve">previous </w:t>
            </w:r>
            <w:r w:rsidR="00B94DA6" w:rsidRPr="00EC57FB">
              <w:t xml:space="preserve">PBAC </w:t>
            </w:r>
            <w:r w:rsidR="006230E7" w:rsidRPr="00EC57FB">
              <w:t xml:space="preserve">advice </w:t>
            </w:r>
            <w:r w:rsidR="00486A5F" w:rsidRPr="00EC57FB">
              <w:t xml:space="preserve">regarding </w:t>
            </w:r>
            <w:r w:rsidR="00B94DA6" w:rsidRPr="00EC57FB">
              <w:t>only</w:t>
            </w:r>
            <w:r w:rsidR="00486A5F" w:rsidRPr="00EC57FB">
              <w:t xml:space="preserve"> including</w:t>
            </w:r>
            <w:r w:rsidR="00B94DA6" w:rsidRPr="00EC57FB">
              <w:t xml:space="preserve"> the results from the MELODY trial in an ITC. </w:t>
            </w:r>
          </w:p>
        </w:tc>
      </w:tr>
      <w:tr w:rsidR="00A24C41" w:rsidRPr="00EC57FB" w14:paraId="22DE53FC" w14:textId="77777777" w:rsidTr="00024B88">
        <w:tc>
          <w:tcPr>
            <w:tcW w:w="5000" w:type="pct"/>
            <w:gridSpan w:val="2"/>
          </w:tcPr>
          <w:p w14:paraId="2A734301" w14:textId="7CEFDBFB" w:rsidR="00A24C41" w:rsidRPr="00EC57FB" w:rsidRDefault="00A24C41" w:rsidP="00FE3358">
            <w:pPr>
              <w:pStyle w:val="TableText0"/>
              <w:keepNext w:val="0"/>
              <w:keepLines w:val="0"/>
              <w:rPr>
                <w:rFonts w:eastAsia="Times New Roman" w:cs="Arial"/>
                <w:b/>
                <w:snapToGrid w:val="0"/>
                <w:color w:val="000000" w:themeColor="text1"/>
                <w:szCs w:val="20"/>
              </w:rPr>
            </w:pPr>
            <w:bookmarkStart w:id="25" w:name="_Hlk199276191"/>
            <w:r w:rsidRPr="00EC57FB">
              <w:rPr>
                <w:rFonts w:eastAsia="Times New Roman" w:cs="Arial"/>
                <w:b/>
                <w:snapToGrid w:val="0"/>
                <w:color w:val="000000" w:themeColor="text1"/>
                <w:szCs w:val="20"/>
              </w:rPr>
              <w:t>Economic evaluation (cost-effectiveness)</w:t>
            </w:r>
          </w:p>
        </w:tc>
      </w:tr>
      <w:tr w:rsidR="00A24C41" w:rsidRPr="00EC57FB" w14:paraId="2AA79B60" w14:textId="77777777" w:rsidTr="00024B88">
        <w:tc>
          <w:tcPr>
            <w:tcW w:w="2434" w:type="pct"/>
          </w:tcPr>
          <w:p w14:paraId="28037C7E" w14:textId="1F0D22B4" w:rsidR="00A24C41" w:rsidRPr="00EC57FB" w:rsidRDefault="00687EA0" w:rsidP="00E10379">
            <w:pPr>
              <w:pStyle w:val="TableText0"/>
              <w:keepNext w:val="0"/>
              <w:keepLines w:val="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 xml:space="preserve">The </w:t>
            </w:r>
            <w:r w:rsidR="00A24C41" w:rsidRPr="00EC57FB">
              <w:rPr>
                <w:rFonts w:eastAsia="Times New Roman" w:cs="Arial"/>
                <w:bCs w:val="0"/>
                <w:snapToGrid w:val="0"/>
                <w:color w:val="000000" w:themeColor="text1"/>
                <w:szCs w:val="20"/>
              </w:rPr>
              <w:t xml:space="preserve">ICER for nirsevimab for the first RSV season </w:t>
            </w:r>
            <w:r w:rsidR="00922E85" w:rsidRPr="00EC57FB">
              <w:rPr>
                <w:rFonts w:eastAsia="Times New Roman" w:cs="Arial"/>
                <w:bCs w:val="0"/>
                <w:snapToGrid w:val="0"/>
                <w:color w:val="000000" w:themeColor="text1"/>
                <w:szCs w:val="20"/>
              </w:rPr>
              <w:t xml:space="preserve">was </w:t>
            </w:r>
            <w:r w:rsidR="00A24C41" w:rsidRPr="00EC57FB">
              <w:rPr>
                <w:rFonts w:eastAsia="Times New Roman" w:cs="Arial"/>
                <w:bCs w:val="0"/>
                <w:snapToGrid w:val="0"/>
                <w:color w:val="000000" w:themeColor="text1"/>
                <w:szCs w:val="20"/>
              </w:rPr>
              <w:t>substantially underestimated and</w:t>
            </w:r>
            <w:r w:rsidR="00FA75DC" w:rsidRPr="00EC57FB">
              <w:rPr>
                <w:rFonts w:eastAsia="Times New Roman" w:cs="Arial"/>
                <w:bCs w:val="0"/>
                <w:snapToGrid w:val="0"/>
                <w:color w:val="000000" w:themeColor="text1"/>
                <w:szCs w:val="20"/>
              </w:rPr>
              <w:t xml:space="preserve"> also</w:t>
            </w:r>
            <w:r w:rsidR="00A24C41" w:rsidRPr="00EC57FB">
              <w:rPr>
                <w:rFonts w:eastAsia="Times New Roman" w:cs="Arial"/>
                <w:bCs w:val="0"/>
                <w:snapToGrid w:val="0"/>
                <w:color w:val="000000" w:themeColor="text1"/>
                <w:szCs w:val="20"/>
              </w:rPr>
              <w:t xml:space="preserve"> highly uncertain </w:t>
            </w:r>
            <w:r w:rsidR="00FA75DC" w:rsidRPr="00EC57FB">
              <w:rPr>
                <w:rFonts w:eastAsia="Times New Roman" w:cs="Arial"/>
                <w:bCs w:val="0"/>
                <w:snapToGrid w:val="0"/>
                <w:color w:val="000000" w:themeColor="text1"/>
                <w:szCs w:val="20"/>
              </w:rPr>
              <w:t>given</w:t>
            </w:r>
            <w:r w:rsidR="000438F8" w:rsidRPr="00EC57FB">
              <w:rPr>
                <w:rFonts w:eastAsia="Times New Roman" w:cs="Arial"/>
                <w:bCs w:val="0"/>
                <w:snapToGrid w:val="0"/>
                <w:color w:val="000000" w:themeColor="text1"/>
                <w:szCs w:val="20"/>
              </w:rPr>
              <w:t xml:space="preserve"> the </w:t>
            </w:r>
            <w:r w:rsidR="00FA75DC" w:rsidRPr="00EC57FB">
              <w:rPr>
                <w:rFonts w:eastAsia="Times New Roman" w:cs="Arial"/>
                <w:bCs w:val="0"/>
                <w:snapToGrid w:val="0"/>
                <w:color w:val="000000" w:themeColor="text1"/>
                <w:szCs w:val="20"/>
              </w:rPr>
              <w:t>results were</w:t>
            </w:r>
            <w:r w:rsidR="000438F8" w:rsidRPr="00EC57FB">
              <w:rPr>
                <w:rFonts w:eastAsia="Times New Roman" w:cs="Arial"/>
                <w:bCs w:val="0"/>
                <w:snapToGrid w:val="0"/>
                <w:color w:val="000000" w:themeColor="text1"/>
                <w:szCs w:val="20"/>
              </w:rPr>
              <w:t xml:space="preserve"> highly sensitive to small variations in </w:t>
            </w:r>
            <w:r w:rsidR="003902F1" w:rsidRPr="00EC57FB">
              <w:rPr>
                <w:rFonts w:eastAsia="Times New Roman" w:cs="Arial"/>
                <w:bCs w:val="0"/>
                <w:snapToGrid w:val="0"/>
                <w:color w:val="000000" w:themeColor="text1"/>
                <w:szCs w:val="20"/>
              </w:rPr>
              <w:t xml:space="preserve">several </w:t>
            </w:r>
            <w:r w:rsidR="000438F8" w:rsidRPr="00EC57FB">
              <w:rPr>
                <w:rFonts w:eastAsia="Times New Roman" w:cs="Arial"/>
                <w:bCs w:val="0"/>
                <w:snapToGrid w:val="0"/>
                <w:color w:val="000000" w:themeColor="text1"/>
                <w:szCs w:val="20"/>
              </w:rPr>
              <w:t xml:space="preserve">inputs </w:t>
            </w:r>
            <w:r w:rsidR="00A24C41" w:rsidRPr="00EC57FB">
              <w:rPr>
                <w:rFonts w:eastAsia="Times New Roman" w:cs="Arial"/>
                <w:bCs w:val="0"/>
                <w:snapToGrid w:val="0"/>
                <w:color w:val="000000" w:themeColor="text1"/>
                <w:szCs w:val="20"/>
              </w:rPr>
              <w:t>(Para 7.1</w:t>
            </w:r>
            <w:r w:rsidR="003902F1" w:rsidRPr="00EC57FB">
              <w:rPr>
                <w:rFonts w:eastAsia="Times New Roman" w:cs="Arial"/>
                <w:bCs w:val="0"/>
                <w:snapToGrid w:val="0"/>
                <w:color w:val="000000" w:themeColor="text1"/>
                <w:szCs w:val="20"/>
              </w:rPr>
              <w:t xml:space="preserve"> &amp; 7.17, </w:t>
            </w:r>
            <w:r w:rsidR="00A24C41" w:rsidRPr="00EC57FB">
              <w:rPr>
                <w:rFonts w:eastAsia="Times New Roman" w:cs="Arial"/>
                <w:bCs w:val="0"/>
                <w:snapToGrid w:val="0"/>
                <w:color w:val="000000" w:themeColor="text1"/>
                <w:szCs w:val="20"/>
              </w:rPr>
              <w:t>July 2024 PSD)</w:t>
            </w:r>
            <w:r w:rsidR="009C383F" w:rsidRPr="00EC57FB">
              <w:rPr>
                <w:rFonts w:eastAsia="Times New Roman" w:cs="Arial"/>
                <w:bCs w:val="0"/>
                <w:snapToGrid w:val="0"/>
                <w:color w:val="000000" w:themeColor="text1"/>
                <w:szCs w:val="20"/>
              </w:rPr>
              <w:t>.</w:t>
            </w:r>
          </w:p>
        </w:tc>
        <w:tc>
          <w:tcPr>
            <w:tcW w:w="2566" w:type="pct"/>
          </w:tcPr>
          <w:p w14:paraId="31E65474" w14:textId="6F48F9CC" w:rsidR="00671C7B" w:rsidRPr="00EC57FB" w:rsidRDefault="00671C7B" w:rsidP="00024B88">
            <w:pPr>
              <w:pStyle w:val="TableText0"/>
              <w:keepNext w:val="0"/>
              <w:keepLines w:val="0"/>
              <w:spacing w:after="120"/>
              <w:rPr>
                <w:iCs/>
              </w:rPr>
            </w:pPr>
            <w:r w:rsidRPr="00EC57FB">
              <w:rPr>
                <w:iCs/>
              </w:rPr>
              <w:t>N</w:t>
            </w:r>
            <w:r w:rsidR="00833B74" w:rsidRPr="00EC57FB">
              <w:rPr>
                <w:iCs/>
              </w:rPr>
              <w:t xml:space="preserve">ot </w:t>
            </w:r>
            <w:r w:rsidR="00354FDF" w:rsidRPr="00EC57FB">
              <w:rPr>
                <w:iCs/>
              </w:rPr>
              <w:t xml:space="preserve">adequately </w:t>
            </w:r>
            <w:r w:rsidR="00833B74" w:rsidRPr="00EC57FB">
              <w:rPr>
                <w:iCs/>
              </w:rPr>
              <w:t>addressed</w:t>
            </w:r>
          </w:p>
          <w:p w14:paraId="28CBB9E7" w14:textId="468A14D3" w:rsidR="002A3E99" w:rsidRPr="00EC57FB" w:rsidRDefault="00342009" w:rsidP="00024B88">
            <w:pPr>
              <w:pStyle w:val="TableText0"/>
              <w:keepNext w:val="0"/>
              <w:keepLines w:val="0"/>
            </w:pPr>
            <w:r w:rsidRPr="00EC57FB">
              <w:rPr>
                <w:iCs/>
              </w:rPr>
              <w:t>The ICER generated by the revised economic analysis did not incorporate s</w:t>
            </w:r>
            <w:r w:rsidR="00671C7B" w:rsidRPr="00EC57FB">
              <w:rPr>
                <w:iCs/>
              </w:rPr>
              <w:t>everal of the modifications</w:t>
            </w:r>
            <w:r w:rsidRPr="00EC57FB">
              <w:rPr>
                <w:iCs/>
              </w:rPr>
              <w:t xml:space="preserve"> that had been</w:t>
            </w:r>
            <w:r w:rsidRPr="00EC57FB">
              <w:t xml:space="preserve"> </w:t>
            </w:r>
            <w:r w:rsidR="00B024AA" w:rsidRPr="00EC57FB">
              <w:rPr>
                <w:iCs/>
              </w:rPr>
              <w:t xml:space="preserve">advised </w:t>
            </w:r>
            <w:r w:rsidR="005432CC" w:rsidRPr="00EC57FB">
              <w:rPr>
                <w:iCs/>
              </w:rPr>
              <w:t xml:space="preserve">by </w:t>
            </w:r>
            <w:r w:rsidR="00B024AA" w:rsidRPr="00EC57FB">
              <w:rPr>
                <w:iCs/>
              </w:rPr>
              <w:t>the PBAC</w:t>
            </w:r>
            <w:r w:rsidR="00342CBA" w:rsidRPr="00EC57FB">
              <w:rPr>
                <w:iCs/>
              </w:rPr>
              <w:t>;</w:t>
            </w:r>
            <w:r w:rsidR="00D65F45" w:rsidRPr="00EC57FB">
              <w:rPr>
                <w:iCs/>
              </w:rPr>
              <w:t xml:space="preserve"> </w:t>
            </w:r>
            <w:r w:rsidR="00B024AA" w:rsidRPr="00EC57FB">
              <w:rPr>
                <w:iCs/>
              </w:rPr>
              <w:t xml:space="preserve">and </w:t>
            </w:r>
            <w:r w:rsidR="00342CBA" w:rsidRPr="00EC57FB">
              <w:rPr>
                <w:iCs/>
              </w:rPr>
              <w:t>the</w:t>
            </w:r>
            <w:r w:rsidR="00D65F45" w:rsidRPr="00EC57FB">
              <w:rPr>
                <w:iCs/>
              </w:rPr>
              <w:t xml:space="preserve"> ICER </w:t>
            </w:r>
            <w:r w:rsidR="00B024AA" w:rsidRPr="00EC57FB">
              <w:rPr>
                <w:iCs/>
              </w:rPr>
              <w:t xml:space="preserve">remained </w:t>
            </w:r>
            <w:r w:rsidR="00D65F45" w:rsidRPr="00EC57FB">
              <w:rPr>
                <w:iCs/>
              </w:rPr>
              <w:t>underestimated, un</w:t>
            </w:r>
            <w:r w:rsidR="00830C1D" w:rsidRPr="00EC57FB">
              <w:rPr>
                <w:iCs/>
              </w:rPr>
              <w:t>c</w:t>
            </w:r>
            <w:r w:rsidR="00D65F45" w:rsidRPr="00EC57FB">
              <w:rPr>
                <w:iCs/>
              </w:rPr>
              <w:t>ertain and highly sensitive to key variables.</w:t>
            </w:r>
            <w:r w:rsidR="00D65F45" w:rsidRPr="00EC57FB">
              <w:t xml:space="preserve"> </w:t>
            </w:r>
          </w:p>
        </w:tc>
      </w:tr>
      <w:tr w:rsidR="004827C5" w:rsidRPr="00EC57FB" w14:paraId="4A085A6D" w14:textId="77777777" w:rsidTr="00024B88">
        <w:tc>
          <w:tcPr>
            <w:tcW w:w="2434" w:type="pct"/>
          </w:tcPr>
          <w:p w14:paraId="79C441B0" w14:textId="7561AEC8" w:rsidR="004827C5" w:rsidRPr="00EC57FB" w:rsidRDefault="004827C5" w:rsidP="00FE3358">
            <w:pPr>
              <w:pStyle w:val="TableText0"/>
              <w:keepNext w:val="0"/>
              <w:keepLines w:val="0"/>
              <w:spacing w:after="12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Economic evaluation and financial estimates should be provided separately for the overall infant population and for the high risk subgroup</w:t>
            </w:r>
            <w:r w:rsidR="00A7555A" w:rsidRPr="00EC57FB">
              <w:rPr>
                <w:rFonts w:eastAsia="Times New Roman" w:cs="Arial"/>
                <w:bCs w:val="0"/>
                <w:snapToGrid w:val="0"/>
                <w:color w:val="000000" w:themeColor="text1"/>
                <w:szCs w:val="20"/>
              </w:rPr>
              <w:t xml:space="preserve"> (Para </w:t>
            </w:r>
            <w:r w:rsidR="00BE5BE0" w:rsidRPr="00EC57FB">
              <w:rPr>
                <w:rFonts w:eastAsia="Times New Roman" w:cs="Arial"/>
                <w:bCs w:val="0"/>
                <w:snapToGrid w:val="0"/>
                <w:color w:val="000000" w:themeColor="text1"/>
                <w:szCs w:val="20"/>
              </w:rPr>
              <w:t xml:space="preserve">7.21 and </w:t>
            </w:r>
            <w:r w:rsidR="00A7555A" w:rsidRPr="00EC57FB">
              <w:rPr>
                <w:rFonts w:eastAsia="Times New Roman" w:cs="Arial"/>
                <w:bCs w:val="0"/>
                <w:snapToGrid w:val="0"/>
                <w:color w:val="000000" w:themeColor="text1"/>
                <w:szCs w:val="20"/>
              </w:rPr>
              <w:t>7.23, July 2024 PSD)</w:t>
            </w:r>
            <w:r w:rsidR="002E1F11" w:rsidRPr="00EC57FB">
              <w:rPr>
                <w:rFonts w:eastAsia="Times New Roman" w:cs="Arial"/>
                <w:bCs w:val="0"/>
                <w:snapToGrid w:val="0"/>
                <w:color w:val="000000" w:themeColor="text1"/>
                <w:szCs w:val="20"/>
              </w:rPr>
              <w:t>.</w:t>
            </w:r>
          </w:p>
          <w:p w14:paraId="16CC382D" w14:textId="0D107F5A" w:rsidR="0033568D" w:rsidRPr="00EC57FB" w:rsidRDefault="0033568D" w:rsidP="00FE3358">
            <w:pPr>
              <w:pStyle w:val="TableText0"/>
              <w:keepNext w:val="0"/>
              <w:keepLines w:val="0"/>
              <w:rPr>
                <w:rFonts w:eastAsia="Times New Roman" w:cs="Arial"/>
                <w:bCs w:val="0"/>
                <w:snapToGrid w:val="0"/>
                <w:color w:val="000000" w:themeColor="text1"/>
                <w:szCs w:val="20"/>
              </w:rPr>
            </w:pPr>
            <w:r w:rsidRPr="00EC57FB">
              <w:rPr>
                <w:iCs/>
              </w:rPr>
              <w:t xml:space="preserve">In relation to listing of nirsevimab in the second season (where </w:t>
            </w:r>
            <w:r w:rsidRPr="00EC57FB">
              <w:rPr>
                <w:rFonts w:eastAsia="Times New Roman" w:cs="Arial"/>
                <w:bCs w:val="0"/>
                <w:snapToGrid w:val="0"/>
                <w:color w:val="000000" w:themeColor="text1"/>
                <w:szCs w:val="20"/>
              </w:rPr>
              <w:t>no immunisation should be the main comparator), the resubmission would need to present corresponding economic evidence to support this proposed listing (Para 7.23, July 2024 PSD).</w:t>
            </w:r>
          </w:p>
        </w:tc>
        <w:tc>
          <w:tcPr>
            <w:tcW w:w="2566" w:type="pct"/>
          </w:tcPr>
          <w:p w14:paraId="6B37CE3E" w14:textId="77777777" w:rsidR="00354FDF" w:rsidRPr="00EC57FB" w:rsidRDefault="00354FDF" w:rsidP="00203417">
            <w:pPr>
              <w:pStyle w:val="TableText0"/>
              <w:keepNext w:val="0"/>
              <w:keepLines w:val="0"/>
              <w:spacing w:after="120"/>
              <w:rPr>
                <w:iCs/>
              </w:rPr>
            </w:pPr>
            <w:r w:rsidRPr="00EC57FB">
              <w:rPr>
                <w:iCs/>
              </w:rPr>
              <w:t>Partially a</w:t>
            </w:r>
            <w:r w:rsidR="00833B74" w:rsidRPr="00EC57FB">
              <w:rPr>
                <w:iCs/>
              </w:rPr>
              <w:t>ddressed</w:t>
            </w:r>
          </w:p>
          <w:p w14:paraId="3393D969" w14:textId="75D72A02" w:rsidR="004827C5" w:rsidRPr="00EC57FB" w:rsidRDefault="00D65F45" w:rsidP="00024B88">
            <w:pPr>
              <w:pStyle w:val="TableText0"/>
              <w:keepNext w:val="0"/>
              <w:keepLines w:val="0"/>
              <w:rPr>
                <w:rFonts w:eastAsia="Times New Roman" w:cs="Arial"/>
                <w:bCs w:val="0"/>
                <w:snapToGrid w:val="0"/>
                <w:color w:val="000000" w:themeColor="text1"/>
                <w:szCs w:val="20"/>
              </w:rPr>
            </w:pPr>
            <w:r w:rsidRPr="00EC57FB">
              <w:rPr>
                <w:iCs/>
              </w:rPr>
              <w:t>Although a</w:t>
            </w:r>
            <w:r w:rsidR="0083386F" w:rsidRPr="00EC57FB">
              <w:rPr>
                <w:iCs/>
              </w:rPr>
              <w:t xml:space="preserve">n economic analysis </w:t>
            </w:r>
            <w:r w:rsidR="00B024AA" w:rsidRPr="00EC57FB">
              <w:rPr>
                <w:iCs/>
              </w:rPr>
              <w:t xml:space="preserve">estimating </w:t>
            </w:r>
            <w:r w:rsidR="0083386F" w:rsidRPr="00EC57FB">
              <w:rPr>
                <w:iCs/>
              </w:rPr>
              <w:t>an</w:t>
            </w:r>
            <w:r w:rsidR="00E76BFD" w:rsidRPr="00EC57FB">
              <w:rPr>
                <w:iCs/>
              </w:rPr>
              <w:t xml:space="preserve"> overall ICER for children with risk conditions</w:t>
            </w:r>
            <w:r w:rsidR="00B024AA" w:rsidRPr="00EC57FB">
              <w:rPr>
                <w:iCs/>
              </w:rPr>
              <w:t xml:space="preserve"> was presented</w:t>
            </w:r>
            <w:r w:rsidR="0083386F" w:rsidRPr="00EC57FB">
              <w:rPr>
                <w:iCs/>
              </w:rPr>
              <w:t xml:space="preserve">, the </w:t>
            </w:r>
            <w:r w:rsidR="000550B7" w:rsidRPr="00EC57FB">
              <w:rPr>
                <w:iCs/>
              </w:rPr>
              <w:t xml:space="preserve">structure of the </w:t>
            </w:r>
            <w:r w:rsidR="0083386F" w:rsidRPr="00EC57FB">
              <w:rPr>
                <w:iCs/>
              </w:rPr>
              <w:t xml:space="preserve">model </w:t>
            </w:r>
            <w:r w:rsidR="00B024AA" w:rsidRPr="00EC57FB">
              <w:rPr>
                <w:iCs/>
              </w:rPr>
              <w:t xml:space="preserve">did </w:t>
            </w:r>
            <w:r w:rsidR="0083386F" w:rsidRPr="00EC57FB">
              <w:rPr>
                <w:iCs/>
              </w:rPr>
              <w:t>not permit separate estimation of ICERs in Season 1 and Season 2 in children with risk conditions</w:t>
            </w:r>
            <w:r w:rsidR="00A665DA" w:rsidRPr="00EC57FB">
              <w:rPr>
                <w:iCs/>
              </w:rPr>
              <w:t>.</w:t>
            </w:r>
            <w:r w:rsidR="00577C66">
              <w:rPr>
                <w:iCs/>
              </w:rPr>
              <w:t xml:space="preserve"> </w:t>
            </w:r>
          </w:p>
        </w:tc>
      </w:tr>
      <w:tr w:rsidR="001147B3" w:rsidRPr="00EC57FB" w14:paraId="0352836C" w14:textId="77777777" w:rsidTr="00024B88">
        <w:tc>
          <w:tcPr>
            <w:tcW w:w="2434" w:type="pct"/>
          </w:tcPr>
          <w:p w14:paraId="3188AFA0" w14:textId="36D9E16F" w:rsidR="00A154FD" w:rsidRPr="00EC57FB" w:rsidRDefault="00710DC2" w:rsidP="00D51D18">
            <w:pPr>
              <w:pStyle w:val="TableText0"/>
              <w:spacing w:after="12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lastRenderedPageBreak/>
              <w:t>The PBAC noted that the timing of RSV outbreaks varies with the climate across different regions of Australia and that the timing of administration of nirsevimab</w:t>
            </w:r>
            <w:r w:rsidR="00C53C91" w:rsidRPr="00EC57FB">
              <w:rPr>
                <w:rFonts w:eastAsia="Times New Roman" w:cs="Arial"/>
                <w:bCs w:val="0"/>
                <w:snapToGrid w:val="0"/>
                <w:color w:val="000000" w:themeColor="text1"/>
                <w:szCs w:val="20"/>
              </w:rPr>
              <w:t>,</w:t>
            </w:r>
            <w:r w:rsidRPr="00EC57FB">
              <w:rPr>
                <w:rFonts w:eastAsia="Times New Roman" w:cs="Arial"/>
                <w:bCs w:val="0"/>
                <w:snapToGrid w:val="0"/>
                <w:color w:val="000000" w:themeColor="text1"/>
                <w:szCs w:val="20"/>
              </w:rPr>
              <w:t xml:space="preserve"> in relation to the RSV season, was a key driver of the economic model. </w:t>
            </w:r>
            <w:r w:rsidR="00A154FD" w:rsidRPr="00EC57FB">
              <w:rPr>
                <w:rFonts w:eastAsia="Times New Roman" w:cs="Arial"/>
                <w:bCs w:val="0"/>
                <w:snapToGrid w:val="0"/>
                <w:color w:val="000000" w:themeColor="text1"/>
                <w:szCs w:val="20"/>
              </w:rPr>
              <w:t xml:space="preserve">(Para 7.13, July PSD) </w:t>
            </w:r>
          </w:p>
          <w:p w14:paraId="22B01E4C" w14:textId="1B1F1545" w:rsidR="00F20B80" w:rsidRPr="00EC57FB" w:rsidRDefault="00F20B80" w:rsidP="00D51D18">
            <w:pPr>
              <w:pStyle w:val="TableText0"/>
              <w:spacing w:after="120"/>
              <w:rPr>
                <w:szCs w:val="20"/>
              </w:rPr>
            </w:pPr>
            <w:r w:rsidRPr="00EC57FB">
              <w:rPr>
                <w:szCs w:val="20"/>
              </w:rPr>
              <w:t xml:space="preserve">The PBAC considered that the optimal administration assumed by the model did not reflect the likely use of nirsevimab in clinical practice, and noted </w:t>
            </w:r>
            <w:r w:rsidR="007549FC" w:rsidRPr="00EC57FB">
              <w:rPr>
                <w:szCs w:val="20"/>
              </w:rPr>
              <w:t>‘</w:t>
            </w:r>
            <w:r w:rsidRPr="00EC57FB">
              <w:rPr>
                <w:szCs w:val="20"/>
              </w:rPr>
              <w:t xml:space="preserve">the sensitivity analysis which showed that delaying the administration by one month in the model… resulted in an increase in the ICER of </w:t>
            </w:r>
            <w:r w:rsidR="000641E5" w:rsidRPr="000641E5">
              <w:rPr>
                <w:color w:val="000000"/>
                <w:spacing w:val="43"/>
                <w:szCs w:val="20"/>
                <w:shd w:val="solid" w:color="000000" w:fill="000000"/>
                <w:fitText w:val="328" w:id="-662982656"/>
                <w14:textFill>
                  <w14:solidFill>
                    <w14:srgbClr w14:val="000000">
                      <w14:alpha w14:val="100000"/>
                    </w14:srgbClr>
                  </w14:solidFill>
                </w14:textFill>
              </w:rPr>
              <w:t>|||</w:t>
            </w:r>
            <w:r w:rsidR="000641E5" w:rsidRPr="000641E5">
              <w:rPr>
                <w:color w:val="000000"/>
                <w:spacing w:val="22"/>
                <w:szCs w:val="20"/>
                <w:shd w:val="solid" w:color="000000" w:fill="000000"/>
                <w:fitText w:val="328" w:id="-662982656"/>
                <w14:textFill>
                  <w14:solidFill>
                    <w14:srgbClr w14:val="000000">
                      <w14:alpha w14:val="100000"/>
                    </w14:srgbClr>
                  </w14:solidFill>
                </w14:textFill>
              </w:rPr>
              <w:t>|</w:t>
            </w:r>
            <w:r w:rsidRPr="00EC57FB">
              <w:rPr>
                <w:szCs w:val="20"/>
              </w:rPr>
              <w:t>%.’</w:t>
            </w:r>
            <w:r w:rsidR="0051427F" w:rsidRPr="00EC57FB">
              <w:rPr>
                <w:szCs w:val="20"/>
              </w:rPr>
              <w:t xml:space="preserve"> </w:t>
            </w:r>
            <w:r w:rsidRPr="00EC57FB">
              <w:rPr>
                <w:szCs w:val="20"/>
              </w:rPr>
              <w:t>(</w:t>
            </w:r>
            <w:r w:rsidR="00855419" w:rsidRPr="00EC57FB">
              <w:rPr>
                <w:szCs w:val="20"/>
              </w:rPr>
              <w:t>P</w:t>
            </w:r>
            <w:r w:rsidRPr="00EC57FB">
              <w:rPr>
                <w:szCs w:val="20"/>
              </w:rPr>
              <w:t>ara 6.81</w:t>
            </w:r>
            <w:r w:rsidR="00855419" w:rsidRPr="00EC57FB">
              <w:rPr>
                <w:szCs w:val="20"/>
              </w:rPr>
              <w:t>,</w:t>
            </w:r>
            <w:r w:rsidRPr="00EC57FB">
              <w:rPr>
                <w:szCs w:val="20"/>
              </w:rPr>
              <w:t xml:space="preserve"> July 2024 PSD)</w:t>
            </w:r>
          </w:p>
          <w:p w14:paraId="64279A6A" w14:textId="2BEB32C8" w:rsidR="00305BAE" w:rsidRPr="00EC57FB" w:rsidRDefault="00F451CA" w:rsidP="00D51D18">
            <w:pPr>
              <w:pStyle w:val="TableText0"/>
              <w:rPr>
                <w:rFonts w:eastAsia="Times New Roman" w:cs="Arial"/>
                <w:bCs w:val="0"/>
                <w:snapToGrid w:val="0"/>
                <w:color w:val="000000" w:themeColor="text1"/>
                <w:szCs w:val="20"/>
              </w:rPr>
            </w:pPr>
            <w:r w:rsidRPr="00EC57FB">
              <w:t>T</w:t>
            </w:r>
            <w:r w:rsidR="00305BAE" w:rsidRPr="00EC57FB">
              <w:t>he PBAC noted that the ICERs for the tropical and temperate population</w:t>
            </w:r>
            <w:r w:rsidR="00842BA5" w:rsidRPr="00EC57FB">
              <w:t>s</w:t>
            </w:r>
            <w:r w:rsidR="00305BAE" w:rsidRPr="00EC57FB">
              <w:t xml:space="preserve"> differed considerably ($</w:t>
            </w:r>
            <w:r w:rsidR="000641E5" w:rsidRPr="000641E5">
              <w:rPr>
                <w:color w:val="000000"/>
                <w:spacing w:val="43"/>
                <w:shd w:val="solid" w:color="000000" w:fill="000000"/>
                <w:fitText w:val="328" w:id="-662982655"/>
                <w14:textFill>
                  <w14:solidFill>
                    <w14:srgbClr w14:val="000000">
                      <w14:alpha w14:val="100000"/>
                    </w14:srgbClr>
                  </w14:solidFill>
                </w14:textFill>
              </w:rPr>
              <w:t>|||</w:t>
            </w:r>
            <w:r w:rsidR="000641E5" w:rsidRPr="000641E5">
              <w:rPr>
                <w:color w:val="000000"/>
                <w:spacing w:val="22"/>
                <w:shd w:val="solid" w:color="000000" w:fill="000000"/>
                <w:fitText w:val="328" w:id="-662982655"/>
                <w14:textFill>
                  <w14:solidFill>
                    <w14:srgbClr w14:val="000000">
                      <w14:alpha w14:val="100000"/>
                    </w14:srgbClr>
                  </w14:solidFill>
                </w14:textFill>
              </w:rPr>
              <w:t>|</w:t>
            </w:r>
            <w:r w:rsidR="00147C1A">
              <w:t xml:space="preserve"> </w:t>
            </w:r>
            <w:r w:rsidR="00147C1A">
              <w:rPr>
                <w:vertAlign w:val="superscript"/>
              </w:rPr>
              <w:t>1</w:t>
            </w:r>
            <w:r w:rsidR="00305BAE" w:rsidRPr="00EC57FB">
              <w:t>/QALY and $</w:t>
            </w:r>
            <w:r w:rsidR="000641E5" w:rsidRPr="00B73761">
              <w:rPr>
                <w:color w:val="000000"/>
                <w:spacing w:val="52"/>
                <w:shd w:val="solid" w:color="000000" w:fill="000000"/>
                <w:fitText w:val="327" w:id="-662982654"/>
                <w14:textFill>
                  <w14:solidFill>
                    <w14:srgbClr w14:val="000000">
                      <w14:alpha w14:val="100000"/>
                    </w14:srgbClr>
                  </w14:solidFill>
                </w14:textFill>
              </w:rPr>
              <w:t>|||</w:t>
            </w:r>
            <w:r w:rsidR="000641E5" w:rsidRPr="00B73761">
              <w:rPr>
                <w:color w:val="000000"/>
                <w:spacing w:val="1"/>
                <w:shd w:val="solid" w:color="000000" w:fill="000000"/>
                <w:fitText w:val="327" w:id="-662982654"/>
                <w14:textFill>
                  <w14:solidFill>
                    <w14:srgbClr w14:val="000000">
                      <w14:alpha w14:val="100000"/>
                    </w14:srgbClr>
                  </w14:solidFill>
                </w14:textFill>
              </w:rPr>
              <w:t>|</w:t>
            </w:r>
            <w:r w:rsidR="00147C1A">
              <w:t xml:space="preserve"> </w:t>
            </w:r>
            <w:r w:rsidR="00147C1A">
              <w:rPr>
                <w:vertAlign w:val="superscript"/>
              </w:rPr>
              <w:t>2</w:t>
            </w:r>
            <w:r w:rsidR="00305BAE" w:rsidRPr="00EC57FB">
              <w:t>/QALY, respectively</w:t>
            </w:r>
            <w:r w:rsidR="006624C4" w:rsidRPr="00EC57FB">
              <w:t>)</w:t>
            </w:r>
            <w:r w:rsidR="00305BAE" w:rsidRPr="00EC57FB">
              <w:t xml:space="preserve"> in the submission base case</w:t>
            </w:r>
            <w:r w:rsidRPr="00EC57FB">
              <w:t xml:space="preserve"> (Para 7.17, July PSD)</w:t>
            </w:r>
          </w:p>
        </w:tc>
        <w:tc>
          <w:tcPr>
            <w:tcW w:w="2566" w:type="pct"/>
          </w:tcPr>
          <w:p w14:paraId="51D44C8F" w14:textId="2201ABC1" w:rsidR="00B024AA" w:rsidRPr="00EC57FB" w:rsidRDefault="009F43F3" w:rsidP="00D51D18">
            <w:pPr>
              <w:pStyle w:val="TableText0"/>
              <w:spacing w:after="120"/>
              <w:rPr>
                <w:iCs/>
              </w:rPr>
            </w:pPr>
            <w:r w:rsidRPr="00EC57FB">
              <w:rPr>
                <w:iCs/>
              </w:rPr>
              <w:t>Not adequately addressed</w:t>
            </w:r>
            <w:r w:rsidR="00856B9B" w:rsidRPr="00EC57FB">
              <w:rPr>
                <w:iCs/>
              </w:rPr>
              <w:t xml:space="preserve"> </w:t>
            </w:r>
          </w:p>
          <w:p w14:paraId="5E5BD04A" w14:textId="7C3F89A1" w:rsidR="00A44D42" w:rsidRPr="00EC57FB" w:rsidRDefault="00F3191C" w:rsidP="00D51D18">
            <w:pPr>
              <w:pStyle w:val="TableText0"/>
              <w:spacing w:after="120"/>
              <w:rPr>
                <w:rFonts w:eastAsia="Times New Roman" w:cs="Arial"/>
                <w:bCs w:val="0"/>
                <w:snapToGrid w:val="0"/>
                <w:color w:val="000000" w:themeColor="text1"/>
                <w:szCs w:val="20"/>
              </w:rPr>
            </w:pPr>
            <w:r w:rsidRPr="00EC57FB">
              <w:rPr>
                <w:iCs/>
                <w:szCs w:val="20"/>
              </w:rPr>
              <w:t xml:space="preserve">The resubmission model did not address </w:t>
            </w:r>
            <w:r w:rsidR="005C048E" w:rsidRPr="00EC57FB">
              <w:rPr>
                <w:iCs/>
                <w:szCs w:val="20"/>
              </w:rPr>
              <w:t xml:space="preserve">the issue of </w:t>
            </w:r>
            <w:r w:rsidRPr="00EC57FB">
              <w:rPr>
                <w:iCs/>
                <w:szCs w:val="20"/>
              </w:rPr>
              <w:t>inappropriately assuming optimal timing of administration of nirsevimab</w:t>
            </w:r>
            <w:r w:rsidR="001853ED" w:rsidRPr="00EC57FB">
              <w:rPr>
                <w:iCs/>
                <w:szCs w:val="20"/>
              </w:rPr>
              <w:t xml:space="preserve">, noting that the MELODY trial inclusion criteria </w:t>
            </w:r>
            <w:r w:rsidR="00F86D59" w:rsidRPr="00EC57FB">
              <w:rPr>
                <w:iCs/>
                <w:szCs w:val="20"/>
              </w:rPr>
              <w:t>specified recruitment of</w:t>
            </w:r>
            <w:r w:rsidR="001853ED" w:rsidRPr="00EC57FB">
              <w:rPr>
                <w:iCs/>
                <w:szCs w:val="20"/>
              </w:rPr>
              <w:t xml:space="preserve"> </w:t>
            </w:r>
            <w:r w:rsidR="00F86D59" w:rsidRPr="00EC57FB">
              <w:rPr>
                <w:iCs/>
                <w:szCs w:val="20"/>
              </w:rPr>
              <w:t>“Infants who were entering their first RSV season at the time of screening.”</w:t>
            </w:r>
            <w:r w:rsidR="00000C54" w:rsidRPr="00EC57FB">
              <w:rPr>
                <w:iCs/>
                <w:szCs w:val="20"/>
              </w:rPr>
              <w:t xml:space="preserve"> </w:t>
            </w:r>
            <w:r w:rsidR="00D06860" w:rsidRPr="00EC57FB">
              <w:rPr>
                <w:iCs/>
                <w:szCs w:val="20"/>
              </w:rPr>
              <w:t>Thus</w:t>
            </w:r>
            <w:r w:rsidR="00000C54" w:rsidRPr="00EC57FB">
              <w:rPr>
                <w:iCs/>
                <w:szCs w:val="20"/>
              </w:rPr>
              <w:t xml:space="preserve">, the trial population were optimally dosed with respect to timing, but </w:t>
            </w:r>
            <w:r w:rsidR="00217014" w:rsidRPr="00EC57FB">
              <w:rPr>
                <w:iCs/>
                <w:szCs w:val="20"/>
              </w:rPr>
              <w:t xml:space="preserve">optimal </w:t>
            </w:r>
            <w:r w:rsidR="00000C54" w:rsidRPr="00EC57FB">
              <w:rPr>
                <w:iCs/>
                <w:szCs w:val="20"/>
              </w:rPr>
              <w:t xml:space="preserve">use of nirsevimab </w:t>
            </w:r>
            <w:r w:rsidR="00217014" w:rsidRPr="00EC57FB">
              <w:rPr>
                <w:iCs/>
                <w:szCs w:val="20"/>
              </w:rPr>
              <w:t xml:space="preserve">may not occur </w:t>
            </w:r>
            <w:r w:rsidR="00000C54" w:rsidRPr="00EC57FB">
              <w:rPr>
                <w:iCs/>
                <w:szCs w:val="20"/>
              </w:rPr>
              <w:t>in clinical practice.</w:t>
            </w:r>
          </w:p>
        </w:tc>
      </w:tr>
      <w:tr w:rsidR="00917F67" w:rsidRPr="00EC57FB" w14:paraId="57AB5C7B" w14:textId="77777777" w:rsidTr="00024B88">
        <w:tc>
          <w:tcPr>
            <w:tcW w:w="2434" w:type="pct"/>
          </w:tcPr>
          <w:p w14:paraId="72E20213" w14:textId="1C172B0A" w:rsidR="00917F67" w:rsidRPr="00EC57FB" w:rsidRDefault="00DE1C4C" w:rsidP="00116876">
            <w:pPr>
              <w:pStyle w:val="TableText0"/>
              <w:keepNext w:val="0"/>
              <w:keepLines w:val="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The PBAC agreed with the amendments to the economic model proposed by the ESC as a minimum set of changes to be considered</w:t>
            </w:r>
            <w:r w:rsidR="000536B5" w:rsidRPr="00EC57FB">
              <w:rPr>
                <w:rFonts w:eastAsia="Times New Roman" w:cs="Arial"/>
                <w:bCs w:val="0"/>
                <w:snapToGrid w:val="0"/>
                <w:color w:val="000000" w:themeColor="text1"/>
                <w:szCs w:val="20"/>
              </w:rPr>
              <w:t xml:space="preserve"> (i.e., removal of mechanical ventilation costs; application of updated disutilities; removal of asthma and recurrent wheezing; and adjustment of the case fatality rate to 0.002</w:t>
            </w:r>
            <w:r w:rsidR="00062AE2" w:rsidRPr="00EC57FB">
              <w:rPr>
                <w:rFonts w:eastAsia="Times New Roman" w:cs="Arial"/>
                <w:bCs w:val="0"/>
                <w:snapToGrid w:val="0"/>
                <w:color w:val="000000" w:themeColor="text1"/>
                <w:szCs w:val="20"/>
              </w:rPr>
              <w:t>)</w:t>
            </w:r>
            <w:r w:rsidRPr="00EC57FB">
              <w:rPr>
                <w:rFonts w:eastAsia="Times New Roman" w:cs="Arial"/>
                <w:bCs w:val="0"/>
                <w:snapToGrid w:val="0"/>
                <w:color w:val="000000" w:themeColor="text1"/>
                <w:szCs w:val="20"/>
              </w:rPr>
              <w:t xml:space="preserve">. Further, the PBAC agreed with the ESC’s advice that additional amendments should be considered to address </w:t>
            </w:r>
            <w:r w:rsidR="00EC3219" w:rsidRPr="00EC57FB">
              <w:rPr>
                <w:rFonts w:eastAsia="Times New Roman" w:cs="Arial"/>
                <w:bCs w:val="0"/>
                <w:snapToGrid w:val="0"/>
                <w:color w:val="000000" w:themeColor="text1"/>
                <w:szCs w:val="20"/>
              </w:rPr>
              <w:t>other</w:t>
            </w:r>
            <w:r w:rsidRPr="00EC57FB">
              <w:rPr>
                <w:rFonts w:eastAsia="Times New Roman" w:cs="Arial"/>
                <w:bCs w:val="0"/>
                <w:snapToGrid w:val="0"/>
                <w:color w:val="000000" w:themeColor="text1"/>
                <w:szCs w:val="20"/>
              </w:rPr>
              <w:t xml:space="preserve"> issues</w:t>
            </w:r>
            <w:r w:rsidR="00EC3219" w:rsidRPr="00EC57FB">
              <w:rPr>
                <w:rFonts w:eastAsia="Times New Roman" w:cs="Arial"/>
                <w:bCs w:val="0"/>
                <w:snapToGrid w:val="0"/>
                <w:color w:val="000000" w:themeColor="text1"/>
                <w:szCs w:val="20"/>
              </w:rPr>
              <w:t xml:space="preserve"> (</w:t>
            </w:r>
            <w:r w:rsidR="00871430" w:rsidRPr="00EC57FB">
              <w:rPr>
                <w:rFonts w:eastAsia="Times New Roman" w:cs="Arial"/>
                <w:bCs w:val="0"/>
                <w:snapToGrid w:val="0"/>
                <w:color w:val="000000" w:themeColor="text1"/>
                <w:szCs w:val="20"/>
              </w:rPr>
              <w:t xml:space="preserve">application of MELODY </w:t>
            </w:r>
            <w:r w:rsidR="00B84CBE" w:rsidRPr="00EC57FB">
              <w:rPr>
                <w:rFonts w:eastAsia="Times New Roman" w:cs="Arial"/>
                <w:bCs w:val="0"/>
                <w:snapToGrid w:val="0"/>
                <w:color w:val="000000" w:themeColor="text1"/>
                <w:szCs w:val="20"/>
              </w:rPr>
              <w:t xml:space="preserve">results </w:t>
            </w:r>
            <w:r w:rsidR="00871430" w:rsidRPr="00EC57FB">
              <w:rPr>
                <w:rFonts w:eastAsia="Times New Roman" w:cs="Arial"/>
                <w:bCs w:val="0"/>
                <w:snapToGrid w:val="0"/>
                <w:color w:val="000000" w:themeColor="text1"/>
                <w:szCs w:val="20"/>
              </w:rPr>
              <w:t>rather than the meta-analysis of MELODY and the Phase 2 trial</w:t>
            </w:r>
            <w:r w:rsidR="00D32077" w:rsidRPr="00EC57FB">
              <w:rPr>
                <w:rFonts w:eastAsia="Times New Roman" w:cs="Arial"/>
                <w:bCs w:val="0"/>
                <w:snapToGrid w:val="0"/>
                <w:color w:val="000000" w:themeColor="text1"/>
                <w:szCs w:val="20"/>
              </w:rPr>
              <w:t>; reduction in rate of hospitalisation</w:t>
            </w:r>
            <w:r w:rsidR="0009179A" w:rsidRPr="00EC57FB">
              <w:rPr>
                <w:rFonts w:eastAsia="Times New Roman" w:cs="Arial"/>
                <w:bCs w:val="0"/>
                <w:snapToGrid w:val="0"/>
                <w:color w:val="000000" w:themeColor="text1"/>
                <w:szCs w:val="20"/>
              </w:rPr>
              <w:t xml:space="preserve"> from 4.2% to 2.33%</w:t>
            </w:r>
            <w:r w:rsidR="003B19E0" w:rsidRPr="00EC57FB">
              <w:rPr>
                <w:rFonts w:eastAsia="Times New Roman" w:cs="Arial"/>
                <w:bCs w:val="0"/>
                <w:snapToGrid w:val="0"/>
                <w:color w:val="000000" w:themeColor="text1"/>
                <w:szCs w:val="20"/>
              </w:rPr>
              <w:t xml:space="preserve">, reducing costs associated with </w:t>
            </w:r>
            <w:r w:rsidR="00D32077" w:rsidRPr="00EC57FB">
              <w:rPr>
                <w:rFonts w:eastAsia="Times New Roman" w:cs="Arial"/>
                <w:bCs w:val="0"/>
                <w:snapToGrid w:val="0"/>
                <w:color w:val="000000" w:themeColor="text1"/>
                <w:szCs w:val="20"/>
              </w:rPr>
              <w:t>hospitalisation</w:t>
            </w:r>
            <w:r w:rsidRPr="00EC57FB">
              <w:rPr>
                <w:rFonts w:eastAsia="Times New Roman" w:cs="Arial"/>
                <w:bCs w:val="0"/>
                <w:snapToGrid w:val="0"/>
                <w:color w:val="000000" w:themeColor="text1"/>
                <w:szCs w:val="20"/>
              </w:rPr>
              <w:t xml:space="preserve"> </w:t>
            </w:r>
            <w:r w:rsidR="003B19E0" w:rsidRPr="00EC57FB">
              <w:rPr>
                <w:rFonts w:eastAsia="Times New Roman" w:cs="Arial"/>
                <w:bCs w:val="0"/>
                <w:snapToGrid w:val="0"/>
                <w:color w:val="000000" w:themeColor="text1"/>
                <w:szCs w:val="20"/>
              </w:rPr>
              <w:t>so that they would not capture admissions unrelated to RSV)</w:t>
            </w:r>
            <w:r w:rsidR="00CD7A20" w:rsidRPr="00EC57FB">
              <w:rPr>
                <w:rFonts w:eastAsia="Times New Roman" w:cs="Arial"/>
                <w:bCs w:val="0"/>
                <w:snapToGrid w:val="0"/>
                <w:color w:val="000000" w:themeColor="text1"/>
                <w:szCs w:val="20"/>
              </w:rPr>
              <w:t xml:space="preserve"> </w:t>
            </w:r>
            <w:r w:rsidR="00035860" w:rsidRPr="00EC57FB">
              <w:rPr>
                <w:rFonts w:eastAsia="Times New Roman" w:cs="Arial"/>
                <w:bCs w:val="0"/>
                <w:snapToGrid w:val="0"/>
                <w:color w:val="000000" w:themeColor="text1"/>
                <w:szCs w:val="20"/>
              </w:rPr>
              <w:t>(Para 7.18, July</w:t>
            </w:r>
            <w:r w:rsidR="00577C66">
              <w:rPr>
                <w:rFonts w:eastAsia="Times New Roman" w:cs="Arial"/>
                <w:bCs w:val="0"/>
                <w:snapToGrid w:val="0"/>
                <w:color w:val="000000" w:themeColor="text1"/>
                <w:szCs w:val="20"/>
              </w:rPr>
              <w:t xml:space="preserve"> </w:t>
            </w:r>
            <w:r w:rsidR="00334ABB" w:rsidRPr="00EC57FB">
              <w:rPr>
                <w:rFonts w:eastAsia="Times New Roman" w:cs="Arial"/>
                <w:bCs w:val="0"/>
                <w:snapToGrid w:val="0"/>
                <w:color w:val="000000" w:themeColor="text1"/>
                <w:szCs w:val="20"/>
              </w:rPr>
              <w:t xml:space="preserve">2024 </w:t>
            </w:r>
            <w:r w:rsidR="00035860" w:rsidRPr="00EC57FB">
              <w:rPr>
                <w:rFonts w:eastAsia="Times New Roman" w:cs="Arial"/>
                <w:bCs w:val="0"/>
                <w:snapToGrid w:val="0"/>
                <w:color w:val="000000" w:themeColor="text1"/>
                <w:szCs w:val="20"/>
              </w:rPr>
              <w:t>PSD)</w:t>
            </w:r>
          </w:p>
        </w:tc>
        <w:tc>
          <w:tcPr>
            <w:tcW w:w="2566" w:type="pct"/>
          </w:tcPr>
          <w:p w14:paraId="11213AC0" w14:textId="77777777" w:rsidR="00BC3267" w:rsidRPr="00EC57FB" w:rsidRDefault="00BC3267" w:rsidP="00FE3358">
            <w:pPr>
              <w:pStyle w:val="TableText0"/>
              <w:keepNext w:val="0"/>
              <w:keepLines w:val="0"/>
              <w:spacing w:after="120"/>
            </w:pPr>
            <w:r w:rsidRPr="00EC57FB">
              <w:t>Partially addressed</w:t>
            </w:r>
          </w:p>
          <w:p w14:paraId="75FB732A" w14:textId="66E7D074" w:rsidR="0071548F" w:rsidRPr="00EC57FB" w:rsidRDefault="00BA2806" w:rsidP="00FE3358">
            <w:pPr>
              <w:pStyle w:val="TableText0"/>
              <w:keepNext w:val="0"/>
              <w:keepLines w:val="0"/>
              <w:spacing w:after="120"/>
            </w:pPr>
            <w:r w:rsidRPr="00EC57FB">
              <w:t xml:space="preserve">Although the resubmission </w:t>
            </w:r>
            <w:r w:rsidR="009B1A0F" w:rsidRPr="00EC57FB">
              <w:t xml:space="preserve">claimed </w:t>
            </w:r>
            <w:r w:rsidRPr="00EC57FB">
              <w:t>that</w:t>
            </w:r>
            <w:r w:rsidR="007B6780" w:rsidRPr="00EC57FB">
              <w:t xml:space="preserve"> </w:t>
            </w:r>
            <w:r w:rsidR="0079037D" w:rsidRPr="00EC57FB">
              <w:t xml:space="preserve">the </w:t>
            </w:r>
            <w:r w:rsidR="007B6780" w:rsidRPr="00EC57FB">
              <w:t xml:space="preserve">base case economic evaluation </w:t>
            </w:r>
            <w:r w:rsidR="009B1A0F" w:rsidRPr="00EC57FB">
              <w:t>was</w:t>
            </w:r>
            <w:r w:rsidR="007B6780" w:rsidRPr="00EC57FB">
              <w:t xml:space="preserve"> revised to include the minimum set of changes</w:t>
            </w:r>
            <w:r w:rsidRPr="00EC57FB">
              <w:t xml:space="preserve">, it </w:t>
            </w:r>
            <w:r w:rsidR="009B1A0F" w:rsidRPr="00EC57FB">
              <w:t xml:space="preserve">continued </w:t>
            </w:r>
            <w:r w:rsidR="0071548F" w:rsidRPr="00EC57FB">
              <w:t xml:space="preserve">to assume benefits due to reduced incidence of wheezing and asthma. </w:t>
            </w:r>
          </w:p>
          <w:p w14:paraId="0F46CB0F" w14:textId="1C7D0075" w:rsidR="00607632" w:rsidRPr="00EC57FB" w:rsidRDefault="00C063D1" w:rsidP="00FE3358">
            <w:pPr>
              <w:pStyle w:val="TableText0"/>
              <w:keepNext w:val="0"/>
              <w:keepLines w:val="0"/>
            </w:pPr>
            <w:r w:rsidRPr="00EC57FB">
              <w:t>Furthermore, t</w:t>
            </w:r>
            <w:r w:rsidR="007B6780" w:rsidRPr="00EC57FB">
              <w:t xml:space="preserve">he base case economic </w:t>
            </w:r>
            <w:r w:rsidR="00104E9F" w:rsidRPr="00EC57FB">
              <w:t>model inappropriately</w:t>
            </w:r>
            <w:r w:rsidR="00607632" w:rsidRPr="00EC57FB">
              <w:t>:</w:t>
            </w:r>
            <w:r w:rsidR="007B6780" w:rsidRPr="00EC57FB">
              <w:t xml:space="preserve"> </w:t>
            </w:r>
          </w:p>
          <w:p w14:paraId="05C71502" w14:textId="6634E54E" w:rsidR="00607632" w:rsidRPr="00EC57FB" w:rsidRDefault="009B1A0F" w:rsidP="00A369BF">
            <w:pPr>
              <w:pStyle w:val="TableText0"/>
              <w:keepNext w:val="0"/>
              <w:keepLines w:val="0"/>
              <w:numPr>
                <w:ilvl w:val="0"/>
                <w:numId w:val="38"/>
              </w:numPr>
              <w:ind w:left="230" w:hanging="142"/>
            </w:pPr>
            <w:r w:rsidRPr="00EC57FB">
              <w:t xml:space="preserve">continued </w:t>
            </w:r>
            <w:r w:rsidR="007B6780" w:rsidRPr="00EC57FB">
              <w:t>to be informed by</w:t>
            </w:r>
            <w:r w:rsidR="00B006BE" w:rsidRPr="00EC57FB">
              <w:t xml:space="preserve"> estimates of </w:t>
            </w:r>
            <w:r w:rsidR="00C063D1" w:rsidRPr="00EC57FB">
              <w:t>effectiveness from the meta-analysis of MELODY and the Phase 2</w:t>
            </w:r>
            <w:r w:rsidR="00E25CDC" w:rsidRPr="00EC57FB">
              <w:t>b</w:t>
            </w:r>
            <w:r w:rsidR="00C063D1" w:rsidRPr="00EC57FB">
              <w:t xml:space="preserve"> trials</w:t>
            </w:r>
            <w:r w:rsidR="008F5055" w:rsidRPr="00EC57FB">
              <w:t xml:space="preserve"> (rather than the MELODY trial alone)</w:t>
            </w:r>
            <w:r w:rsidR="00036305" w:rsidRPr="00EC57FB">
              <w:t>;</w:t>
            </w:r>
            <w:r w:rsidR="00FB63B8" w:rsidRPr="00EC57FB">
              <w:t xml:space="preserve"> </w:t>
            </w:r>
          </w:p>
          <w:p w14:paraId="44F39CBD" w14:textId="0821C4A3" w:rsidR="00607632" w:rsidRPr="00EC57FB" w:rsidRDefault="009B1A0F" w:rsidP="00A369BF">
            <w:pPr>
              <w:pStyle w:val="TableText0"/>
              <w:keepNext w:val="0"/>
              <w:keepLines w:val="0"/>
              <w:numPr>
                <w:ilvl w:val="0"/>
                <w:numId w:val="38"/>
              </w:numPr>
              <w:ind w:left="230" w:hanging="142"/>
            </w:pPr>
            <w:r w:rsidRPr="00EC57FB">
              <w:t xml:space="preserve">assumed </w:t>
            </w:r>
            <w:r w:rsidR="00C063D1" w:rsidRPr="00EC57FB">
              <w:t>a</w:t>
            </w:r>
            <w:r w:rsidR="00FB63B8" w:rsidRPr="00EC57FB">
              <w:t>n overall</w:t>
            </w:r>
            <w:r w:rsidR="00C063D1" w:rsidRPr="00EC57FB">
              <w:t xml:space="preserve"> 4.2% hospitalisation rate in infants without risk conditions (where a </w:t>
            </w:r>
            <w:r w:rsidR="00C063D1" w:rsidRPr="00EC57FB">
              <w:rPr>
                <w:iCs/>
              </w:rPr>
              <w:t>2.</w:t>
            </w:r>
            <w:r w:rsidR="004B40A5" w:rsidRPr="00EC57FB">
              <w:rPr>
                <w:iCs/>
              </w:rPr>
              <w:t>33</w:t>
            </w:r>
            <w:r w:rsidR="00C063D1" w:rsidRPr="00EC57FB">
              <w:rPr>
                <w:iCs/>
              </w:rPr>
              <w:t>%</w:t>
            </w:r>
            <w:r w:rsidR="00FB63B8" w:rsidRPr="00EC57FB">
              <w:t xml:space="preserve"> rate was </w:t>
            </w:r>
            <w:r w:rsidR="00B727B2" w:rsidRPr="00EC57FB">
              <w:t>considered appropri</w:t>
            </w:r>
            <w:r w:rsidR="001C7482" w:rsidRPr="00EC57FB">
              <w:t>ate</w:t>
            </w:r>
            <w:r w:rsidR="00FB63B8" w:rsidRPr="00EC57FB">
              <w:t>)</w:t>
            </w:r>
            <w:r w:rsidR="004B2B06" w:rsidRPr="00EC57FB">
              <w:t>;</w:t>
            </w:r>
            <w:r w:rsidR="00FB63B8" w:rsidRPr="00EC57FB">
              <w:t xml:space="preserve"> </w:t>
            </w:r>
          </w:p>
          <w:p w14:paraId="0FE7DBC3" w14:textId="38A776C1" w:rsidR="00917F67" w:rsidRPr="00EC57FB" w:rsidRDefault="009B1A0F" w:rsidP="00A369BF">
            <w:pPr>
              <w:pStyle w:val="TableText0"/>
              <w:keepNext w:val="0"/>
              <w:keepLines w:val="0"/>
              <w:numPr>
                <w:ilvl w:val="0"/>
                <w:numId w:val="38"/>
              </w:numPr>
              <w:spacing w:after="120"/>
              <w:ind w:left="233" w:hanging="142"/>
            </w:pPr>
            <w:r w:rsidRPr="00EC57FB">
              <w:t xml:space="preserve">continued </w:t>
            </w:r>
            <w:r w:rsidR="00FB63B8" w:rsidRPr="00EC57FB">
              <w:t>to apply costs for hospitalisation over 6 months to each instance of hospitalisation in the model</w:t>
            </w:r>
            <w:r w:rsidR="00CC02C1" w:rsidRPr="00EC57FB">
              <w:t xml:space="preserve"> (</w:t>
            </w:r>
            <w:r w:rsidR="009E0B61" w:rsidRPr="00EC57FB">
              <w:t xml:space="preserve">whereas the </w:t>
            </w:r>
            <w:r w:rsidR="00CC02C1" w:rsidRPr="00EC57FB">
              <w:rPr>
                <w:szCs w:val="20"/>
              </w:rPr>
              <w:t>ESC</w:t>
            </w:r>
            <w:r w:rsidR="009E0B61" w:rsidRPr="00EC57FB">
              <w:rPr>
                <w:szCs w:val="20"/>
              </w:rPr>
              <w:t xml:space="preserve"> previously</w:t>
            </w:r>
            <w:r w:rsidR="00CC02C1" w:rsidRPr="00EC57FB">
              <w:rPr>
                <w:szCs w:val="20"/>
              </w:rPr>
              <w:t xml:space="preserve"> advised</w:t>
            </w:r>
            <w:r w:rsidR="009E0B61" w:rsidRPr="00EC57FB">
              <w:rPr>
                <w:szCs w:val="20"/>
              </w:rPr>
              <w:t xml:space="preserve"> </w:t>
            </w:r>
            <w:r w:rsidR="00CC02C1" w:rsidRPr="00EC57FB">
              <w:rPr>
                <w:szCs w:val="20"/>
              </w:rPr>
              <w:t>reducing the costs of subsequent hospitalisations</w:t>
            </w:r>
            <w:r w:rsidR="009E0B61" w:rsidRPr="00EC57FB">
              <w:rPr>
                <w:szCs w:val="20"/>
              </w:rPr>
              <w:t>)</w:t>
            </w:r>
            <w:r w:rsidR="00FB63B8" w:rsidRPr="00EC57FB">
              <w:t xml:space="preserve">. </w:t>
            </w:r>
          </w:p>
          <w:p w14:paraId="67F7CE3F" w14:textId="77777777" w:rsidR="00917F67" w:rsidRPr="00EC57FB" w:rsidRDefault="00197263" w:rsidP="00FE3358">
            <w:pPr>
              <w:pStyle w:val="TableText0"/>
              <w:keepNext w:val="0"/>
              <w:keepLines w:val="0"/>
            </w:pPr>
            <w:r w:rsidRPr="00EC57FB">
              <w:t xml:space="preserve">The resubmission model also </w:t>
            </w:r>
            <w:r w:rsidR="001679F7" w:rsidRPr="00EC57FB">
              <w:t xml:space="preserve">only partially addressed </w:t>
            </w:r>
            <w:r w:rsidR="000839F6" w:rsidRPr="00EC57FB">
              <w:t>the i</w:t>
            </w:r>
            <w:r w:rsidR="00F3188F" w:rsidRPr="00EC57FB">
              <w:t>nputs for hospitalisation of the high risk population.</w:t>
            </w:r>
          </w:p>
          <w:p w14:paraId="08A21FB7" w14:textId="77777777" w:rsidR="00991EA8" w:rsidRPr="00EC57FB" w:rsidRDefault="00991EA8" w:rsidP="00FE3358">
            <w:pPr>
              <w:pStyle w:val="TableText0"/>
              <w:keepNext w:val="0"/>
              <w:keepLines w:val="0"/>
            </w:pPr>
          </w:p>
          <w:p w14:paraId="108EEF8C" w14:textId="1B9640B4" w:rsidR="00991EA8" w:rsidRPr="00EC57FB" w:rsidRDefault="00991EA8" w:rsidP="00FE3358">
            <w:pPr>
              <w:pStyle w:val="TableText0"/>
              <w:keepNext w:val="0"/>
              <w:keepLines w:val="0"/>
            </w:pPr>
            <w:r w:rsidRPr="00EC57FB">
              <w:t xml:space="preserve">Other limitations of the model structure were noted by the PBAC in July 2024 and remain unaddressed by the resubmission (see paragraph </w:t>
            </w:r>
            <w:r w:rsidRPr="00EC57FB">
              <w:fldChar w:fldCharType="begin"/>
            </w:r>
            <w:r w:rsidRPr="00EC57FB">
              <w:instrText xml:space="preserve"> REF _Ref188526946 \r \h  \* MERGEFORMAT </w:instrText>
            </w:r>
            <w:r w:rsidRPr="00EC57FB">
              <w:fldChar w:fldCharType="separate"/>
            </w:r>
            <w:r w:rsidR="00502C25">
              <w:t>6.64</w:t>
            </w:r>
            <w:r w:rsidRPr="00EC57FB">
              <w:fldChar w:fldCharType="end"/>
            </w:r>
            <w:r w:rsidRPr="00EC57FB">
              <w:t>).</w:t>
            </w:r>
          </w:p>
          <w:p w14:paraId="4F4F20F9" w14:textId="77777777" w:rsidR="002A3E99" w:rsidRPr="00EC57FB" w:rsidRDefault="002A3E99" w:rsidP="00FE3358">
            <w:pPr>
              <w:pStyle w:val="TableText0"/>
              <w:keepNext w:val="0"/>
              <w:keepLines w:val="0"/>
              <w:rPr>
                <w:i/>
              </w:rPr>
            </w:pPr>
          </w:p>
          <w:p w14:paraId="637697D3" w14:textId="0BD812A4" w:rsidR="002A3E99" w:rsidRPr="00EC57FB" w:rsidRDefault="002A3E99" w:rsidP="00FE3358">
            <w:pPr>
              <w:pStyle w:val="TableText0"/>
              <w:keepNext w:val="0"/>
              <w:keepLines w:val="0"/>
              <w:rPr>
                <w:i/>
              </w:rPr>
            </w:pPr>
            <w:r w:rsidRPr="00EC57FB">
              <w:rPr>
                <w:snapToGrid w:val="0"/>
                <w:color w:val="000000" w:themeColor="text1"/>
              </w:rPr>
              <w:t xml:space="preserve">A more detailed review of the </w:t>
            </w:r>
            <w:r w:rsidRPr="00EC57FB">
              <w:t xml:space="preserve">PBAC’s July 2024 concerns regarding the economic evaluation and changes made in the resubmission </w:t>
            </w:r>
            <w:r w:rsidRPr="00EC57FB">
              <w:rPr>
                <w:snapToGrid w:val="0"/>
                <w:color w:val="000000" w:themeColor="text1"/>
              </w:rPr>
              <w:t xml:space="preserve">is provided in </w:t>
            </w:r>
            <w:r w:rsidRPr="00EC57FB">
              <w:rPr>
                <w:snapToGrid w:val="0"/>
                <w:color w:val="000000" w:themeColor="text1"/>
              </w:rPr>
              <w:fldChar w:fldCharType="begin"/>
            </w:r>
            <w:r w:rsidRPr="00EC57FB">
              <w:rPr>
                <w:snapToGrid w:val="0"/>
                <w:color w:val="000000" w:themeColor="text1"/>
              </w:rPr>
              <w:instrText xml:space="preserve"> REF _Ref187244295 \h </w:instrText>
            </w:r>
            <w:r w:rsidRPr="00EC57FB">
              <w:rPr>
                <w:snapToGrid w:val="0"/>
                <w:color w:val="000000" w:themeColor="text1"/>
              </w:rPr>
            </w:r>
            <w:r w:rsidRPr="00EC57FB">
              <w:rPr>
                <w:snapToGrid w:val="0"/>
                <w:color w:val="000000" w:themeColor="text1"/>
              </w:rPr>
              <w:fldChar w:fldCharType="separate"/>
            </w:r>
            <w:r w:rsidR="00502C25" w:rsidRPr="00EC57FB">
              <w:t xml:space="preserve">Table </w:t>
            </w:r>
            <w:r w:rsidR="00502C25">
              <w:rPr>
                <w:noProof/>
              </w:rPr>
              <w:t>25</w:t>
            </w:r>
            <w:r w:rsidRPr="00EC57FB">
              <w:rPr>
                <w:snapToGrid w:val="0"/>
                <w:color w:val="000000" w:themeColor="text1"/>
              </w:rPr>
              <w:fldChar w:fldCharType="end"/>
            </w:r>
            <w:r w:rsidRPr="00EC57FB">
              <w:rPr>
                <w:snapToGrid w:val="0"/>
                <w:color w:val="000000" w:themeColor="text1"/>
              </w:rPr>
              <w:t>.</w:t>
            </w:r>
          </w:p>
        </w:tc>
      </w:tr>
      <w:bookmarkEnd w:id="25"/>
      <w:tr w:rsidR="00AD4734" w:rsidRPr="00EC57FB" w14:paraId="6D0196FC" w14:textId="77777777" w:rsidTr="00024B88">
        <w:tc>
          <w:tcPr>
            <w:tcW w:w="2434" w:type="pct"/>
          </w:tcPr>
          <w:p w14:paraId="1E0E6F2E" w14:textId="40C4B313" w:rsidR="00AD4734" w:rsidRPr="00EC57FB" w:rsidRDefault="00AD4734" w:rsidP="0017352F">
            <w:pPr>
              <w:pStyle w:val="TableText0"/>
              <w:rPr>
                <w:rFonts w:eastAsia="Times New Roman" w:cs="Arial"/>
                <w:b/>
                <w:snapToGrid w:val="0"/>
                <w:color w:val="000000" w:themeColor="text1"/>
                <w:szCs w:val="20"/>
              </w:rPr>
            </w:pPr>
            <w:r w:rsidRPr="00EC57FB">
              <w:rPr>
                <w:rFonts w:eastAsia="Times New Roman" w:cs="Arial"/>
                <w:b/>
                <w:snapToGrid w:val="0"/>
                <w:color w:val="000000" w:themeColor="text1"/>
                <w:szCs w:val="20"/>
              </w:rPr>
              <w:lastRenderedPageBreak/>
              <w:t>Financial</w:t>
            </w:r>
            <w:r w:rsidR="00FB6660" w:rsidRPr="00EC57FB">
              <w:rPr>
                <w:rFonts w:eastAsia="Times New Roman" w:cs="Arial"/>
                <w:b/>
                <w:snapToGrid w:val="0"/>
                <w:color w:val="000000" w:themeColor="text1"/>
                <w:szCs w:val="20"/>
              </w:rPr>
              <w:t xml:space="preserve"> implications</w:t>
            </w:r>
          </w:p>
        </w:tc>
        <w:tc>
          <w:tcPr>
            <w:tcW w:w="2566" w:type="pct"/>
          </w:tcPr>
          <w:p w14:paraId="2ACBF1A2" w14:textId="77777777" w:rsidR="00AD4734" w:rsidRPr="00EC57FB" w:rsidRDefault="00AD4734" w:rsidP="0017352F">
            <w:pPr>
              <w:pStyle w:val="TableText0"/>
              <w:rPr>
                <w:rFonts w:eastAsia="Times New Roman" w:cs="Arial"/>
                <w:bCs w:val="0"/>
                <w:snapToGrid w:val="0"/>
                <w:color w:val="000000" w:themeColor="text1"/>
                <w:szCs w:val="20"/>
              </w:rPr>
            </w:pPr>
          </w:p>
        </w:tc>
      </w:tr>
      <w:tr w:rsidR="00FB6660" w:rsidRPr="00EC57FB" w14:paraId="010AC2CA" w14:textId="77777777" w:rsidTr="00024B88">
        <w:tc>
          <w:tcPr>
            <w:tcW w:w="2434" w:type="pct"/>
          </w:tcPr>
          <w:p w14:paraId="704399C8" w14:textId="21A81569" w:rsidR="00FB6660" w:rsidRPr="00EC57FB" w:rsidRDefault="00CB078A" w:rsidP="0017352F">
            <w:pPr>
              <w:pStyle w:val="TableText0"/>
              <w:spacing w:after="12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 xml:space="preserve">The PBAC considered that the uptake rates remained uncertain but that high uptake in the first year of life should be the goal for the proposed listing, in order to maximise clinical benefits for infants </w:t>
            </w:r>
            <w:r w:rsidR="00857422" w:rsidRPr="00EC57FB">
              <w:rPr>
                <w:rFonts w:eastAsia="Times New Roman" w:cs="Arial"/>
                <w:bCs w:val="0"/>
                <w:snapToGrid w:val="0"/>
                <w:color w:val="000000" w:themeColor="text1"/>
                <w:szCs w:val="20"/>
              </w:rPr>
              <w:t xml:space="preserve">(Para 7.12, </w:t>
            </w:r>
            <w:r w:rsidR="00326E2D" w:rsidRPr="00EC57FB">
              <w:rPr>
                <w:rFonts w:eastAsia="Times New Roman" w:cs="Arial"/>
                <w:bCs w:val="0"/>
                <w:snapToGrid w:val="0"/>
                <w:color w:val="000000" w:themeColor="text1"/>
                <w:szCs w:val="20"/>
              </w:rPr>
              <w:t xml:space="preserve">July </w:t>
            </w:r>
            <w:r w:rsidR="00334ABB" w:rsidRPr="00EC57FB">
              <w:rPr>
                <w:rFonts w:eastAsia="Times New Roman" w:cs="Arial"/>
                <w:bCs w:val="0"/>
                <w:snapToGrid w:val="0"/>
                <w:color w:val="000000" w:themeColor="text1"/>
                <w:szCs w:val="20"/>
              </w:rPr>
              <w:t>2024 PSD)</w:t>
            </w:r>
            <w:r w:rsidR="00732F8B" w:rsidRPr="00EC57FB">
              <w:rPr>
                <w:rFonts w:eastAsia="Times New Roman" w:cs="Arial"/>
                <w:bCs w:val="0"/>
                <w:snapToGrid w:val="0"/>
                <w:color w:val="000000" w:themeColor="text1"/>
                <w:szCs w:val="20"/>
              </w:rPr>
              <w:t>.</w:t>
            </w:r>
          </w:p>
          <w:p w14:paraId="76058C9A" w14:textId="1E0B8C0D" w:rsidR="0003156C" w:rsidRPr="00EC57FB" w:rsidRDefault="0003156C" w:rsidP="0017352F">
            <w:pPr>
              <w:pStyle w:val="TableText0"/>
              <w:spacing w:after="12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 xml:space="preserve">The PBAC considered that the assumed uptake rates in </w:t>
            </w:r>
            <w:r w:rsidR="003A090D" w:rsidRPr="00EC57FB">
              <w:rPr>
                <w:rFonts w:eastAsia="Times New Roman" w:cs="Arial"/>
                <w:bCs w:val="0"/>
                <w:snapToGrid w:val="0"/>
                <w:color w:val="000000" w:themeColor="text1"/>
                <w:szCs w:val="20"/>
              </w:rPr>
              <w:t>S</w:t>
            </w:r>
            <w:r w:rsidRPr="00EC57FB">
              <w:rPr>
                <w:rFonts w:eastAsia="Times New Roman" w:cs="Arial"/>
                <w:bCs w:val="0"/>
                <w:snapToGrid w:val="0"/>
                <w:color w:val="000000" w:themeColor="text1"/>
                <w:szCs w:val="20"/>
              </w:rPr>
              <w:t xml:space="preserve">eason 1 required further consideration and justification (Para </w:t>
            </w:r>
            <w:r w:rsidR="00FF4671" w:rsidRPr="00EC57FB">
              <w:rPr>
                <w:rFonts w:eastAsia="Times New Roman" w:cs="Arial"/>
                <w:bCs w:val="0"/>
                <w:snapToGrid w:val="0"/>
                <w:color w:val="000000" w:themeColor="text1"/>
                <w:szCs w:val="20"/>
              </w:rPr>
              <w:t>7.22</w:t>
            </w:r>
            <w:r w:rsidRPr="00EC57FB">
              <w:rPr>
                <w:rFonts w:eastAsia="Times New Roman" w:cs="Arial"/>
                <w:bCs w:val="0"/>
                <w:snapToGrid w:val="0"/>
                <w:color w:val="000000" w:themeColor="text1"/>
                <w:szCs w:val="20"/>
              </w:rPr>
              <w:t>, July 2024 PSD)</w:t>
            </w:r>
            <w:r w:rsidR="004E1126" w:rsidRPr="00EC57FB">
              <w:rPr>
                <w:rFonts w:eastAsia="Times New Roman" w:cs="Arial"/>
                <w:bCs w:val="0"/>
                <w:snapToGrid w:val="0"/>
                <w:color w:val="000000" w:themeColor="text1"/>
                <w:szCs w:val="20"/>
              </w:rPr>
              <w:t>.</w:t>
            </w:r>
          </w:p>
          <w:p w14:paraId="36516ED7" w14:textId="019428F1" w:rsidR="009733C3" w:rsidRPr="00EC57FB" w:rsidRDefault="007D2E54" w:rsidP="0017352F">
            <w:pPr>
              <w:pStyle w:val="TableText0"/>
              <w:spacing w:after="120"/>
              <w:rPr>
                <w:rFonts w:eastAsia="Times New Roman" w:cs="Arial"/>
                <w:bCs w:val="0"/>
                <w:snapToGrid w:val="0"/>
                <w:color w:val="000000" w:themeColor="text1"/>
                <w:szCs w:val="20"/>
              </w:rPr>
            </w:pPr>
            <w:r w:rsidRPr="00EC57FB">
              <w:rPr>
                <w:rFonts w:eastAsia="Times New Roman" w:cs="Arial"/>
                <w:bCs w:val="0"/>
                <w:snapToGrid w:val="0"/>
                <w:color w:val="000000" w:themeColor="text1"/>
                <w:szCs w:val="20"/>
              </w:rPr>
              <w:t>The PBAC considered that a number of updates should be considered in a resubmission in relation to the financial estimates, including updates to the proposed eligible population considering ATAGI recommendations (Para 7.22, July 2024 PSD)</w:t>
            </w:r>
          </w:p>
        </w:tc>
        <w:tc>
          <w:tcPr>
            <w:tcW w:w="2566" w:type="pct"/>
          </w:tcPr>
          <w:p w14:paraId="490C8BF7" w14:textId="1825534A" w:rsidR="001A4EEC" w:rsidRPr="00EC57FB" w:rsidRDefault="00011B40" w:rsidP="0017352F">
            <w:pPr>
              <w:pStyle w:val="TableText0"/>
              <w:spacing w:after="120"/>
            </w:pPr>
            <w:r w:rsidRPr="00EC57FB">
              <w:t>Not adequately addressed</w:t>
            </w:r>
          </w:p>
          <w:p w14:paraId="01672CB9" w14:textId="25FB99A5" w:rsidR="00B50C74" w:rsidRPr="00EC57FB" w:rsidRDefault="003D7F82" w:rsidP="0017352F">
            <w:pPr>
              <w:pStyle w:val="TableText0"/>
              <w:spacing w:after="120"/>
            </w:pPr>
            <w:r w:rsidRPr="00EC57FB">
              <w:t xml:space="preserve">The </w:t>
            </w:r>
            <w:r w:rsidR="00334ABB" w:rsidRPr="00EC57FB">
              <w:t>resu</w:t>
            </w:r>
            <w:r w:rsidR="00000EB7" w:rsidRPr="00EC57FB">
              <w:t>bmission note</w:t>
            </w:r>
            <w:r w:rsidR="009B1A0F" w:rsidRPr="00EC57FB">
              <w:t>d</w:t>
            </w:r>
            <w:r w:rsidR="00000EB7" w:rsidRPr="00EC57FB">
              <w:t xml:space="preserve"> that the </w:t>
            </w:r>
            <w:r w:rsidRPr="00EC57FB">
              <w:t xml:space="preserve">high uptake rates proposed in the </w:t>
            </w:r>
            <w:r w:rsidR="00000EB7" w:rsidRPr="00EC57FB">
              <w:t xml:space="preserve">first </w:t>
            </w:r>
            <w:r w:rsidRPr="00EC57FB">
              <w:t xml:space="preserve">submission were considered </w:t>
            </w:r>
            <w:r w:rsidR="00000EB7" w:rsidRPr="00EC57FB">
              <w:t xml:space="preserve">reasonable by DUSC. </w:t>
            </w:r>
            <w:r w:rsidRPr="00EC57FB">
              <w:t xml:space="preserve">Uptake rates in the resubmission for infants in their first RSV season </w:t>
            </w:r>
            <w:r w:rsidR="009B1A0F" w:rsidRPr="00EC57FB">
              <w:t>were</w:t>
            </w:r>
            <w:r w:rsidRPr="00EC57FB">
              <w:t xml:space="preserve"> increased to 80% for a NIP </w:t>
            </w:r>
            <w:r w:rsidR="0033546B" w:rsidRPr="00EC57FB">
              <w:t>listing</w:t>
            </w:r>
            <w:r w:rsidR="00B50C74" w:rsidRPr="00EC57FB">
              <w:t xml:space="preserve"> (reduced to 70% in PSCR)</w:t>
            </w:r>
            <w:r w:rsidR="0033546B" w:rsidRPr="00EC57FB">
              <w:t xml:space="preserve">. This </w:t>
            </w:r>
            <w:r w:rsidR="009B1A0F" w:rsidRPr="00EC57FB">
              <w:t xml:space="preserve">was </w:t>
            </w:r>
            <w:r w:rsidR="0033546B" w:rsidRPr="00EC57FB">
              <w:t>stated</w:t>
            </w:r>
            <w:r w:rsidR="00011B40" w:rsidRPr="00EC57FB">
              <w:t xml:space="preserve"> to be </w:t>
            </w:r>
            <w:r w:rsidRPr="00EC57FB">
              <w:t xml:space="preserve">based on feedback from DUSC, the 2024 Australian state based programs and RWE </w:t>
            </w:r>
            <w:r w:rsidR="000D706F" w:rsidRPr="00EC57FB">
              <w:t>from other countries</w:t>
            </w:r>
            <w:r w:rsidRPr="00EC57FB">
              <w:t>. The uptake rate for infants entering their second RSV season remained 90%</w:t>
            </w:r>
            <w:r w:rsidR="0076551A" w:rsidRPr="00EC57FB">
              <w:t>.</w:t>
            </w:r>
          </w:p>
          <w:p w14:paraId="56AAE480" w14:textId="7B4711C2" w:rsidR="00336684" w:rsidRPr="00EC57FB" w:rsidRDefault="0076551A" w:rsidP="0017352F">
            <w:pPr>
              <w:pStyle w:val="TableText0"/>
              <w:spacing w:after="120"/>
            </w:pPr>
            <w:r w:rsidRPr="00EC57FB">
              <w:t xml:space="preserve">The uptake rates applied in the resubmission </w:t>
            </w:r>
            <w:r w:rsidR="00540310" w:rsidRPr="00EC57FB">
              <w:t>did</w:t>
            </w:r>
            <w:r w:rsidRPr="00EC57FB">
              <w:t xml:space="preserve"> not </w:t>
            </w:r>
            <w:r w:rsidR="009E7500" w:rsidRPr="00EC57FB">
              <w:t>incorporate</w:t>
            </w:r>
            <w:r w:rsidR="00F076DF" w:rsidRPr="00EC57FB">
              <w:t xml:space="preserve"> the </w:t>
            </w:r>
            <w:r w:rsidRPr="00EC57FB">
              <w:t xml:space="preserve">availability of </w:t>
            </w:r>
            <w:r w:rsidR="008E610A" w:rsidRPr="00EC57FB">
              <w:t>RSVpreF on the NIP.</w:t>
            </w:r>
            <w:r w:rsidR="005D7ADC" w:rsidRPr="00EC57FB">
              <w:t xml:space="preserve"> </w:t>
            </w:r>
          </w:p>
          <w:p w14:paraId="6D1606AB" w14:textId="6AEE562F" w:rsidR="00B50C74" w:rsidRPr="00EC57FB" w:rsidRDefault="00D77DEB" w:rsidP="0017352F">
            <w:pPr>
              <w:pStyle w:val="TableText0"/>
            </w:pPr>
            <w:r w:rsidRPr="00EC57FB">
              <w:t xml:space="preserve">The resubmission’s estimates also do not consider the potential financial implications of use of both nirsevimab and RSVpreF in </w:t>
            </w:r>
            <w:r w:rsidR="00EB01BE" w:rsidRPr="00EC57FB">
              <w:t>some populations (e.g., some infants with risk conditions born during or entering their first RSV season</w:t>
            </w:r>
            <w:r w:rsidR="009B1A0F" w:rsidRPr="00EC57FB">
              <w:t>)</w:t>
            </w:r>
            <w:r w:rsidR="00EB01BE" w:rsidRPr="00EC57FB">
              <w:t>.</w:t>
            </w:r>
          </w:p>
        </w:tc>
      </w:tr>
    </w:tbl>
    <w:p w14:paraId="451D7156" w14:textId="5E7B4EEF" w:rsidR="005C25FF" w:rsidRPr="00EC57FB" w:rsidRDefault="005C25FF" w:rsidP="004E18E9">
      <w:pPr>
        <w:pStyle w:val="FooterTableFigure"/>
      </w:pPr>
      <w:r w:rsidRPr="00EC57FB">
        <w:t xml:space="preserve">Source: </w:t>
      </w:r>
      <w:r w:rsidR="00CD49D5" w:rsidRPr="00EC57FB">
        <w:t xml:space="preserve">Adapted from Section 7 of the </w:t>
      </w:r>
      <w:r w:rsidR="006D6147" w:rsidRPr="00EC57FB">
        <w:t>public summary document (PSD) detailing the</w:t>
      </w:r>
      <w:r w:rsidR="00246E6F" w:rsidRPr="00EC57FB">
        <w:t xml:space="preserve"> PBAC’s consideration of the nirsevimab submission </w:t>
      </w:r>
      <w:r w:rsidR="003C63E2" w:rsidRPr="00EC57FB">
        <w:t xml:space="preserve">in July 2024 and from </w:t>
      </w:r>
      <w:r w:rsidRPr="00EC57FB">
        <w:t>Table</w:t>
      </w:r>
      <w:r w:rsidR="007313F9" w:rsidRPr="00EC57FB">
        <w:t xml:space="preserve"> 1.1.9 on </w:t>
      </w:r>
      <w:r w:rsidRPr="00EC57FB">
        <w:t>pp</w:t>
      </w:r>
      <w:r w:rsidR="007313F9" w:rsidRPr="00EC57FB">
        <w:t>20</w:t>
      </w:r>
      <w:r w:rsidR="004D4F7B" w:rsidRPr="00EC57FB">
        <w:t>-23</w:t>
      </w:r>
      <w:r w:rsidRPr="00EC57FB">
        <w:t xml:space="preserve"> of the </w:t>
      </w:r>
      <w:r w:rsidR="004D4F7B" w:rsidRPr="00EC57FB">
        <w:t>re</w:t>
      </w:r>
      <w:r w:rsidRPr="00EC57FB">
        <w:t>submission.</w:t>
      </w:r>
    </w:p>
    <w:p w14:paraId="1C9238E1" w14:textId="15E02E0B" w:rsidR="00831EE5" w:rsidRDefault="00D1691C" w:rsidP="00FC6575">
      <w:pPr>
        <w:pStyle w:val="FooterTableFigure"/>
        <w:spacing w:after="0"/>
        <w:rPr>
          <w:color w:val="000000" w:themeColor="text1"/>
        </w:rPr>
      </w:pPr>
      <w:r w:rsidRPr="00EC57FB">
        <w:t>BPD</w:t>
      </w:r>
      <w:r w:rsidR="00DF07D8" w:rsidRPr="00EC57FB">
        <w:t xml:space="preserve"> = </w:t>
      </w:r>
      <w:r w:rsidR="00E35D46" w:rsidRPr="00EC57FB">
        <w:t xml:space="preserve">bronchopulmonary dysplasia; </w:t>
      </w:r>
      <w:r w:rsidR="00733DB9" w:rsidRPr="00EC57FB">
        <w:t>DUSC = Drug Utilisation Sub-Committee</w:t>
      </w:r>
      <w:r w:rsidR="00615C09" w:rsidRPr="00EC57FB">
        <w:t xml:space="preserve">; </w:t>
      </w:r>
      <w:r w:rsidR="00831EE5" w:rsidRPr="00EC57FB">
        <w:t>ICER = incremental cost-effectiveness ratio</w:t>
      </w:r>
      <w:r w:rsidR="008C665F" w:rsidRPr="00EC57FB">
        <w:t xml:space="preserve">; </w:t>
      </w:r>
      <w:r w:rsidR="0014282C" w:rsidRPr="00EC57FB">
        <w:t>MBS = Med</w:t>
      </w:r>
      <w:r w:rsidR="006D6147" w:rsidRPr="00EC57FB">
        <w:t xml:space="preserve">PSD = public summary document; </w:t>
      </w:r>
      <w:r w:rsidR="008C665F" w:rsidRPr="00EC57FB">
        <w:rPr>
          <w:color w:val="000000" w:themeColor="text1"/>
        </w:rPr>
        <w:t>RSV = respiratory syncytial virus</w:t>
      </w:r>
      <w:r w:rsidR="0057617F" w:rsidRPr="00EC57FB">
        <w:rPr>
          <w:color w:val="000000" w:themeColor="text1"/>
        </w:rPr>
        <w:t>.</w:t>
      </w:r>
    </w:p>
    <w:p w14:paraId="1B2596F5" w14:textId="77777777" w:rsidR="00FC6575" w:rsidRPr="009A6D58" w:rsidRDefault="00FC6575" w:rsidP="00FC657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C1CF24C" w14:textId="6A1ECA05" w:rsidR="00FC6575" w:rsidRPr="009A6D58" w:rsidRDefault="00FC6575" w:rsidP="00FC657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54774A" w:rsidRPr="0054774A">
        <w:rPr>
          <w:rFonts w:ascii="Arial Narrow" w:hAnsi="Arial Narrow"/>
          <w:i/>
          <w:sz w:val="18"/>
          <w:szCs w:val="18"/>
        </w:rPr>
        <w:t>$35,000 to &lt; $45,000</w:t>
      </w:r>
    </w:p>
    <w:p w14:paraId="05295E52" w14:textId="69D1CB85" w:rsidR="00FC6575" w:rsidRPr="00FC6575" w:rsidRDefault="00FC6575" w:rsidP="00FC6575">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462234" w:rsidRPr="00462234">
        <w:rPr>
          <w:rFonts w:ascii="Arial Narrow" w:hAnsi="Arial Narrow"/>
          <w:i/>
          <w:sz w:val="18"/>
          <w:szCs w:val="18"/>
        </w:rPr>
        <w:t>$5,000 to &lt; $15,000</w:t>
      </w:r>
    </w:p>
    <w:p w14:paraId="35458A88" w14:textId="77777777" w:rsidR="00C23269" w:rsidRPr="00EC57FB" w:rsidRDefault="00C23269" w:rsidP="00C23269">
      <w:pPr>
        <w:ind w:firstLine="709"/>
        <w:rPr>
          <w:rFonts w:asciiTheme="minorHAnsi" w:hAnsiTheme="minorHAnsi"/>
          <w:i/>
        </w:rPr>
      </w:pPr>
      <w:bookmarkStart w:id="26" w:name="_Hlk197274730"/>
      <w:bookmarkEnd w:id="22"/>
      <w:r w:rsidRPr="00EC57FB">
        <w:rPr>
          <w:rFonts w:asciiTheme="minorHAnsi" w:hAnsiTheme="minorHAnsi"/>
          <w:i/>
        </w:rPr>
        <w:t>For more detail on PBAC’s view, see section 7 PBAC outcome.</w:t>
      </w:r>
    </w:p>
    <w:p w14:paraId="76E4EF3C" w14:textId="13040F70" w:rsidR="00B60939" w:rsidRPr="00EC57FB" w:rsidRDefault="00B50DB8" w:rsidP="004E18E9">
      <w:pPr>
        <w:pStyle w:val="2-SectionHeading"/>
      </w:pPr>
      <w:bookmarkStart w:id="27" w:name="_Toc107902078"/>
      <w:bookmarkStart w:id="28" w:name="_Toc188619256"/>
      <w:bookmarkEnd w:id="26"/>
      <w:bookmarkEnd w:id="27"/>
      <w:r w:rsidRPr="00EC57FB">
        <w:t>Requested listing</w:t>
      </w:r>
      <w:bookmarkEnd w:id="28"/>
    </w:p>
    <w:p w14:paraId="595061A4" w14:textId="3FE8B9B3" w:rsidR="00BB7E00" w:rsidRPr="00EC57FB" w:rsidRDefault="007A4520" w:rsidP="00DC4191">
      <w:pPr>
        <w:pStyle w:val="3-BodyText"/>
      </w:pPr>
      <w:bookmarkStart w:id="29" w:name="_Ref194956116"/>
      <w:bookmarkStart w:id="30" w:name="_Ref188349591"/>
      <w:r w:rsidRPr="00EC57FB">
        <w:t xml:space="preserve">The resubmission </w:t>
      </w:r>
      <w:r w:rsidR="00FE0686" w:rsidRPr="00EC57FB">
        <w:t>request</w:t>
      </w:r>
      <w:r w:rsidR="00E123C4" w:rsidRPr="00EC57FB">
        <w:t>ed</w:t>
      </w:r>
      <w:r w:rsidRPr="00EC57FB">
        <w:t xml:space="preserve"> </w:t>
      </w:r>
      <w:r w:rsidR="00DF193F" w:rsidRPr="00EC57FB">
        <w:t xml:space="preserve">inclusion of </w:t>
      </w:r>
      <w:r w:rsidRPr="00EC57FB">
        <w:t xml:space="preserve">nirsevimab </w:t>
      </w:r>
      <w:r w:rsidR="00DF193F" w:rsidRPr="00EC57FB">
        <w:t>i</w:t>
      </w:r>
      <w:r w:rsidRPr="00EC57FB">
        <w:t xml:space="preserve">n the NIP as </w:t>
      </w:r>
      <w:r w:rsidR="00887F26" w:rsidRPr="00EC57FB">
        <w:t xml:space="preserve">shown </w:t>
      </w:r>
      <w:r w:rsidRPr="00EC57FB">
        <w:t xml:space="preserve">in </w:t>
      </w:r>
      <w:r w:rsidR="004B2109" w:rsidRPr="00EC57FB">
        <w:fldChar w:fldCharType="begin"/>
      </w:r>
      <w:r w:rsidR="004B2109" w:rsidRPr="00EC57FB">
        <w:instrText xml:space="preserve"> REF _Ref183555361 \h </w:instrText>
      </w:r>
      <w:r w:rsidR="00036122" w:rsidRPr="00EC57FB">
        <w:instrText xml:space="preserve"> \* MERGEFORMAT </w:instrText>
      </w:r>
      <w:r w:rsidR="004B2109" w:rsidRPr="00EC57FB">
        <w:fldChar w:fldCharType="separate"/>
      </w:r>
      <w:r w:rsidR="00502C25" w:rsidRPr="00EC57FB">
        <w:t xml:space="preserve">Table </w:t>
      </w:r>
      <w:r w:rsidR="00502C25">
        <w:t>3</w:t>
      </w:r>
      <w:r w:rsidR="004B2109" w:rsidRPr="00EC57FB">
        <w:fldChar w:fldCharType="end"/>
      </w:r>
      <w:r w:rsidR="00DD0D11" w:rsidRPr="00EC57FB">
        <w:t>.</w:t>
      </w:r>
      <w:r w:rsidR="00CA3103" w:rsidRPr="00EC57FB">
        <w:t xml:space="preserve"> </w:t>
      </w:r>
      <w:bookmarkEnd w:id="29"/>
      <w:r w:rsidR="00282EA7" w:rsidRPr="00EC57FB">
        <w:t>The resubmission stated that the proposed listing was aligned with the AIH, however</w:t>
      </w:r>
      <w:r w:rsidR="001A4ACA" w:rsidRPr="00EC57FB">
        <w:t>,</w:t>
      </w:r>
      <w:r w:rsidR="00282EA7" w:rsidRPr="00EC57FB">
        <w:t xml:space="preserve"> the resubmission did not adequately consider the possible scenarios </w:t>
      </w:r>
      <w:r w:rsidR="00903CB5" w:rsidRPr="00EC57FB">
        <w:t>in</w:t>
      </w:r>
      <w:r w:rsidR="00282EA7" w:rsidRPr="00EC57FB">
        <w:t xml:space="preserve"> which nirsevimab may be used, </w:t>
      </w:r>
      <w:r w:rsidR="00517A61" w:rsidRPr="00EC57FB">
        <w:t xml:space="preserve">particularly in relation to situations in which the AIH supports use of nirsevimab in an infant after the mother received RSVpreF </w:t>
      </w:r>
      <w:r w:rsidR="00903CB5" w:rsidRPr="00EC57FB">
        <w:t xml:space="preserve">(see paragraph </w:t>
      </w:r>
      <w:r w:rsidR="00903CB5" w:rsidRPr="00EC57FB">
        <w:fldChar w:fldCharType="begin"/>
      </w:r>
      <w:r w:rsidR="00903CB5" w:rsidRPr="00EC57FB">
        <w:instrText xml:space="preserve"> REF _Ref188226496 \r \h </w:instrText>
      </w:r>
      <w:r w:rsidR="0015396C" w:rsidRPr="00EC57FB">
        <w:instrText xml:space="preserve"> \* MERGEFORMAT </w:instrText>
      </w:r>
      <w:r w:rsidR="00903CB5" w:rsidRPr="00EC57FB">
        <w:fldChar w:fldCharType="separate"/>
      </w:r>
      <w:r w:rsidR="00502C25">
        <w:t>3.5</w:t>
      </w:r>
      <w:r w:rsidR="00903CB5" w:rsidRPr="00EC57FB">
        <w:fldChar w:fldCharType="end"/>
      </w:r>
      <w:r w:rsidR="00903CB5" w:rsidRPr="00EC57FB">
        <w:t>)</w:t>
      </w:r>
      <w:r w:rsidR="00282EA7" w:rsidRPr="00EC57FB">
        <w:t xml:space="preserve">. </w:t>
      </w:r>
      <w:bookmarkEnd w:id="30"/>
    </w:p>
    <w:p w14:paraId="0C7A8434" w14:textId="1657EA43" w:rsidR="00D47DC3" w:rsidRPr="00EC57FB" w:rsidRDefault="00D47DC3" w:rsidP="00D47DC3">
      <w:pPr>
        <w:pStyle w:val="3-BodyText"/>
      </w:pPr>
      <w:r w:rsidRPr="00EC57FB">
        <w:t xml:space="preserve">As with the </w:t>
      </w:r>
      <w:r w:rsidR="00D10668" w:rsidRPr="00EC57FB">
        <w:t xml:space="preserve">first </w:t>
      </w:r>
      <w:r w:rsidRPr="00EC57FB">
        <w:t>submission</w:t>
      </w:r>
      <w:r w:rsidR="00547CBE" w:rsidRPr="00EC57FB">
        <w:t xml:space="preserve">, the resubmission requested </w:t>
      </w:r>
      <w:r w:rsidR="00131E5A" w:rsidRPr="00EC57FB">
        <w:t>listing</w:t>
      </w:r>
      <w:r w:rsidR="00547CBE" w:rsidRPr="00EC57FB">
        <w:t xml:space="preserve"> for nirsevimab in either </w:t>
      </w:r>
      <w:r w:rsidR="00481B8A" w:rsidRPr="00EC57FB">
        <w:t>50</w:t>
      </w:r>
      <w:r w:rsidR="00481B8A">
        <w:t> </w:t>
      </w:r>
      <w:r w:rsidR="00547CBE" w:rsidRPr="00EC57FB">
        <w:t>mg/0.5</w:t>
      </w:r>
      <w:r w:rsidR="00481B8A">
        <w:t> </w:t>
      </w:r>
      <w:r w:rsidR="00547CBE" w:rsidRPr="00EC57FB">
        <w:t xml:space="preserve">mL or </w:t>
      </w:r>
      <w:r w:rsidR="00481B8A" w:rsidRPr="00EC57FB">
        <w:t>100</w:t>
      </w:r>
      <w:r w:rsidR="00481B8A">
        <w:t> </w:t>
      </w:r>
      <w:r w:rsidR="00547CBE" w:rsidRPr="00EC57FB">
        <w:t>mg/1</w:t>
      </w:r>
      <w:r w:rsidR="00481B8A">
        <w:t> </w:t>
      </w:r>
      <w:r w:rsidR="00547CBE" w:rsidRPr="00EC57FB">
        <w:t xml:space="preserve">mL of solution for use in neonates and infants younger than 12 months of age. Infants weighing &lt;5 kg would receive 50 mg and infants weighing ≥5 kg would receive 100 mg. Additionally, for </w:t>
      </w:r>
      <w:r w:rsidR="00517A61" w:rsidRPr="00EC57FB">
        <w:t xml:space="preserve">children </w:t>
      </w:r>
      <w:r w:rsidR="00547CBE" w:rsidRPr="00EC57FB">
        <w:t xml:space="preserve">requiring nirsevimab in their second year, a 200 mg dose was requested. This would require </w:t>
      </w:r>
      <w:r w:rsidR="00256BAF" w:rsidRPr="00EC57FB">
        <w:t xml:space="preserve">administration of </w:t>
      </w:r>
      <w:r w:rsidR="00547CBE" w:rsidRPr="00EC57FB">
        <w:t xml:space="preserve">two 100 mg/1 mL </w:t>
      </w:r>
      <w:r w:rsidR="00256BAF" w:rsidRPr="00EC57FB">
        <w:t>injections</w:t>
      </w:r>
      <w:r w:rsidR="00517A61" w:rsidRPr="00EC57FB">
        <w:t xml:space="preserve"> </w:t>
      </w:r>
      <w:r w:rsidR="00547CBE" w:rsidRPr="00EC57FB">
        <w:t>given in one sitting.</w:t>
      </w:r>
    </w:p>
    <w:p w14:paraId="41CE4009" w14:textId="1CF0A1AE" w:rsidR="0053067A" w:rsidRPr="00EC57FB" w:rsidRDefault="0053067A" w:rsidP="002D3CBC">
      <w:pPr>
        <w:pStyle w:val="Caption"/>
      </w:pPr>
      <w:bookmarkStart w:id="31" w:name="_Ref183555361"/>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3</w:t>
      </w:r>
      <w:r w:rsidR="00C51E7C" w:rsidRPr="00EC57FB">
        <w:fldChar w:fldCharType="end"/>
      </w:r>
      <w:bookmarkEnd w:id="31"/>
      <w:r w:rsidRPr="00EC57FB">
        <w:t>: Listing of nirsevimab on the NIP for prevention of RSV infection in infants and children as proposed in the resubmission</w:t>
      </w:r>
    </w:p>
    <w:tbl>
      <w:tblPr>
        <w:tblStyle w:val="TableGrid"/>
        <w:tblW w:w="9067" w:type="dxa"/>
        <w:tblCellMar>
          <w:left w:w="57" w:type="dxa"/>
          <w:right w:w="57" w:type="dxa"/>
        </w:tblCellMar>
        <w:tblLook w:val="04A0" w:firstRow="1" w:lastRow="0" w:firstColumn="1" w:lastColumn="0" w:noHBand="0" w:noVBand="1"/>
      </w:tblPr>
      <w:tblGrid>
        <w:gridCol w:w="1555"/>
        <w:gridCol w:w="2409"/>
        <w:gridCol w:w="5103"/>
      </w:tblGrid>
      <w:tr w:rsidR="0053067A" w:rsidRPr="00EC57FB" w14:paraId="60C7CF63" w14:textId="77777777" w:rsidTr="00DC4191">
        <w:tc>
          <w:tcPr>
            <w:tcW w:w="9067" w:type="dxa"/>
            <w:gridSpan w:val="3"/>
          </w:tcPr>
          <w:p w14:paraId="3AD38CA8" w14:textId="77777777" w:rsidR="0053067A" w:rsidRPr="00EC57FB" w:rsidRDefault="0053067A" w:rsidP="002D3CBC">
            <w:pPr>
              <w:pStyle w:val="TableText0"/>
            </w:pPr>
            <w:r w:rsidRPr="00EC57FB">
              <w:t xml:space="preserve">Respiratory syncytial virus (RSV) vaccination schedule for prevention of lower respiratory tract infection </w:t>
            </w:r>
          </w:p>
        </w:tc>
      </w:tr>
      <w:tr w:rsidR="0053067A" w:rsidRPr="00EC57FB" w14:paraId="0521C565" w14:textId="77777777" w:rsidTr="00DC4191">
        <w:tc>
          <w:tcPr>
            <w:tcW w:w="9067" w:type="dxa"/>
            <w:gridSpan w:val="3"/>
          </w:tcPr>
          <w:p w14:paraId="6C6BF84E" w14:textId="77777777" w:rsidR="0053067A" w:rsidRPr="00EC57FB" w:rsidRDefault="0053067A" w:rsidP="002D3CBC">
            <w:pPr>
              <w:pStyle w:val="TableText0"/>
            </w:pPr>
            <w:r w:rsidRPr="00EC57FB">
              <w:t>Age(s) of administration(s) other restrictions or details:</w:t>
            </w:r>
          </w:p>
        </w:tc>
      </w:tr>
      <w:tr w:rsidR="0053067A" w:rsidRPr="00EC57FB" w14:paraId="1BC18812" w14:textId="77777777" w:rsidTr="00DC4191">
        <w:tc>
          <w:tcPr>
            <w:tcW w:w="1555" w:type="dxa"/>
          </w:tcPr>
          <w:p w14:paraId="7B9E6D4F" w14:textId="77777777" w:rsidR="0053067A" w:rsidRPr="00EC57FB" w:rsidRDefault="0053067A" w:rsidP="002D3CBC">
            <w:pPr>
              <w:pStyle w:val="TableText0"/>
              <w:rPr>
                <w:b/>
                <w:bCs w:val="0"/>
              </w:rPr>
            </w:pPr>
            <w:r w:rsidRPr="00EC57FB">
              <w:rPr>
                <w:b/>
                <w:bCs w:val="0"/>
              </w:rPr>
              <w:t>Disease</w:t>
            </w:r>
          </w:p>
        </w:tc>
        <w:tc>
          <w:tcPr>
            <w:tcW w:w="2409" w:type="dxa"/>
          </w:tcPr>
          <w:p w14:paraId="07D463B1" w14:textId="6430D0DC" w:rsidR="0053067A" w:rsidRPr="00EC57FB" w:rsidRDefault="00B84CBE" w:rsidP="002D3CBC">
            <w:pPr>
              <w:pStyle w:val="TableText0"/>
              <w:rPr>
                <w:b/>
                <w:bCs w:val="0"/>
              </w:rPr>
            </w:pPr>
            <w:r w:rsidRPr="00EC57FB">
              <w:rPr>
                <w:b/>
                <w:bCs w:val="0"/>
              </w:rPr>
              <w:t>Recommended Dosage</w:t>
            </w:r>
          </w:p>
        </w:tc>
        <w:tc>
          <w:tcPr>
            <w:tcW w:w="5103" w:type="dxa"/>
          </w:tcPr>
          <w:p w14:paraId="7A0137AB" w14:textId="77777777" w:rsidR="0053067A" w:rsidRPr="00EC57FB" w:rsidRDefault="0053067A" w:rsidP="002D3CBC">
            <w:pPr>
              <w:pStyle w:val="TableText0"/>
              <w:rPr>
                <w:b/>
                <w:bCs w:val="0"/>
              </w:rPr>
            </w:pPr>
            <w:r w:rsidRPr="00EC57FB">
              <w:rPr>
                <w:b/>
                <w:bCs w:val="0"/>
              </w:rPr>
              <w:t>Comments</w:t>
            </w:r>
          </w:p>
        </w:tc>
      </w:tr>
      <w:tr w:rsidR="0053067A" w:rsidRPr="00EC57FB" w14:paraId="00EF0755" w14:textId="77777777" w:rsidTr="00DC4191">
        <w:tc>
          <w:tcPr>
            <w:tcW w:w="1555" w:type="dxa"/>
          </w:tcPr>
          <w:p w14:paraId="6A8DD235" w14:textId="77777777" w:rsidR="0053067A" w:rsidRPr="00EC57FB" w:rsidRDefault="0053067A" w:rsidP="002D3CBC">
            <w:pPr>
              <w:pStyle w:val="TableText0"/>
            </w:pPr>
            <w:bookmarkStart w:id="32" w:name="_Hlk187965495"/>
            <w:r w:rsidRPr="00EC57FB">
              <w:rPr>
                <w:rFonts w:eastAsia="Times New Roman" w:cs="Arial"/>
                <w:szCs w:val="20"/>
              </w:rPr>
              <w:t>Neonates and infants born during or entering their first RSV season</w:t>
            </w:r>
          </w:p>
        </w:tc>
        <w:tc>
          <w:tcPr>
            <w:tcW w:w="2409" w:type="dxa"/>
          </w:tcPr>
          <w:p w14:paraId="5DC639E2" w14:textId="77777777" w:rsidR="0053067A" w:rsidRPr="00EC57FB" w:rsidRDefault="0053067A" w:rsidP="002D3CBC">
            <w:pPr>
              <w:pStyle w:val="TableText0"/>
              <w:rPr>
                <w:rFonts w:eastAsia="Times New Roman"/>
                <w:szCs w:val="20"/>
                <w:u w:val="single"/>
              </w:rPr>
            </w:pPr>
            <w:r w:rsidRPr="00EC57FB">
              <w:rPr>
                <w:rFonts w:eastAsia="Times New Roman"/>
                <w:szCs w:val="20"/>
                <w:u w:val="single"/>
              </w:rPr>
              <w:t>For infants weighing &lt;</w:t>
            </w:r>
            <w:r w:rsidRPr="00EC57FB">
              <w:rPr>
                <w:szCs w:val="20"/>
                <w:u w:val="single"/>
              </w:rPr>
              <w:t> </w:t>
            </w:r>
            <w:r w:rsidRPr="00EC57FB">
              <w:rPr>
                <w:rFonts w:eastAsia="Times New Roman"/>
                <w:szCs w:val="20"/>
                <w:u w:val="single"/>
              </w:rPr>
              <w:t>5</w:t>
            </w:r>
            <w:r w:rsidRPr="00EC57FB">
              <w:rPr>
                <w:szCs w:val="20"/>
                <w:u w:val="single"/>
              </w:rPr>
              <w:t> </w:t>
            </w:r>
            <w:r w:rsidRPr="00EC57FB">
              <w:rPr>
                <w:rFonts w:eastAsia="Times New Roman"/>
                <w:szCs w:val="20"/>
                <w:u w:val="single"/>
              </w:rPr>
              <w:t>kg:</w:t>
            </w:r>
          </w:p>
          <w:p w14:paraId="18A76BE5" w14:textId="77777777" w:rsidR="0053067A" w:rsidRPr="00EC57FB" w:rsidRDefault="0053067A" w:rsidP="002D3CBC">
            <w:pPr>
              <w:pStyle w:val="TableText0"/>
              <w:rPr>
                <w:rFonts w:eastAsia="Times New Roman"/>
                <w:szCs w:val="20"/>
              </w:rPr>
            </w:pPr>
            <w:r w:rsidRPr="00EC57FB">
              <w:rPr>
                <w:rFonts w:eastAsia="Times New Roman"/>
                <w:szCs w:val="20"/>
              </w:rPr>
              <w:t>a single intramuscular injection of nirsevimab 50 mg (0.5 mL)</w:t>
            </w:r>
          </w:p>
          <w:p w14:paraId="69E2ED08" w14:textId="77777777" w:rsidR="0053067A" w:rsidRPr="00EC57FB" w:rsidRDefault="0053067A" w:rsidP="002D3CBC">
            <w:pPr>
              <w:pStyle w:val="TableText0"/>
              <w:rPr>
                <w:rFonts w:eastAsia="Times New Roman"/>
                <w:szCs w:val="20"/>
                <w:u w:val="single"/>
              </w:rPr>
            </w:pPr>
            <w:r w:rsidRPr="00EC57FB">
              <w:rPr>
                <w:rFonts w:eastAsia="Times New Roman"/>
                <w:szCs w:val="20"/>
                <w:u w:val="single"/>
              </w:rPr>
              <w:t>For infants weighing ≥5kg:</w:t>
            </w:r>
          </w:p>
          <w:p w14:paraId="41AC38A1" w14:textId="77777777" w:rsidR="0053067A" w:rsidRPr="00EC57FB" w:rsidRDefault="0053067A" w:rsidP="002D3CBC">
            <w:pPr>
              <w:pStyle w:val="TableText0"/>
            </w:pPr>
            <w:r w:rsidRPr="00EC57FB">
              <w:rPr>
                <w:rFonts w:eastAsia="Times New Roman"/>
                <w:szCs w:val="20"/>
              </w:rPr>
              <w:t>a single intramuscular injection of nirsevimab 100 mg (1 mL)</w:t>
            </w:r>
          </w:p>
        </w:tc>
        <w:tc>
          <w:tcPr>
            <w:tcW w:w="5103" w:type="dxa"/>
          </w:tcPr>
          <w:p w14:paraId="07054179" w14:textId="77777777" w:rsidR="0053067A" w:rsidRPr="00EC57FB" w:rsidRDefault="0053067A" w:rsidP="002D3CBC">
            <w:pPr>
              <w:pStyle w:val="TableText0"/>
              <w:numPr>
                <w:ilvl w:val="0"/>
                <w:numId w:val="17"/>
              </w:numPr>
              <w:ind w:left="221" w:hanging="221"/>
              <w:rPr>
                <w:rFonts w:eastAsia="Times New Roman" w:cs="Calibri"/>
                <w:szCs w:val="20"/>
              </w:rPr>
            </w:pPr>
            <w:r w:rsidRPr="00EC57FB">
              <w:rPr>
                <w:rFonts w:eastAsia="Times New Roman" w:cs="Calibri"/>
                <w:szCs w:val="20"/>
              </w:rPr>
              <w:t>Patient’s mother was not vaccinated at least 2 weeks before delivery,</w:t>
            </w:r>
          </w:p>
          <w:p w14:paraId="6FAD6F48" w14:textId="77777777" w:rsidR="0053067A" w:rsidRPr="00EC57FB" w:rsidRDefault="0053067A" w:rsidP="002D3CBC">
            <w:pPr>
              <w:pStyle w:val="TableText0"/>
              <w:ind w:left="221" w:hanging="221"/>
              <w:rPr>
                <w:rFonts w:eastAsia="Times New Roman" w:cs="Calibri"/>
                <w:szCs w:val="20"/>
              </w:rPr>
            </w:pPr>
            <w:r w:rsidRPr="00EC57FB">
              <w:rPr>
                <w:rFonts w:eastAsia="Times New Roman" w:cs="Calibri"/>
                <w:szCs w:val="20"/>
              </w:rPr>
              <w:t>OR</w:t>
            </w:r>
          </w:p>
          <w:p w14:paraId="6B93236D" w14:textId="77777777" w:rsidR="0053067A" w:rsidRPr="00EC57FB" w:rsidRDefault="0053067A" w:rsidP="002D3CBC">
            <w:pPr>
              <w:pStyle w:val="TableText0"/>
              <w:numPr>
                <w:ilvl w:val="0"/>
                <w:numId w:val="17"/>
              </w:numPr>
              <w:ind w:left="221" w:hanging="221"/>
              <w:rPr>
                <w:rFonts w:eastAsia="Times New Roman" w:cs="Calibri"/>
                <w:szCs w:val="20"/>
              </w:rPr>
            </w:pPr>
            <w:r w:rsidRPr="00EC57FB">
              <w:rPr>
                <w:rFonts w:eastAsia="Times New Roman" w:cs="Calibri"/>
                <w:szCs w:val="20"/>
              </w:rPr>
              <w:t>Who are at increased risk of severe disease</w:t>
            </w:r>
          </w:p>
          <w:p w14:paraId="06C2F99F" w14:textId="77777777" w:rsidR="0053067A" w:rsidRPr="00EC57FB" w:rsidRDefault="0053067A" w:rsidP="002D3CBC">
            <w:pPr>
              <w:pStyle w:val="TableText0"/>
              <w:numPr>
                <w:ilvl w:val="0"/>
                <w:numId w:val="17"/>
              </w:numPr>
              <w:ind w:left="221" w:hanging="221"/>
            </w:pPr>
            <w:r w:rsidRPr="00EC57FB">
              <w:rPr>
                <w:rFonts w:eastAsia="Times New Roman" w:cs="Calibri"/>
                <w:szCs w:val="20"/>
              </w:rPr>
              <w:t>Special circumstances for infants in their first season can receive two doses</w:t>
            </w:r>
            <w:r w:rsidRPr="00EC57FB">
              <w:rPr>
                <w:rFonts w:eastAsia="Times New Roman" w:cs="Calibri"/>
                <w:szCs w:val="20"/>
                <w:vertAlign w:val="superscript"/>
              </w:rPr>
              <w:t>a,b</w:t>
            </w:r>
            <w:r w:rsidRPr="00EC57FB">
              <w:rPr>
                <w:rFonts w:eastAsia="Times New Roman" w:cs="Calibri"/>
                <w:szCs w:val="20"/>
              </w:rPr>
              <w:t xml:space="preserve"> </w:t>
            </w:r>
          </w:p>
        </w:tc>
      </w:tr>
      <w:tr w:rsidR="0053067A" w:rsidRPr="00EC57FB" w14:paraId="2017B7FB" w14:textId="77777777" w:rsidTr="00DC4191">
        <w:tc>
          <w:tcPr>
            <w:tcW w:w="1555" w:type="dxa"/>
          </w:tcPr>
          <w:p w14:paraId="6CF8EEB0" w14:textId="77777777" w:rsidR="0053067A" w:rsidRPr="00EC57FB" w:rsidRDefault="0053067A" w:rsidP="002D3CBC">
            <w:pPr>
              <w:pStyle w:val="TableText0"/>
            </w:pPr>
            <w:r w:rsidRPr="00EC57FB">
              <w:t>Children 12 to 24 months of age who remain vulnerable to severe RSV disease through their second RSV season</w:t>
            </w:r>
          </w:p>
        </w:tc>
        <w:tc>
          <w:tcPr>
            <w:tcW w:w="2409" w:type="dxa"/>
          </w:tcPr>
          <w:p w14:paraId="24E9D997" w14:textId="29965C09" w:rsidR="0053067A" w:rsidRPr="00EC57FB" w:rsidRDefault="0053067A" w:rsidP="002D3CBC">
            <w:pPr>
              <w:pStyle w:val="TableText0"/>
            </w:pPr>
            <w:r w:rsidRPr="00EC57FB">
              <w:t xml:space="preserve">Nirsevimab 200 mg administered as two intramuscular injections (2 </w:t>
            </w:r>
            <w:r w:rsidR="00CB55CD" w:rsidRPr="00EC57FB">
              <w:t>x</w:t>
            </w:r>
            <w:r w:rsidRPr="00EC57FB">
              <w:t xml:space="preserve"> 100 mg [1 mL]) during the same visit</w:t>
            </w:r>
          </w:p>
        </w:tc>
        <w:tc>
          <w:tcPr>
            <w:tcW w:w="5103" w:type="dxa"/>
          </w:tcPr>
          <w:p w14:paraId="3A4D3A6A" w14:textId="77777777" w:rsidR="0053067A" w:rsidRPr="00EC57FB" w:rsidRDefault="0053067A" w:rsidP="002D3CBC">
            <w:pPr>
              <w:pStyle w:val="TableText0"/>
            </w:pPr>
            <w:r w:rsidRPr="00EC57FB">
              <w:t>Conditions associated with increased risk of severe RSV disease in infants and young children:</w:t>
            </w:r>
          </w:p>
          <w:p w14:paraId="3FC6D611" w14:textId="77777777" w:rsidR="0053067A" w:rsidRPr="00EC57FB" w:rsidRDefault="0053067A" w:rsidP="002D3CBC">
            <w:pPr>
              <w:pStyle w:val="TableText0"/>
              <w:numPr>
                <w:ilvl w:val="0"/>
                <w:numId w:val="17"/>
              </w:numPr>
              <w:ind w:left="221" w:hanging="221"/>
              <w:rPr>
                <w:rFonts w:eastAsia="Times New Roman" w:cs="Calibri"/>
                <w:szCs w:val="20"/>
              </w:rPr>
            </w:pPr>
            <w:r w:rsidRPr="00EC57FB">
              <w:rPr>
                <w:rFonts w:eastAsia="Times New Roman" w:cs="Calibri"/>
                <w:szCs w:val="20"/>
              </w:rPr>
              <w:t>Preterm birth &lt; 32 weeks gestational age</w:t>
            </w:r>
          </w:p>
          <w:p w14:paraId="4A0F10AF" w14:textId="77777777" w:rsidR="0053067A" w:rsidRPr="00EC57FB" w:rsidRDefault="0053067A" w:rsidP="002D3CBC">
            <w:pPr>
              <w:pStyle w:val="TableText0"/>
              <w:numPr>
                <w:ilvl w:val="0"/>
                <w:numId w:val="17"/>
              </w:numPr>
              <w:ind w:left="221" w:hanging="221"/>
              <w:rPr>
                <w:rFonts w:eastAsia="Times New Roman" w:cs="Calibri"/>
                <w:szCs w:val="20"/>
              </w:rPr>
            </w:pPr>
            <w:r w:rsidRPr="00EC57FB">
              <w:rPr>
                <w:rFonts w:eastAsia="Times New Roman" w:cs="Calibri"/>
                <w:szCs w:val="20"/>
              </w:rPr>
              <w:t>Haemodynamically significant congenital heart disease</w:t>
            </w:r>
          </w:p>
          <w:p w14:paraId="3EFFE07E" w14:textId="77777777" w:rsidR="0053067A" w:rsidRPr="00EC57FB" w:rsidRDefault="0053067A" w:rsidP="002D3CBC">
            <w:pPr>
              <w:pStyle w:val="TableText0"/>
              <w:numPr>
                <w:ilvl w:val="0"/>
                <w:numId w:val="17"/>
              </w:numPr>
              <w:ind w:left="221" w:hanging="221"/>
              <w:rPr>
                <w:rFonts w:eastAsia="Times New Roman" w:cs="Calibri"/>
                <w:szCs w:val="20"/>
              </w:rPr>
            </w:pPr>
            <w:r w:rsidRPr="00EC57FB">
              <w:rPr>
                <w:rFonts w:eastAsia="Times New Roman" w:cs="Calibri"/>
                <w:szCs w:val="20"/>
              </w:rPr>
              <w:t>Significant immunosuppression, such as from solid organ transplant, haematopoietic stem cell transplant, or primary immune deficiencies such as severe combined immunodeficiency (SCID)</w:t>
            </w:r>
          </w:p>
          <w:p w14:paraId="79541038" w14:textId="77777777" w:rsidR="0053067A" w:rsidRPr="00EC57FB" w:rsidRDefault="0053067A" w:rsidP="002D3CBC">
            <w:pPr>
              <w:pStyle w:val="TableText0"/>
              <w:numPr>
                <w:ilvl w:val="0"/>
                <w:numId w:val="17"/>
              </w:numPr>
              <w:ind w:left="221" w:hanging="221"/>
              <w:rPr>
                <w:rFonts w:eastAsia="Times New Roman" w:cs="Calibri"/>
                <w:szCs w:val="20"/>
              </w:rPr>
            </w:pPr>
            <w:r w:rsidRPr="00EC57FB">
              <w:rPr>
                <w:rFonts w:eastAsia="Times New Roman" w:cs="Calibri"/>
                <w:szCs w:val="20"/>
              </w:rPr>
              <w:t>Chronic lung disease requiring ongoing oxygen or respiratory support</w:t>
            </w:r>
          </w:p>
          <w:p w14:paraId="28FF3B5E" w14:textId="77777777" w:rsidR="0053067A" w:rsidRPr="00EC57FB" w:rsidRDefault="0053067A" w:rsidP="002D3CBC">
            <w:pPr>
              <w:pStyle w:val="TableText0"/>
              <w:numPr>
                <w:ilvl w:val="0"/>
                <w:numId w:val="17"/>
              </w:numPr>
              <w:ind w:left="221" w:hanging="221"/>
              <w:rPr>
                <w:rFonts w:eastAsia="Times New Roman" w:cs="Calibri"/>
                <w:szCs w:val="20"/>
              </w:rPr>
            </w:pPr>
            <w:r w:rsidRPr="00EC57FB">
              <w:rPr>
                <w:rFonts w:eastAsia="Times New Roman" w:cs="Calibri"/>
                <w:szCs w:val="20"/>
              </w:rPr>
              <w:t>Neurological conditions that impair respiratory function</w:t>
            </w:r>
          </w:p>
          <w:p w14:paraId="629544E9" w14:textId="77777777" w:rsidR="0053067A" w:rsidRPr="00EC57FB" w:rsidRDefault="0053067A" w:rsidP="002D3CBC">
            <w:pPr>
              <w:pStyle w:val="TableText0"/>
              <w:numPr>
                <w:ilvl w:val="0"/>
                <w:numId w:val="17"/>
              </w:numPr>
              <w:ind w:left="221" w:hanging="221"/>
              <w:rPr>
                <w:rFonts w:eastAsia="Times New Roman" w:cs="Calibri"/>
                <w:szCs w:val="20"/>
              </w:rPr>
            </w:pPr>
            <w:r w:rsidRPr="00EC57FB">
              <w:rPr>
                <w:rFonts w:eastAsia="Times New Roman" w:cs="Calibri"/>
                <w:szCs w:val="20"/>
              </w:rPr>
              <w:t>Cystic fibrosis with severe lung disease or weight for length &lt; 10</w:t>
            </w:r>
            <w:r w:rsidRPr="00EC57FB">
              <w:rPr>
                <w:rFonts w:eastAsia="Times New Roman" w:cs="Calibri"/>
                <w:szCs w:val="20"/>
                <w:vertAlign w:val="superscript"/>
              </w:rPr>
              <w:t>th</w:t>
            </w:r>
            <w:r w:rsidRPr="00EC57FB">
              <w:rPr>
                <w:rFonts w:eastAsia="Times New Roman" w:cs="Calibri"/>
                <w:szCs w:val="20"/>
              </w:rPr>
              <w:t xml:space="preserve"> percentile</w:t>
            </w:r>
          </w:p>
          <w:p w14:paraId="13818E97" w14:textId="77777777" w:rsidR="0053067A" w:rsidRPr="00EC57FB" w:rsidRDefault="0053067A" w:rsidP="002D3CBC">
            <w:pPr>
              <w:pStyle w:val="TableText0"/>
              <w:numPr>
                <w:ilvl w:val="0"/>
                <w:numId w:val="17"/>
              </w:numPr>
              <w:ind w:left="221" w:hanging="221"/>
              <w:rPr>
                <w:rFonts w:eastAsia="Times New Roman" w:cs="Calibri"/>
                <w:szCs w:val="20"/>
              </w:rPr>
            </w:pPr>
            <w:r w:rsidRPr="00EC57FB">
              <w:rPr>
                <w:rFonts w:eastAsia="Times New Roman" w:cs="Calibri"/>
                <w:szCs w:val="20"/>
              </w:rPr>
              <w:t>Trisomy 21 or another genetic condition that increases the risk of severe RSV disease</w:t>
            </w:r>
          </w:p>
          <w:p w14:paraId="6C47F891" w14:textId="77777777" w:rsidR="0053067A" w:rsidRPr="00EC57FB" w:rsidRDefault="0053067A" w:rsidP="002D3CBC">
            <w:pPr>
              <w:pStyle w:val="TableText0"/>
              <w:ind w:left="221" w:hanging="221"/>
            </w:pPr>
            <w:r w:rsidRPr="00EC57FB">
              <w:t>Special circumstances for additional dose in second season</w:t>
            </w:r>
            <w:r w:rsidRPr="00EC57FB">
              <w:rPr>
                <w:vertAlign w:val="superscript"/>
              </w:rPr>
              <w:t>a,c</w:t>
            </w:r>
          </w:p>
        </w:tc>
      </w:tr>
    </w:tbl>
    <w:bookmarkEnd w:id="32"/>
    <w:p w14:paraId="48F9E1D6" w14:textId="77777777" w:rsidR="0053067A" w:rsidRPr="00EC57FB" w:rsidRDefault="0053067A" w:rsidP="002D3CBC">
      <w:pPr>
        <w:pStyle w:val="TableFigureFooter"/>
        <w:keepNext/>
        <w:keepLines/>
        <w:jc w:val="both"/>
      </w:pPr>
      <w:r w:rsidRPr="00EC57FB">
        <w:rPr>
          <w:vertAlign w:val="superscript"/>
        </w:rPr>
        <w:t>a</w:t>
      </w:r>
      <w:r w:rsidRPr="00EC57FB">
        <w:t xml:space="preserve"> For children undergoing cardiac surgery with cardiopulmonary bypass, an additional dose of nirsevimab is recommended as soon as the child is stable after surgery to ensure adequate nirsevimab serum levels. The recommended dosage of nirsevimab is administered as an IM injection</w:t>
      </w:r>
    </w:p>
    <w:p w14:paraId="3559BDC9" w14:textId="77777777" w:rsidR="0053067A" w:rsidRPr="00EC57FB" w:rsidRDefault="0053067A" w:rsidP="002D3CBC">
      <w:pPr>
        <w:pStyle w:val="TableFigureFooter"/>
        <w:keepNext/>
        <w:keepLines/>
        <w:jc w:val="both"/>
      </w:pPr>
      <w:r w:rsidRPr="00EC57FB">
        <w:rPr>
          <w:vertAlign w:val="superscript"/>
        </w:rPr>
        <w:t>b</w:t>
      </w:r>
      <w:r w:rsidRPr="00EC57FB">
        <w:t xml:space="preserve"> First RSV season:</w:t>
      </w:r>
    </w:p>
    <w:p w14:paraId="4ED2A933" w14:textId="77777777" w:rsidR="0053067A" w:rsidRPr="00EC57FB" w:rsidRDefault="0053067A" w:rsidP="002D3CBC">
      <w:pPr>
        <w:pStyle w:val="TableFigureFooter"/>
        <w:keepNext/>
        <w:keepLines/>
        <w:numPr>
          <w:ilvl w:val="0"/>
          <w:numId w:val="18"/>
        </w:numPr>
        <w:ind w:left="284" w:hanging="142"/>
        <w:jc w:val="both"/>
      </w:pPr>
      <w:r w:rsidRPr="00EC57FB">
        <w:t>If surgery is within 90 days after receiving nirsevimab, the additional dose should be based on body weight at the time of the additional dose</w:t>
      </w:r>
    </w:p>
    <w:p w14:paraId="02B1F9ED" w14:textId="77777777" w:rsidR="0053067A" w:rsidRPr="00EC57FB" w:rsidRDefault="0053067A" w:rsidP="002D3CBC">
      <w:pPr>
        <w:pStyle w:val="TableFigureFooter"/>
        <w:keepNext/>
        <w:keepLines/>
        <w:numPr>
          <w:ilvl w:val="0"/>
          <w:numId w:val="18"/>
        </w:numPr>
        <w:ind w:left="284" w:hanging="142"/>
        <w:jc w:val="both"/>
      </w:pPr>
      <w:r w:rsidRPr="00EC57FB">
        <w:t>If more than 90 days have elapsed since receiving nirsevimab, the additional dose should be 50 mg regardless of body weight</w:t>
      </w:r>
    </w:p>
    <w:p w14:paraId="00CD97E6" w14:textId="77777777" w:rsidR="0053067A" w:rsidRPr="00EC57FB" w:rsidRDefault="0053067A" w:rsidP="002D3CBC">
      <w:pPr>
        <w:pStyle w:val="TableFigureFooter"/>
        <w:keepNext/>
        <w:keepLines/>
        <w:jc w:val="both"/>
      </w:pPr>
      <w:r w:rsidRPr="00EC57FB">
        <w:rPr>
          <w:vertAlign w:val="superscript"/>
        </w:rPr>
        <w:t>c</w:t>
      </w:r>
      <w:r w:rsidRPr="00EC57FB">
        <w:t xml:space="preserve"> Second RSV season:</w:t>
      </w:r>
    </w:p>
    <w:p w14:paraId="6A48F8C5" w14:textId="77777777" w:rsidR="0053067A" w:rsidRPr="00EC57FB" w:rsidRDefault="0053067A" w:rsidP="002D3CBC">
      <w:pPr>
        <w:pStyle w:val="TableFigureFooter"/>
        <w:keepNext/>
        <w:keepLines/>
        <w:numPr>
          <w:ilvl w:val="0"/>
          <w:numId w:val="18"/>
        </w:numPr>
        <w:ind w:left="284" w:hanging="142"/>
        <w:jc w:val="both"/>
      </w:pPr>
      <w:r w:rsidRPr="00EC57FB">
        <w:t>If surgery is within 90 days after receiving nirsevimab, the additional dose should be 200 mg, regardless of body weight.</w:t>
      </w:r>
    </w:p>
    <w:p w14:paraId="0C7C8078" w14:textId="77777777" w:rsidR="0053067A" w:rsidRPr="00EC57FB" w:rsidRDefault="0053067A" w:rsidP="002D3CBC">
      <w:pPr>
        <w:pStyle w:val="TableFigureFooter"/>
        <w:keepNext/>
        <w:keepLines/>
        <w:numPr>
          <w:ilvl w:val="0"/>
          <w:numId w:val="18"/>
        </w:numPr>
        <w:ind w:left="284" w:hanging="142"/>
        <w:jc w:val="both"/>
      </w:pPr>
      <w:r w:rsidRPr="00EC57FB">
        <w:t>If more than 90 days have elapsed since receiving nirsevimab, the additional dose should be 100 mg, regardless of body weight</w:t>
      </w:r>
    </w:p>
    <w:p w14:paraId="2A4BAF81" w14:textId="7EDB7948" w:rsidR="0053067A" w:rsidRPr="00EC57FB" w:rsidRDefault="0053067A" w:rsidP="004D6BDE">
      <w:pPr>
        <w:pStyle w:val="TableFigureFooter"/>
        <w:spacing w:after="120"/>
        <w:jc w:val="both"/>
      </w:pPr>
      <w:r w:rsidRPr="00EC57FB">
        <w:t>Source: Table 1.4.2 on p35 of the resubmission</w:t>
      </w:r>
    </w:p>
    <w:p w14:paraId="3643B736" w14:textId="15D545B7" w:rsidR="00CA3338" w:rsidRPr="00EC57FB" w:rsidRDefault="00BF2ADF" w:rsidP="00CA3338">
      <w:pPr>
        <w:pStyle w:val="3-BodyText"/>
      </w:pPr>
      <w:r w:rsidRPr="00EC57FB">
        <w:rPr>
          <w:color w:val="000000" w:themeColor="text1"/>
        </w:rPr>
        <w:fldChar w:fldCharType="begin"/>
      </w:r>
      <w:r w:rsidRPr="00EC57FB">
        <w:rPr>
          <w:color w:val="000000" w:themeColor="text1"/>
        </w:rPr>
        <w:instrText xml:space="preserve"> REF _Ref183547805 \h </w:instrText>
      </w:r>
      <w:r w:rsidR="00A2511E" w:rsidRPr="00EC57FB">
        <w:rPr>
          <w:color w:val="000000" w:themeColor="text1"/>
        </w:rPr>
        <w:instrText xml:space="preserve"> \* MERGEFORMAT </w:instrText>
      </w:r>
      <w:r w:rsidRPr="00EC57FB">
        <w:rPr>
          <w:color w:val="000000" w:themeColor="text1"/>
        </w:rPr>
      </w:r>
      <w:r w:rsidRPr="00EC57FB">
        <w:rPr>
          <w:color w:val="000000" w:themeColor="text1"/>
        </w:rPr>
        <w:fldChar w:fldCharType="separate"/>
      </w:r>
      <w:r w:rsidR="00502C25" w:rsidRPr="00EC57FB">
        <w:t xml:space="preserve">Table </w:t>
      </w:r>
      <w:r w:rsidR="00502C25">
        <w:t>4</w:t>
      </w:r>
      <w:r w:rsidRPr="00EC57FB">
        <w:rPr>
          <w:color w:val="000000" w:themeColor="text1"/>
        </w:rPr>
        <w:fldChar w:fldCharType="end"/>
      </w:r>
      <w:r w:rsidR="001A30BE" w:rsidRPr="00EC57FB">
        <w:rPr>
          <w:color w:val="000000" w:themeColor="text1"/>
        </w:rPr>
        <w:t xml:space="preserve"> </w:t>
      </w:r>
      <w:r w:rsidR="004F0367" w:rsidRPr="00EC57FB">
        <w:rPr>
          <w:color w:val="000000" w:themeColor="text1"/>
        </w:rPr>
        <w:t>shows</w:t>
      </w:r>
      <w:r w:rsidR="001A30BE" w:rsidRPr="00EC57FB">
        <w:rPr>
          <w:color w:val="000000" w:themeColor="text1"/>
        </w:rPr>
        <w:t xml:space="preserve"> </w:t>
      </w:r>
      <w:r w:rsidR="00517A61" w:rsidRPr="00EC57FB">
        <w:rPr>
          <w:color w:val="000000" w:themeColor="text1"/>
        </w:rPr>
        <w:t xml:space="preserve">further </w:t>
      </w:r>
      <w:r w:rsidR="00CD7FE6" w:rsidRPr="00EC57FB">
        <w:rPr>
          <w:color w:val="000000" w:themeColor="text1"/>
        </w:rPr>
        <w:t>details</w:t>
      </w:r>
      <w:r w:rsidR="00517A61" w:rsidRPr="00EC57FB">
        <w:rPr>
          <w:color w:val="000000" w:themeColor="text1"/>
        </w:rPr>
        <w:t xml:space="preserve"> for NIP </w:t>
      </w:r>
      <w:r w:rsidR="001A30BE" w:rsidRPr="00EC57FB">
        <w:rPr>
          <w:color w:val="000000" w:themeColor="text1"/>
        </w:rPr>
        <w:t>listing of nirsevimab that would be consistent with the recommendations detailed in the</w:t>
      </w:r>
      <w:r w:rsidR="0049660F" w:rsidRPr="00EC57FB">
        <w:rPr>
          <w:color w:val="000000" w:themeColor="text1"/>
        </w:rPr>
        <w:t xml:space="preserve"> RSV chapter of the</w:t>
      </w:r>
      <w:r w:rsidR="001A30BE" w:rsidRPr="00EC57FB">
        <w:rPr>
          <w:color w:val="000000" w:themeColor="text1"/>
        </w:rPr>
        <w:t xml:space="preserve"> Austral</w:t>
      </w:r>
      <w:r w:rsidR="00F568B3" w:rsidRPr="00EC57FB">
        <w:rPr>
          <w:color w:val="000000" w:themeColor="text1"/>
        </w:rPr>
        <w:t>ian Immunisation Handbook (AIH)</w:t>
      </w:r>
      <w:r w:rsidR="00C60D38" w:rsidRPr="00EC57FB">
        <w:rPr>
          <w:color w:val="000000" w:themeColor="text1"/>
        </w:rPr>
        <w:t>.</w:t>
      </w:r>
      <w:r w:rsidR="00B4586D" w:rsidRPr="00EC57FB">
        <w:rPr>
          <w:color w:val="000000" w:themeColor="text1"/>
        </w:rPr>
        <w:t xml:space="preserve"> </w:t>
      </w:r>
      <w:r w:rsidR="00CA3338" w:rsidRPr="00EC57FB">
        <w:rPr>
          <w:iCs/>
        </w:rPr>
        <w:t xml:space="preserve">Notably, the AIH endorses the use of nirsevimab in high-risk infants entering their first RSV season </w:t>
      </w:r>
      <w:r w:rsidR="00CA3338" w:rsidRPr="00EC57FB">
        <w:rPr>
          <w:iCs/>
          <w:u w:val="single"/>
        </w:rPr>
        <w:t>regardless</w:t>
      </w:r>
      <w:r w:rsidR="00CA3338" w:rsidRPr="00EC57FB">
        <w:rPr>
          <w:iCs/>
        </w:rPr>
        <w:t xml:space="preserve"> of maternal vaccination with RSVpreF (see </w:t>
      </w:r>
      <w:r w:rsidR="00CA3338" w:rsidRPr="00EC57FB">
        <w:rPr>
          <w:iCs/>
        </w:rPr>
        <w:fldChar w:fldCharType="begin"/>
      </w:r>
      <w:r w:rsidR="00CA3338" w:rsidRPr="00EC57FB">
        <w:rPr>
          <w:iCs/>
        </w:rPr>
        <w:instrText xml:space="preserve"> REF _Ref183547805 \h  \* MERGEFORMAT </w:instrText>
      </w:r>
      <w:r w:rsidR="00CA3338" w:rsidRPr="00EC57FB">
        <w:rPr>
          <w:iCs/>
        </w:rPr>
      </w:r>
      <w:r w:rsidR="00CA3338" w:rsidRPr="00EC57FB">
        <w:rPr>
          <w:iCs/>
        </w:rPr>
        <w:fldChar w:fldCharType="separate"/>
      </w:r>
      <w:r w:rsidR="00502C25" w:rsidRPr="00EC57FB">
        <w:t xml:space="preserve">Table </w:t>
      </w:r>
      <w:r w:rsidR="00502C25">
        <w:t>4</w:t>
      </w:r>
      <w:r w:rsidR="00CA3338" w:rsidRPr="00EC57FB">
        <w:rPr>
          <w:iCs/>
        </w:rPr>
        <w:fldChar w:fldCharType="end"/>
      </w:r>
      <w:r w:rsidR="00CA3338" w:rsidRPr="00EC57FB">
        <w:rPr>
          <w:iCs/>
        </w:rPr>
        <w:t>).</w:t>
      </w:r>
    </w:p>
    <w:p w14:paraId="5A095F94" w14:textId="0AE2B2B4" w:rsidR="0063088F" w:rsidRPr="00EC57FB" w:rsidRDefault="0063088F" w:rsidP="0063088F">
      <w:pPr>
        <w:pStyle w:val="Caption"/>
      </w:pPr>
      <w:bookmarkStart w:id="33" w:name="_Ref183547805"/>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4</w:t>
      </w:r>
      <w:r w:rsidR="00C51E7C" w:rsidRPr="00EC57FB">
        <w:fldChar w:fldCharType="end"/>
      </w:r>
      <w:bookmarkEnd w:id="33"/>
      <w:r w:rsidR="00CC16B6" w:rsidRPr="00EC57FB">
        <w:t xml:space="preserve">: </w:t>
      </w:r>
      <w:r w:rsidR="003A57C1" w:rsidRPr="00EC57FB">
        <w:t>L</w:t>
      </w:r>
      <w:r w:rsidR="00570D1A" w:rsidRPr="00EC57FB">
        <w:t>isting of nirsevimab on the</w:t>
      </w:r>
      <w:r w:rsidR="001812E5" w:rsidRPr="00EC57FB">
        <w:t xml:space="preserve"> NIP </w:t>
      </w:r>
      <w:r w:rsidR="009F5AB9" w:rsidRPr="00EC57FB">
        <w:t xml:space="preserve">for prevention of </w:t>
      </w:r>
      <w:r w:rsidR="0055681A" w:rsidRPr="00EC57FB">
        <w:t xml:space="preserve">RSV infection in </w:t>
      </w:r>
      <w:r w:rsidR="009F5AB9" w:rsidRPr="00EC57FB">
        <w:t>infants and children</w:t>
      </w:r>
      <w:r w:rsidR="004076E9" w:rsidRPr="00EC57FB">
        <w:t xml:space="preserve"> that would be</w:t>
      </w:r>
      <w:r w:rsidR="003A57C1" w:rsidRPr="00EC57FB">
        <w:t xml:space="preserve"> in accordance with the</w:t>
      </w:r>
      <w:r w:rsidR="001B1509" w:rsidRPr="00EC57FB">
        <w:t xml:space="preserve"> Australian Immunisation Handbook</w:t>
      </w:r>
      <w:r w:rsidR="002F6BFE" w:rsidRPr="00EC57FB">
        <w:t xml:space="preserve"> (</w:t>
      </w:r>
      <w:r w:rsidR="00EC4077" w:rsidRPr="00EC57FB">
        <w:t xml:space="preserve">last updated </w:t>
      </w:r>
      <w:r w:rsidR="00822114" w:rsidRPr="00EC57FB">
        <w:t>17 January</w:t>
      </w:r>
      <w:r w:rsidR="002F6BFE" w:rsidRPr="00EC57FB">
        <w:t xml:space="preserve"> 202</w:t>
      </w:r>
      <w:r w:rsidR="00822114" w:rsidRPr="00EC57FB">
        <w:t>5</w:t>
      </w:r>
      <w:r w:rsidR="002F6BFE" w:rsidRPr="00EC57FB">
        <w:t>)</w:t>
      </w:r>
    </w:p>
    <w:tbl>
      <w:tblPr>
        <w:tblStyle w:val="TableGrid"/>
        <w:tblW w:w="9067" w:type="dxa"/>
        <w:tblLook w:val="04A0" w:firstRow="1" w:lastRow="0" w:firstColumn="1" w:lastColumn="0" w:noHBand="0" w:noVBand="1"/>
      </w:tblPr>
      <w:tblGrid>
        <w:gridCol w:w="1472"/>
        <w:gridCol w:w="2209"/>
        <w:gridCol w:w="5386"/>
      </w:tblGrid>
      <w:tr w:rsidR="00DA2FF6" w:rsidRPr="00EC57FB" w14:paraId="32A6A1B1" w14:textId="77777777" w:rsidTr="00DA2FF6">
        <w:tc>
          <w:tcPr>
            <w:tcW w:w="1472" w:type="dxa"/>
          </w:tcPr>
          <w:p w14:paraId="54AF6E46" w14:textId="35EF57B8" w:rsidR="00DA2FF6" w:rsidRPr="00EC57FB" w:rsidRDefault="00DA2FF6" w:rsidP="008C4806">
            <w:pPr>
              <w:pStyle w:val="TableText0"/>
              <w:rPr>
                <w:b/>
                <w:bCs w:val="0"/>
              </w:rPr>
            </w:pPr>
            <w:r w:rsidRPr="00EC57FB">
              <w:rPr>
                <w:b/>
                <w:bCs w:val="0"/>
              </w:rPr>
              <w:t>Age</w:t>
            </w:r>
          </w:p>
        </w:tc>
        <w:tc>
          <w:tcPr>
            <w:tcW w:w="2209" w:type="dxa"/>
          </w:tcPr>
          <w:p w14:paraId="692668EA" w14:textId="5120F146" w:rsidR="00DA2FF6" w:rsidRPr="00EC57FB" w:rsidRDefault="00DA2FF6" w:rsidP="008C4806">
            <w:pPr>
              <w:pStyle w:val="TableText0"/>
              <w:rPr>
                <w:b/>
                <w:bCs w:val="0"/>
              </w:rPr>
            </w:pPr>
            <w:r w:rsidRPr="00EC57FB">
              <w:rPr>
                <w:b/>
                <w:bCs w:val="0"/>
              </w:rPr>
              <w:t>Dose</w:t>
            </w:r>
          </w:p>
        </w:tc>
        <w:tc>
          <w:tcPr>
            <w:tcW w:w="5386" w:type="dxa"/>
          </w:tcPr>
          <w:p w14:paraId="0193D205" w14:textId="3E1724AE" w:rsidR="00DA2FF6" w:rsidRPr="00EC57FB" w:rsidRDefault="00DA2FF6" w:rsidP="008C4806">
            <w:pPr>
              <w:pStyle w:val="TableText0"/>
              <w:rPr>
                <w:b/>
                <w:bCs w:val="0"/>
              </w:rPr>
            </w:pPr>
            <w:r w:rsidRPr="00EC57FB">
              <w:rPr>
                <w:b/>
                <w:bCs w:val="0"/>
              </w:rPr>
              <w:t>Notes</w:t>
            </w:r>
          </w:p>
        </w:tc>
      </w:tr>
      <w:tr w:rsidR="00DA2FF6" w:rsidRPr="00EC57FB" w14:paraId="7ED11FA3" w14:textId="77777777" w:rsidTr="00DA2FF6">
        <w:tc>
          <w:tcPr>
            <w:tcW w:w="1472" w:type="dxa"/>
          </w:tcPr>
          <w:p w14:paraId="3D95D68C" w14:textId="4F77CB90" w:rsidR="00DA2FF6" w:rsidRPr="00EC57FB" w:rsidRDefault="00DA2FF6" w:rsidP="008C4806">
            <w:pPr>
              <w:pStyle w:val="TableText0"/>
            </w:pPr>
            <w:r w:rsidRPr="00EC57FB">
              <w:t xml:space="preserve">Birth to </w:t>
            </w:r>
            <w:r w:rsidR="00CF1453" w:rsidRPr="00EC57FB">
              <w:t>&lt;</w:t>
            </w:r>
            <w:r w:rsidR="00A37F6B" w:rsidRPr="00EC57FB">
              <w:t> </w:t>
            </w:r>
            <w:r w:rsidRPr="00EC57FB">
              <w:t>8 months</w:t>
            </w:r>
          </w:p>
        </w:tc>
        <w:tc>
          <w:tcPr>
            <w:tcW w:w="2209" w:type="dxa"/>
          </w:tcPr>
          <w:p w14:paraId="40096DC4" w14:textId="204CA3D3" w:rsidR="00DA2FF6" w:rsidRPr="00EC57FB" w:rsidRDefault="00DA2FF6" w:rsidP="004E2B2A">
            <w:pPr>
              <w:pStyle w:val="TableText0"/>
            </w:pPr>
            <w:r w:rsidRPr="00EC57FB">
              <w:t>For infants weighing &lt; 5 kg: a single intramuscular injection of nirsevimab 50 mg (0.5 mL)</w:t>
            </w:r>
          </w:p>
          <w:p w14:paraId="44C4D185" w14:textId="77777777" w:rsidR="00DA2FF6" w:rsidRPr="00EC57FB" w:rsidRDefault="00DA2FF6" w:rsidP="007C40D4">
            <w:pPr>
              <w:pStyle w:val="TableText0"/>
            </w:pPr>
          </w:p>
          <w:p w14:paraId="38548B22" w14:textId="77DC9BBA" w:rsidR="00DA2FF6" w:rsidRPr="00EC57FB" w:rsidRDefault="00DA2FF6" w:rsidP="007C40D4">
            <w:pPr>
              <w:pStyle w:val="TableText0"/>
            </w:pPr>
            <w:r w:rsidRPr="00EC57FB">
              <w:t>For infants weighing ≥ 5 kg: a single intramuscular injection of nirsevimab 100 mg (1 mL)</w:t>
            </w:r>
          </w:p>
        </w:tc>
        <w:tc>
          <w:tcPr>
            <w:tcW w:w="5386" w:type="dxa"/>
          </w:tcPr>
          <w:p w14:paraId="68766FD4" w14:textId="4EA16AF0" w:rsidR="00DA2FF6" w:rsidRPr="00EC57FB" w:rsidRDefault="00DA2FF6" w:rsidP="008C4806">
            <w:pPr>
              <w:pStyle w:val="TableText0"/>
            </w:pPr>
            <w:r w:rsidRPr="00EC57FB">
              <w:t>Administer to infants where the mother did not receive RSVpreF (Abrysvo®) during pregnancy</w:t>
            </w:r>
            <w:r w:rsidR="00B36114" w:rsidRPr="00EC57FB">
              <w:t xml:space="preserve"> (Population </w:t>
            </w:r>
            <w:r w:rsidR="002D772E" w:rsidRPr="00EC57FB">
              <w:t>A</w:t>
            </w:r>
            <w:r w:rsidR="00B36114" w:rsidRPr="00EC57FB">
              <w:t xml:space="preserve"> in </w:t>
            </w:r>
            <w:r w:rsidR="00933E91" w:rsidRPr="00EC57FB">
              <w:fldChar w:fldCharType="begin"/>
            </w:r>
            <w:r w:rsidR="00933E91" w:rsidRPr="00EC57FB">
              <w:instrText xml:space="preserve"> REF _Ref188054881 \h </w:instrText>
            </w:r>
            <w:r w:rsidR="006D3A46" w:rsidRPr="00EC57FB">
              <w:instrText xml:space="preserve"> \* MERGEFORMAT </w:instrText>
            </w:r>
            <w:r w:rsidR="00933E91" w:rsidRPr="00EC57FB">
              <w:fldChar w:fldCharType="separate"/>
            </w:r>
            <w:r w:rsidR="00502C25" w:rsidRPr="00EC57FB">
              <w:t xml:space="preserve">Figure </w:t>
            </w:r>
            <w:r w:rsidR="00502C25">
              <w:t>1</w:t>
            </w:r>
            <w:r w:rsidR="00933E91" w:rsidRPr="00EC57FB">
              <w:fldChar w:fldCharType="end"/>
            </w:r>
            <w:r w:rsidR="00B36114" w:rsidRPr="00EC57FB">
              <w:t>)</w:t>
            </w:r>
            <w:r w:rsidRPr="00EC57FB">
              <w:t>.</w:t>
            </w:r>
          </w:p>
          <w:p w14:paraId="3C465EB0" w14:textId="37659282" w:rsidR="00F42965" w:rsidRPr="00EC57FB" w:rsidRDefault="00F42965" w:rsidP="008C4806">
            <w:pPr>
              <w:pStyle w:val="TableText0"/>
            </w:pPr>
            <w:r w:rsidRPr="00EC57FB">
              <w:t>OR</w:t>
            </w:r>
          </w:p>
          <w:p w14:paraId="2F838DA2" w14:textId="4D855692" w:rsidR="00DA2FF6" w:rsidRPr="00EC57FB" w:rsidRDefault="00DA2FF6" w:rsidP="008C4806">
            <w:pPr>
              <w:pStyle w:val="TableText0"/>
            </w:pPr>
            <w:r w:rsidRPr="00EC57FB">
              <w:t>Administer to infants</w:t>
            </w:r>
            <w:r w:rsidR="007019A3" w:rsidRPr="00EC57FB">
              <w:t>,</w:t>
            </w:r>
            <w:r w:rsidRPr="00EC57FB">
              <w:t xml:space="preserve"> regardless of maternal vaccination</w:t>
            </w:r>
            <w:r w:rsidR="007019A3" w:rsidRPr="00EC57FB">
              <w:t>,</w:t>
            </w:r>
            <w:r w:rsidRPr="00EC57FB">
              <w:t xml:space="preserve"> if the infant has one of the following risk conditions</w:t>
            </w:r>
            <w:r w:rsidR="001C3FE2" w:rsidRPr="00EC57FB">
              <w:t xml:space="preserve"> (Population </w:t>
            </w:r>
            <w:r w:rsidR="004703B3" w:rsidRPr="00EC57FB">
              <w:t>C</w:t>
            </w:r>
            <w:r w:rsidR="001C3FE2" w:rsidRPr="00EC57FB">
              <w:t xml:space="preserve"> in </w:t>
            </w:r>
            <w:r w:rsidR="004703B3" w:rsidRPr="00EC57FB">
              <w:fldChar w:fldCharType="begin"/>
            </w:r>
            <w:r w:rsidR="004703B3" w:rsidRPr="00EC57FB">
              <w:instrText xml:space="preserve"> REF _Ref188054881 \h </w:instrText>
            </w:r>
            <w:r w:rsidR="006D3A46" w:rsidRPr="00EC57FB">
              <w:instrText xml:space="preserve"> \* MERGEFORMAT </w:instrText>
            </w:r>
            <w:r w:rsidR="004703B3" w:rsidRPr="00EC57FB">
              <w:fldChar w:fldCharType="separate"/>
            </w:r>
            <w:r w:rsidR="00502C25" w:rsidRPr="00EC57FB">
              <w:t xml:space="preserve">Figure </w:t>
            </w:r>
            <w:r w:rsidR="00502C25">
              <w:t>1</w:t>
            </w:r>
            <w:r w:rsidR="004703B3" w:rsidRPr="00EC57FB">
              <w:fldChar w:fldCharType="end"/>
            </w:r>
            <w:r w:rsidR="001C3FE2" w:rsidRPr="00EC57FB">
              <w:t>)</w:t>
            </w:r>
            <w:r w:rsidRPr="00EC57FB">
              <w:t>:</w:t>
            </w:r>
          </w:p>
          <w:p w14:paraId="25F96738" w14:textId="77777777" w:rsidR="00DA2FF6" w:rsidRPr="00EC57FB" w:rsidRDefault="00DA2FF6" w:rsidP="00A369BF">
            <w:pPr>
              <w:pStyle w:val="TableText0"/>
              <w:numPr>
                <w:ilvl w:val="0"/>
                <w:numId w:val="15"/>
              </w:numPr>
              <w:ind w:left="360"/>
            </w:pPr>
            <w:bookmarkStart w:id="34" w:name="_Hlk184501242"/>
            <w:r w:rsidRPr="00EC57FB">
              <w:t>preterm birth (&lt; 32 weeks gestational age)</w:t>
            </w:r>
          </w:p>
          <w:p w14:paraId="00329BAF" w14:textId="77777777" w:rsidR="00DA2FF6" w:rsidRPr="00EC57FB" w:rsidRDefault="00DA2FF6" w:rsidP="00A369BF">
            <w:pPr>
              <w:pStyle w:val="TableText0"/>
              <w:numPr>
                <w:ilvl w:val="0"/>
                <w:numId w:val="15"/>
              </w:numPr>
              <w:ind w:left="360"/>
            </w:pPr>
            <w:r w:rsidRPr="00EC57FB">
              <w:t>haemodynamically significant congenital heart disease</w:t>
            </w:r>
          </w:p>
          <w:p w14:paraId="3849ACD9" w14:textId="1CB4596F" w:rsidR="00DA2FF6" w:rsidRPr="00EC57FB" w:rsidRDefault="00DA2FF6" w:rsidP="00A369BF">
            <w:pPr>
              <w:pStyle w:val="TableText0"/>
              <w:numPr>
                <w:ilvl w:val="0"/>
                <w:numId w:val="15"/>
              </w:numPr>
              <w:ind w:left="360"/>
            </w:pPr>
            <w:r w:rsidRPr="00EC57FB">
              <w:t>significant immunosuppression (such as solid organ transplant, haematopoietic stem cell transplant, or primary immune deficiency such as severe combined immunodeficiency)</w:t>
            </w:r>
          </w:p>
          <w:p w14:paraId="3D78DD0F" w14:textId="77777777" w:rsidR="00DA2FF6" w:rsidRPr="00EC57FB" w:rsidRDefault="00DA2FF6" w:rsidP="00A369BF">
            <w:pPr>
              <w:pStyle w:val="TableText0"/>
              <w:numPr>
                <w:ilvl w:val="0"/>
                <w:numId w:val="15"/>
              </w:numPr>
              <w:ind w:left="360"/>
            </w:pPr>
            <w:r w:rsidRPr="00EC57FB">
              <w:t>chronic lung disease that requires ongoing oxygen or respiratory support</w:t>
            </w:r>
          </w:p>
          <w:p w14:paraId="1A81B496" w14:textId="77777777" w:rsidR="00DA2FF6" w:rsidRPr="00EC57FB" w:rsidRDefault="00DA2FF6" w:rsidP="00A369BF">
            <w:pPr>
              <w:pStyle w:val="TableText0"/>
              <w:numPr>
                <w:ilvl w:val="0"/>
                <w:numId w:val="15"/>
              </w:numPr>
              <w:ind w:left="360"/>
            </w:pPr>
            <w:r w:rsidRPr="00EC57FB">
              <w:t>neurological conditions that impair regulatory function</w:t>
            </w:r>
          </w:p>
          <w:p w14:paraId="1F7F828E" w14:textId="77777777" w:rsidR="00DA2FF6" w:rsidRPr="00EC57FB" w:rsidRDefault="00DA2FF6" w:rsidP="00A369BF">
            <w:pPr>
              <w:pStyle w:val="TableText0"/>
              <w:numPr>
                <w:ilvl w:val="0"/>
                <w:numId w:val="15"/>
              </w:numPr>
              <w:ind w:left="360"/>
            </w:pPr>
            <w:r w:rsidRPr="00EC57FB">
              <w:t>cystic fibrosis with severe lung disease or weight for length &lt; 10</w:t>
            </w:r>
            <w:r w:rsidRPr="00EC57FB">
              <w:rPr>
                <w:vertAlign w:val="superscript"/>
              </w:rPr>
              <w:t>th</w:t>
            </w:r>
            <w:r w:rsidRPr="00EC57FB">
              <w:t xml:space="preserve"> percentile</w:t>
            </w:r>
          </w:p>
          <w:p w14:paraId="5FEAB45D" w14:textId="70265B78" w:rsidR="00DA2FF6" w:rsidRPr="00EC57FB" w:rsidRDefault="00DA2FF6" w:rsidP="00A369BF">
            <w:pPr>
              <w:pStyle w:val="TableText0"/>
              <w:numPr>
                <w:ilvl w:val="0"/>
                <w:numId w:val="15"/>
              </w:numPr>
              <w:ind w:left="360"/>
            </w:pPr>
            <w:r w:rsidRPr="00EC57FB">
              <w:t>trisomy 21 or another genetic condition that increases the risk of RSV</w:t>
            </w:r>
          </w:p>
          <w:bookmarkEnd w:id="34"/>
          <w:p w14:paraId="54537195" w14:textId="5215C914" w:rsidR="00DA2FF6" w:rsidRPr="00EC57FB" w:rsidRDefault="00DA2FF6" w:rsidP="008C4806">
            <w:pPr>
              <w:pStyle w:val="TableText0"/>
            </w:pPr>
            <w:r w:rsidRPr="00EC57FB">
              <w:t>OR</w:t>
            </w:r>
          </w:p>
          <w:p w14:paraId="4BE9E810" w14:textId="169E2CE5" w:rsidR="00DA2FF6" w:rsidRPr="00EC57FB" w:rsidRDefault="00DA2FF6" w:rsidP="008C4806">
            <w:pPr>
              <w:pStyle w:val="TableText0"/>
            </w:pPr>
            <w:r w:rsidRPr="00EC57FB">
              <w:t>if the infant has suboptimal RSV antibod</w:t>
            </w:r>
            <w:r w:rsidR="00A26436" w:rsidRPr="00EC57FB">
              <w:t>ies despite the mother having received the RSVpreF vaccine</w:t>
            </w:r>
            <w:r w:rsidRPr="00EC57FB">
              <w:t xml:space="preserve"> </w:t>
            </w:r>
            <w:r w:rsidR="00EA4B07" w:rsidRPr="00EC57FB">
              <w:t xml:space="preserve">(Population </w:t>
            </w:r>
            <w:r w:rsidR="00822114" w:rsidRPr="00EC57FB">
              <w:t>B</w:t>
            </w:r>
            <w:r w:rsidR="00EA4B07" w:rsidRPr="00EC57FB">
              <w:t xml:space="preserve"> in </w:t>
            </w:r>
            <w:r w:rsidR="00822114" w:rsidRPr="00EC57FB">
              <w:fldChar w:fldCharType="begin"/>
            </w:r>
            <w:r w:rsidR="00822114" w:rsidRPr="00EC57FB">
              <w:instrText xml:space="preserve"> REF _Ref188054881 \h  \* MERGEFORMAT </w:instrText>
            </w:r>
            <w:r w:rsidR="00822114" w:rsidRPr="00EC57FB">
              <w:fldChar w:fldCharType="separate"/>
            </w:r>
            <w:r w:rsidR="00502C25" w:rsidRPr="00EC57FB">
              <w:t xml:space="preserve">Figure </w:t>
            </w:r>
            <w:r w:rsidR="00502C25">
              <w:t>1</w:t>
            </w:r>
            <w:r w:rsidR="00822114" w:rsidRPr="00EC57FB">
              <w:fldChar w:fldCharType="end"/>
            </w:r>
            <w:r w:rsidR="00EA4B07" w:rsidRPr="00EC57FB">
              <w:t>)</w:t>
            </w:r>
            <w:r w:rsidR="003A4C5F" w:rsidRPr="00EC57FB">
              <w:t xml:space="preserve"> because</w:t>
            </w:r>
          </w:p>
          <w:p w14:paraId="63DEECD2" w14:textId="6C0C14AE" w:rsidR="00DA2FF6" w:rsidRPr="00EC57FB" w:rsidRDefault="003A4C5F" w:rsidP="00A369BF">
            <w:pPr>
              <w:pStyle w:val="TableText0"/>
              <w:numPr>
                <w:ilvl w:val="0"/>
                <w:numId w:val="15"/>
              </w:numPr>
              <w:ind w:left="360"/>
            </w:pPr>
            <w:bookmarkStart w:id="35" w:name="_Hlk187071419"/>
            <w:r w:rsidRPr="00EC57FB">
              <w:t xml:space="preserve">the mother </w:t>
            </w:r>
            <w:r w:rsidR="00DA2FF6" w:rsidRPr="00EC57FB">
              <w:t>received RSV vaccine in pregnancy at a time of severe immunosuppression</w:t>
            </w:r>
          </w:p>
          <w:p w14:paraId="50DBED53" w14:textId="43D4B4D6" w:rsidR="0030260F" w:rsidRPr="00EC57FB" w:rsidRDefault="003A4C5F" w:rsidP="00A369BF">
            <w:pPr>
              <w:pStyle w:val="TableText0"/>
              <w:numPr>
                <w:ilvl w:val="0"/>
                <w:numId w:val="15"/>
              </w:numPr>
              <w:ind w:left="360"/>
            </w:pPr>
            <w:r w:rsidRPr="00EC57FB">
              <w:t>the infant</w:t>
            </w:r>
            <w:r w:rsidR="0030260F" w:rsidRPr="00EC57FB">
              <w:t xml:space="preserve"> subsequently under</w:t>
            </w:r>
            <w:r w:rsidR="00F00F8F" w:rsidRPr="00EC57FB">
              <w:t>went</w:t>
            </w:r>
            <w:r w:rsidR="0030260F" w:rsidRPr="00EC57FB">
              <w:t xml:space="preserve"> a treatment</w:t>
            </w:r>
            <w:r w:rsidR="00F00F8F" w:rsidRPr="00EC57FB">
              <w:t xml:space="preserve"> that </w:t>
            </w:r>
            <w:r w:rsidR="000F1DCA" w:rsidRPr="00EC57FB">
              <w:t>likely</w:t>
            </w:r>
            <w:r w:rsidR="00F00F8F" w:rsidRPr="00EC57FB">
              <w:t xml:space="preserve"> led to loss of maternal antibodies</w:t>
            </w:r>
            <w:r w:rsidR="0030260F" w:rsidRPr="00EC57FB">
              <w:t xml:space="preserve"> </w:t>
            </w:r>
            <w:r w:rsidR="000F1DCA" w:rsidRPr="00EC57FB">
              <w:t>(</w:t>
            </w:r>
            <w:r w:rsidR="0030260F" w:rsidRPr="00EC57FB">
              <w:t>such as cardiopulmonary bypass or extracorporeal membrane oxygenation</w:t>
            </w:r>
            <w:r w:rsidR="000F1DCA" w:rsidRPr="00EC57FB">
              <w:t>)</w:t>
            </w:r>
            <w:r w:rsidR="0030260F" w:rsidRPr="00EC57FB">
              <w:t xml:space="preserve"> </w:t>
            </w:r>
            <w:bookmarkEnd w:id="35"/>
          </w:p>
          <w:p w14:paraId="1E6A5BC3" w14:textId="5575FAAC" w:rsidR="00FD66DC" w:rsidRPr="00EC57FB" w:rsidRDefault="00445025" w:rsidP="00A369BF">
            <w:pPr>
              <w:pStyle w:val="TableText0"/>
              <w:numPr>
                <w:ilvl w:val="0"/>
                <w:numId w:val="15"/>
              </w:numPr>
              <w:ind w:left="360"/>
            </w:pPr>
            <w:r w:rsidRPr="00EC57FB">
              <w:t xml:space="preserve">The mother </w:t>
            </w:r>
            <w:r w:rsidR="002F3E92" w:rsidRPr="00EC57FB">
              <w:t>was vaccinated within 2 weeks of the infant’s delivery</w:t>
            </w:r>
          </w:p>
        </w:tc>
      </w:tr>
      <w:tr w:rsidR="00F0050F" w:rsidRPr="00EC57FB" w14:paraId="3B7EAF29" w14:textId="77777777" w:rsidTr="00DA2FF6">
        <w:tc>
          <w:tcPr>
            <w:tcW w:w="1472" w:type="dxa"/>
          </w:tcPr>
          <w:p w14:paraId="457124B3" w14:textId="47AD3359" w:rsidR="00F0050F" w:rsidRPr="00EC57FB" w:rsidRDefault="00E05716" w:rsidP="008C4806">
            <w:pPr>
              <w:pStyle w:val="TableText0"/>
            </w:pPr>
            <w:r w:rsidRPr="00EC57FB">
              <w:t>≥</w:t>
            </w:r>
            <w:r w:rsidR="00A37F6B" w:rsidRPr="00EC57FB">
              <w:t> </w:t>
            </w:r>
            <w:r w:rsidR="00D370C5" w:rsidRPr="00EC57FB">
              <w:t>8 months to &lt;</w:t>
            </w:r>
            <w:r w:rsidR="00A37F6B" w:rsidRPr="00EC57FB">
              <w:t> </w:t>
            </w:r>
            <w:r w:rsidR="00D370C5" w:rsidRPr="00EC57FB">
              <w:t>24 months</w:t>
            </w:r>
          </w:p>
        </w:tc>
        <w:tc>
          <w:tcPr>
            <w:tcW w:w="2209" w:type="dxa"/>
          </w:tcPr>
          <w:p w14:paraId="2099BB66" w14:textId="44C8B505" w:rsidR="00F0050F" w:rsidRPr="00EC57FB" w:rsidRDefault="003B625B" w:rsidP="004E2B2A">
            <w:pPr>
              <w:pStyle w:val="TableText0"/>
            </w:pPr>
            <w:r w:rsidRPr="00EC57FB">
              <w:t>For older children entering their second RSV season:</w:t>
            </w:r>
            <w:r w:rsidR="00AF4C38" w:rsidRPr="00EC57FB">
              <w:t xml:space="preserve"> </w:t>
            </w:r>
            <w:r w:rsidRPr="00EC57FB">
              <w:t>200 mg, given as 2 intramuscular injections (2</w:t>
            </w:r>
            <w:r w:rsidR="004C6CE3" w:rsidRPr="00EC57FB">
              <w:t> </w:t>
            </w:r>
            <m:oMath>
              <m:r>
                <m:rPr>
                  <m:sty m:val="p"/>
                </m:rPr>
                <w:rPr>
                  <w:rFonts w:ascii="Cambria Math" w:hAnsi="Cambria Math"/>
                </w:rPr>
                <m:t>×</m:t>
              </m:r>
            </m:oMath>
            <w:r w:rsidR="00EC4077" w:rsidRPr="00EC57FB">
              <w:t> </w:t>
            </w:r>
            <w:r w:rsidRPr="00EC57FB">
              <w:t xml:space="preserve">1 mL of the </w:t>
            </w:r>
            <w:r w:rsidR="004D6BDE" w:rsidRPr="00EC57FB">
              <w:t>100</w:t>
            </w:r>
            <w:r w:rsidR="004D6BDE">
              <w:t> </w:t>
            </w:r>
            <w:r w:rsidRPr="00EC57FB">
              <w:t>mg/mL formulation) at 2 different sites (preferably separate limbs, or else separated by 2.5 cm) during the same visit</w:t>
            </w:r>
          </w:p>
        </w:tc>
        <w:tc>
          <w:tcPr>
            <w:tcW w:w="5386" w:type="dxa"/>
          </w:tcPr>
          <w:p w14:paraId="484CFFB6" w14:textId="3800C0D5" w:rsidR="00F0050F" w:rsidRPr="00EC57FB" w:rsidRDefault="00231E23" w:rsidP="008C4806">
            <w:pPr>
              <w:pStyle w:val="TableText0"/>
            </w:pPr>
            <w:r w:rsidRPr="00EC57FB">
              <w:t>Administer to infants and young children if at risk of severe RSV infection due to</w:t>
            </w:r>
            <w:r w:rsidR="003F647E" w:rsidRPr="00EC57FB">
              <w:t xml:space="preserve"> one of the following risk conditions</w:t>
            </w:r>
            <w:r w:rsidR="005C70FA" w:rsidRPr="00EC57FB">
              <w:t xml:space="preserve"> (Population </w:t>
            </w:r>
            <w:r w:rsidR="0038708F" w:rsidRPr="00EC57FB">
              <w:t>D</w:t>
            </w:r>
            <w:r w:rsidR="005C70FA" w:rsidRPr="00EC57FB">
              <w:t xml:space="preserve"> in </w:t>
            </w:r>
            <w:r w:rsidR="0038708F" w:rsidRPr="00EC57FB">
              <w:fldChar w:fldCharType="begin"/>
            </w:r>
            <w:r w:rsidR="0038708F" w:rsidRPr="00EC57FB">
              <w:instrText xml:space="preserve"> REF _Ref188054881 \h  \* MERGEFORMAT </w:instrText>
            </w:r>
            <w:r w:rsidR="0038708F" w:rsidRPr="00EC57FB">
              <w:fldChar w:fldCharType="separate"/>
            </w:r>
            <w:r w:rsidR="00502C25" w:rsidRPr="00EC57FB">
              <w:t xml:space="preserve">Figure </w:t>
            </w:r>
            <w:r w:rsidR="00502C25">
              <w:t>1</w:t>
            </w:r>
            <w:r w:rsidR="0038708F" w:rsidRPr="00EC57FB">
              <w:fldChar w:fldCharType="end"/>
            </w:r>
            <w:r w:rsidR="005C70FA" w:rsidRPr="00EC57FB">
              <w:t>)</w:t>
            </w:r>
            <w:r w:rsidR="003F647E" w:rsidRPr="00EC57FB">
              <w:t>:</w:t>
            </w:r>
          </w:p>
          <w:p w14:paraId="2C0108A9" w14:textId="77777777" w:rsidR="003F647E" w:rsidRPr="00EC57FB" w:rsidRDefault="003F647E" w:rsidP="00A369BF">
            <w:pPr>
              <w:pStyle w:val="TableText0"/>
              <w:numPr>
                <w:ilvl w:val="0"/>
                <w:numId w:val="15"/>
              </w:numPr>
              <w:ind w:left="360"/>
            </w:pPr>
            <w:r w:rsidRPr="00EC57FB">
              <w:t>preterm birth (&lt; 32 weeks gestational age)</w:t>
            </w:r>
          </w:p>
          <w:p w14:paraId="3EB60CB1" w14:textId="77777777" w:rsidR="003F647E" w:rsidRPr="00EC57FB" w:rsidRDefault="003F647E" w:rsidP="00A369BF">
            <w:pPr>
              <w:pStyle w:val="TableText0"/>
              <w:numPr>
                <w:ilvl w:val="0"/>
                <w:numId w:val="15"/>
              </w:numPr>
              <w:ind w:left="360"/>
            </w:pPr>
            <w:r w:rsidRPr="00EC57FB">
              <w:t>haemodynamically significant congenital heart disease</w:t>
            </w:r>
          </w:p>
          <w:p w14:paraId="6911BF36" w14:textId="77777777" w:rsidR="003F647E" w:rsidRPr="00EC57FB" w:rsidRDefault="003F647E" w:rsidP="00A369BF">
            <w:pPr>
              <w:pStyle w:val="TableText0"/>
              <w:numPr>
                <w:ilvl w:val="0"/>
                <w:numId w:val="15"/>
              </w:numPr>
              <w:ind w:left="360"/>
            </w:pPr>
            <w:r w:rsidRPr="00EC57FB">
              <w:t>significant immunosuppression (such as solid organ transplant, haematopoietic stem cell transplant, or primary immune deficiency such as severe combined immunodeficiency)</w:t>
            </w:r>
          </w:p>
          <w:p w14:paraId="68E15D72" w14:textId="77777777" w:rsidR="003F647E" w:rsidRPr="00EC57FB" w:rsidRDefault="003F647E" w:rsidP="00A369BF">
            <w:pPr>
              <w:pStyle w:val="TableText0"/>
              <w:numPr>
                <w:ilvl w:val="0"/>
                <w:numId w:val="15"/>
              </w:numPr>
              <w:ind w:left="360"/>
            </w:pPr>
            <w:r w:rsidRPr="00EC57FB">
              <w:t>chronic lung disease that requires ongoing oxygen or respiratory support</w:t>
            </w:r>
          </w:p>
          <w:p w14:paraId="28CACEA9" w14:textId="77777777" w:rsidR="003F647E" w:rsidRPr="00EC57FB" w:rsidRDefault="003F647E" w:rsidP="00A369BF">
            <w:pPr>
              <w:pStyle w:val="TableText0"/>
              <w:numPr>
                <w:ilvl w:val="0"/>
                <w:numId w:val="15"/>
              </w:numPr>
              <w:ind w:left="360"/>
            </w:pPr>
            <w:r w:rsidRPr="00EC57FB">
              <w:t>neurological conditions that impair regulatory function</w:t>
            </w:r>
          </w:p>
          <w:p w14:paraId="0766E09F" w14:textId="77777777" w:rsidR="003F647E" w:rsidRPr="00EC57FB" w:rsidRDefault="003F647E" w:rsidP="00A369BF">
            <w:pPr>
              <w:pStyle w:val="TableText0"/>
              <w:numPr>
                <w:ilvl w:val="0"/>
                <w:numId w:val="15"/>
              </w:numPr>
              <w:ind w:left="360"/>
            </w:pPr>
            <w:r w:rsidRPr="00EC57FB">
              <w:t>cystic fibrosis with severe lung disease or weight for length &lt; 10</w:t>
            </w:r>
            <w:r w:rsidRPr="00EC57FB">
              <w:rPr>
                <w:vertAlign w:val="superscript"/>
              </w:rPr>
              <w:t>th</w:t>
            </w:r>
            <w:r w:rsidRPr="00EC57FB">
              <w:t xml:space="preserve"> percentile</w:t>
            </w:r>
          </w:p>
          <w:p w14:paraId="44B6FFC3" w14:textId="5DC60892" w:rsidR="003F647E" w:rsidRPr="00EC57FB" w:rsidRDefault="003F647E" w:rsidP="00A369BF">
            <w:pPr>
              <w:pStyle w:val="TableText0"/>
              <w:numPr>
                <w:ilvl w:val="0"/>
                <w:numId w:val="15"/>
              </w:numPr>
              <w:ind w:left="360"/>
            </w:pPr>
            <w:r w:rsidRPr="00EC57FB">
              <w:t>trisomy 21 or another genetic condition that increases the risk of RSV</w:t>
            </w:r>
          </w:p>
        </w:tc>
      </w:tr>
    </w:tbl>
    <w:p w14:paraId="309D5DAA" w14:textId="33271F31" w:rsidR="00282EA7" w:rsidRPr="00EC57FB" w:rsidRDefault="00245135" w:rsidP="004D6BDE">
      <w:pPr>
        <w:pStyle w:val="TableFigureFooter"/>
        <w:spacing w:after="120"/>
      </w:pPr>
      <w:r w:rsidRPr="00EC57FB">
        <w:t xml:space="preserve">Source: </w:t>
      </w:r>
      <w:r w:rsidR="00D860C2" w:rsidRPr="00EC57FB">
        <w:t>A</w:t>
      </w:r>
      <w:r w:rsidRPr="00EC57FB">
        <w:t xml:space="preserve">dapted from </w:t>
      </w:r>
      <w:r w:rsidR="00D860C2" w:rsidRPr="00EC57FB">
        <w:t xml:space="preserve">the </w:t>
      </w:r>
      <w:r w:rsidR="008C31E4" w:rsidRPr="00EC57FB">
        <w:t xml:space="preserve">AIH at: </w:t>
      </w:r>
      <w:hyperlink r:id="rId8" w:history="1">
        <w:r w:rsidR="00DA2FF6" w:rsidRPr="00EC57FB">
          <w:t>https://immunisationhandbook.health.gov.au/contents/vaccine-preventable-diseases/respiratory-syncytial-virus-rsv</w:t>
        </w:r>
      </w:hyperlink>
      <w:r w:rsidR="00DA2FF6" w:rsidRPr="00EC57FB">
        <w:t xml:space="preserve"> [Last accessed: </w:t>
      </w:r>
      <w:r w:rsidR="006D3A46" w:rsidRPr="00EC57FB">
        <w:t>17 Jan 2025</w:t>
      </w:r>
      <w:r w:rsidR="00DA2FF6" w:rsidRPr="00EC57FB">
        <w:t>]</w:t>
      </w:r>
      <w:r w:rsidR="00282EA7" w:rsidRPr="00EC57FB">
        <w:t>.</w:t>
      </w:r>
    </w:p>
    <w:p w14:paraId="3CFD3E60" w14:textId="542167B3" w:rsidR="007A7333" w:rsidRPr="00EC57FB" w:rsidRDefault="00282EA7" w:rsidP="004B7FEE">
      <w:pPr>
        <w:pStyle w:val="3-BodyText"/>
        <w:keepLines/>
      </w:pPr>
      <w:bookmarkStart w:id="36" w:name="_Ref188419258"/>
      <w:r w:rsidRPr="00EC57FB">
        <w:t xml:space="preserve">A diagrammatic representation of the scenarios covered by the AIH recommendations for use of nirsevimab applying at the time of the evaluation is presented in </w:t>
      </w:r>
      <w:r w:rsidRPr="00EC57FB">
        <w:fldChar w:fldCharType="begin"/>
      </w:r>
      <w:r w:rsidRPr="00EC57FB">
        <w:instrText xml:space="preserve"> REF _Ref188054881 \h  \* MERGEFORMAT </w:instrText>
      </w:r>
      <w:r w:rsidRPr="00EC57FB">
        <w:fldChar w:fldCharType="separate"/>
      </w:r>
      <w:r w:rsidR="00502C25" w:rsidRPr="00EC57FB">
        <w:t xml:space="preserve">Figure </w:t>
      </w:r>
      <w:r w:rsidR="00502C25">
        <w:t>1</w:t>
      </w:r>
      <w:r w:rsidRPr="00EC57FB">
        <w:fldChar w:fldCharType="end"/>
      </w:r>
      <w:r w:rsidRPr="00EC57FB">
        <w:t>.</w:t>
      </w:r>
      <w:r w:rsidR="00577C66">
        <w:t xml:space="preserve"> </w:t>
      </w:r>
      <w:r w:rsidRPr="00EC57FB">
        <w:t>These scenarios for use of nirsevimab are described as Populations A, B, C and D, noting that Population C is comprised of two parts, which are labelled C(a) and C(b).</w:t>
      </w:r>
      <w:bookmarkEnd w:id="36"/>
      <w:r w:rsidR="00577C66">
        <w:t xml:space="preserve"> </w:t>
      </w:r>
    </w:p>
    <w:p w14:paraId="38E001FF" w14:textId="3E34E63F" w:rsidR="004A2646" w:rsidRPr="00EC57FB" w:rsidRDefault="003A7DE5" w:rsidP="003A7DE5">
      <w:pPr>
        <w:pStyle w:val="Caption"/>
      </w:pPr>
      <w:bookmarkStart w:id="37" w:name="_Ref188054881"/>
      <w:bookmarkStart w:id="38" w:name="_Ref194949016"/>
      <w:r w:rsidRPr="00EC57FB">
        <w:lastRenderedPageBreak/>
        <w:t xml:space="preserve">Figure </w:t>
      </w:r>
      <w:r w:rsidR="00C51E7C" w:rsidRPr="00EC57FB">
        <w:fldChar w:fldCharType="begin"/>
      </w:r>
      <w:r w:rsidR="00C51E7C" w:rsidRPr="00EC57FB">
        <w:instrText xml:space="preserve"> SEQ Figure \* ARABIC </w:instrText>
      </w:r>
      <w:r w:rsidR="00C51E7C" w:rsidRPr="00EC57FB">
        <w:fldChar w:fldCharType="separate"/>
      </w:r>
      <w:r w:rsidR="00502C25">
        <w:rPr>
          <w:noProof/>
        </w:rPr>
        <w:t>1</w:t>
      </w:r>
      <w:r w:rsidR="00C51E7C" w:rsidRPr="00EC57FB">
        <w:fldChar w:fldCharType="end"/>
      </w:r>
      <w:bookmarkEnd w:id="37"/>
      <w:r w:rsidRPr="00EC57FB">
        <w:t xml:space="preserve">: </w:t>
      </w:r>
      <w:r w:rsidR="008F4709" w:rsidRPr="00EC57FB">
        <w:t xml:space="preserve">Scenarios </w:t>
      </w:r>
      <w:r w:rsidR="004B3F7C" w:rsidRPr="00EC57FB">
        <w:t>considered in the AIH recommendations</w:t>
      </w:r>
      <w:bookmarkEnd w:id="38"/>
      <w:r w:rsidR="008F4709" w:rsidRPr="00EC57FB">
        <w:t xml:space="preserve"> (prepared during the evaluation)</w:t>
      </w:r>
    </w:p>
    <w:p w14:paraId="4C15BA84" w14:textId="12555419" w:rsidR="00B5150F" w:rsidRPr="00EC57FB" w:rsidRDefault="00B5150F" w:rsidP="00AD4631">
      <w:pPr>
        <w:pStyle w:val="FooterTableFigure"/>
        <w:keepNext/>
        <w:spacing w:after="0"/>
      </w:pPr>
      <w:r w:rsidRPr="00EC57FB">
        <w:rPr>
          <w:noProof/>
        </w:rPr>
        <w:drawing>
          <wp:inline distT="0" distB="0" distL="0" distR="0" wp14:anchorId="78A1386F" wp14:editId="54F6E4ED">
            <wp:extent cx="5760000" cy="4686236"/>
            <wp:effectExtent l="0" t="0" r="0" b="635"/>
            <wp:docPr id="1273416623" name="Picture 2" descr="A chart with text and images: Scenarios considered in the AIH recommend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16623" name="Picture 2" descr="A chart with text and images: Scenarios considered in the AIH recommendation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00" cy="4686236"/>
                    </a:xfrm>
                    <a:prstGeom prst="rect">
                      <a:avLst/>
                    </a:prstGeom>
                    <a:noFill/>
                  </pic:spPr>
                </pic:pic>
              </a:graphicData>
            </a:graphic>
          </wp:inline>
        </w:drawing>
      </w:r>
    </w:p>
    <w:p w14:paraId="6EC77114" w14:textId="1D6771F3" w:rsidR="00D14FD0" w:rsidRPr="00EC57FB" w:rsidRDefault="00A71415" w:rsidP="004B7FEE">
      <w:pPr>
        <w:pStyle w:val="TableFigureFooter"/>
        <w:jc w:val="both"/>
      </w:pPr>
      <w:r w:rsidRPr="00EC57FB">
        <w:t xml:space="preserve">AIH = Australian Immunisation Handbook; </w:t>
      </w:r>
      <w:r w:rsidR="00D14FD0" w:rsidRPr="00EC57FB">
        <w:t xml:space="preserve">RSV = </w:t>
      </w:r>
      <w:r w:rsidR="00D14FD0" w:rsidRPr="00EC57FB">
        <w:rPr>
          <w:color w:val="000000" w:themeColor="text1"/>
        </w:rPr>
        <w:t>respiratory syncytial virus</w:t>
      </w:r>
    </w:p>
    <w:p w14:paraId="1D9AC9F2" w14:textId="3E72345C" w:rsidR="008E2EDE" w:rsidRPr="00EC57FB" w:rsidRDefault="008E2EDE" w:rsidP="004B7FEE">
      <w:pPr>
        <w:pStyle w:val="TableFigureFooter"/>
        <w:jc w:val="both"/>
      </w:pPr>
      <w:r w:rsidRPr="00EC57FB">
        <w:rPr>
          <w:vertAlign w:val="superscript"/>
        </w:rPr>
        <w:t>1</w:t>
      </w:r>
      <w:r w:rsidRPr="00EC57FB">
        <w:t xml:space="preserve"> Immune response to RSVpreF may be impaired if: (i) RSVpreF was administered within 2 weeks of the infant’s birth; (ii) the mother received the RSVpreF vaccine at a time of severe immunosuppression; or (iii) the </w:t>
      </w:r>
      <w:r w:rsidR="00FB11F9" w:rsidRPr="00EC57FB">
        <w:t>infant</w:t>
      </w:r>
      <w:r w:rsidRPr="00EC57FB">
        <w:t xml:space="preserve"> had a treatment associated with loss of maternally derived antibodies (such as cardiopulmonary bypass or extracorporeal membrane oxygenation).</w:t>
      </w:r>
    </w:p>
    <w:p w14:paraId="0C8989EA" w14:textId="47278814" w:rsidR="00A4678C" w:rsidRPr="00EC57FB" w:rsidRDefault="008E2EDE" w:rsidP="004B7FEE">
      <w:pPr>
        <w:pStyle w:val="FooterTableFigure"/>
      </w:pPr>
      <w:r w:rsidRPr="00EC57FB">
        <w:rPr>
          <w:vertAlign w:val="superscript"/>
        </w:rPr>
        <w:t>2</w:t>
      </w:r>
      <w:r w:rsidRPr="00EC57FB">
        <w:t xml:space="preserve"> Risk conditions = preterm birth (&lt; 32 weeks gestational age); haemodynamically significant congenital heart disease; significant immunosuppression (such as solid organ transplant, haematopoietic stem cell transplant, or primary immune deficiency such as severe combined immunodeficiency); chronic lung disease that requires ongoing oxygen or respiratory support; neurological conditions that impair regulatory function; cystic fibrosis with severe lung disease or weight for length &lt; 10th percentile; trisomy 21 or another genetic condition that increases the risk of RSV</w:t>
      </w:r>
      <w:r w:rsidR="00AD393D" w:rsidRPr="00EC57FB">
        <w:t>.</w:t>
      </w:r>
    </w:p>
    <w:p w14:paraId="7A37C2E2" w14:textId="4E9631B7" w:rsidR="00FA1643" w:rsidRPr="00EC57FB" w:rsidRDefault="00E91B43" w:rsidP="003470FB">
      <w:pPr>
        <w:pStyle w:val="3-BodyText"/>
        <w:keepNext/>
      </w:pPr>
      <w:bookmarkStart w:id="39" w:name="_Ref187591541"/>
      <w:bookmarkStart w:id="40" w:name="_Ref188226496"/>
      <w:r w:rsidRPr="00EC57FB">
        <w:t xml:space="preserve">As can be seen </w:t>
      </w:r>
      <w:r w:rsidR="008F4709" w:rsidRPr="00EC57FB">
        <w:t xml:space="preserve">when </w:t>
      </w:r>
      <w:r w:rsidRPr="00EC57FB">
        <w:t xml:space="preserve">comparing </w:t>
      </w:r>
      <w:r w:rsidRPr="00EC57FB">
        <w:fldChar w:fldCharType="begin"/>
      </w:r>
      <w:r w:rsidRPr="00EC57FB">
        <w:instrText xml:space="preserve"> REF _Ref183555361 \h </w:instrText>
      </w:r>
      <w:r w:rsidR="0051298E" w:rsidRPr="00EC57FB">
        <w:instrText xml:space="preserve"> \* MERGEFORMAT </w:instrText>
      </w:r>
      <w:r w:rsidRPr="00EC57FB">
        <w:fldChar w:fldCharType="separate"/>
      </w:r>
      <w:r w:rsidR="00502C25" w:rsidRPr="00EC57FB">
        <w:t xml:space="preserve">Table </w:t>
      </w:r>
      <w:r w:rsidR="00502C25">
        <w:t>3</w:t>
      </w:r>
      <w:r w:rsidRPr="00EC57FB">
        <w:fldChar w:fldCharType="end"/>
      </w:r>
      <w:r w:rsidRPr="00EC57FB">
        <w:t xml:space="preserve"> with </w:t>
      </w:r>
      <w:r w:rsidRPr="00EC57FB">
        <w:fldChar w:fldCharType="begin"/>
      </w:r>
      <w:r w:rsidRPr="00EC57FB">
        <w:instrText xml:space="preserve"> REF _Ref183547805 \h </w:instrText>
      </w:r>
      <w:r w:rsidR="0051298E" w:rsidRPr="00EC57FB">
        <w:instrText xml:space="preserve"> \* MERGEFORMAT </w:instrText>
      </w:r>
      <w:r w:rsidRPr="00EC57FB">
        <w:fldChar w:fldCharType="separate"/>
      </w:r>
      <w:r w:rsidR="00502C25" w:rsidRPr="00EC57FB">
        <w:t xml:space="preserve">Table </w:t>
      </w:r>
      <w:r w:rsidR="00502C25">
        <w:t>4</w:t>
      </w:r>
      <w:r w:rsidRPr="00EC57FB">
        <w:fldChar w:fldCharType="end"/>
      </w:r>
      <w:r w:rsidRPr="00EC57FB">
        <w:t xml:space="preserve">, </w:t>
      </w:r>
      <w:r w:rsidR="00F04BD7" w:rsidRPr="00EC57FB">
        <w:t>t</w:t>
      </w:r>
      <w:r w:rsidR="00EB5A81" w:rsidRPr="00EC57FB">
        <w:t>he listing</w:t>
      </w:r>
      <w:r w:rsidR="00F04BD7" w:rsidRPr="00EC57FB">
        <w:t xml:space="preserve"> requested </w:t>
      </w:r>
      <w:r w:rsidR="00EB5A81" w:rsidRPr="00EC57FB">
        <w:t>is not entirely consistent with the recommendations in the AIH</w:t>
      </w:r>
      <w:r w:rsidR="00F04BD7" w:rsidRPr="00EC57FB">
        <w:t>.</w:t>
      </w:r>
      <w:bookmarkEnd w:id="39"/>
      <w:r w:rsidR="00FE5157" w:rsidRPr="00EC57FB">
        <w:t xml:space="preserve"> Key points </w:t>
      </w:r>
      <w:r w:rsidR="003C69E3" w:rsidRPr="00EC57FB">
        <w:t>include:</w:t>
      </w:r>
      <w:bookmarkEnd w:id="40"/>
    </w:p>
    <w:p w14:paraId="1028A9E9" w14:textId="6EB5B19C" w:rsidR="00FA1643" w:rsidRPr="00EC57FB" w:rsidRDefault="004A2BCC" w:rsidP="00A369BF">
      <w:pPr>
        <w:pStyle w:val="ListParagraph"/>
        <w:numPr>
          <w:ilvl w:val="0"/>
          <w:numId w:val="25"/>
        </w:numPr>
        <w:ind w:left="1080"/>
        <w:jc w:val="both"/>
        <w:rPr>
          <w:iCs/>
        </w:rPr>
      </w:pPr>
      <w:r w:rsidRPr="00EC57FB">
        <w:t xml:space="preserve">Both the resubmission’s proposed </w:t>
      </w:r>
      <w:r w:rsidR="00E66EA6" w:rsidRPr="00EC57FB">
        <w:t xml:space="preserve">listing </w:t>
      </w:r>
      <w:r w:rsidRPr="00EC57FB">
        <w:t xml:space="preserve">and the AIH recommendations </w:t>
      </w:r>
      <w:r w:rsidR="00B34A5D" w:rsidRPr="00EC57FB">
        <w:t xml:space="preserve">primarily </w:t>
      </w:r>
      <w:r w:rsidRPr="00EC57FB">
        <w:t xml:space="preserve">position </w:t>
      </w:r>
      <w:r w:rsidR="00485EA7" w:rsidRPr="00EC57FB">
        <w:t>RSVpreF maternal</w:t>
      </w:r>
      <w:r w:rsidR="00B34A5D" w:rsidRPr="00EC57FB">
        <w:t xml:space="preserve"> vaccination and nirsevimab as alternatives</w:t>
      </w:r>
      <w:r w:rsidR="00066F69" w:rsidRPr="00EC57FB">
        <w:t>,</w:t>
      </w:r>
      <w:r w:rsidR="00403F07" w:rsidRPr="00EC57FB">
        <w:t xml:space="preserve"> with no preference expressed between the two alternatives.</w:t>
      </w:r>
      <w:r w:rsidR="0028362D" w:rsidRPr="00EC57FB">
        <w:t xml:space="preserve"> </w:t>
      </w:r>
    </w:p>
    <w:p w14:paraId="3E64EC02" w14:textId="4AB7236F" w:rsidR="00070BCC" w:rsidRPr="00EC57FB" w:rsidRDefault="003354DE" w:rsidP="00A369BF">
      <w:pPr>
        <w:pStyle w:val="ListParagraph"/>
        <w:numPr>
          <w:ilvl w:val="0"/>
          <w:numId w:val="25"/>
        </w:numPr>
        <w:ind w:left="1080"/>
        <w:jc w:val="both"/>
      </w:pPr>
      <w:r w:rsidRPr="00EC57FB">
        <w:t xml:space="preserve">Both the resubmission’s proposed </w:t>
      </w:r>
      <w:r w:rsidR="00E66EA6" w:rsidRPr="00EC57FB">
        <w:t xml:space="preserve">listing </w:t>
      </w:r>
      <w:r w:rsidRPr="00EC57FB">
        <w:t xml:space="preserve">and the AIH recommendations indicate that </w:t>
      </w:r>
      <w:r w:rsidR="00FA1643" w:rsidRPr="00EC57FB">
        <w:t xml:space="preserve">nirsevimab </w:t>
      </w:r>
      <w:r w:rsidR="008F4709" w:rsidRPr="00EC57FB">
        <w:t xml:space="preserve">should </w:t>
      </w:r>
      <w:r w:rsidR="00FA1643" w:rsidRPr="00EC57FB">
        <w:t xml:space="preserve">be used in addition to </w:t>
      </w:r>
      <w:r w:rsidR="00485EA7" w:rsidRPr="00EC57FB">
        <w:t>RSVpreF maternal</w:t>
      </w:r>
      <w:r w:rsidR="005F1A81" w:rsidRPr="00EC57FB">
        <w:t xml:space="preserve"> vaccination </w:t>
      </w:r>
      <w:r w:rsidR="00456A37" w:rsidRPr="00EC57FB">
        <w:t xml:space="preserve">in circumstances where </w:t>
      </w:r>
      <w:r w:rsidR="008F4709" w:rsidRPr="00EC57FB">
        <w:t xml:space="preserve">either: </w:t>
      </w:r>
      <w:r w:rsidR="00456A37" w:rsidRPr="00EC57FB">
        <w:t>the mother was immunised &lt; 2 weeks prior to the infant’s birth</w:t>
      </w:r>
      <w:r w:rsidR="008F4709" w:rsidRPr="00EC57FB">
        <w:t xml:space="preserve">; or </w:t>
      </w:r>
      <w:r w:rsidR="00456A37" w:rsidRPr="00EC57FB">
        <w:t>where the infant has a risk c</w:t>
      </w:r>
      <w:r w:rsidR="00070BCC" w:rsidRPr="00EC57FB">
        <w:t>ondition.</w:t>
      </w:r>
    </w:p>
    <w:p w14:paraId="11BBDE4E" w14:textId="2013483C" w:rsidR="00070BCC" w:rsidRPr="00EC57FB" w:rsidRDefault="00403F07" w:rsidP="00A369BF">
      <w:pPr>
        <w:pStyle w:val="ListParagraph"/>
        <w:numPr>
          <w:ilvl w:val="0"/>
          <w:numId w:val="25"/>
        </w:numPr>
        <w:ind w:left="1080"/>
        <w:jc w:val="both"/>
      </w:pPr>
      <w:bookmarkStart w:id="41" w:name="_Hlk184931663"/>
      <w:r w:rsidRPr="00EC57FB">
        <w:lastRenderedPageBreak/>
        <w:t>Both</w:t>
      </w:r>
      <w:r w:rsidR="007843D0" w:rsidRPr="00EC57FB">
        <w:t xml:space="preserve"> the resubmission’s proposed </w:t>
      </w:r>
      <w:r w:rsidR="00E66EA6" w:rsidRPr="00EC57FB">
        <w:t xml:space="preserve">listing </w:t>
      </w:r>
      <w:r w:rsidR="007843D0" w:rsidRPr="00EC57FB">
        <w:t xml:space="preserve">and the AIH recommendations </w:t>
      </w:r>
      <w:bookmarkEnd w:id="41"/>
      <w:r w:rsidR="00964393" w:rsidRPr="00EC57FB">
        <w:t xml:space="preserve">recommend use of nirsevimab in children aged &lt;24 months </w:t>
      </w:r>
      <w:r w:rsidR="00E36285" w:rsidRPr="00EC57FB">
        <w:t>with risk conditions who are entering their second RSV season.</w:t>
      </w:r>
    </w:p>
    <w:p w14:paraId="2ACD9380" w14:textId="43BC3842" w:rsidR="00134D84" w:rsidRPr="00EC57FB" w:rsidRDefault="004904FE" w:rsidP="00DC4191">
      <w:pPr>
        <w:pStyle w:val="ListParagraph"/>
        <w:numPr>
          <w:ilvl w:val="0"/>
          <w:numId w:val="25"/>
        </w:numPr>
        <w:ind w:left="1080"/>
        <w:jc w:val="both"/>
        <w:rPr>
          <w:iCs/>
        </w:rPr>
      </w:pPr>
      <w:r w:rsidRPr="00EC57FB">
        <w:t>T</w:t>
      </w:r>
      <w:r w:rsidR="005D4A25" w:rsidRPr="00EC57FB">
        <w:t>he resubmission</w:t>
      </w:r>
      <w:r w:rsidR="00B111E2" w:rsidRPr="00EC57FB">
        <w:t xml:space="preserve"> appropriately</w:t>
      </w:r>
      <w:r w:rsidR="005D4A25" w:rsidRPr="00EC57FB">
        <w:t xml:space="preserve"> </w:t>
      </w:r>
      <w:r w:rsidR="00FD2B47" w:rsidRPr="00EC57FB">
        <w:t>noted</w:t>
      </w:r>
      <w:r w:rsidR="005D4A25" w:rsidRPr="00EC57FB">
        <w:t xml:space="preserve"> that </w:t>
      </w:r>
      <w:r w:rsidR="00697D65" w:rsidRPr="00EC57FB">
        <w:t>infants born to mothers whose ethnicity was recorded as Aboriginal and Torres Strait Islander have been reported to be at increased risk of hospitalisation due to RSV infection</w:t>
      </w:r>
      <w:r w:rsidR="00D111C2" w:rsidRPr="00EC57FB">
        <w:t xml:space="preserve"> and it includes</w:t>
      </w:r>
      <w:r w:rsidR="005735B3" w:rsidRPr="00EC57FB">
        <w:t xml:space="preserve"> Aboriginal and Torres Strait Islander infants with its estimates of </w:t>
      </w:r>
      <w:r w:rsidR="00E72030" w:rsidRPr="00EC57FB">
        <w:t xml:space="preserve">children </w:t>
      </w:r>
      <w:r w:rsidR="00BF5475" w:rsidRPr="00EC57FB">
        <w:t>with risk conditions entering a second RSV season</w:t>
      </w:r>
      <w:r w:rsidR="007F6733" w:rsidRPr="00EC57FB">
        <w:t>.</w:t>
      </w:r>
      <w:r w:rsidR="00BF5475" w:rsidRPr="00EC57FB">
        <w:t xml:space="preserve"> </w:t>
      </w:r>
      <w:r w:rsidR="007F6733" w:rsidRPr="00EC57FB">
        <w:t>However</w:t>
      </w:r>
      <w:r w:rsidR="00697D65" w:rsidRPr="00EC57FB">
        <w:t>, n</w:t>
      </w:r>
      <w:r w:rsidR="00C26FF7" w:rsidRPr="00EC57FB">
        <w:t xml:space="preserve">either the resubmission’s proposed </w:t>
      </w:r>
      <w:r w:rsidR="00E66EA6" w:rsidRPr="00EC57FB">
        <w:t xml:space="preserve">listing </w:t>
      </w:r>
      <w:r w:rsidR="00C26FF7" w:rsidRPr="00EC57FB">
        <w:t xml:space="preserve">nor the AIH recommendations </w:t>
      </w:r>
      <w:bookmarkStart w:id="42" w:name="_Hlk186116879"/>
      <w:r w:rsidR="00B111E2" w:rsidRPr="00EC57FB">
        <w:t xml:space="preserve">for nirsevimab </w:t>
      </w:r>
      <w:r w:rsidR="00883E8D" w:rsidRPr="00EC57FB">
        <w:t>include</w:t>
      </w:r>
      <w:r w:rsidR="008F4709" w:rsidRPr="00EC57FB">
        <w:t>d</w:t>
      </w:r>
      <w:r w:rsidR="00883E8D" w:rsidRPr="00EC57FB">
        <w:t xml:space="preserve"> Aboriginal and Torres Strait Islander</w:t>
      </w:r>
      <w:r w:rsidR="00E55545" w:rsidRPr="00EC57FB">
        <w:t xml:space="preserve"> children as a </w:t>
      </w:r>
      <w:r w:rsidR="005F5944" w:rsidRPr="00EC57FB">
        <w:t>vulnerable</w:t>
      </w:r>
      <w:r w:rsidR="00E55545" w:rsidRPr="00EC57FB">
        <w:t xml:space="preserve"> group for access to</w:t>
      </w:r>
      <w:r w:rsidR="00875421" w:rsidRPr="00EC57FB">
        <w:t xml:space="preserve"> nirsevimab</w:t>
      </w:r>
      <w:r w:rsidR="00274C79" w:rsidRPr="00EC57FB">
        <w:t xml:space="preserve">. </w:t>
      </w:r>
      <w:bookmarkEnd w:id="42"/>
      <w:r w:rsidR="008D1954" w:rsidRPr="00EC57FB">
        <w:rPr>
          <w:iCs/>
        </w:rPr>
        <w:t xml:space="preserve">The ESC noted </w:t>
      </w:r>
      <w:r w:rsidR="008F4709" w:rsidRPr="00EC57FB">
        <w:rPr>
          <w:iCs/>
        </w:rPr>
        <w:t xml:space="preserve">the </w:t>
      </w:r>
      <w:r w:rsidR="008D1954" w:rsidRPr="00EC57FB">
        <w:rPr>
          <w:iCs/>
        </w:rPr>
        <w:t xml:space="preserve">ATAGI’s advice </w:t>
      </w:r>
      <w:r w:rsidR="008F4709" w:rsidRPr="00EC57FB">
        <w:rPr>
          <w:iCs/>
        </w:rPr>
        <w:t>that</w:t>
      </w:r>
      <w:r w:rsidR="00134D84" w:rsidRPr="00EC57FB">
        <w:rPr>
          <w:iCs/>
        </w:rPr>
        <w:t xml:space="preserve"> it was appropriate for eligibility for nirsevimab to be based on medical risk factors as set out in the AIH, and it did not support additional criteria </w:t>
      </w:r>
      <w:r w:rsidR="00134D84" w:rsidRPr="00EC57FB">
        <w:rPr>
          <w:rFonts w:eastAsia="SimSun"/>
          <w:iCs/>
        </w:rPr>
        <w:t xml:space="preserve">specifically for </w:t>
      </w:r>
      <w:r w:rsidR="00134D84" w:rsidRPr="00EC57FB">
        <w:rPr>
          <w:iCs/>
        </w:rPr>
        <w:t>Aboriginal and Torres Strait Islander infants and children</w:t>
      </w:r>
      <w:r w:rsidR="00105D16" w:rsidRPr="00EC57FB">
        <w:rPr>
          <w:iCs/>
        </w:rPr>
        <w:t xml:space="preserve"> based on current evidence</w:t>
      </w:r>
      <w:r w:rsidR="00134D84" w:rsidRPr="00EC57FB">
        <w:rPr>
          <w:iCs/>
        </w:rPr>
        <w:t>.</w:t>
      </w:r>
    </w:p>
    <w:p w14:paraId="23BADD89" w14:textId="5CC76B34" w:rsidR="0051298E" w:rsidRPr="00EC57FB" w:rsidRDefault="00E51B8E" w:rsidP="00A369BF">
      <w:pPr>
        <w:pStyle w:val="ListParagraph"/>
        <w:numPr>
          <w:ilvl w:val="0"/>
          <w:numId w:val="25"/>
        </w:numPr>
        <w:ind w:left="1080"/>
        <w:jc w:val="both"/>
      </w:pPr>
      <w:r w:rsidRPr="00EC57FB">
        <w:t xml:space="preserve">There are </w:t>
      </w:r>
      <w:r w:rsidR="00070BCC" w:rsidRPr="00EC57FB">
        <w:t>three</w:t>
      </w:r>
      <w:r w:rsidR="00EB5A81" w:rsidRPr="00EC57FB">
        <w:t xml:space="preserve"> difference</w:t>
      </w:r>
      <w:r w:rsidRPr="00EC57FB">
        <w:t>s</w:t>
      </w:r>
      <w:r w:rsidR="00EB5A81" w:rsidRPr="00EC57FB">
        <w:t xml:space="preserve"> between the listing proposed in the resubmission and the recommendations in the AIH</w:t>
      </w:r>
      <w:r w:rsidRPr="00EC57FB">
        <w:t>:</w:t>
      </w:r>
    </w:p>
    <w:p w14:paraId="09C867CF" w14:textId="57BBD91E" w:rsidR="0051298E" w:rsidRPr="00EC57FB" w:rsidRDefault="0020775A" w:rsidP="00A369BF">
      <w:pPr>
        <w:pStyle w:val="ListParagraph"/>
        <w:numPr>
          <w:ilvl w:val="1"/>
          <w:numId w:val="25"/>
        </w:numPr>
        <w:jc w:val="both"/>
      </w:pPr>
      <w:r w:rsidRPr="00EC57FB">
        <w:t>T</w:t>
      </w:r>
      <w:r w:rsidR="00EB5A81" w:rsidRPr="00EC57FB">
        <w:t>he AIH recommends use of nirsevimab</w:t>
      </w:r>
      <w:r w:rsidR="0087725A" w:rsidRPr="00EC57FB">
        <w:t xml:space="preserve"> (after administration of the RSVpreF mater</w:t>
      </w:r>
      <w:r w:rsidR="00704E98" w:rsidRPr="00EC57FB">
        <w:t>nal vaccine)</w:t>
      </w:r>
      <w:r w:rsidR="00EB5A81" w:rsidRPr="00EC57FB">
        <w:t xml:space="preserve"> in infants that may have suboptimal levels of RSV antibodies because they were born to a mother who </w:t>
      </w:r>
      <w:r w:rsidR="004D22A5" w:rsidRPr="00EC57FB">
        <w:t>had received RS</w:t>
      </w:r>
      <w:r w:rsidR="00D30D1D" w:rsidRPr="00EC57FB">
        <w:t>VpreF but</w:t>
      </w:r>
      <w:r w:rsidR="00EB5A81" w:rsidRPr="00EC57FB">
        <w:t xml:space="preserve">: (i) </w:t>
      </w:r>
      <w:r w:rsidR="00D30D1D" w:rsidRPr="00EC57FB">
        <w:t xml:space="preserve">the mother </w:t>
      </w:r>
      <w:r w:rsidR="00EB5A81" w:rsidRPr="00EC57FB">
        <w:t xml:space="preserve">received the RSVpreF vaccine in pregnancy at a time of severe immunosuppression; and/or (ii) </w:t>
      </w:r>
      <w:r w:rsidR="00D30D1D" w:rsidRPr="00EC57FB">
        <w:t xml:space="preserve">the infant </w:t>
      </w:r>
      <w:r w:rsidR="00EB5A81" w:rsidRPr="00EC57FB">
        <w:t>had a treatment associated with loss of maternally derived antibodies (such as cardiopulmonary bypass or extracorporeal membrane oxygenation). The resubmission’s proposed listing does not include these infants</w:t>
      </w:r>
      <w:r w:rsidR="00F25135" w:rsidRPr="00EC57FB">
        <w:t>.</w:t>
      </w:r>
    </w:p>
    <w:p w14:paraId="75824D63" w14:textId="0A2ACB11" w:rsidR="00CC4BC8" w:rsidRPr="00EC57FB" w:rsidRDefault="00D9796D" w:rsidP="00DC4191">
      <w:pPr>
        <w:pStyle w:val="ListParagraph"/>
        <w:numPr>
          <w:ilvl w:val="1"/>
          <w:numId w:val="25"/>
        </w:numPr>
        <w:jc w:val="both"/>
        <w:rPr>
          <w:iCs/>
        </w:rPr>
      </w:pPr>
      <w:r w:rsidRPr="00EC57FB">
        <w:t xml:space="preserve">The availability of nirsevimab </w:t>
      </w:r>
      <w:r w:rsidR="00D97A0C" w:rsidRPr="00EC57FB">
        <w:t xml:space="preserve">for infants being exposed to their first season of RSV is </w:t>
      </w:r>
      <w:r w:rsidR="002876FA" w:rsidRPr="00EC57FB">
        <w:t>not limited by the infant’s age</w:t>
      </w:r>
      <w:r w:rsidR="00317F72" w:rsidRPr="00EC57FB">
        <w:t xml:space="preserve"> in the proposed </w:t>
      </w:r>
      <w:r w:rsidR="00E66EA6" w:rsidRPr="00EC57FB">
        <w:t>listing</w:t>
      </w:r>
      <w:r w:rsidR="002876FA" w:rsidRPr="00EC57FB">
        <w:t>.</w:t>
      </w:r>
      <w:r w:rsidR="00DF0E99" w:rsidRPr="00EC57FB">
        <w:t xml:space="preserve"> This is consistent with the approved PI for nirsevimab, which states:</w:t>
      </w:r>
      <w:r w:rsidR="00DF44A9" w:rsidRPr="00EC57FB">
        <w:t xml:space="preserve"> “For neonates and infants born during or entering the RSV season, administer BEYFORTUS starting from birth. For infants born outside the RSV season, administer BEYFORTUS once prior to the start of the RSV season considering duration of protection provided by BEYFORTUS</w:t>
      </w:r>
      <w:r w:rsidR="00E30E9B" w:rsidRPr="00EC57FB">
        <w:t>.”</w:t>
      </w:r>
      <w:r w:rsidR="002876FA" w:rsidRPr="00EC57FB">
        <w:t xml:space="preserve"> In contrast, the AIH recommends use </w:t>
      </w:r>
      <w:r w:rsidR="004B70A9" w:rsidRPr="00EC57FB">
        <w:t>through to</w:t>
      </w:r>
      <w:r w:rsidR="00DC7387" w:rsidRPr="00EC57FB">
        <w:t xml:space="preserve"> a maximum of</w:t>
      </w:r>
      <w:r w:rsidR="004B70A9" w:rsidRPr="00EC57FB">
        <w:t xml:space="preserve"> 8 months of age (unless the infant has a risk condition).</w:t>
      </w:r>
      <w:r w:rsidR="00E534FF" w:rsidRPr="00EC57FB">
        <w:t xml:space="preserve"> </w:t>
      </w:r>
      <w:r w:rsidR="00CC4BC8" w:rsidRPr="00EC57FB">
        <w:rPr>
          <w:iCs/>
        </w:rPr>
        <w:t>The ESC noted ATAGI’s advice that the recommendation for the use of nirsevimab in infants &lt;8 months of age is consistent with recommendations from international bodies such as the US Advisory Committee on Immunization Practices (ACIP) and the American Academy of Pediatrics (AAP). The ESC considered that it would be appropriate to add the 8-month age limit to the proposed NIP listing for infants born during or entering their first RSV season</w:t>
      </w:r>
      <w:r w:rsidR="0087075B" w:rsidRPr="00EC57FB">
        <w:rPr>
          <w:iCs/>
        </w:rPr>
        <w:t>, consistent with the AIH</w:t>
      </w:r>
      <w:r w:rsidR="00CC4BC8" w:rsidRPr="00EC57FB">
        <w:rPr>
          <w:iCs/>
        </w:rPr>
        <w:t xml:space="preserve">. </w:t>
      </w:r>
    </w:p>
    <w:p w14:paraId="3E171DC3" w14:textId="79A1D263" w:rsidR="00CC4BC8" w:rsidRPr="00EC57FB" w:rsidRDefault="00A84525" w:rsidP="00DC4191">
      <w:pPr>
        <w:pStyle w:val="ListParagraph"/>
        <w:numPr>
          <w:ilvl w:val="1"/>
          <w:numId w:val="25"/>
        </w:numPr>
        <w:jc w:val="both"/>
      </w:pPr>
      <w:r w:rsidRPr="00EC57FB">
        <w:rPr>
          <w:color w:val="000000" w:themeColor="text1"/>
        </w:rPr>
        <w:t xml:space="preserve">As can be seen from the footnotes to </w:t>
      </w:r>
      <w:r w:rsidR="00B043E3" w:rsidRPr="00EC57FB">
        <w:rPr>
          <w:color w:val="000000" w:themeColor="text1"/>
        </w:rPr>
        <w:fldChar w:fldCharType="begin"/>
      </w:r>
      <w:r w:rsidR="00B043E3" w:rsidRPr="00EC57FB">
        <w:rPr>
          <w:color w:val="000000" w:themeColor="text1"/>
        </w:rPr>
        <w:instrText xml:space="preserve"> REF _Ref183555361 \h </w:instrText>
      </w:r>
      <w:r w:rsidR="00FA1643" w:rsidRPr="00EC57FB">
        <w:instrText xml:space="preserve"> \* MERGEFORMAT </w:instrText>
      </w:r>
      <w:r w:rsidR="00B043E3" w:rsidRPr="00EC57FB">
        <w:rPr>
          <w:color w:val="000000" w:themeColor="text1"/>
        </w:rPr>
      </w:r>
      <w:r w:rsidR="00B043E3" w:rsidRPr="00EC57FB">
        <w:rPr>
          <w:color w:val="000000" w:themeColor="text1"/>
        </w:rPr>
        <w:fldChar w:fldCharType="separate"/>
      </w:r>
      <w:r w:rsidR="00502C25" w:rsidRPr="00EC57FB">
        <w:t xml:space="preserve">Table </w:t>
      </w:r>
      <w:r w:rsidR="00502C25">
        <w:t>3</w:t>
      </w:r>
      <w:r w:rsidR="00B043E3" w:rsidRPr="00EC57FB">
        <w:rPr>
          <w:color w:val="000000" w:themeColor="text1"/>
        </w:rPr>
        <w:fldChar w:fldCharType="end"/>
      </w:r>
      <w:r w:rsidR="00B043E3" w:rsidRPr="00EC57FB">
        <w:rPr>
          <w:color w:val="000000" w:themeColor="text1"/>
        </w:rPr>
        <w:t>, t</w:t>
      </w:r>
      <w:r w:rsidR="00273F5F" w:rsidRPr="00EC57FB">
        <w:rPr>
          <w:color w:val="000000" w:themeColor="text1"/>
        </w:rPr>
        <w:t>he listing proposed in the resubmission</w:t>
      </w:r>
      <w:r w:rsidR="0020775A" w:rsidRPr="00EC57FB">
        <w:rPr>
          <w:color w:val="000000" w:themeColor="text1"/>
        </w:rPr>
        <w:t xml:space="preserve"> </w:t>
      </w:r>
      <w:r w:rsidR="00811B8A" w:rsidRPr="00EC57FB">
        <w:rPr>
          <w:color w:val="000000" w:themeColor="text1"/>
        </w:rPr>
        <w:t>recommends an additional dose</w:t>
      </w:r>
      <w:r w:rsidR="00DA60B3" w:rsidRPr="00EC57FB">
        <w:rPr>
          <w:color w:val="000000" w:themeColor="text1"/>
        </w:rPr>
        <w:t xml:space="preserve"> (“replacement dose”)</w:t>
      </w:r>
      <w:r w:rsidR="00811B8A" w:rsidRPr="00EC57FB">
        <w:rPr>
          <w:color w:val="000000" w:themeColor="text1"/>
        </w:rPr>
        <w:t xml:space="preserve"> of </w:t>
      </w:r>
      <w:r w:rsidR="00811B8A" w:rsidRPr="00EC57FB">
        <w:rPr>
          <w:color w:val="000000" w:themeColor="text1"/>
        </w:rPr>
        <w:lastRenderedPageBreak/>
        <w:t>nirsevimab in</w:t>
      </w:r>
      <w:r w:rsidR="00D93325" w:rsidRPr="00EC57FB">
        <w:rPr>
          <w:color w:val="000000" w:themeColor="text1"/>
        </w:rPr>
        <w:t xml:space="preserve"> </w:t>
      </w:r>
      <w:r w:rsidR="0020775A" w:rsidRPr="00EC57FB">
        <w:rPr>
          <w:color w:val="000000" w:themeColor="text1"/>
        </w:rPr>
        <w:t>children undergoing cardiac surgery with cardiopulmonary bypass as soon as the child is stable after surgery to ensure adequate nirsevimab serum levels</w:t>
      </w:r>
      <w:r w:rsidR="00C24FCA" w:rsidRPr="00EC57FB">
        <w:rPr>
          <w:color w:val="000000" w:themeColor="text1"/>
        </w:rPr>
        <w:t xml:space="preserve">, with dosing based on </w:t>
      </w:r>
      <w:r w:rsidR="00AF4E07" w:rsidRPr="00EC57FB">
        <w:rPr>
          <w:color w:val="000000" w:themeColor="text1"/>
        </w:rPr>
        <w:t xml:space="preserve">whether the child </w:t>
      </w:r>
      <w:r w:rsidR="00535F0C" w:rsidRPr="00EC57FB">
        <w:rPr>
          <w:color w:val="000000" w:themeColor="text1"/>
        </w:rPr>
        <w:t>is entering their first or second season of potential exposure to RSV</w:t>
      </w:r>
      <w:r w:rsidR="002E4AE4" w:rsidRPr="00EC57FB">
        <w:rPr>
          <w:color w:val="000000" w:themeColor="text1"/>
        </w:rPr>
        <w:t>,</w:t>
      </w:r>
      <w:r w:rsidR="00535F0C" w:rsidRPr="00EC57FB">
        <w:rPr>
          <w:color w:val="000000" w:themeColor="text1"/>
        </w:rPr>
        <w:t xml:space="preserve"> and</w:t>
      </w:r>
      <w:r w:rsidR="00F605A9" w:rsidRPr="00EC57FB">
        <w:rPr>
          <w:color w:val="000000" w:themeColor="text1"/>
        </w:rPr>
        <w:t xml:space="preserve"> based</w:t>
      </w:r>
      <w:r w:rsidR="00535F0C" w:rsidRPr="00EC57FB">
        <w:rPr>
          <w:color w:val="000000" w:themeColor="text1"/>
        </w:rPr>
        <w:t xml:space="preserve"> </w:t>
      </w:r>
      <w:r w:rsidR="00032ACB" w:rsidRPr="00EC57FB">
        <w:rPr>
          <w:color w:val="000000" w:themeColor="text1"/>
        </w:rPr>
        <w:t>on time since the previous dose of nirsevimab (</w:t>
      </w:r>
      <w:r w:rsidR="00A400D4" w:rsidRPr="00EC57FB">
        <w:rPr>
          <w:rFonts w:cstheme="minorHAnsi"/>
          <w:color w:val="000000" w:themeColor="text1"/>
        </w:rPr>
        <w:t>≤</w:t>
      </w:r>
      <w:r w:rsidR="00032ACB" w:rsidRPr="00EC57FB">
        <w:rPr>
          <w:color w:val="000000" w:themeColor="text1"/>
        </w:rPr>
        <w:t xml:space="preserve">90 days vs </w:t>
      </w:r>
      <w:r w:rsidR="00A400D4" w:rsidRPr="00EC57FB">
        <w:rPr>
          <w:color w:val="000000" w:themeColor="text1"/>
        </w:rPr>
        <w:t>&gt;90 days).</w:t>
      </w:r>
      <w:r w:rsidR="009F5501" w:rsidRPr="00EC57FB">
        <w:rPr>
          <w:color w:val="000000" w:themeColor="text1"/>
        </w:rPr>
        <w:t xml:space="preserve"> </w:t>
      </w:r>
      <w:r w:rsidR="00B043E3" w:rsidRPr="00EC57FB">
        <w:rPr>
          <w:color w:val="000000" w:themeColor="text1"/>
        </w:rPr>
        <w:t>This recommendation</w:t>
      </w:r>
      <w:r w:rsidR="00F605A9" w:rsidRPr="00EC57FB">
        <w:rPr>
          <w:color w:val="000000" w:themeColor="text1"/>
        </w:rPr>
        <w:t xml:space="preserve"> is consistent with the approved PI for nirsevimab but</w:t>
      </w:r>
      <w:r w:rsidR="00B043E3" w:rsidRPr="00EC57FB">
        <w:rPr>
          <w:color w:val="000000" w:themeColor="text1"/>
        </w:rPr>
        <w:t xml:space="preserve"> is not included in the</w:t>
      </w:r>
      <w:r w:rsidR="00C75F6E" w:rsidRPr="00EC57FB">
        <w:rPr>
          <w:color w:val="000000" w:themeColor="text1"/>
        </w:rPr>
        <w:t xml:space="preserve"> AIH.</w:t>
      </w:r>
      <w:r w:rsidR="00E534FF" w:rsidRPr="00EC57FB">
        <w:rPr>
          <w:color w:val="000000" w:themeColor="text1"/>
        </w:rPr>
        <w:t xml:space="preserve"> </w:t>
      </w:r>
      <w:r w:rsidR="00CC4BC8" w:rsidRPr="00EC57FB">
        <w:rPr>
          <w:iCs/>
          <w:color w:val="000000" w:themeColor="text1"/>
        </w:rPr>
        <w:t xml:space="preserve">The ESC noted ATAGI’s advice which indicated that a new point will be added to the AIH, </w:t>
      </w:r>
      <w:r w:rsidR="00DA60B3" w:rsidRPr="00EC57FB">
        <w:rPr>
          <w:iCs/>
          <w:color w:val="000000" w:themeColor="text1"/>
        </w:rPr>
        <w:t>corresponding to this situation</w:t>
      </w:r>
      <w:r w:rsidR="00CC4BC8" w:rsidRPr="00EC57FB">
        <w:rPr>
          <w:iCs/>
          <w:color w:val="000000" w:themeColor="text1"/>
        </w:rPr>
        <w:t xml:space="preserve"> </w:t>
      </w:r>
      <w:r w:rsidR="00DA60B3" w:rsidRPr="00EC57FB">
        <w:rPr>
          <w:iCs/>
          <w:color w:val="000000" w:themeColor="text1"/>
        </w:rPr>
        <w:t>for</w:t>
      </w:r>
      <w:r w:rsidR="00CC4BC8" w:rsidRPr="00EC57FB">
        <w:rPr>
          <w:iCs/>
          <w:color w:val="000000" w:themeColor="text1"/>
        </w:rPr>
        <w:t xml:space="preserve"> “</w:t>
      </w:r>
      <w:r w:rsidR="00CC4BC8" w:rsidRPr="00EC57FB">
        <w:rPr>
          <w:iCs/>
        </w:rPr>
        <w:t>Infants who have undergone a procedure, such as cardiopulmonary bypass or extracorporeal membrane oxygenation, that has led to loss of anti-RSV antibodies.”</w:t>
      </w:r>
    </w:p>
    <w:p w14:paraId="4CD8CF26" w14:textId="7EE47BFB" w:rsidR="00CA3338" w:rsidRPr="00EC57FB" w:rsidRDefault="00CA3338">
      <w:pPr>
        <w:pStyle w:val="3-BodyText"/>
        <w:rPr>
          <w:iCs/>
        </w:rPr>
      </w:pPr>
      <w:r w:rsidRPr="00EC57FB">
        <w:rPr>
          <w:iCs/>
        </w:rPr>
        <w:t xml:space="preserve">The </w:t>
      </w:r>
      <w:r w:rsidR="00856C9D">
        <w:rPr>
          <w:iCs/>
        </w:rPr>
        <w:t>Pre-Sub-Committee Response (</w:t>
      </w:r>
      <w:r w:rsidRPr="00EC57FB">
        <w:rPr>
          <w:iCs/>
        </w:rPr>
        <w:t>PSCR</w:t>
      </w:r>
      <w:r w:rsidR="00856C9D">
        <w:rPr>
          <w:iCs/>
        </w:rPr>
        <w:t>)</w:t>
      </w:r>
      <w:r w:rsidRPr="00EC57FB">
        <w:rPr>
          <w:iCs/>
        </w:rPr>
        <w:t xml:space="preserve"> acknowledged that “Cost effectiveness may be compromised in scenarios where infants receive both therapies” and proposed that “nirsevimab should be given preferentially”. The PSCR also proposed that any “reduction in overall cost effectiveness caused by a failed RSVpreF vaccination followed by immunisation with nirsevimab should not be borne by nirsevimab”. The PSCR considered that “An infant in this scenario is identical to an unvaccinated infant and, therefore, should be considered within that cost effectiveness framework.”</w:t>
      </w:r>
      <w:r w:rsidR="00577C66">
        <w:rPr>
          <w:iCs/>
        </w:rPr>
        <w:t xml:space="preserve"> </w:t>
      </w:r>
      <w:r w:rsidRPr="00EC57FB">
        <w:rPr>
          <w:iCs/>
        </w:rPr>
        <w:t xml:space="preserve">The ESC did not agree with the PSCR that all infants receiving nirsevimab in </w:t>
      </w:r>
      <w:r w:rsidR="00C02239" w:rsidRPr="00EC57FB">
        <w:rPr>
          <w:iCs/>
        </w:rPr>
        <w:t>Season</w:t>
      </w:r>
      <w:r w:rsidR="00C02239">
        <w:rPr>
          <w:iCs/>
        </w:rPr>
        <w:t> </w:t>
      </w:r>
      <w:r w:rsidRPr="00EC57FB">
        <w:rPr>
          <w:iCs/>
        </w:rPr>
        <w:t xml:space="preserve">1 should be considered a single population. </w:t>
      </w:r>
    </w:p>
    <w:p w14:paraId="3CA0DDD2" w14:textId="47263345" w:rsidR="00682F6B" w:rsidRPr="00EC57FB" w:rsidRDefault="00682F6B" w:rsidP="00682F6B">
      <w:pPr>
        <w:pStyle w:val="3-BodyText"/>
      </w:pPr>
      <w:r w:rsidRPr="00EC57FB">
        <w:t xml:space="preserve">The prices proposed for nirsevimab are summarised in </w:t>
      </w:r>
      <w:r w:rsidRPr="00EC57FB">
        <w:fldChar w:fldCharType="begin"/>
      </w:r>
      <w:r w:rsidRPr="00EC57FB">
        <w:instrText xml:space="preserve"> REF _Ref184503210 \h  \* MERGEFORMAT </w:instrText>
      </w:r>
      <w:r w:rsidRPr="00EC57FB">
        <w:fldChar w:fldCharType="separate"/>
      </w:r>
      <w:r w:rsidR="00502C25" w:rsidRPr="00EC57FB">
        <w:t xml:space="preserve">Table </w:t>
      </w:r>
      <w:r w:rsidR="00502C25">
        <w:t>5</w:t>
      </w:r>
      <w:r w:rsidRPr="00EC57FB">
        <w:fldChar w:fldCharType="end"/>
      </w:r>
      <w:r w:rsidRPr="00EC57FB">
        <w:t>. The prices were identical to the ex-manufacturer prices requested in the July 2024 submission. The resubmission stated that $</w:t>
      </w:r>
      <w:r w:rsidR="000641E5" w:rsidRPr="000641E5">
        <w:rPr>
          <w:color w:val="000000"/>
          <w:w w:val="61"/>
          <w:shd w:val="solid" w:color="000000" w:fill="000000"/>
          <w:fitText w:val="471" w:id="-662982653"/>
          <w14:textFill>
            <w14:solidFill>
              <w14:srgbClr w14:val="000000">
                <w14:alpha w14:val="100000"/>
              </w14:srgbClr>
            </w14:solidFill>
          </w14:textFill>
        </w:rPr>
        <w:t>|||  ||</w:t>
      </w:r>
      <w:r w:rsidR="000641E5" w:rsidRPr="000641E5">
        <w:rPr>
          <w:color w:val="000000"/>
          <w:spacing w:val="1"/>
          <w:w w:val="61"/>
          <w:shd w:val="solid" w:color="000000" w:fill="000000"/>
          <w:fitText w:val="471" w:id="-662982653"/>
          <w14:textFill>
            <w14:solidFill>
              <w14:srgbClr w14:val="000000">
                <w14:alpha w14:val="100000"/>
              </w14:srgbClr>
            </w14:solidFill>
          </w14:textFill>
        </w:rPr>
        <w:t>|</w:t>
      </w:r>
      <w:r w:rsidRPr="00EC57FB">
        <w:t xml:space="preserve"> is the nationally negotiated price for state programs.</w:t>
      </w:r>
    </w:p>
    <w:p w14:paraId="026AA21A" w14:textId="0F564970" w:rsidR="00682F6B" w:rsidRPr="00EC57FB" w:rsidRDefault="00682F6B" w:rsidP="00682F6B">
      <w:pPr>
        <w:pStyle w:val="Caption"/>
      </w:pPr>
      <w:bookmarkStart w:id="43" w:name="_Ref184503210"/>
      <w:r w:rsidRPr="00EC57FB">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5</w:t>
      </w:r>
      <w:r w:rsidR="00C51E7C" w:rsidRPr="00EC57FB">
        <w:fldChar w:fldCharType="end"/>
      </w:r>
      <w:bookmarkEnd w:id="43"/>
      <w:r w:rsidRPr="00EC57FB">
        <w:t>: Proposed pricing of nirsevimab on the NIP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7"/>
        <w:gridCol w:w="1677"/>
        <w:gridCol w:w="1396"/>
        <w:gridCol w:w="2317"/>
      </w:tblGrid>
      <w:tr w:rsidR="00682F6B" w:rsidRPr="00EC57FB" w14:paraId="40FF194A" w14:textId="77777777" w:rsidTr="00DC4191">
        <w:trPr>
          <w:tblHeader/>
        </w:trPr>
        <w:tc>
          <w:tcPr>
            <w:tcW w:w="2011" w:type="pct"/>
          </w:tcPr>
          <w:p w14:paraId="4FD966A2" w14:textId="66836747" w:rsidR="00682F6B" w:rsidRPr="00EC57FB" w:rsidRDefault="00682F6B" w:rsidP="00DC4191">
            <w:pPr>
              <w:pStyle w:val="TableFigureHeading"/>
            </w:pPr>
            <w:r w:rsidRPr="00EC57FB">
              <w:t>Name, form</w:t>
            </w:r>
          </w:p>
        </w:tc>
        <w:tc>
          <w:tcPr>
            <w:tcW w:w="930" w:type="pct"/>
          </w:tcPr>
          <w:p w14:paraId="62432E9E" w14:textId="77777777" w:rsidR="00682F6B" w:rsidRPr="00EC57FB" w:rsidRDefault="00682F6B" w:rsidP="00DC4191">
            <w:pPr>
              <w:pStyle w:val="TableFigureHeading"/>
              <w:jc w:val="center"/>
            </w:pPr>
            <w:r w:rsidRPr="00EC57FB">
              <w:t>Maximum quantity (units)</w:t>
            </w:r>
          </w:p>
        </w:tc>
        <w:tc>
          <w:tcPr>
            <w:tcW w:w="774" w:type="pct"/>
            <w:vAlign w:val="center"/>
          </w:tcPr>
          <w:p w14:paraId="4660451B" w14:textId="77777777" w:rsidR="00682F6B" w:rsidRPr="00EC57FB" w:rsidRDefault="00682F6B" w:rsidP="00DC4191">
            <w:pPr>
              <w:pStyle w:val="TableFigureHeading"/>
              <w:jc w:val="center"/>
            </w:pPr>
            <w:r w:rsidRPr="00EC57FB">
              <w:t>Price</w:t>
            </w:r>
          </w:p>
        </w:tc>
        <w:tc>
          <w:tcPr>
            <w:tcW w:w="1285" w:type="pct"/>
            <w:vAlign w:val="center"/>
          </w:tcPr>
          <w:p w14:paraId="7647F140" w14:textId="77777777" w:rsidR="00682F6B" w:rsidRPr="00EC57FB" w:rsidRDefault="00682F6B" w:rsidP="00DC4191">
            <w:pPr>
              <w:pStyle w:val="TableFigureHeading"/>
              <w:jc w:val="center"/>
            </w:pPr>
            <w:r w:rsidRPr="00EC57FB">
              <w:t xml:space="preserve">Proprietary name and </w:t>
            </w:r>
            <w:r w:rsidRPr="00EC57FB">
              <w:br/>
              <w:t>Sponsor</w:t>
            </w:r>
          </w:p>
        </w:tc>
      </w:tr>
      <w:tr w:rsidR="00682F6B" w:rsidRPr="00EC57FB" w14:paraId="7F27D1AF" w14:textId="77777777" w:rsidTr="00DC4191">
        <w:tc>
          <w:tcPr>
            <w:tcW w:w="2011" w:type="pct"/>
          </w:tcPr>
          <w:p w14:paraId="1579FB3C" w14:textId="77777777" w:rsidR="00682F6B" w:rsidRPr="00EC57FB" w:rsidRDefault="00682F6B" w:rsidP="00DC4191">
            <w:pPr>
              <w:pStyle w:val="TableText0"/>
            </w:pPr>
            <w:r w:rsidRPr="00EC57FB">
              <w:t>Nirsevimab, 50 mg/0.5 mL, pre</w:t>
            </w:r>
            <w:r w:rsidRPr="00EC57FB">
              <w:noBreakHyphen/>
              <w:t>filled syringe</w:t>
            </w:r>
          </w:p>
          <w:p w14:paraId="03A7EDFD" w14:textId="77777777" w:rsidR="00682F6B" w:rsidRPr="00EC57FB" w:rsidRDefault="00682F6B" w:rsidP="00DC4191">
            <w:pPr>
              <w:pStyle w:val="TableText0"/>
            </w:pPr>
            <w:r w:rsidRPr="00EC57FB">
              <w:t>Season 1 &lt; 5 kg</w:t>
            </w:r>
          </w:p>
        </w:tc>
        <w:tc>
          <w:tcPr>
            <w:tcW w:w="930" w:type="pct"/>
            <w:vAlign w:val="center"/>
          </w:tcPr>
          <w:p w14:paraId="5C61B76F" w14:textId="77777777" w:rsidR="00682F6B" w:rsidRPr="00EC57FB" w:rsidRDefault="00682F6B" w:rsidP="00DC4191">
            <w:pPr>
              <w:pStyle w:val="TableText0"/>
              <w:jc w:val="center"/>
            </w:pPr>
            <w:r w:rsidRPr="00EC57FB">
              <w:t>1</w:t>
            </w:r>
          </w:p>
        </w:tc>
        <w:tc>
          <w:tcPr>
            <w:tcW w:w="774" w:type="pct"/>
            <w:vAlign w:val="center"/>
          </w:tcPr>
          <w:p w14:paraId="2BC703D4" w14:textId="2815994C" w:rsidR="00682F6B" w:rsidRPr="00EC57FB" w:rsidRDefault="00682F6B" w:rsidP="00DC4191">
            <w:pPr>
              <w:pStyle w:val="TableText0"/>
              <w:jc w:val="center"/>
            </w:pPr>
            <w:r w:rsidRPr="00EC57FB">
              <w:t>$</w:t>
            </w:r>
            <w:r w:rsidR="000641E5" w:rsidRPr="000641E5">
              <w:rPr>
                <w:color w:val="000000"/>
                <w:spacing w:val="52"/>
                <w:shd w:val="solid" w:color="000000" w:fill="000000"/>
                <w:fitText w:val="327" w:id="-662982652"/>
                <w14:textFill>
                  <w14:solidFill>
                    <w14:srgbClr w14:val="000000">
                      <w14:alpha w14:val="100000"/>
                    </w14:srgbClr>
                  </w14:solidFill>
                </w14:textFill>
              </w:rPr>
              <w:t>|||</w:t>
            </w:r>
            <w:r w:rsidR="000641E5" w:rsidRPr="000641E5">
              <w:rPr>
                <w:color w:val="000000"/>
                <w:spacing w:val="1"/>
                <w:shd w:val="solid" w:color="000000" w:fill="000000"/>
                <w:fitText w:val="327" w:id="-662982652"/>
                <w14:textFill>
                  <w14:solidFill>
                    <w14:srgbClr w14:val="000000">
                      <w14:alpha w14:val="100000"/>
                    </w14:srgbClr>
                  </w14:solidFill>
                </w14:textFill>
              </w:rPr>
              <w:t>|</w:t>
            </w:r>
          </w:p>
        </w:tc>
        <w:tc>
          <w:tcPr>
            <w:tcW w:w="1285" w:type="pct"/>
            <w:vAlign w:val="center"/>
          </w:tcPr>
          <w:p w14:paraId="0CEAA214" w14:textId="77777777" w:rsidR="00682F6B" w:rsidRPr="00EC57FB" w:rsidRDefault="00682F6B" w:rsidP="00DC4191">
            <w:pPr>
              <w:pStyle w:val="TableText0"/>
              <w:jc w:val="center"/>
            </w:pPr>
            <w:r w:rsidRPr="00EC57FB">
              <w:t>BEYFORTUS</w:t>
            </w:r>
          </w:p>
          <w:p w14:paraId="20588660" w14:textId="77777777" w:rsidR="00682F6B" w:rsidRPr="00EC57FB" w:rsidRDefault="00682F6B" w:rsidP="00DC4191">
            <w:pPr>
              <w:pStyle w:val="TableText0"/>
              <w:jc w:val="center"/>
            </w:pPr>
            <w:r w:rsidRPr="00EC57FB">
              <w:t>Sanofi</w:t>
            </w:r>
            <w:r w:rsidRPr="00EC57FB">
              <w:noBreakHyphen/>
              <w:t>Aventis Pty Ltd</w:t>
            </w:r>
          </w:p>
        </w:tc>
      </w:tr>
      <w:tr w:rsidR="00682F6B" w:rsidRPr="00EC57FB" w14:paraId="5C49EB95" w14:textId="77777777" w:rsidTr="00DC4191">
        <w:tc>
          <w:tcPr>
            <w:tcW w:w="2011" w:type="pct"/>
          </w:tcPr>
          <w:p w14:paraId="35A42B59" w14:textId="77777777" w:rsidR="00682F6B" w:rsidRPr="00EC57FB" w:rsidRDefault="00682F6B" w:rsidP="00DC4191">
            <w:pPr>
              <w:pStyle w:val="TableText0"/>
            </w:pPr>
            <w:r w:rsidRPr="00EC57FB">
              <w:t>Nirsevimab, 100 mg/1 mL, pre</w:t>
            </w:r>
            <w:r w:rsidRPr="00EC57FB">
              <w:noBreakHyphen/>
              <w:t>filled syringe</w:t>
            </w:r>
          </w:p>
          <w:p w14:paraId="761FCA13" w14:textId="77777777" w:rsidR="00682F6B" w:rsidRPr="00EC57FB" w:rsidRDefault="00682F6B" w:rsidP="00DC4191">
            <w:pPr>
              <w:pStyle w:val="TableText0"/>
            </w:pPr>
            <w:r w:rsidRPr="00EC57FB">
              <w:t>Season 1 ≥ 5 kg</w:t>
            </w:r>
          </w:p>
        </w:tc>
        <w:tc>
          <w:tcPr>
            <w:tcW w:w="930" w:type="pct"/>
            <w:vAlign w:val="center"/>
          </w:tcPr>
          <w:p w14:paraId="3C982573" w14:textId="77777777" w:rsidR="00682F6B" w:rsidRPr="00EC57FB" w:rsidRDefault="00682F6B" w:rsidP="00DC4191">
            <w:pPr>
              <w:pStyle w:val="TableText0"/>
              <w:jc w:val="center"/>
            </w:pPr>
            <w:r w:rsidRPr="00EC57FB">
              <w:t>1</w:t>
            </w:r>
          </w:p>
        </w:tc>
        <w:tc>
          <w:tcPr>
            <w:tcW w:w="774" w:type="pct"/>
            <w:vAlign w:val="center"/>
          </w:tcPr>
          <w:p w14:paraId="33E19202" w14:textId="345C1023" w:rsidR="00682F6B" w:rsidRPr="00EC57FB" w:rsidRDefault="00682F6B" w:rsidP="00DC4191">
            <w:pPr>
              <w:pStyle w:val="TableText0"/>
              <w:jc w:val="center"/>
            </w:pPr>
            <w:r w:rsidRPr="00EC57FB">
              <w:t>$</w:t>
            </w:r>
            <w:r w:rsidR="000641E5" w:rsidRPr="000641E5">
              <w:rPr>
                <w:color w:val="000000"/>
                <w:spacing w:val="52"/>
                <w:shd w:val="solid" w:color="000000" w:fill="000000"/>
                <w:fitText w:val="327" w:id="-662982651"/>
                <w14:textFill>
                  <w14:solidFill>
                    <w14:srgbClr w14:val="000000">
                      <w14:alpha w14:val="100000"/>
                    </w14:srgbClr>
                  </w14:solidFill>
                </w14:textFill>
              </w:rPr>
              <w:t>|||</w:t>
            </w:r>
            <w:r w:rsidR="000641E5" w:rsidRPr="000641E5">
              <w:rPr>
                <w:color w:val="000000"/>
                <w:spacing w:val="1"/>
                <w:shd w:val="solid" w:color="000000" w:fill="000000"/>
                <w:fitText w:val="327" w:id="-662982651"/>
                <w14:textFill>
                  <w14:solidFill>
                    <w14:srgbClr w14:val="000000">
                      <w14:alpha w14:val="100000"/>
                    </w14:srgbClr>
                  </w14:solidFill>
                </w14:textFill>
              </w:rPr>
              <w:t>|</w:t>
            </w:r>
          </w:p>
        </w:tc>
        <w:tc>
          <w:tcPr>
            <w:tcW w:w="1285" w:type="pct"/>
            <w:vAlign w:val="center"/>
          </w:tcPr>
          <w:p w14:paraId="6FAB1969" w14:textId="77777777" w:rsidR="00682F6B" w:rsidRPr="00EC57FB" w:rsidRDefault="00682F6B" w:rsidP="00DC4191">
            <w:pPr>
              <w:pStyle w:val="TableText0"/>
              <w:jc w:val="center"/>
            </w:pPr>
            <w:r w:rsidRPr="00EC57FB">
              <w:t>BEYFORTUS</w:t>
            </w:r>
          </w:p>
          <w:p w14:paraId="11FAC450" w14:textId="77777777" w:rsidR="00682F6B" w:rsidRPr="00EC57FB" w:rsidRDefault="00682F6B" w:rsidP="00DC4191">
            <w:pPr>
              <w:pStyle w:val="TableText0"/>
              <w:jc w:val="center"/>
            </w:pPr>
            <w:r w:rsidRPr="00EC57FB">
              <w:t>Sanofi</w:t>
            </w:r>
            <w:r w:rsidRPr="00EC57FB">
              <w:noBreakHyphen/>
              <w:t>Aventis Pty Ltd</w:t>
            </w:r>
          </w:p>
        </w:tc>
      </w:tr>
      <w:tr w:rsidR="00682F6B" w:rsidRPr="00EC57FB" w14:paraId="28480180" w14:textId="77777777" w:rsidTr="00DC4191">
        <w:tc>
          <w:tcPr>
            <w:tcW w:w="2011" w:type="pct"/>
          </w:tcPr>
          <w:p w14:paraId="1ADF87A7" w14:textId="77777777" w:rsidR="00682F6B" w:rsidRPr="00EC57FB" w:rsidRDefault="00682F6B" w:rsidP="00DC4191">
            <w:pPr>
              <w:pStyle w:val="TableText0"/>
            </w:pPr>
            <w:r w:rsidRPr="00EC57FB">
              <w:t>Nirsevimab, 100 mg/1 mL, pre</w:t>
            </w:r>
            <w:r w:rsidRPr="00EC57FB">
              <w:noBreakHyphen/>
              <w:t>filled syringe</w:t>
            </w:r>
          </w:p>
          <w:p w14:paraId="0C63C0F4" w14:textId="77777777" w:rsidR="00682F6B" w:rsidRPr="00EC57FB" w:rsidRDefault="00682F6B" w:rsidP="00DC4191">
            <w:pPr>
              <w:pStyle w:val="TableText0"/>
            </w:pPr>
            <w:r w:rsidRPr="00EC57FB">
              <w:t xml:space="preserve">Season </w:t>
            </w:r>
            <w:r w:rsidRPr="00EC57FB" w:rsidDel="008C65F5">
              <w:t>2</w:t>
            </w:r>
          </w:p>
        </w:tc>
        <w:tc>
          <w:tcPr>
            <w:tcW w:w="930" w:type="pct"/>
            <w:vAlign w:val="center"/>
          </w:tcPr>
          <w:p w14:paraId="69EDF55A" w14:textId="77777777" w:rsidR="00682F6B" w:rsidRPr="00EC57FB" w:rsidRDefault="00682F6B" w:rsidP="00DC4191">
            <w:pPr>
              <w:pStyle w:val="TableText0"/>
              <w:jc w:val="center"/>
            </w:pPr>
            <w:r w:rsidRPr="00EC57FB">
              <w:t>2</w:t>
            </w:r>
          </w:p>
        </w:tc>
        <w:tc>
          <w:tcPr>
            <w:tcW w:w="774" w:type="pct"/>
            <w:vAlign w:val="center"/>
          </w:tcPr>
          <w:p w14:paraId="68EA7E0C" w14:textId="54FBFA93" w:rsidR="00682F6B" w:rsidRPr="00EC57FB" w:rsidRDefault="00682F6B" w:rsidP="00DC4191">
            <w:pPr>
              <w:pStyle w:val="TableText0"/>
              <w:jc w:val="center"/>
            </w:pPr>
            <w:r w:rsidRPr="00EC57FB">
              <w:t>$</w:t>
            </w:r>
            <w:r w:rsidR="000641E5" w:rsidRPr="00B73761">
              <w:rPr>
                <w:color w:val="000000"/>
                <w:spacing w:val="52"/>
                <w:shd w:val="solid" w:color="000000" w:fill="000000"/>
                <w:fitText w:val="327" w:id="-662982650"/>
                <w14:textFill>
                  <w14:solidFill>
                    <w14:srgbClr w14:val="000000">
                      <w14:alpha w14:val="100000"/>
                    </w14:srgbClr>
                  </w14:solidFill>
                </w14:textFill>
              </w:rPr>
              <w:t>|||</w:t>
            </w:r>
            <w:r w:rsidR="000641E5" w:rsidRPr="00B73761">
              <w:rPr>
                <w:color w:val="000000"/>
                <w:spacing w:val="1"/>
                <w:shd w:val="solid" w:color="000000" w:fill="000000"/>
                <w:fitText w:val="327" w:id="-662982650"/>
                <w14:textFill>
                  <w14:solidFill>
                    <w14:srgbClr w14:val="000000">
                      <w14:alpha w14:val="100000"/>
                    </w14:srgbClr>
                  </w14:solidFill>
                </w14:textFill>
              </w:rPr>
              <w:t>|</w:t>
            </w:r>
          </w:p>
        </w:tc>
        <w:tc>
          <w:tcPr>
            <w:tcW w:w="1285" w:type="pct"/>
            <w:vAlign w:val="center"/>
          </w:tcPr>
          <w:p w14:paraId="06F271F9" w14:textId="77777777" w:rsidR="00682F6B" w:rsidRPr="00EC57FB" w:rsidRDefault="00682F6B" w:rsidP="00DC4191">
            <w:pPr>
              <w:pStyle w:val="TableText0"/>
              <w:jc w:val="center"/>
            </w:pPr>
            <w:r w:rsidRPr="00EC57FB">
              <w:t>BEYFORTUS</w:t>
            </w:r>
          </w:p>
          <w:p w14:paraId="1E0B083E" w14:textId="77777777" w:rsidR="00682F6B" w:rsidRPr="00EC57FB" w:rsidRDefault="00682F6B" w:rsidP="00DC4191">
            <w:pPr>
              <w:pStyle w:val="TableText0"/>
              <w:jc w:val="center"/>
            </w:pPr>
            <w:r w:rsidRPr="00EC57FB">
              <w:t>Sanofi</w:t>
            </w:r>
            <w:r w:rsidRPr="00EC57FB">
              <w:noBreakHyphen/>
              <w:t>Aventis Pty Ltd</w:t>
            </w:r>
          </w:p>
        </w:tc>
      </w:tr>
    </w:tbl>
    <w:p w14:paraId="5081C71F" w14:textId="3F21FDAA" w:rsidR="00C23269" w:rsidRPr="00EC57FB" w:rsidRDefault="00C23269" w:rsidP="00BC167F">
      <w:pPr>
        <w:spacing w:before="120" w:after="120"/>
        <w:ind w:firstLine="709"/>
      </w:pPr>
      <w:r w:rsidRPr="00EC57FB">
        <w:rPr>
          <w:rFonts w:asciiTheme="minorHAnsi" w:hAnsiTheme="minorHAnsi"/>
          <w:i/>
        </w:rPr>
        <w:t>For more detail on PBAC’s view, see section 7 PBAC outcome.</w:t>
      </w:r>
    </w:p>
    <w:p w14:paraId="7075B85C" w14:textId="62A47B7B" w:rsidR="00B50DB8" w:rsidRPr="00EC57FB" w:rsidDel="00195452" w:rsidRDefault="00203181" w:rsidP="004E18E9">
      <w:pPr>
        <w:pStyle w:val="2-SectionHeading"/>
      </w:pPr>
      <w:bookmarkStart w:id="44" w:name="_Toc188619257"/>
      <w:r w:rsidRPr="00EC57FB" w:rsidDel="00195452">
        <w:t xml:space="preserve">Population and </w:t>
      </w:r>
      <w:r w:rsidR="008E0D3C" w:rsidRPr="00EC57FB" w:rsidDel="00195452">
        <w:t>d</w:t>
      </w:r>
      <w:r w:rsidRPr="00EC57FB" w:rsidDel="00195452">
        <w:t>isease</w:t>
      </w:r>
      <w:bookmarkEnd w:id="44"/>
    </w:p>
    <w:p w14:paraId="6206E5DF" w14:textId="2C733F21" w:rsidR="00B17E33" w:rsidRPr="00EC57FB" w:rsidRDefault="00B17E33" w:rsidP="00B17E33">
      <w:pPr>
        <w:pStyle w:val="3-BodyText"/>
      </w:pPr>
      <w:r w:rsidRPr="00EC57FB">
        <w:t xml:space="preserve">RSV is the most common viral cause of bronchiolitis and pneumonia in children under five (50% to 80% of cases), posing a significant risk to infants in their first six months of life. </w:t>
      </w:r>
      <w:r w:rsidR="00970809" w:rsidRPr="00EC57FB">
        <w:t>I</w:t>
      </w:r>
      <w:r w:rsidRPr="00EC57FB">
        <w:t xml:space="preserve">t has been estimated that hospitalisation rates range from 2.2 to 4.9 per 1,000 </w:t>
      </w:r>
      <w:r w:rsidRPr="00EC57FB">
        <w:lastRenderedPageBreak/>
        <w:t>among children under five years old and between 8.7 and 17.4 per 1,000 among children under one year old</w:t>
      </w:r>
      <w:r w:rsidR="0050322E" w:rsidRPr="00EC57FB">
        <w:rPr>
          <w:rStyle w:val="FootnoteReference"/>
        </w:rPr>
        <w:footnoteReference w:id="6"/>
      </w:r>
      <w:r w:rsidRPr="00EC57FB">
        <w:t xml:space="preserve">. </w:t>
      </w:r>
    </w:p>
    <w:p w14:paraId="3DAD8177" w14:textId="07F77EEC" w:rsidR="00B17E33" w:rsidRPr="00EC57FB" w:rsidRDefault="00B17E33" w:rsidP="00B17E33">
      <w:pPr>
        <w:pStyle w:val="3-BodyText"/>
      </w:pPr>
      <w:r w:rsidRPr="00EC57FB">
        <w:t>Symptoms typically include a low-grade fever, cough, and respiratory distress, potentially escalating to severe conditions requiring hospital care</w:t>
      </w:r>
      <w:r w:rsidR="006868FA" w:rsidRPr="00EC57FB">
        <w:rPr>
          <w:rStyle w:val="FootnoteReference"/>
        </w:rPr>
        <w:footnoteReference w:id="7"/>
      </w:r>
      <w:r w:rsidRPr="00EC57FB">
        <w:t>. Risk factors for severe RSV and RSV-associated hospitalisation include very young age, particularly less than three months old, preterm birth, certain congenital heart conditions, chronic lung diseases, and environmental factors like exposure to tobacco smoke</w:t>
      </w:r>
      <w:r w:rsidR="0055751C" w:rsidRPr="00EC57FB">
        <w:rPr>
          <w:rStyle w:val="FootnoteReference"/>
        </w:rPr>
        <w:footnoteReference w:id="8"/>
      </w:r>
      <w:r w:rsidRPr="00EC57FB">
        <w:t>. High-risk infants often experience longer hospital stays and may require intensive care.</w:t>
      </w:r>
    </w:p>
    <w:p w14:paraId="2230D751" w14:textId="1EE0D888" w:rsidR="00170210" w:rsidRPr="00EC57FB" w:rsidRDefault="006265C1">
      <w:pPr>
        <w:pStyle w:val="3-BodyText"/>
      </w:pPr>
      <w:r w:rsidRPr="00EC57FB">
        <w:t xml:space="preserve">RSV is spread in respiratory secretions by contact with infected surfaces, and then transferred into the eyes or respiratory tract </w:t>
      </w:r>
      <w:r w:rsidR="00170210" w:rsidRPr="00EC57FB">
        <w:t xml:space="preserve">or by </w:t>
      </w:r>
      <w:r w:rsidRPr="00EC57FB">
        <w:t>inhaling virus particles via aerosols.</w:t>
      </w:r>
      <w:r w:rsidR="00170210" w:rsidRPr="00EC57FB">
        <w:t xml:space="preserve"> </w:t>
      </w:r>
      <w:r w:rsidRPr="00EC57FB">
        <w:t xml:space="preserve">Viral shedding typically occurs for 7–10 </w:t>
      </w:r>
      <w:r w:rsidR="00EF4458" w:rsidRPr="00EC57FB">
        <w:t>days but</w:t>
      </w:r>
      <w:r w:rsidRPr="00EC57FB">
        <w:t xml:space="preserve"> can continue for up to 30 days.</w:t>
      </w:r>
      <w:r w:rsidR="002D4D14" w:rsidRPr="00EC57FB">
        <w:rPr>
          <w:rStyle w:val="FootnoteReference"/>
        </w:rPr>
        <w:footnoteReference w:id="9"/>
      </w:r>
      <w:r w:rsidR="004C69C1" w:rsidRPr="00EC57FB">
        <w:t xml:space="preserve"> In familial settings, infants often contract RSV from older siblings or parents. Research in Australia has shown that infants less than a year old with one, two, or </w:t>
      </w:r>
      <w:r w:rsidR="004C69C1" w:rsidRPr="00EC57FB">
        <w:rPr>
          <w:rFonts w:cstheme="minorHAnsi"/>
        </w:rPr>
        <w:t>≥</w:t>
      </w:r>
      <w:r w:rsidR="004C69C1" w:rsidRPr="00EC57FB">
        <w:t xml:space="preserve"> 3 older siblings face a significantly increased risk of RSV infection compared to those infants without siblings.</w:t>
      </w:r>
      <w:r w:rsidR="004C69C1" w:rsidRPr="00EC57FB">
        <w:rPr>
          <w:rStyle w:val="FootnoteReference"/>
        </w:rPr>
        <w:footnoteReference w:id="10"/>
      </w:r>
    </w:p>
    <w:p w14:paraId="47502417" w14:textId="45AB0615" w:rsidR="00B17E33" w:rsidRPr="00EC57FB" w:rsidRDefault="00B17E33">
      <w:pPr>
        <w:pStyle w:val="3-BodyText"/>
      </w:pPr>
      <w:r w:rsidRPr="00EC57FB">
        <w:t>The COVID-19 pandemic notably disrupted the typical patterns of RSV transmission. Measures taken to curb the spread of COVID-19, such as social distancing and mask-wearing, also impacted the transmission of RSV, leading to changes in the usual seasonal patterns of the virus. For instance, Australia saw a significant decline in RSV cases in 2020 due to COVID-19 related restrictions, followed by a surge in cases the following year.</w:t>
      </w:r>
      <w:r w:rsidR="004877AF" w:rsidRPr="00EC57FB">
        <w:rPr>
          <w:rStyle w:val="FootnoteReference"/>
        </w:rPr>
        <w:footnoteReference w:id="11"/>
      </w:r>
      <w:r w:rsidRPr="00EC57FB">
        <w:t xml:space="preserve"> </w:t>
      </w:r>
    </w:p>
    <w:p w14:paraId="03EBB252" w14:textId="3DBF7610" w:rsidR="00F30823" w:rsidRPr="00EC57FB" w:rsidRDefault="003C5A8C">
      <w:pPr>
        <w:pStyle w:val="3-BodyText"/>
      </w:pPr>
      <w:bookmarkStart w:id="45" w:name="_Ref188213478"/>
      <w:r w:rsidRPr="00EC57FB">
        <w:t>The resubmission</w:t>
      </w:r>
      <w:r w:rsidR="000D0938" w:rsidRPr="00EC57FB">
        <w:t xml:space="preserve"> noted that, although most RSV cases in Australia occur in temperate</w:t>
      </w:r>
      <w:r w:rsidR="0033376C" w:rsidRPr="00EC57FB">
        <w:t xml:space="preserve"> climatic</w:t>
      </w:r>
      <w:r w:rsidR="000D0938" w:rsidRPr="00EC57FB">
        <w:t xml:space="preserve"> regions of Australia, nationwide RSV control would require specific </w:t>
      </w:r>
      <w:r w:rsidR="000D0938" w:rsidRPr="00EC57FB">
        <w:lastRenderedPageBreak/>
        <w:t xml:space="preserve">programmatic measures to address the pattern of RSV circulation seen in northern tropical and sub-tropical </w:t>
      </w:r>
      <w:r w:rsidR="00D47E8D" w:rsidRPr="00EC57FB">
        <w:t xml:space="preserve">climatic </w:t>
      </w:r>
      <w:r w:rsidR="000D0938" w:rsidRPr="00EC57FB">
        <w:t>regions</w:t>
      </w:r>
      <w:r w:rsidR="00993D79" w:rsidRPr="00EC57FB">
        <w:t xml:space="preserve"> of Australia.</w:t>
      </w:r>
      <w:r w:rsidR="00451BCE" w:rsidRPr="00EC57FB">
        <w:t xml:space="preserve"> </w:t>
      </w:r>
      <w:bookmarkEnd w:id="45"/>
    </w:p>
    <w:p w14:paraId="68856849" w14:textId="62B12ABF" w:rsidR="00B17E33" w:rsidRPr="00EC57FB" w:rsidRDefault="00B17E33" w:rsidP="00B17E33">
      <w:pPr>
        <w:pStyle w:val="3-BodyText"/>
      </w:pPr>
      <w:r w:rsidRPr="00EC57FB">
        <w:t xml:space="preserve">Nirsevimab is a recombinant neutralising human IgG1ĸ long-acting monoclonal antibody to the prefusion conformation of the RSV F protein. Nirsevimab inhibits the essential membrane fusion step in the viral entry process, neutralising the virus and blocking cell-to-cell fusion. The duration of protection offered by a single dose of nirsevimab is at least 5 months based on clinical and pharmacokinetic data (TGA approved </w:t>
      </w:r>
      <w:r w:rsidR="0093125D" w:rsidRPr="00EC57FB">
        <w:t>PI</w:t>
      </w:r>
      <w:r w:rsidRPr="00EC57FB">
        <w:t>).</w:t>
      </w:r>
    </w:p>
    <w:p w14:paraId="60FEA1DE" w14:textId="1E84C327" w:rsidR="00B17E33" w:rsidRPr="00EC57FB" w:rsidRDefault="00B17E33" w:rsidP="00B17E33">
      <w:pPr>
        <w:pStyle w:val="3-BodyText"/>
      </w:pPr>
      <w:r w:rsidRPr="00EC57FB">
        <w:t xml:space="preserve">The </w:t>
      </w:r>
      <w:r w:rsidR="00D10668" w:rsidRPr="00EC57FB">
        <w:t xml:space="preserve">first </w:t>
      </w:r>
      <w:r w:rsidRPr="00EC57FB">
        <w:t xml:space="preserve">submission stated that potential emergence of variants of RSV that may theoretically impact the efficacy of nirsevimab is being monitored with surveillance virology and clinical virology analysis programs, to genotypically track the prevalence and emergence of F protein sequence variations among RSV isolates, and to phenotypically evaluate the impact of these amino acid substitutions on the efficacy of nirsevimab using an in vitro neutralisation susceptibility assay. The ESC </w:t>
      </w:r>
      <w:r w:rsidR="00DA60B3" w:rsidRPr="00EC57FB">
        <w:t xml:space="preserve">previously </w:t>
      </w:r>
      <w:r w:rsidRPr="00EC57FB">
        <w:t xml:space="preserve">considered that the potential for resistance to nirsevimab, and the possibility that variants with reduced susceptibility to nirsevimab will emerge and become prevalent in the future, are both areas of uncertainty. </w:t>
      </w:r>
    </w:p>
    <w:p w14:paraId="270CAC16" w14:textId="2C328F66" w:rsidR="00C23269" w:rsidRPr="00EC57FB" w:rsidRDefault="00C23269" w:rsidP="00B73761">
      <w:pPr>
        <w:spacing w:before="120" w:after="120"/>
        <w:ind w:firstLine="720"/>
        <w:rPr>
          <w:rFonts w:asciiTheme="minorHAnsi" w:hAnsiTheme="minorHAnsi"/>
          <w:i/>
        </w:rPr>
      </w:pPr>
      <w:r w:rsidRPr="00EC57FB">
        <w:rPr>
          <w:rFonts w:asciiTheme="minorHAnsi" w:hAnsiTheme="minorHAnsi"/>
          <w:i/>
        </w:rPr>
        <w:t>For more detail on PBAC’s view, see section 7 PBAC outcome.</w:t>
      </w:r>
    </w:p>
    <w:p w14:paraId="51E5AE96" w14:textId="136A63B1" w:rsidR="00B50DB8" w:rsidRPr="00EC57FB" w:rsidRDefault="00B50DB8" w:rsidP="004E18E9">
      <w:pPr>
        <w:pStyle w:val="2-SectionHeading"/>
      </w:pPr>
      <w:bookmarkStart w:id="46" w:name="_Toc188619258"/>
      <w:r w:rsidRPr="00EC57FB">
        <w:t>Comparator</w:t>
      </w:r>
      <w:bookmarkEnd w:id="46"/>
    </w:p>
    <w:bookmarkStart w:id="47" w:name="_Ref185172286"/>
    <w:bookmarkStart w:id="48" w:name="_Hlk199333207"/>
    <w:p w14:paraId="069B55F0" w14:textId="1F8D0EBC" w:rsidR="00D1619A" w:rsidRPr="00EC57FB" w:rsidRDefault="00643FBD" w:rsidP="00DC4191">
      <w:pPr>
        <w:pStyle w:val="3-BodyText"/>
        <w:rPr>
          <w:color w:val="000000" w:themeColor="text1"/>
        </w:rPr>
      </w:pPr>
      <w:r w:rsidRPr="00EC57FB">
        <w:fldChar w:fldCharType="begin"/>
      </w:r>
      <w:r w:rsidRPr="00EC57FB">
        <w:instrText xml:space="preserve"> REF _Ref185172303 \h </w:instrText>
      </w:r>
      <w:r w:rsidR="00640D3C" w:rsidRPr="00EC57FB">
        <w:instrText xml:space="preserve"> \* MERGEFORMAT </w:instrText>
      </w:r>
      <w:r w:rsidRPr="00EC57FB">
        <w:fldChar w:fldCharType="separate"/>
      </w:r>
      <w:r w:rsidR="00502C25" w:rsidRPr="00EC57FB">
        <w:t xml:space="preserve">Table </w:t>
      </w:r>
      <w:r w:rsidR="00502C25">
        <w:t>6</w:t>
      </w:r>
      <w:r w:rsidRPr="00EC57FB">
        <w:fldChar w:fldCharType="end"/>
      </w:r>
      <w:r w:rsidR="00640D3C" w:rsidRPr="00EC57FB">
        <w:t xml:space="preserve"> summarises the</w:t>
      </w:r>
      <w:r w:rsidR="00D83949" w:rsidRPr="00EC57FB">
        <w:t xml:space="preserve"> </w:t>
      </w:r>
      <w:r w:rsidR="00640D3C" w:rsidRPr="00EC57FB">
        <w:t>comparators</w:t>
      </w:r>
      <w:r w:rsidR="002F7A0A" w:rsidRPr="00EC57FB">
        <w:t>, including those</w:t>
      </w:r>
      <w:r w:rsidR="00640D3C" w:rsidRPr="00EC57FB">
        <w:t xml:space="preserve"> nominated by the resubmission</w:t>
      </w:r>
      <w:r w:rsidR="00A60A1D" w:rsidRPr="00EC57FB">
        <w:t>, and evaluation comments</w:t>
      </w:r>
      <w:r w:rsidR="001C0F86" w:rsidRPr="00EC57FB">
        <w:t>.</w:t>
      </w:r>
      <w:r w:rsidR="00577C66">
        <w:t xml:space="preserve"> </w:t>
      </w:r>
      <w:r w:rsidR="00FB7D6B" w:rsidRPr="00EC57FB">
        <w:t xml:space="preserve">The resubmission did not adequately consider the possible scenarios in which nirsevimab may be used. </w:t>
      </w:r>
    </w:p>
    <w:p w14:paraId="42D6C189" w14:textId="65BA9885" w:rsidR="00D1619A" w:rsidRPr="00EC57FB" w:rsidRDefault="00D1619A" w:rsidP="00DC4191">
      <w:pPr>
        <w:pStyle w:val="3-BodyText"/>
        <w:rPr>
          <w:iCs/>
        </w:rPr>
      </w:pPr>
      <w:bookmarkStart w:id="49" w:name="_Ref199425387"/>
      <w:r w:rsidRPr="00EC57FB">
        <w:rPr>
          <w:iCs/>
          <w:color w:val="000000" w:themeColor="text1"/>
          <w:szCs w:val="20"/>
        </w:rPr>
        <w:t xml:space="preserve">The ESC agreed with the evaluation that two comparators are relevant for the populations in in which the infant’s mother did not receive RSVpreF, </w:t>
      </w:r>
      <w:r w:rsidRPr="00EC57FB">
        <w:rPr>
          <w:iCs/>
          <w:color w:val="000000" w:themeColor="text1"/>
        </w:rPr>
        <w:t>no immunisation and RSVpreF.</w:t>
      </w:r>
      <w:r w:rsidR="00577C66">
        <w:rPr>
          <w:iCs/>
          <w:color w:val="000000" w:themeColor="text1"/>
        </w:rPr>
        <w:t xml:space="preserve"> </w:t>
      </w:r>
      <w:r w:rsidRPr="00EC57FB">
        <w:rPr>
          <w:iCs/>
          <w:color w:val="000000" w:themeColor="text1"/>
        </w:rPr>
        <w:t xml:space="preserve">RSVpreF maternal vaccine, was included on the NIP from </w:t>
      </w:r>
      <w:r w:rsidR="00DC1B43" w:rsidRPr="00EC57FB">
        <w:rPr>
          <w:iCs/>
          <w:color w:val="000000" w:themeColor="text1"/>
        </w:rPr>
        <w:t>3</w:t>
      </w:r>
      <w:r w:rsidR="00DC1B43">
        <w:rPr>
          <w:iCs/>
          <w:color w:val="000000" w:themeColor="text1"/>
        </w:rPr>
        <w:t> </w:t>
      </w:r>
      <w:r w:rsidRPr="00EC57FB">
        <w:rPr>
          <w:iCs/>
          <w:color w:val="000000" w:themeColor="text1"/>
        </w:rPr>
        <w:t>February</w:t>
      </w:r>
      <w:r w:rsidR="00DC1B43">
        <w:rPr>
          <w:iCs/>
          <w:color w:val="000000" w:themeColor="text1"/>
        </w:rPr>
        <w:t> </w:t>
      </w:r>
      <w:r w:rsidRPr="00EC57FB">
        <w:rPr>
          <w:iCs/>
          <w:color w:val="000000" w:themeColor="text1"/>
        </w:rPr>
        <w:t xml:space="preserve">2025 (see paragraph </w:t>
      </w:r>
      <w:r w:rsidRPr="00EC57FB">
        <w:rPr>
          <w:iCs/>
          <w:color w:val="000000" w:themeColor="text1"/>
        </w:rPr>
        <w:fldChar w:fldCharType="begin"/>
      </w:r>
      <w:r w:rsidRPr="00EC57FB">
        <w:rPr>
          <w:iCs/>
          <w:color w:val="000000" w:themeColor="text1"/>
        </w:rPr>
        <w:instrText xml:space="preserve"> REF _Ref188359761 \r \h  \* MERGEFORMAT </w:instrText>
      </w:r>
      <w:r w:rsidRPr="00EC57FB">
        <w:rPr>
          <w:iCs/>
          <w:color w:val="000000" w:themeColor="text1"/>
        </w:rPr>
      </w:r>
      <w:r w:rsidRPr="00EC57FB">
        <w:rPr>
          <w:iCs/>
          <w:color w:val="000000" w:themeColor="text1"/>
        </w:rPr>
        <w:fldChar w:fldCharType="separate"/>
      </w:r>
      <w:r w:rsidR="00502C25">
        <w:rPr>
          <w:iCs/>
          <w:color w:val="000000" w:themeColor="text1"/>
        </w:rPr>
        <w:t>2.11</w:t>
      </w:r>
      <w:r w:rsidRPr="00EC57FB">
        <w:rPr>
          <w:iCs/>
          <w:color w:val="000000" w:themeColor="text1"/>
        </w:rPr>
        <w:fldChar w:fldCharType="end"/>
      </w:r>
      <w:r w:rsidRPr="00EC57FB">
        <w:rPr>
          <w:iCs/>
          <w:color w:val="000000" w:themeColor="text1"/>
        </w:rPr>
        <w:t xml:space="preserve">). </w:t>
      </w:r>
      <w:r w:rsidRPr="00EC57FB">
        <w:rPr>
          <w:iCs/>
        </w:rPr>
        <w:t xml:space="preserve">The PSCR stated that parents will ultimately be given a choice between infant immunisation and maternal vaccination, and reiterated </w:t>
      </w:r>
      <w:r w:rsidR="008A7C7F" w:rsidRPr="00EC57FB">
        <w:rPr>
          <w:iCs/>
        </w:rPr>
        <w:t xml:space="preserve">that </w:t>
      </w:r>
      <w:r w:rsidRPr="00EC57FB">
        <w:rPr>
          <w:iCs/>
        </w:rPr>
        <w:t xml:space="preserve">nirsevimab </w:t>
      </w:r>
      <w:r w:rsidR="008A7C7F" w:rsidRPr="00EC57FB">
        <w:rPr>
          <w:iCs/>
        </w:rPr>
        <w:t xml:space="preserve">would </w:t>
      </w:r>
      <w:r w:rsidR="00EF24A6" w:rsidRPr="00EC57FB">
        <w:rPr>
          <w:iCs/>
        </w:rPr>
        <w:t>be</w:t>
      </w:r>
      <w:r w:rsidRPr="00EC57FB">
        <w:rPr>
          <w:iCs/>
        </w:rPr>
        <w:t xml:space="preserve"> the immunisation option </w:t>
      </w:r>
      <w:r w:rsidR="00EF24A6" w:rsidRPr="00EC57FB">
        <w:rPr>
          <w:iCs/>
        </w:rPr>
        <w:t xml:space="preserve">utilised in </w:t>
      </w:r>
      <w:r w:rsidR="008A7C7F" w:rsidRPr="00EC57FB">
        <w:rPr>
          <w:iCs/>
        </w:rPr>
        <w:t xml:space="preserve">the majority of cases in </w:t>
      </w:r>
      <w:r w:rsidR="00EF24A6" w:rsidRPr="00EC57FB">
        <w:rPr>
          <w:iCs/>
        </w:rPr>
        <w:t xml:space="preserve">clinical practice when both options are available on the NIP </w:t>
      </w:r>
      <w:r w:rsidRPr="00EC57FB">
        <w:rPr>
          <w:iCs/>
        </w:rPr>
        <w:t>(</w:t>
      </w:r>
      <w:r w:rsidR="008A7C7F" w:rsidRPr="00EC57FB">
        <w:rPr>
          <w:iCs/>
        </w:rPr>
        <w:t>80% uptake estimated in resubmission, reduced to 70% in the PSCR</w:t>
      </w:r>
      <w:r w:rsidR="00334DC1" w:rsidRPr="00EC57FB">
        <w:rPr>
          <w:iCs/>
        </w:rPr>
        <w:t xml:space="preserve"> and maintained in pre-PBAC response</w:t>
      </w:r>
      <w:r w:rsidR="008A7C7F" w:rsidRPr="00EC57FB">
        <w:rPr>
          <w:iCs/>
        </w:rPr>
        <w:t>).</w:t>
      </w:r>
      <w:bookmarkEnd w:id="49"/>
      <w:r w:rsidR="00577C66">
        <w:rPr>
          <w:iCs/>
        </w:rPr>
        <w:t xml:space="preserve"> </w:t>
      </w:r>
    </w:p>
    <w:p w14:paraId="0ECE45A4" w14:textId="4AD7ED06" w:rsidR="00D1619A" w:rsidRPr="00EC57FB" w:rsidRDefault="00D1619A" w:rsidP="00DC4191">
      <w:pPr>
        <w:pStyle w:val="3-BodyText"/>
        <w:rPr>
          <w:color w:val="000000" w:themeColor="text1"/>
        </w:rPr>
      </w:pPr>
      <w:r w:rsidRPr="00EC57FB">
        <w:rPr>
          <w:iCs/>
          <w:color w:val="000000" w:themeColor="text1"/>
          <w:szCs w:val="20"/>
        </w:rPr>
        <w:t xml:space="preserve">The </w:t>
      </w:r>
      <w:r w:rsidR="00896130" w:rsidRPr="00EC57FB">
        <w:rPr>
          <w:iCs/>
          <w:color w:val="000000" w:themeColor="text1"/>
          <w:szCs w:val="20"/>
        </w:rPr>
        <w:t xml:space="preserve">PBAC agreed with </w:t>
      </w:r>
      <w:r w:rsidRPr="00EC57FB">
        <w:rPr>
          <w:iCs/>
          <w:color w:val="000000" w:themeColor="text1"/>
          <w:szCs w:val="20"/>
        </w:rPr>
        <w:t xml:space="preserve">ESC </w:t>
      </w:r>
      <w:r w:rsidR="00896130" w:rsidRPr="00EC57FB">
        <w:rPr>
          <w:iCs/>
          <w:color w:val="000000" w:themeColor="text1"/>
          <w:szCs w:val="20"/>
        </w:rPr>
        <w:t>and</w:t>
      </w:r>
      <w:r w:rsidRPr="00EC57FB">
        <w:rPr>
          <w:iCs/>
          <w:color w:val="000000" w:themeColor="text1"/>
          <w:szCs w:val="20"/>
        </w:rPr>
        <w:t xml:space="preserve"> the evaluation</w:t>
      </w:r>
      <w:r w:rsidR="00896130" w:rsidRPr="00EC57FB">
        <w:rPr>
          <w:iCs/>
          <w:color w:val="000000" w:themeColor="text1"/>
          <w:szCs w:val="20"/>
        </w:rPr>
        <w:t>,</w:t>
      </w:r>
      <w:r w:rsidRPr="00EC57FB">
        <w:rPr>
          <w:iCs/>
          <w:color w:val="000000" w:themeColor="text1"/>
          <w:szCs w:val="20"/>
        </w:rPr>
        <w:t xml:space="preserve"> that for populations in which the infant’s mother received RSVpreF, the appropriate comparison would be nirsevimab + RSVpreF versus RSVpreF alone.</w:t>
      </w:r>
    </w:p>
    <w:p w14:paraId="48A35B2F" w14:textId="6D0E6911" w:rsidR="00823AEC" w:rsidRPr="00EC57FB" w:rsidRDefault="00823AEC" w:rsidP="00A01B65">
      <w:pPr>
        <w:pStyle w:val="TableFigureHeading"/>
      </w:pPr>
      <w:bookmarkStart w:id="50" w:name="_Ref185172303"/>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6</w:t>
      </w:r>
      <w:r w:rsidR="00C51E7C" w:rsidRPr="00EC57FB">
        <w:fldChar w:fldCharType="end"/>
      </w:r>
      <w:bookmarkEnd w:id="47"/>
      <w:bookmarkEnd w:id="50"/>
      <w:r w:rsidRPr="00EC57FB">
        <w:t xml:space="preserve">: </w:t>
      </w:r>
      <w:r w:rsidR="00A01B65" w:rsidRPr="00EC57FB">
        <w:t xml:space="preserve">Comparators </w:t>
      </w:r>
      <w:r w:rsidR="00776291" w:rsidRPr="00EC57FB">
        <w:t xml:space="preserve">for </w:t>
      </w:r>
      <w:r w:rsidR="00CC6643" w:rsidRPr="00EC57FB">
        <w:t>each</w:t>
      </w:r>
      <w:r w:rsidR="009D3DA9" w:rsidRPr="00EC57FB">
        <w:t xml:space="preserve"> </w:t>
      </w:r>
      <w:r w:rsidR="00261E97" w:rsidRPr="00EC57FB">
        <w:t xml:space="preserve">AIH </w:t>
      </w:r>
      <w:r w:rsidR="009D3DA9" w:rsidRPr="00EC57FB">
        <w:t>population</w:t>
      </w:r>
      <w:r w:rsidR="006A1F95" w:rsidRPr="00EC57FB">
        <w:t xml:space="preserve"> including those nominated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0"/>
        <w:gridCol w:w="2571"/>
        <w:gridCol w:w="2926"/>
      </w:tblGrid>
      <w:tr w:rsidR="009D3DA9" w:rsidRPr="00EC57FB" w14:paraId="51126143" w14:textId="77777777" w:rsidTr="00B20B36">
        <w:trPr>
          <w:cantSplit/>
          <w:trHeight w:val="20"/>
        </w:trPr>
        <w:tc>
          <w:tcPr>
            <w:tcW w:w="3520" w:type="dxa"/>
            <w:vAlign w:val="center"/>
          </w:tcPr>
          <w:p w14:paraId="6B433A3B" w14:textId="561FA3CA" w:rsidR="009D3DA9" w:rsidRPr="00EC57FB" w:rsidRDefault="009D3DA9" w:rsidP="00B20B36">
            <w:pPr>
              <w:keepNext/>
              <w:keepLines/>
              <w:jc w:val="left"/>
              <w:rPr>
                <w:rFonts w:ascii="Arial Narrow" w:hAnsi="Arial Narrow"/>
                <w:b/>
                <w:sz w:val="20"/>
                <w:szCs w:val="20"/>
              </w:rPr>
            </w:pPr>
            <w:r w:rsidRPr="00EC57FB">
              <w:rPr>
                <w:rFonts w:ascii="Arial Narrow" w:hAnsi="Arial Narrow"/>
                <w:b/>
                <w:bCs/>
                <w:sz w:val="20"/>
                <w:szCs w:val="20"/>
              </w:rPr>
              <w:t>Population</w:t>
            </w:r>
          </w:p>
        </w:tc>
        <w:tc>
          <w:tcPr>
            <w:tcW w:w="2571" w:type="dxa"/>
            <w:vAlign w:val="center"/>
          </w:tcPr>
          <w:p w14:paraId="0D1DDF99" w14:textId="6D2AC840" w:rsidR="009D3DA9" w:rsidRPr="00EC57FB" w:rsidRDefault="009D3DA9" w:rsidP="00CF27A3">
            <w:pPr>
              <w:pStyle w:val="TableText0"/>
              <w:jc w:val="center"/>
              <w:rPr>
                <w:b/>
                <w:bCs w:val="0"/>
                <w:szCs w:val="20"/>
              </w:rPr>
            </w:pPr>
            <w:r w:rsidRPr="00EC57FB">
              <w:rPr>
                <w:b/>
                <w:bCs w:val="0"/>
                <w:snapToGrid w:val="0"/>
              </w:rPr>
              <w:t>Nominated comparator</w:t>
            </w:r>
          </w:p>
        </w:tc>
        <w:tc>
          <w:tcPr>
            <w:tcW w:w="2926" w:type="dxa"/>
            <w:vAlign w:val="center"/>
          </w:tcPr>
          <w:p w14:paraId="4E17B54A" w14:textId="67F818A2" w:rsidR="009D3DA9" w:rsidRPr="00EC57FB" w:rsidRDefault="009D3DA9" w:rsidP="00CF27A3">
            <w:pPr>
              <w:keepNext/>
              <w:keepLines/>
              <w:jc w:val="center"/>
              <w:rPr>
                <w:rFonts w:ascii="Arial Narrow" w:hAnsi="Arial Narrow"/>
                <w:b/>
                <w:sz w:val="20"/>
                <w:szCs w:val="20"/>
              </w:rPr>
            </w:pPr>
            <w:r w:rsidRPr="00EC57FB">
              <w:rPr>
                <w:rFonts w:ascii="Arial Narrow" w:hAnsi="Arial Narrow"/>
                <w:b/>
                <w:sz w:val="20"/>
                <w:szCs w:val="20"/>
              </w:rPr>
              <w:t>Comment</w:t>
            </w:r>
          </w:p>
        </w:tc>
      </w:tr>
      <w:tr w:rsidR="000E5075" w:rsidRPr="00EC57FB" w14:paraId="4CF712B6" w14:textId="77777777">
        <w:trPr>
          <w:cantSplit/>
          <w:trHeight w:val="20"/>
        </w:trPr>
        <w:tc>
          <w:tcPr>
            <w:tcW w:w="9017" w:type="dxa"/>
            <w:gridSpan w:val="3"/>
            <w:vAlign w:val="center"/>
          </w:tcPr>
          <w:p w14:paraId="59347847" w14:textId="2546B432" w:rsidR="000E5075" w:rsidRPr="00EC57FB" w:rsidRDefault="00023758" w:rsidP="000E5075">
            <w:pPr>
              <w:pStyle w:val="TableText0"/>
              <w:keepLines w:val="0"/>
              <w:rPr>
                <w:b/>
                <w:bCs w:val="0"/>
                <w:color w:val="000000" w:themeColor="text1"/>
              </w:rPr>
            </w:pPr>
            <w:r w:rsidRPr="00EC57FB">
              <w:rPr>
                <w:b/>
                <w:bCs w:val="0"/>
                <w:color w:val="000000" w:themeColor="text1"/>
              </w:rPr>
              <w:t>Infants entering their first RSV season (birth to</w:t>
            </w:r>
            <w:r w:rsidR="00CF1453" w:rsidRPr="00EC57FB">
              <w:rPr>
                <w:b/>
                <w:bCs w:val="0"/>
                <w:color w:val="000000" w:themeColor="text1"/>
              </w:rPr>
              <w:t xml:space="preserve"> &lt;8 months)</w:t>
            </w:r>
          </w:p>
        </w:tc>
      </w:tr>
      <w:tr w:rsidR="009D3DA9" w:rsidRPr="00EC57FB" w14:paraId="4C00E77A" w14:textId="77777777" w:rsidTr="00B20B36">
        <w:trPr>
          <w:cantSplit/>
          <w:trHeight w:val="20"/>
        </w:trPr>
        <w:tc>
          <w:tcPr>
            <w:tcW w:w="3520" w:type="dxa"/>
            <w:vAlign w:val="center"/>
          </w:tcPr>
          <w:p w14:paraId="492A3170" w14:textId="62A97610" w:rsidR="009D3DA9" w:rsidRPr="00EC57FB" w:rsidRDefault="00506945" w:rsidP="00B20B36">
            <w:pPr>
              <w:pStyle w:val="TableText0"/>
              <w:keepLines w:val="0"/>
              <w:rPr>
                <w:color w:val="000000" w:themeColor="text1"/>
                <w:szCs w:val="20"/>
              </w:rPr>
            </w:pPr>
            <w:r w:rsidRPr="00EC57FB">
              <w:rPr>
                <w:b/>
                <w:bCs w:val="0"/>
                <w:color w:val="000000" w:themeColor="text1"/>
              </w:rPr>
              <w:t xml:space="preserve">Population </w:t>
            </w:r>
            <w:r w:rsidR="001B5DC2" w:rsidRPr="00EC57FB">
              <w:rPr>
                <w:b/>
                <w:bCs w:val="0"/>
                <w:color w:val="000000" w:themeColor="text1"/>
              </w:rPr>
              <w:t>A</w:t>
            </w:r>
            <w:r w:rsidRPr="00EC57FB">
              <w:rPr>
                <w:b/>
                <w:bCs w:val="0"/>
                <w:color w:val="000000" w:themeColor="text1"/>
              </w:rPr>
              <w:t>:</w:t>
            </w:r>
            <w:r w:rsidRPr="00EC57FB">
              <w:rPr>
                <w:color w:val="000000" w:themeColor="text1"/>
              </w:rPr>
              <w:t xml:space="preserve"> infants where the mother did not receive </w:t>
            </w:r>
            <w:r w:rsidR="00485EA7" w:rsidRPr="00EC57FB">
              <w:rPr>
                <w:color w:val="000000" w:themeColor="text1"/>
              </w:rPr>
              <w:t xml:space="preserve">RSVpreF </w:t>
            </w:r>
            <w:r w:rsidRPr="00EC57FB">
              <w:rPr>
                <w:color w:val="000000" w:themeColor="text1"/>
              </w:rPr>
              <w:t>and where the infant does not have a risk condition</w:t>
            </w:r>
          </w:p>
        </w:tc>
        <w:tc>
          <w:tcPr>
            <w:tcW w:w="2571" w:type="dxa"/>
            <w:vAlign w:val="center"/>
          </w:tcPr>
          <w:p w14:paraId="72B77751" w14:textId="76CE6DE6" w:rsidR="00E8621E" w:rsidRPr="00EC57FB" w:rsidRDefault="00E8621E" w:rsidP="0094691D">
            <w:pPr>
              <w:pStyle w:val="TableText0"/>
              <w:keepLines w:val="0"/>
              <w:jc w:val="center"/>
              <w:rPr>
                <w:color w:val="000000" w:themeColor="text1"/>
                <w:szCs w:val="20"/>
              </w:rPr>
            </w:pPr>
            <w:r w:rsidRPr="00EC57FB">
              <w:rPr>
                <w:color w:val="000000" w:themeColor="text1"/>
              </w:rPr>
              <w:t>No immunisation &amp;</w:t>
            </w:r>
            <w:r w:rsidR="0094691D" w:rsidRPr="00EC57FB">
              <w:rPr>
                <w:color w:val="000000" w:themeColor="text1"/>
              </w:rPr>
              <w:t xml:space="preserve"> </w:t>
            </w:r>
            <w:r w:rsidR="00485EA7" w:rsidRPr="00EC57FB">
              <w:rPr>
                <w:color w:val="000000" w:themeColor="text1"/>
              </w:rPr>
              <w:t>RSVpreF maternal</w:t>
            </w:r>
            <w:r w:rsidRPr="00EC57FB">
              <w:rPr>
                <w:color w:val="000000" w:themeColor="text1"/>
              </w:rPr>
              <w:t xml:space="preserve"> vaccination </w:t>
            </w:r>
          </w:p>
        </w:tc>
        <w:tc>
          <w:tcPr>
            <w:tcW w:w="2926" w:type="dxa"/>
            <w:vAlign w:val="center"/>
          </w:tcPr>
          <w:p w14:paraId="03695245" w14:textId="5E3DED83" w:rsidR="009D3DA9" w:rsidRPr="00EC57FB" w:rsidRDefault="00E8621E" w:rsidP="00CF27A3">
            <w:pPr>
              <w:pStyle w:val="TableText0"/>
              <w:keepLines w:val="0"/>
              <w:jc w:val="center"/>
              <w:rPr>
                <w:color w:val="000000" w:themeColor="text1"/>
                <w:szCs w:val="20"/>
              </w:rPr>
            </w:pPr>
            <w:r w:rsidRPr="00EC57FB">
              <w:rPr>
                <w:color w:val="000000" w:themeColor="text1"/>
              </w:rPr>
              <w:t xml:space="preserve">The nominated comparators are appropriate and are consistent with </w:t>
            </w:r>
            <w:r w:rsidR="00C0797F" w:rsidRPr="00EC57FB">
              <w:rPr>
                <w:color w:val="000000" w:themeColor="text1"/>
              </w:rPr>
              <w:t>PBAC’s determination</w:t>
            </w:r>
            <w:r w:rsidR="00CF27A3" w:rsidRPr="00EC57FB">
              <w:rPr>
                <w:color w:val="000000" w:themeColor="text1"/>
              </w:rPr>
              <w:t>s</w:t>
            </w:r>
            <w:r w:rsidR="00663793" w:rsidRPr="00EC57FB">
              <w:rPr>
                <w:color w:val="000000" w:themeColor="text1"/>
              </w:rPr>
              <w:t xml:space="preserve"> in July 2024</w:t>
            </w:r>
          </w:p>
        </w:tc>
      </w:tr>
      <w:tr w:rsidR="009D3DA9" w:rsidRPr="00EC57FB" w14:paraId="67D712D6" w14:textId="77777777" w:rsidTr="00B20B36">
        <w:trPr>
          <w:cantSplit/>
          <w:trHeight w:val="20"/>
        </w:trPr>
        <w:tc>
          <w:tcPr>
            <w:tcW w:w="3520" w:type="dxa"/>
            <w:vAlign w:val="center"/>
          </w:tcPr>
          <w:p w14:paraId="59BD0EE2" w14:textId="5028FD71" w:rsidR="009D3DA9" w:rsidRPr="00EC57FB" w:rsidRDefault="00F2681C" w:rsidP="00B20B36">
            <w:pPr>
              <w:pStyle w:val="TableText0"/>
              <w:keepNext w:val="0"/>
              <w:keepLines w:val="0"/>
              <w:rPr>
                <w:color w:val="000000" w:themeColor="text1"/>
                <w:szCs w:val="20"/>
              </w:rPr>
            </w:pPr>
            <w:bookmarkStart w:id="51" w:name="_Hlk199331725"/>
            <w:r w:rsidRPr="00EC57FB">
              <w:rPr>
                <w:b/>
                <w:bCs w:val="0"/>
                <w:color w:val="000000" w:themeColor="text1"/>
                <w:szCs w:val="20"/>
              </w:rPr>
              <w:t xml:space="preserve">Population </w:t>
            </w:r>
            <w:r w:rsidR="001B5DC2" w:rsidRPr="00EC57FB">
              <w:rPr>
                <w:b/>
                <w:bCs w:val="0"/>
                <w:color w:val="000000" w:themeColor="text1"/>
                <w:szCs w:val="20"/>
              </w:rPr>
              <w:t>B</w:t>
            </w:r>
            <w:r w:rsidRPr="00EC57FB">
              <w:rPr>
                <w:b/>
                <w:bCs w:val="0"/>
                <w:color w:val="000000" w:themeColor="text1"/>
                <w:szCs w:val="20"/>
              </w:rPr>
              <w:t xml:space="preserve">: </w:t>
            </w:r>
            <w:r w:rsidRPr="00EC57FB">
              <w:rPr>
                <w:color w:val="000000" w:themeColor="text1"/>
                <w:szCs w:val="20"/>
              </w:rPr>
              <w:t xml:space="preserve">infants where the mother received the RSVpreF vaccine but where the </w:t>
            </w:r>
            <w:r w:rsidR="00AD4A66" w:rsidRPr="00EC57FB">
              <w:rPr>
                <w:color w:val="000000" w:themeColor="text1"/>
                <w:szCs w:val="20"/>
              </w:rPr>
              <w:t xml:space="preserve">immune response to </w:t>
            </w:r>
            <w:r w:rsidRPr="00EC57FB">
              <w:rPr>
                <w:color w:val="000000" w:themeColor="text1"/>
                <w:szCs w:val="20"/>
              </w:rPr>
              <w:t xml:space="preserve">the vaccine (in terms of prevention of RSV disease in the infant) may be </w:t>
            </w:r>
            <w:r w:rsidR="00AD4A66" w:rsidRPr="00EC57FB">
              <w:rPr>
                <w:color w:val="000000" w:themeColor="text1"/>
                <w:szCs w:val="20"/>
              </w:rPr>
              <w:t>impaired</w:t>
            </w:r>
            <w:r w:rsidRPr="00EC57FB">
              <w:rPr>
                <w:color w:val="000000" w:themeColor="text1"/>
                <w:szCs w:val="20"/>
              </w:rPr>
              <w:t xml:space="preserve"> </w:t>
            </w:r>
          </w:p>
        </w:tc>
        <w:tc>
          <w:tcPr>
            <w:tcW w:w="2571" w:type="dxa"/>
            <w:vAlign w:val="center"/>
          </w:tcPr>
          <w:p w14:paraId="44F0DAFA" w14:textId="1833B2DA" w:rsidR="009D3DA9" w:rsidRPr="00EC57FB" w:rsidRDefault="005020D1" w:rsidP="00CF27A3">
            <w:pPr>
              <w:pStyle w:val="TableText0"/>
              <w:keepNext w:val="0"/>
              <w:keepLines w:val="0"/>
              <w:jc w:val="center"/>
              <w:rPr>
                <w:color w:val="000000" w:themeColor="text1"/>
                <w:szCs w:val="20"/>
              </w:rPr>
            </w:pPr>
            <w:r w:rsidRPr="00EC57FB">
              <w:rPr>
                <w:color w:val="000000" w:themeColor="text1"/>
                <w:szCs w:val="20"/>
              </w:rPr>
              <w:t>Not specified in the resubmission</w:t>
            </w:r>
          </w:p>
        </w:tc>
        <w:tc>
          <w:tcPr>
            <w:tcW w:w="2926" w:type="dxa"/>
            <w:vAlign w:val="center"/>
          </w:tcPr>
          <w:p w14:paraId="670D91B8" w14:textId="6011F52B" w:rsidR="009D3DA9" w:rsidRPr="00EC57FB" w:rsidRDefault="0087641F" w:rsidP="00CF27A3">
            <w:pPr>
              <w:pStyle w:val="TableText0"/>
              <w:keepNext w:val="0"/>
              <w:keepLines w:val="0"/>
              <w:jc w:val="center"/>
              <w:rPr>
                <w:iCs/>
                <w:color w:val="000000" w:themeColor="text1"/>
                <w:szCs w:val="20"/>
              </w:rPr>
            </w:pPr>
            <w:r w:rsidRPr="00EC57FB">
              <w:rPr>
                <w:iCs/>
                <w:color w:val="000000" w:themeColor="text1"/>
                <w:szCs w:val="20"/>
              </w:rPr>
              <w:t xml:space="preserve">ESC agreed </w:t>
            </w:r>
            <w:r w:rsidR="009F539C" w:rsidRPr="00EC57FB">
              <w:rPr>
                <w:iCs/>
                <w:color w:val="000000" w:themeColor="text1"/>
                <w:szCs w:val="20"/>
              </w:rPr>
              <w:t xml:space="preserve">with the evaluation </w:t>
            </w:r>
            <w:r w:rsidRPr="00EC57FB">
              <w:rPr>
                <w:iCs/>
                <w:color w:val="000000" w:themeColor="text1"/>
                <w:szCs w:val="20"/>
              </w:rPr>
              <w:t xml:space="preserve">that the </w:t>
            </w:r>
            <w:r w:rsidR="00922EF8" w:rsidRPr="00EC57FB">
              <w:rPr>
                <w:iCs/>
                <w:color w:val="000000" w:themeColor="text1"/>
                <w:szCs w:val="20"/>
              </w:rPr>
              <w:t xml:space="preserve">appropriate comparison in this </w:t>
            </w:r>
            <w:r w:rsidR="00E813A6" w:rsidRPr="00EC57FB">
              <w:rPr>
                <w:iCs/>
                <w:color w:val="000000" w:themeColor="text1"/>
                <w:szCs w:val="20"/>
              </w:rPr>
              <w:t>population</w:t>
            </w:r>
            <w:r w:rsidR="00922EF8" w:rsidRPr="00EC57FB">
              <w:rPr>
                <w:iCs/>
                <w:color w:val="000000" w:themeColor="text1"/>
                <w:szCs w:val="20"/>
              </w:rPr>
              <w:t xml:space="preserve"> would be nirsevimab + </w:t>
            </w:r>
            <w:r w:rsidR="00485EA7" w:rsidRPr="00EC57FB">
              <w:rPr>
                <w:iCs/>
                <w:color w:val="000000" w:themeColor="text1"/>
                <w:szCs w:val="20"/>
              </w:rPr>
              <w:t xml:space="preserve">RSVpreF </w:t>
            </w:r>
            <w:r w:rsidR="000C61B7" w:rsidRPr="00EC57FB">
              <w:rPr>
                <w:iCs/>
                <w:color w:val="000000" w:themeColor="text1"/>
                <w:szCs w:val="20"/>
              </w:rPr>
              <w:t xml:space="preserve">(with </w:t>
            </w:r>
            <w:r w:rsidR="00AD4A66" w:rsidRPr="00EC57FB">
              <w:rPr>
                <w:iCs/>
                <w:color w:val="000000" w:themeColor="text1"/>
                <w:szCs w:val="20"/>
              </w:rPr>
              <w:t>potentially impaired</w:t>
            </w:r>
            <w:r w:rsidR="000C61B7" w:rsidRPr="00EC57FB">
              <w:rPr>
                <w:iCs/>
                <w:color w:val="000000" w:themeColor="text1"/>
                <w:szCs w:val="20"/>
              </w:rPr>
              <w:t xml:space="preserve"> efficacy) </w:t>
            </w:r>
            <w:r w:rsidR="00922EF8" w:rsidRPr="00EC57FB">
              <w:rPr>
                <w:iCs/>
                <w:color w:val="000000" w:themeColor="text1"/>
                <w:szCs w:val="20"/>
              </w:rPr>
              <w:t xml:space="preserve">versus </w:t>
            </w:r>
            <w:r w:rsidR="00485EA7" w:rsidRPr="00EC57FB">
              <w:rPr>
                <w:iCs/>
                <w:color w:val="000000" w:themeColor="text1"/>
                <w:szCs w:val="20"/>
              </w:rPr>
              <w:t xml:space="preserve">RSVpreF </w:t>
            </w:r>
            <w:r w:rsidR="00426C7C" w:rsidRPr="00EC57FB">
              <w:rPr>
                <w:iCs/>
                <w:color w:val="000000" w:themeColor="text1"/>
                <w:szCs w:val="20"/>
              </w:rPr>
              <w:t>alone</w:t>
            </w:r>
            <w:r w:rsidR="00182CAC" w:rsidRPr="00EC57FB">
              <w:rPr>
                <w:iCs/>
                <w:color w:val="000000" w:themeColor="text1"/>
                <w:szCs w:val="20"/>
              </w:rPr>
              <w:t xml:space="preserve"> (with </w:t>
            </w:r>
            <w:r w:rsidR="00AD4A66" w:rsidRPr="00EC57FB">
              <w:rPr>
                <w:iCs/>
                <w:color w:val="000000" w:themeColor="text1"/>
                <w:szCs w:val="20"/>
              </w:rPr>
              <w:t>potentially impaired</w:t>
            </w:r>
            <w:r w:rsidR="00182CAC" w:rsidRPr="00EC57FB">
              <w:rPr>
                <w:iCs/>
                <w:color w:val="000000" w:themeColor="text1"/>
                <w:szCs w:val="20"/>
              </w:rPr>
              <w:t xml:space="preserve"> efficacy)</w:t>
            </w:r>
            <w:r w:rsidR="005B0F48" w:rsidRPr="00EC57FB">
              <w:rPr>
                <w:iCs/>
                <w:color w:val="000000" w:themeColor="text1"/>
                <w:szCs w:val="20"/>
              </w:rPr>
              <w:t>.</w:t>
            </w:r>
          </w:p>
        </w:tc>
      </w:tr>
      <w:tr w:rsidR="009D3DA9" w:rsidRPr="00EC57FB" w14:paraId="266FC98D" w14:textId="77777777" w:rsidTr="00B20B36">
        <w:trPr>
          <w:cantSplit/>
          <w:trHeight w:val="20"/>
        </w:trPr>
        <w:tc>
          <w:tcPr>
            <w:tcW w:w="3520" w:type="dxa"/>
            <w:vAlign w:val="center"/>
          </w:tcPr>
          <w:p w14:paraId="40FA8FA8" w14:textId="7388872A" w:rsidR="009D3DA9" w:rsidRPr="00EC57FB" w:rsidRDefault="00F2681C" w:rsidP="00B20B36">
            <w:pPr>
              <w:pStyle w:val="TableText0"/>
              <w:keepNext w:val="0"/>
              <w:keepLines w:val="0"/>
              <w:rPr>
                <w:color w:val="000000" w:themeColor="text1"/>
                <w:szCs w:val="20"/>
              </w:rPr>
            </w:pPr>
            <w:r w:rsidRPr="00EC57FB">
              <w:rPr>
                <w:b/>
                <w:bCs w:val="0"/>
                <w:color w:val="000000" w:themeColor="text1"/>
                <w:szCs w:val="20"/>
              </w:rPr>
              <w:t xml:space="preserve">Population </w:t>
            </w:r>
            <w:r w:rsidR="001B5DC2" w:rsidRPr="00EC57FB">
              <w:rPr>
                <w:b/>
                <w:bCs w:val="0"/>
                <w:color w:val="000000" w:themeColor="text1"/>
                <w:szCs w:val="20"/>
              </w:rPr>
              <w:t>C(</w:t>
            </w:r>
            <w:r w:rsidRPr="00EC57FB">
              <w:rPr>
                <w:b/>
                <w:bCs w:val="0"/>
                <w:color w:val="000000" w:themeColor="text1"/>
                <w:szCs w:val="20"/>
              </w:rPr>
              <w:t>a</w:t>
            </w:r>
            <w:r w:rsidR="001B5DC2" w:rsidRPr="00EC57FB">
              <w:rPr>
                <w:b/>
                <w:bCs w:val="0"/>
                <w:color w:val="000000" w:themeColor="text1"/>
                <w:szCs w:val="20"/>
              </w:rPr>
              <w:t>)</w:t>
            </w:r>
            <w:r w:rsidRPr="00EC57FB">
              <w:rPr>
                <w:b/>
                <w:bCs w:val="0"/>
                <w:color w:val="000000" w:themeColor="text1"/>
                <w:szCs w:val="20"/>
              </w:rPr>
              <w:t xml:space="preserve">: </w:t>
            </w:r>
            <w:r w:rsidRPr="00EC57FB">
              <w:rPr>
                <w:color w:val="000000" w:themeColor="text1"/>
                <w:szCs w:val="20"/>
              </w:rPr>
              <w:t>infants with risk conditions</w:t>
            </w:r>
            <w:r w:rsidR="00531F48" w:rsidRPr="00EC57FB">
              <w:rPr>
                <w:color w:val="000000" w:themeColor="text1"/>
                <w:szCs w:val="20"/>
              </w:rPr>
              <w:t xml:space="preserve"> </w:t>
            </w:r>
            <w:r w:rsidRPr="00EC57FB">
              <w:rPr>
                <w:color w:val="000000" w:themeColor="text1"/>
                <w:szCs w:val="20"/>
              </w:rPr>
              <w:t xml:space="preserve">where the mother </w:t>
            </w:r>
            <w:r w:rsidR="00BB377E" w:rsidRPr="00EC57FB">
              <w:rPr>
                <w:color w:val="000000" w:themeColor="text1"/>
                <w:szCs w:val="20"/>
              </w:rPr>
              <w:t>did</w:t>
            </w:r>
            <w:r w:rsidRPr="00EC57FB">
              <w:rPr>
                <w:color w:val="000000" w:themeColor="text1"/>
                <w:szCs w:val="20"/>
              </w:rPr>
              <w:t xml:space="preserve"> not receive </w:t>
            </w:r>
            <w:r w:rsidR="00485EA7" w:rsidRPr="00EC57FB">
              <w:rPr>
                <w:color w:val="000000" w:themeColor="text1"/>
                <w:szCs w:val="20"/>
              </w:rPr>
              <w:t xml:space="preserve">RSVpreF </w:t>
            </w:r>
          </w:p>
        </w:tc>
        <w:tc>
          <w:tcPr>
            <w:tcW w:w="2571" w:type="dxa"/>
            <w:vAlign w:val="center"/>
          </w:tcPr>
          <w:p w14:paraId="6765F9CB" w14:textId="4388FC86" w:rsidR="009D3DA9" w:rsidRPr="00EC57FB" w:rsidRDefault="001C6245" w:rsidP="00881CE0">
            <w:pPr>
              <w:pStyle w:val="TableText0"/>
              <w:keepLines w:val="0"/>
              <w:jc w:val="center"/>
              <w:rPr>
                <w:color w:val="000000" w:themeColor="text1"/>
                <w:szCs w:val="20"/>
              </w:rPr>
            </w:pPr>
            <w:r w:rsidRPr="00EC57FB">
              <w:rPr>
                <w:color w:val="000000" w:themeColor="text1"/>
                <w:szCs w:val="20"/>
              </w:rPr>
              <w:t>This population is n</w:t>
            </w:r>
            <w:r w:rsidR="00426C7C" w:rsidRPr="00EC57FB">
              <w:rPr>
                <w:color w:val="000000" w:themeColor="text1"/>
                <w:szCs w:val="20"/>
              </w:rPr>
              <w:t xml:space="preserve">ot explicitly specified in the resubmission but </w:t>
            </w:r>
            <w:r w:rsidRPr="00EC57FB">
              <w:rPr>
                <w:color w:val="000000" w:themeColor="text1"/>
                <w:szCs w:val="20"/>
              </w:rPr>
              <w:t xml:space="preserve">the comparator is </w:t>
            </w:r>
            <w:r w:rsidR="00426C7C" w:rsidRPr="00EC57FB">
              <w:rPr>
                <w:color w:val="000000" w:themeColor="text1"/>
                <w:szCs w:val="20"/>
              </w:rPr>
              <w:t xml:space="preserve">implied to be </w:t>
            </w:r>
            <w:r w:rsidR="00426C7C" w:rsidRPr="00EC57FB">
              <w:rPr>
                <w:color w:val="000000" w:themeColor="text1"/>
              </w:rPr>
              <w:t>no immunisation &amp;</w:t>
            </w:r>
            <w:r w:rsidR="00881CE0" w:rsidRPr="00EC57FB">
              <w:rPr>
                <w:color w:val="000000" w:themeColor="text1"/>
              </w:rPr>
              <w:t xml:space="preserve"> </w:t>
            </w:r>
            <w:r w:rsidR="00485EA7" w:rsidRPr="00EC57FB">
              <w:rPr>
                <w:color w:val="000000" w:themeColor="text1"/>
              </w:rPr>
              <w:t xml:space="preserve">RSVpreF </w:t>
            </w:r>
          </w:p>
        </w:tc>
        <w:tc>
          <w:tcPr>
            <w:tcW w:w="2926" w:type="dxa"/>
            <w:vAlign w:val="center"/>
          </w:tcPr>
          <w:p w14:paraId="71B3E094" w14:textId="77777777" w:rsidR="009D3DA9" w:rsidRPr="00EC57FB" w:rsidRDefault="00CB3C9D" w:rsidP="00CF27A3">
            <w:pPr>
              <w:pStyle w:val="TableText0"/>
              <w:keepNext w:val="0"/>
              <w:keepLines w:val="0"/>
              <w:jc w:val="center"/>
              <w:rPr>
                <w:color w:val="000000" w:themeColor="text1"/>
              </w:rPr>
            </w:pPr>
            <w:r w:rsidRPr="00EC57FB">
              <w:rPr>
                <w:color w:val="000000" w:themeColor="text1"/>
              </w:rPr>
              <w:t>Presentations of comparisons of nirsevimab to</w:t>
            </w:r>
            <w:r w:rsidR="000443FF" w:rsidRPr="00EC57FB">
              <w:rPr>
                <w:color w:val="000000" w:themeColor="text1"/>
              </w:rPr>
              <w:t xml:space="preserve"> </w:t>
            </w:r>
            <w:r w:rsidR="0094691D" w:rsidRPr="00EC57FB">
              <w:rPr>
                <w:color w:val="000000" w:themeColor="text1"/>
              </w:rPr>
              <w:t xml:space="preserve">no immunisation and </w:t>
            </w:r>
            <w:r w:rsidR="00E34B8C" w:rsidRPr="00EC57FB">
              <w:rPr>
                <w:color w:val="000000" w:themeColor="text1"/>
              </w:rPr>
              <w:t xml:space="preserve">to </w:t>
            </w:r>
            <w:r w:rsidR="00485EA7" w:rsidRPr="00EC57FB">
              <w:rPr>
                <w:color w:val="000000" w:themeColor="text1"/>
              </w:rPr>
              <w:t xml:space="preserve">RSVpreF </w:t>
            </w:r>
            <w:r w:rsidR="00E34B8C" w:rsidRPr="00EC57FB">
              <w:rPr>
                <w:color w:val="000000" w:themeColor="text1"/>
              </w:rPr>
              <w:t>would be</w:t>
            </w:r>
            <w:r w:rsidRPr="00EC57FB">
              <w:rPr>
                <w:color w:val="000000" w:themeColor="text1"/>
              </w:rPr>
              <w:t xml:space="preserve"> appropriate</w:t>
            </w:r>
            <w:r w:rsidR="00E34B8C" w:rsidRPr="00EC57FB">
              <w:rPr>
                <w:color w:val="000000" w:themeColor="text1"/>
              </w:rPr>
              <w:t xml:space="preserve"> for this population</w:t>
            </w:r>
            <w:r w:rsidRPr="00EC57FB">
              <w:rPr>
                <w:color w:val="000000" w:themeColor="text1"/>
              </w:rPr>
              <w:t>.</w:t>
            </w:r>
          </w:p>
          <w:p w14:paraId="626A7307" w14:textId="77777777" w:rsidR="000A2CCD" w:rsidRPr="00EC57FB" w:rsidRDefault="000A2CCD" w:rsidP="00CF27A3">
            <w:pPr>
              <w:pStyle w:val="TableText0"/>
              <w:keepNext w:val="0"/>
              <w:keepLines w:val="0"/>
              <w:jc w:val="center"/>
              <w:rPr>
                <w:iCs/>
                <w:color w:val="000000" w:themeColor="text1"/>
              </w:rPr>
            </w:pPr>
          </w:p>
          <w:p w14:paraId="4E2CD1D0" w14:textId="37D894E5" w:rsidR="000A2CCD" w:rsidRPr="00EC57FB" w:rsidRDefault="000A2CCD" w:rsidP="00CF27A3">
            <w:pPr>
              <w:pStyle w:val="TableText0"/>
              <w:keepNext w:val="0"/>
              <w:keepLines w:val="0"/>
              <w:jc w:val="center"/>
              <w:rPr>
                <w:color w:val="000000" w:themeColor="text1"/>
                <w:szCs w:val="20"/>
              </w:rPr>
            </w:pPr>
            <w:r w:rsidRPr="00EC57FB">
              <w:rPr>
                <w:iCs/>
                <w:color w:val="000000" w:themeColor="text1"/>
                <w:szCs w:val="20"/>
              </w:rPr>
              <w:t>The PSCR proposed that assessment of this group was not required (included in Population A).</w:t>
            </w:r>
          </w:p>
        </w:tc>
      </w:tr>
      <w:tr w:rsidR="00460ACA" w:rsidRPr="00EC57FB" w14:paraId="195398E1" w14:textId="77777777" w:rsidTr="00B20B36">
        <w:trPr>
          <w:cantSplit/>
          <w:trHeight w:val="20"/>
        </w:trPr>
        <w:tc>
          <w:tcPr>
            <w:tcW w:w="3520" w:type="dxa"/>
            <w:vAlign w:val="center"/>
          </w:tcPr>
          <w:p w14:paraId="6AB13DCA" w14:textId="51CCFA51" w:rsidR="00460ACA" w:rsidRPr="00EC57FB" w:rsidRDefault="00460ACA" w:rsidP="00B20B36">
            <w:pPr>
              <w:pStyle w:val="TableText0"/>
              <w:keepNext w:val="0"/>
              <w:keepLines w:val="0"/>
              <w:rPr>
                <w:color w:val="000000" w:themeColor="text1"/>
                <w:szCs w:val="20"/>
              </w:rPr>
            </w:pPr>
            <w:r w:rsidRPr="00EC57FB">
              <w:rPr>
                <w:b/>
                <w:bCs w:val="0"/>
                <w:color w:val="000000" w:themeColor="text1"/>
                <w:szCs w:val="20"/>
              </w:rPr>
              <w:t xml:space="preserve">Population </w:t>
            </w:r>
            <w:r w:rsidR="001B5DC2" w:rsidRPr="00EC57FB">
              <w:rPr>
                <w:b/>
                <w:bCs w:val="0"/>
                <w:color w:val="000000" w:themeColor="text1"/>
                <w:szCs w:val="20"/>
              </w:rPr>
              <w:t>C(</w:t>
            </w:r>
            <w:r w:rsidRPr="00EC57FB">
              <w:rPr>
                <w:b/>
                <w:bCs w:val="0"/>
                <w:color w:val="000000" w:themeColor="text1"/>
                <w:szCs w:val="20"/>
              </w:rPr>
              <w:t>b</w:t>
            </w:r>
            <w:r w:rsidR="001B5DC2" w:rsidRPr="00EC57FB">
              <w:rPr>
                <w:b/>
                <w:bCs w:val="0"/>
                <w:color w:val="000000" w:themeColor="text1"/>
                <w:szCs w:val="20"/>
              </w:rPr>
              <w:t>)</w:t>
            </w:r>
            <w:r w:rsidRPr="00EC57FB">
              <w:rPr>
                <w:b/>
                <w:bCs w:val="0"/>
                <w:color w:val="000000" w:themeColor="text1"/>
                <w:szCs w:val="20"/>
              </w:rPr>
              <w:t xml:space="preserve">: </w:t>
            </w:r>
            <w:r w:rsidRPr="00EC57FB">
              <w:rPr>
                <w:color w:val="000000" w:themeColor="text1"/>
                <w:szCs w:val="20"/>
              </w:rPr>
              <w:t>infants with risk conditions</w:t>
            </w:r>
            <w:r w:rsidR="00531F48" w:rsidRPr="00EC57FB">
              <w:rPr>
                <w:color w:val="000000" w:themeColor="text1"/>
                <w:szCs w:val="20"/>
              </w:rPr>
              <w:t xml:space="preserve"> </w:t>
            </w:r>
            <w:r w:rsidRPr="00EC57FB">
              <w:rPr>
                <w:color w:val="000000" w:themeColor="text1"/>
                <w:szCs w:val="20"/>
              </w:rPr>
              <w:t xml:space="preserve">where the mother </w:t>
            </w:r>
            <w:r w:rsidR="00BB377E" w:rsidRPr="00EC57FB">
              <w:rPr>
                <w:color w:val="000000" w:themeColor="text1"/>
                <w:szCs w:val="20"/>
              </w:rPr>
              <w:t>did</w:t>
            </w:r>
            <w:r w:rsidRPr="00EC57FB">
              <w:rPr>
                <w:color w:val="000000" w:themeColor="text1"/>
                <w:szCs w:val="20"/>
              </w:rPr>
              <w:t xml:space="preserve"> receive </w:t>
            </w:r>
            <w:r w:rsidR="00485EA7" w:rsidRPr="00EC57FB">
              <w:rPr>
                <w:color w:val="000000" w:themeColor="text1"/>
                <w:szCs w:val="20"/>
              </w:rPr>
              <w:t xml:space="preserve">RSVpreF </w:t>
            </w:r>
          </w:p>
        </w:tc>
        <w:tc>
          <w:tcPr>
            <w:tcW w:w="2571" w:type="dxa"/>
            <w:vAlign w:val="center"/>
          </w:tcPr>
          <w:p w14:paraId="2C9C60BA" w14:textId="4DEDAFB5" w:rsidR="00460ACA" w:rsidRPr="00EC57FB" w:rsidRDefault="001C6245" w:rsidP="00CF27A3">
            <w:pPr>
              <w:pStyle w:val="TableText0"/>
              <w:keepNext w:val="0"/>
              <w:keepLines w:val="0"/>
              <w:jc w:val="center"/>
              <w:rPr>
                <w:color w:val="000000" w:themeColor="text1"/>
              </w:rPr>
            </w:pPr>
            <w:r w:rsidRPr="00EC57FB">
              <w:rPr>
                <w:color w:val="000000" w:themeColor="text1"/>
                <w:szCs w:val="20"/>
              </w:rPr>
              <w:t xml:space="preserve">This population is not explicitly specified in the resubmission but the comparator is </w:t>
            </w:r>
            <w:r w:rsidR="00C85975" w:rsidRPr="00EC57FB">
              <w:rPr>
                <w:color w:val="000000" w:themeColor="text1"/>
                <w:szCs w:val="20"/>
              </w:rPr>
              <w:t xml:space="preserve">implied </w:t>
            </w:r>
            <w:r w:rsidR="00881CE0" w:rsidRPr="00EC57FB">
              <w:rPr>
                <w:color w:val="000000" w:themeColor="text1"/>
                <w:szCs w:val="20"/>
              </w:rPr>
              <w:t xml:space="preserve">to be </w:t>
            </w:r>
            <w:r w:rsidR="00881CE0" w:rsidRPr="00EC57FB">
              <w:rPr>
                <w:color w:val="000000" w:themeColor="text1"/>
              </w:rPr>
              <w:t xml:space="preserve">no immunisation &amp; </w:t>
            </w:r>
            <w:r w:rsidR="00485EA7" w:rsidRPr="00EC57FB">
              <w:rPr>
                <w:color w:val="000000" w:themeColor="text1"/>
              </w:rPr>
              <w:t>RSVpreF</w:t>
            </w:r>
          </w:p>
        </w:tc>
        <w:tc>
          <w:tcPr>
            <w:tcW w:w="2926" w:type="dxa"/>
            <w:vAlign w:val="center"/>
          </w:tcPr>
          <w:p w14:paraId="06377A18" w14:textId="7B5BD77C" w:rsidR="00460ACA" w:rsidRPr="00EC57FB" w:rsidRDefault="0087641F" w:rsidP="00CF27A3">
            <w:pPr>
              <w:pStyle w:val="TableText0"/>
              <w:keepNext w:val="0"/>
              <w:keepLines w:val="0"/>
              <w:jc w:val="center"/>
              <w:rPr>
                <w:color w:val="000000" w:themeColor="text1"/>
              </w:rPr>
            </w:pPr>
            <w:r w:rsidRPr="00EC57FB">
              <w:rPr>
                <w:iCs/>
                <w:color w:val="000000" w:themeColor="text1"/>
                <w:szCs w:val="20"/>
              </w:rPr>
              <w:t xml:space="preserve">ESC agreed </w:t>
            </w:r>
            <w:r w:rsidR="009F539C" w:rsidRPr="00EC57FB">
              <w:rPr>
                <w:iCs/>
                <w:color w:val="000000" w:themeColor="text1"/>
                <w:szCs w:val="20"/>
              </w:rPr>
              <w:t xml:space="preserve">with the evaluation </w:t>
            </w:r>
            <w:r w:rsidRPr="00EC57FB">
              <w:rPr>
                <w:iCs/>
                <w:color w:val="000000" w:themeColor="text1"/>
                <w:szCs w:val="20"/>
              </w:rPr>
              <w:t xml:space="preserve">that the </w:t>
            </w:r>
            <w:r w:rsidR="00881CE0" w:rsidRPr="00EC57FB">
              <w:rPr>
                <w:iCs/>
                <w:color w:val="000000" w:themeColor="text1"/>
                <w:szCs w:val="20"/>
              </w:rPr>
              <w:t>appropriate comparison</w:t>
            </w:r>
            <w:r w:rsidR="00C85975" w:rsidRPr="00EC57FB">
              <w:rPr>
                <w:iCs/>
                <w:color w:val="000000" w:themeColor="text1"/>
                <w:szCs w:val="20"/>
              </w:rPr>
              <w:t xml:space="preserve"> to present for</w:t>
            </w:r>
            <w:r w:rsidR="00881CE0" w:rsidRPr="00EC57FB">
              <w:rPr>
                <w:iCs/>
                <w:color w:val="000000" w:themeColor="text1"/>
                <w:szCs w:val="20"/>
              </w:rPr>
              <w:t xml:space="preserve"> this </w:t>
            </w:r>
            <w:r w:rsidR="00E813A6" w:rsidRPr="00EC57FB">
              <w:rPr>
                <w:iCs/>
                <w:color w:val="000000" w:themeColor="text1"/>
                <w:szCs w:val="20"/>
              </w:rPr>
              <w:t>population</w:t>
            </w:r>
            <w:r w:rsidR="00881CE0" w:rsidRPr="00EC57FB">
              <w:rPr>
                <w:iCs/>
                <w:color w:val="000000" w:themeColor="text1"/>
                <w:szCs w:val="20"/>
              </w:rPr>
              <w:t xml:space="preserve"> would be nirsevimab + </w:t>
            </w:r>
            <w:r w:rsidR="00485EA7" w:rsidRPr="00EC57FB">
              <w:rPr>
                <w:iCs/>
                <w:color w:val="000000" w:themeColor="text1"/>
                <w:szCs w:val="20"/>
              </w:rPr>
              <w:t xml:space="preserve">RSVpreF </w:t>
            </w:r>
            <w:r w:rsidR="00881CE0" w:rsidRPr="00EC57FB">
              <w:rPr>
                <w:iCs/>
                <w:color w:val="000000" w:themeColor="text1"/>
                <w:szCs w:val="20"/>
              </w:rPr>
              <w:t xml:space="preserve">versus </w:t>
            </w:r>
            <w:r w:rsidR="00485EA7" w:rsidRPr="00EC57FB">
              <w:rPr>
                <w:iCs/>
                <w:color w:val="000000" w:themeColor="text1"/>
                <w:szCs w:val="20"/>
              </w:rPr>
              <w:t xml:space="preserve">RSVpreF </w:t>
            </w:r>
            <w:r w:rsidR="00881CE0" w:rsidRPr="00EC57FB">
              <w:rPr>
                <w:iCs/>
                <w:color w:val="000000" w:themeColor="text1"/>
                <w:szCs w:val="20"/>
              </w:rPr>
              <w:t>alone</w:t>
            </w:r>
            <w:r w:rsidR="005D4844" w:rsidRPr="00EC57FB">
              <w:rPr>
                <w:iCs/>
                <w:color w:val="000000" w:themeColor="text1"/>
                <w:szCs w:val="20"/>
              </w:rPr>
              <w:t xml:space="preserve">. </w:t>
            </w:r>
          </w:p>
        </w:tc>
      </w:tr>
      <w:bookmarkEnd w:id="51"/>
      <w:tr w:rsidR="000E5075" w:rsidRPr="00EC57FB" w14:paraId="5973FA15" w14:textId="77777777">
        <w:trPr>
          <w:cantSplit/>
          <w:trHeight w:val="20"/>
        </w:trPr>
        <w:tc>
          <w:tcPr>
            <w:tcW w:w="9017" w:type="dxa"/>
            <w:gridSpan w:val="3"/>
            <w:vAlign w:val="center"/>
          </w:tcPr>
          <w:p w14:paraId="2078E849" w14:textId="583C2084" w:rsidR="000E5075" w:rsidRPr="00EC57FB" w:rsidRDefault="00B524D4" w:rsidP="000E5075">
            <w:pPr>
              <w:pStyle w:val="TableText0"/>
              <w:keepNext w:val="0"/>
              <w:keepLines w:val="0"/>
              <w:rPr>
                <w:b/>
                <w:bCs w:val="0"/>
                <w:color w:val="000000" w:themeColor="text1"/>
              </w:rPr>
            </w:pPr>
            <w:r w:rsidRPr="00EC57FB">
              <w:rPr>
                <w:b/>
                <w:bCs w:val="0"/>
                <w:color w:val="000000" w:themeColor="text1"/>
              </w:rPr>
              <w:t>Infants entering their second RSV season (</w:t>
            </w:r>
            <w:r w:rsidRPr="00EC57FB">
              <w:rPr>
                <w:b/>
                <w:bCs w:val="0"/>
              </w:rPr>
              <w:t>≥8 months to &lt;24 months)</w:t>
            </w:r>
          </w:p>
        </w:tc>
      </w:tr>
      <w:tr w:rsidR="0081749C" w:rsidRPr="00EC57FB" w14:paraId="7F0B7FDE" w14:textId="77777777" w:rsidTr="00B20B36">
        <w:trPr>
          <w:cantSplit/>
          <w:trHeight w:val="20"/>
        </w:trPr>
        <w:tc>
          <w:tcPr>
            <w:tcW w:w="3520" w:type="dxa"/>
            <w:vAlign w:val="center"/>
          </w:tcPr>
          <w:p w14:paraId="508C0978" w14:textId="60DFE402" w:rsidR="0081749C" w:rsidRPr="00EC57FB" w:rsidRDefault="00BB377E" w:rsidP="00B20B36">
            <w:pPr>
              <w:pStyle w:val="TableText0"/>
              <w:keepNext w:val="0"/>
              <w:keepLines w:val="0"/>
              <w:rPr>
                <w:color w:val="000000" w:themeColor="text1"/>
                <w:szCs w:val="20"/>
              </w:rPr>
            </w:pPr>
            <w:r w:rsidRPr="00EC57FB">
              <w:rPr>
                <w:b/>
                <w:bCs w:val="0"/>
                <w:color w:val="000000" w:themeColor="text1"/>
                <w:szCs w:val="20"/>
              </w:rPr>
              <w:t xml:space="preserve">Population </w:t>
            </w:r>
            <w:r w:rsidR="001B5DC2" w:rsidRPr="00EC57FB">
              <w:rPr>
                <w:b/>
                <w:bCs w:val="0"/>
                <w:color w:val="000000" w:themeColor="text1"/>
                <w:szCs w:val="20"/>
              </w:rPr>
              <w:t>D</w:t>
            </w:r>
            <w:r w:rsidRPr="00EC57FB">
              <w:rPr>
                <w:b/>
                <w:bCs w:val="0"/>
                <w:color w:val="000000" w:themeColor="text1"/>
                <w:szCs w:val="20"/>
              </w:rPr>
              <w:t xml:space="preserve">: </w:t>
            </w:r>
            <w:r w:rsidRPr="00EC57FB">
              <w:rPr>
                <w:color w:val="000000" w:themeColor="text1"/>
                <w:szCs w:val="20"/>
              </w:rPr>
              <w:t xml:space="preserve">infants with risk conditions (regardless of whether the mother did or did not receive </w:t>
            </w:r>
            <w:r w:rsidR="00485EA7" w:rsidRPr="00EC57FB">
              <w:rPr>
                <w:color w:val="000000" w:themeColor="text1"/>
                <w:szCs w:val="20"/>
              </w:rPr>
              <w:t>RSVpreF</w:t>
            </w:r>
            <w:r w:rsidR="00CF27A3" w:rsidRPr="00EC57FB">
              <w:rPr>
                <w:color w:val="000000" w:themeColor="text1"/>
                <w:szCs w:val="20"/>
              </w:rPr>
              <w:t>)</w:t>
            </w:r>
            <w:r w:rsidR="005D4844" w:rsidRPr="00EC57FB">
              <w:rPr>
                <w:color w:val="000000" w:themeColor="text1"/>
                <w:szCs w:val="20"/>
              </w:rPr>
              <w:t>, and regardless of whether the child received nirsevimab previously in their first RSV season</w:t>
            </w:r>
          </w:p>
        </w:tc>
        <w:tc>
          <w:tcPr>
            <w:tcW w:w="2571" w:type="dxa"/>
            <w:vAlign w:val="center"/>
          </w:tcPr>
          <w:p w14:paraId="2754187D" w14:textId="22B430F9" w:rsidR="0081749C" w:rsidRPr="00EC57FB" w:rsidRDefault="00E813A6" w:rsidP="00CF27A3">
            <w:pPr>
              <w:pStyle w:val="TableText0"/>
              <w:keepNext w:val="0"/>
              <w:keepLines w:val="0"/>
              <w:jc w:val="center"/>
              <w:rPr>
                <w:color w:val="000000" w:themeColor="text1"/>
              </w:rPr>
            </w:pPr>
            <w:r w:rsidRPr="00EC57FB">
              <w:rPr>
                <w:color w:val="000000" w:themeColor="text1"/>
              </w:rPr>
              <w:t>No immunisation</w:t>
            </w:r>
            <w:r w:rsidR="007038D4" w:rsidRPr="00EC57FB">
              <w:rPr>
                <w:color w:val="000000" w:themeColor="text1"/>
              </w:rPr>
              <w:t xml:space="preserve"> is recognised </w:t>
            </w:r>
            <w:r w:rsidR="00435724" w:rsidRPr="00EC57FB">
              <w:rPr>
                <w:color w:val="000000" w:themeColor="text1"/>
              </w:rPr>
              <w:t xml:space="preserve">by the resubmission </w:t>
            </w:r>
            <w:r w:rsidR="007038D4" w:rsidRPr="00EC57FB">
              <w:rPr>
                <w:color w:val="000000" w:themeColor="text1"/>
              </w:rPr>
              <w:t>to be a viable comparator for this population</w:t>
            </w:r>
            <w:r w:rsidR="00435724" w:rsidRPr="00EC57FB">
              <w:rPr>
                <w:color w:val="000000" w:themeColor="text1"/>
              </w:rPr>
              <w:t xml:space="preserve"> and </w:t>
            </w:r>
            <w:r w:rsidR="00D53DD0" w:rsidRPr="00EC57FB">
              <w:rPr>
                <w:color w:val="000000" w:themeColor="text1"/>
              </w:rPr>
              <w:t>states that it takes a pragmatic approach using this comparat</w:t>
            </w:r>
            <w:r w:rsidR="00C61B8F" w:rsidRPr="00EC57FB">
              <w:rPr>
                <w:color w:val="000000" w:themeColor="text1"/>
              </w:rPr>
              <w:t>o</w:t>
            </w:r>
            <w:r w:rsidR="00D53DD0" w:rsidRPr="00EC57FB">
              <w:rPr>
                <w:color w:val="000000" w:themeColor="text1"/>
              </w:rPr>
              <w:t>r</w:t>
            </w:r>
            <w:r w:rsidR="00BF4383" w:rsidRPr="00EC57FB">
              <w:rPr>
                <w:color w:val="000000" w:themeColor="text1"/>
              </w:rPr>
              <w:t xml:space="preserve"> </w:t>
            </w:r>
          </w:p>
        </w:tc>
        <w:tc>
          <w:tcPr>
            <w:tcW w:w="2926" w:type="dxa"/>
            <w:vAlign w:val="center"/>
          </w:tcPr>
          <w:p w14:paraId="603C295B" w14:textId="1576CD5A" w:rsidR="0081749C" w:rsidRPr="00EC57FB" w:rsidRDefault="00D53DD0" w:rsidP="00CF27A3">
            <w:pPr>
              <w:pStyle w:val="TableText0"/>
              <w:keepNext w:val="0"/>
              <w:keepLines w:val="0"/>
              <w:jc w:val="center"/>
              <w:rPr>
                <w:color w:val="000000" w:themeColor="text1"/>
              </w:rPr>
            </w:pPr>
            <w:r w:rsidRPr="00EC57FB">
              <w:rPr>
                <w:color w:val="000000" w:themeColor="text1"/>
              </w:rPr>
              <w:t>N</w:t>
            </w:r>
            <w:r w:rsidR="0004120F" w:rsidRPr="00EC57FB">
              <w:rPr>
                <w:color w:val="000000" w:themeColor="text1"/>
              </w:rPr>
              <w:t>o immunisation is the appropriate comparator</w:t>
            </w:r>
            <w:r w:rsidR="00E813A6" w:rsidRPr="00EC57FB">
              <w:rPr>
                <w:color w:val="000000" w:themeColor="text1"/>
              </w:rPr>
              <w:t xml:space="preserve"> and </w:t>
            </w:r>
            <w:r w:rsidR="001C6EC6" w:rsidRPr="00EC57FB">
              <w:rPr>
                <w:color w:val="000000" w:themeColor="text1"/>
              </w:rPr>
              <w:t xml:space="preserve">its </w:t>
            </w:r>
            <w:r w:rsidR="0034135B" w:rsidRPr="00EC57FB">
              <w:rPr>
                <w:color w:val="000000" w:themeColor="text1"/>
              </w:rPr>
              <w:t>nomination</w:t>
            </w:r>
            <w:r w:rsidR="001C6EC6" w:rsidRPr="00EC57FB">
              <w:rPr>
                <w:color w:val="000000" w:themeColor="text1"/>
              </w:rPr>
              <w:t xml:space="preserve"> as the </w:t>
            </w:r>
            <w:r w:rsidR="00C510C3" w:rsidRPr="00EC57FB">
              <w:rPr>
                <w:color w:val="000000" w:themeColor="text1"/>
              </w:rPr>
              <w:t>main</w:t>
            </w:r>
            <w:r w:rsidR="001C6EC6" w:rsidRPr="00EC57FB">
              <w:rPr>
                <w:color w:val="000000" w:themeColor="text1"/>
              </w:rPr>
              <w:t xml:space="preserve"> comparator</w:t>
            </w:r>
            <w:r w:rsidR="00C510C3" w:rsidRPr="00EC57FB">
              <w:rPr>
                <w:color w:val="000000" w:themeColor="text1"/>
              </w:rPr>
              <w:t xml:space="preserve"> is </w:t>
            </w:r>
            <w:r w:rsidR="00E813A6" w:rsidRPr="00EC57FB">
              <w:rPr>
                <w:color w:val="000000" w:themeColor="text1"/>
              </w:rPr>
              <w:t>consistent with the PBAC’s determination</w:t>
            </w:r>
            <w:r w:rsidR="00C510C3" w:rsidRPr="00EC57FB">
              <w:rPr>
                <w:color w:val="000000" w:themeColor="text1"/>
              </w:rPr>
              <w:t>s in July 2024</w:t>
            </w:r>
            <w:r w:rsidR="00E813A6" w:rsidRPr="00EC57FB">
              <w:rPr>
                <w:color w:val="000000" w:themeColor="text1"/>
              </w:rPr>
              <w:t>.</w:t>
            </w:r>
          </w:p>
        </w:tc>
      </w:tr>
    </w:tbl>
    <w:bookmarkEnd w:id="48"/>
    <w:p w14:paraId="2A2BEC74" w14:textId="77777777" w:rsidR="00C23269" w:rsidRPr="00EC57FB" w:rsidRDefault="00C23269" w:rsidP="00B73761">
      <w:pPr>
        <w:spacing w:before="120" w:after="120"/>
        <w:ind w:firstLine="720"/>
        <w:rPr>
          <w:rFonts w:asciiTheme="minorHAnsi" w:hAnsiTheme="minorHAnsi"/>
          <w:i/>
        </w:rPr>
      </w:pPr>
      <w:r w:rsidRPr="00EC57FB">
        <w:rPr>
          <w:rFonts w:asciiTheme="minorHAnsi" w:hAnsiTheme="minorHAnsi"/>
          <w:i/>
        </w:rPr>
        <w:t>For more detail on PBAC’s view, see section 7 PBAC outcome.</w:t>
      </w:r>
    </w:p>
    <w:p w14:paraId="7F9C27C8" w14:textId="77777777" w:rsidR="00223D5A" w:rsidRPr="00EC57FB" w:rsidRDefault="00223D5A" w:rsidP="00223D5A">
      <w:pPr>
        <w:pStyle w:val="2-SectionHeading"/>
        <w:numPr>
          <w:ilvl w:val="0"/>
          <w:numId w:val="1"/>
        </w:numPr>
      </w:pPr>
      <w:bookmarkStart w:id="52" w:name="_Toc188619259"/>
      <w:bookmarkStart w:id="53" w:name="_Toc22897640"/>
      <w:r w:rsidRPr="00EC57FB">
        <w:t>Consideration of the evidence</w:t>
      </w:r>
      <w:bookmarkEnd w:id="52"/>
    </w:p>
    <w:p w14:paraId="2342B4AB" w14:textId="77777777" w:rsidR="007F7C22" w:rsidRPr="00EC57FB" w:rsidRDefault="007F7C22" w:rsidP="007F7C22">
      <w:pPr>
        <w:pStyle w:val="4-SubsectionHeading"/>
      </w:pPr>
      <w:bookmarkStart w:id="54" w:name="_Hlk76375935"/>
      <w:bookmarkStart w:id="55" w:name="_Toc188619260"/>
      <w:r w:rsidRPr="00EC57FB">
        <w:t>Sponsor hearing</w:t>
      </w:r>
    </w:p>
    <w:p w14:paraId="583899C0" w14:textId="27DF97C2" w:rsidR="00F45504" w:rsidRPr="00EC57FB" w:rsidRDefault="007F7C22" w:rsidP="00DC4191">
      <w:pPr>
        <w:widowControl w:val="0"/>
        <w:numPr>
          <w:ilvl w:val="1"/>
          <w:numId w:val="1"/>
        </w:numPr>
        <w:spacing w:after="120"/>
        <w:rPr>
          <w:rFonts w:asciiTheme="minorHAnsi" w:hAnsiTheme="minorHAnsi"/>
          <w:bCs/>
          <w:snapToGrid w:val="0"/>
        </w:rPr>
      </w:pPr>
      <w:bookmarkStart w:id="56" w:name="_Hlk76382586"/>
      <w:r w:rsidRPr="00EC57FB">
        <w:rPr>
          <w:rFonts w:asciiTheme="minorHAnsi" w:hAnsiTheme="minorHAnsi"/>
          <w:bCs/>
          <w:snapToGrid w:val="0"/>
        </w:rPr>
        <w:t>The sponsor requested a hearing for this item.</w:t>
      </w:r>
      <w:r w:rsidR="00577C66">
        <w:rPr>
          <w:rFonts w:asciiTheme="minorHAnsi" w:hAnsiTheme="minorHAnsi"/>
          <w:bCs/>
          <w:snapToGrid w:val="0"/>
        </w:rPr>
        <w:t xml:space="preserve"> </w:t>
      </w:r>
      <w:r w:rsidR="00F45504" w:rsidRPr="00EC57FB">
        <w:rPr>
          <w:rFonts w:asciiTheme="minorHAnsi" w:hAnsiTheme="minorHAnsi"/>
          <w:bCs/>
          <w:snapToGrid w:val="0"/>
        </w:rPr>
        <w:t>The clinician discussed the use of nirsevimab in Western Australia following its introduction via state funding arrangements, with a focus on research published by Wadia et al. (2025)</w:t>
      </w:r>
      <w:r w:rsidR="00F45504" w:rsidRPr="00EC57FB">
        <w:rPr>
          <w:rStyle w:val="FootnoteReference"/>
          <w:rFonts w:eastAsiaTheme="minorEastAsia"/>
          <w:iCs/>
        </w:rPr>
        <w:footnoteReference w:id="12"/>
      </w:r>
      <w:r w:rsidR="00F45504" w:rsidRPr="00EC57FB">
        <w:rPr>
          <w:rFonts w:asciiTheme="minorHAnsi" w:hAnsiTheme="minorHAnsi"/>
          <w:bCs/>
          <w:snapToGrid w:val="0"/>
        </w:rPr>
        <w:t>, and to be published by Bloomfield et al. (2025)</w:t>
      </w:r>
      <w:r w:rsidR="00F45504" w:rsidRPr="00EC57FB">
        <w:rPr>
          <w:rStyle w:val="FootnoteReference"/>
          <w:rFonts w:asciiTheme="minorHAnsi" w:hAnsiTheme="minorHAnsi"/>
          <w:bCs/>
          <w:snapToGrid w:val="0"/>
        </w:rPr>
        <w:footnoteReference w:id="13"/>
      </w:r>
      <w:r w:rsidR="00F45504" w:rsidRPr="00EC57FB">
        <w:rPr>
          <w:rFonts w:asciiTheme="minorHAnsi" w:hAnsiTheme="minorHAnsi"/>
          <w:bCs/>
          <w:snapToGrid w:val="0"/>
        </w:rPr>
        <w:t>.</w:t>
      </w:r>
      <w:r w:rsidR="00577C66">
        <w:rPr>
          <w:rFonts w:eastAsiaTheme="minorEastAsia"/>
          <w:iCs/>
        </w:rPr>
        <w:t xml:space="preserve"> </w:t>
      </w:r>
      <w:r w:rsidR="00F45504" w:rsidRPr="00EC57FB">
        <w:rPr>
          <w:rFonts w:asciiTheme="minorHAnsi" w:hAnsiTheme="minorHAnsi"/>
          <w:bCs/>
          <w:snapToGrid w:val="0"/>
        </w:rPr>
        <w:t xml:space="preserve">The PBAC considered that the hearing was </w:t>
      </w:r>
      <w:r w:rsidR="00F45504" w:rsidRPr="00EC57FB">
        <w:rPr>
          <w:rFonts w:asciiTheme="minorHAnsi" w:hAnsiTheme="minorHAnsi"/>
          <w:bCs/>
          <w:snapToGrid w:val="0"/>
        </w:rPr>
        <w:lastRenderedPageBreak/>
        <w:t>informative as it provided an Australian perspective on the value of nirsevimab in clinical practice.</w:t>
      </w:r>
    </w:p>
    <w:bookmarkEnd w:id="56"/>
    <w:p w14:paraId="7AA90FF2" w14:textId="77777777" w:rsidR="007F7C22" w:rsidRPr="00EC57FB" w:rsidRDefault="007F7C22" w:rsidP="007F7C22">
      <w:pPr>
        <w:pStyle w:val="4-SubsectionHeading"/>
      </w:pPr>
      <w:r w:rsidRPr="00EC57FB">
        <w:t>Consumer comments</w:t>
      </w:r>
    </w:p>
    <w:p w14:paraId="220166B0" w14:textId="39B81EE1" w:rsidR="006852BB" w:rsidRPr="00EC57FB" w:rsidRDefault="00B91450" w:rsidP="006852BB">
      <w:pPr>
        <w:widowControl w:val="0"/>
        <w:numPr>
          <w:ilvl w:val="1"/>
          <w:numId w:val="1"/>
        </w:numPr>
        <w:spacing w:after="120"/>
        <w:rPr>
          <w:rFonts w:asciiTheme="minorHAnsi" w:hAnsiTheme="minorHAnsi"/>
          <w:bCs/>
          <w:snapToGrid w:val="0"/>
        </w:rPr>
      </w:pPr>
      <w:bookmarkStart w:id="57" w:name="_Hlk76382618"/>
      <w:r w:rsidRPr="00EC57FB">
        <w:rPr>
          <w:rFonts w:asciiTheme="minorHAnsi" w:hAnsiTheme="minorHAnsi"/>
          <w:bCs/>
          <w:snapToGrid w:val="0"/>
        </w:rPr>
        <w:t xml:space="preserve">The PBAC noted and welcomed the input from </w:t>
      </w:r>
      <w:r w:rsidR="00B74B23" w:rsidRPr="00EC57FB">
        <w:rPr>
          <w:rFonts w:asciiTheme="minorHAnsi" w:hAnsiTheme="minorHAnsi"/>
          <w:bCs/>
          <w:snapToGrid w:val="0"/>
        </w:rPr>
        <w:t>6</w:t>
      </w:r>
      <w:r w:rsidRPr="00EC57FB">
        <w:rPr>
          <w:rFonts w:asciiTheme="minorHAnsi" w:hAnsiTheme="minorHAnsi"/>
          <w:bCs/>
          <w:snapToGrid w:val="0"/>
        </w:rPr>
        <w:t xml:space="preserve"> organisations via the Consumer Comments facility on the PBS website in relation to the resubmission.</w:t>
      </w:r>
      <w:r w:rsidR="00577C66">
        <w:rPr>
          <w:rFonts w:asciiTheme="minorHAnsi" w:hAnsiTheme="minorHAnsi"/>
          <w:bCs/>
          <w:snapToGrid w:val="0"/>
        </w:rPr>
        <w:t xml:space="preserve"> </w:t>
      </w:r>
      <w:r w:rsidRPr="00EC57FB">
        <w:rPr>
          <w:rFonts w:asciiTheme="minorHAnsi" w:hAnsiTheme="minorHAnsi"/>
          <w:bCs/>
          <w:snapToGrid w:val="0"/>
        </w:rPr>
        <w:t xml:space="preserve">The PBAC recalled that it had previously received consumer input when it considered </w:t>
      </w:r>
      <w:r w:rsidR="00B74B23" w:rsidRPr="00EC57FB">
        <w:rPr>
          <w:rFonts w:asciiTheme="minorHAnsi" w:hAnsiTheme="minorHAnsi"/>
          <w:bCs/>
          <w:snapToGrid w:val="0"/>
        </w:rPr>
        <w:t xml:space="preserve">nirsevimab </w:t>
      </w:r>
      <w:r w:rsidRPr="00EC57FB">
        <w:rPr>
          <w:rFonts w:asciiTheme="minorHAnsi" w:hAnsiTheme="minorHAnsi"/>
          <w:bCs/>
          <w:snapToGrid w:val="0"/>
        </w:rPr>
        <w:t xml:space="preserve">in July 2024, including individuals (15), health care professionals (2) and organisations (8). </w:t>
      </w:r>
      <w:r w:rsidR="006852BB" w:rsidRPr="00EC57FB">
        <w:rPr>
          <w:rFonts w:asciiTheme="minorHAnsi" w:hAnsiTheme="minorHAnsi"/>
          <w:bCs/>
          <w:snapToGrid w:val="0"/>
        </w:rPr>
        <w:t xml:space="preserve">Consumer comments from the July 2024 meeting are summarised in the previous PSD (paragraphs 6.2 to 6.6, </w:t>
      </w:r>
      <w:r w:rsidR="006852BB" w:rsidRPr="00EC57FB">
        <w:rPr>
          <w:color w:val="000000" w:themeColor="text1"/>
          <w:szCs w:val="20"/>
        </w:rPr>
        <w:t>July 2024 PSD)</w:t>
      </w:r>
      <w:r w:rsidR="006852BB" w:rsidRPr="00EC57FB">
        <w:rPr>
          <w:rFonts w:asciiTheme="minorHAnsi" w:hAnsiTheme="minorHAnsi"/>
          <w:bCs/>
          <w:snapToGrid w:val="0"/>
        </w:rPr>
        <w:t>. The PBAC noted that consumer input consistently supported national access to nirsevimab to protect infants and young children from the potentially serious impacts of RSV.</w:t>
      </w:r>
    </w:p>
    <w:p w14:paraId="35B6EB6F" w14:textId="09966A2F" w:rsidR="00B91450" w:rsidRPr="00EC57FB" w:rsidRDefault="00B91450" w:rsidP="00B91450">
      <w:pPr>
        <w:pStyle w:val="3-BodyText"/>
        <w:numPr>
          <w:ilvl w:val="1"/>
          <w:numId w:val="1"/>
        </w:numPr>
        <w:rPr>
          <w:bCs/>
        </w:rPr>
      </w:pPr>
      <w:r w:rsidRPr="00EC57FB">
        <w:rPr>
          <w:bCs/>
        </w:rPr>
        <w:t xml:space="preserve">The organisations that provided comments </w:t>
      </w:r>
      <w:r w:rsidR="006852BB" w:rsidRPr="00EC57FB">
        <w:rPr>
          <w:bCs/>
        </w:rPr>
        <w:t xml:space="preserve">in relation to the resubmission </w:t>
      </w:r>
      <w:r w:rsidRPr="00EC57FB">
        <w:rPr>
          <w:bCs/>
        </w:rPr>
        <w:t>are listed below</w:t>
      </w:r>
      <w:r w:rsidR="004D21F3" w:rsidRPr="00EC57FB">
        <w:rPr>
          <w:bCs/>
        </w:rPr>
        <w:t>, with key input summarised.</w:t>
      </w:r>
    </w:p>
    <w:p w14:paraId="032F6B1E" w14:textId="4609D050" w:rsidR="0013128B" w:rsidRPr="00EC57FB" w:rsidRDefault="0013128B" w:rsidP="00E67D04">
      <w:pPr>
        <w:pStyle w:val="3-BodyText"/>
        <w:numPr>
          <w:ilvl w:val="0"/>
          <w:numId w:val="50"/>
        </w:numPr>
        <w:ind w:left="1134"/>
        <w:rPr>
          <w:bCs/>
        </w:rPr>
      </w:pPr>
      <w:r w:rsidRPr="00EC57FB">
        <w:rPr>
          <w:bCs/>
        </w:rPr>
        <w:t>Asthma Australia – RSV infections in infants have been associated with childhood allergic asthma;</w:t>
      </w:r>
    </w:p>
    <w:p w14:paraId="4D2D0B3B" w14:textId="63F30357" w:rsidR="0013128B" w:rsidRPr="00EC57FB" w:rsidRDefault="0013128B" w:rsidP="00E67D04">
      <w:pPr>
        <w:pStyle w:val="3-BodyText"/>
        <w:numPr>
          <w:ilvl w:val="0"/>
          <w:numId w:val="50"/>
        </w:numPr>
        <w:ind w:left="1134"/>
        <w:rPr>
          <w:bCs/>
        </w:rPr>
      </w:pPr>
      <w:r w:rsidRPr="00EC57FB">
        <w:rPr>
          <w:bCs/>
        </w:rPr>
        <w:t>Immunisation Foundation of Australia – babies with severe RSV may require hospitalisation and in some cases intensive care and intubation, which impacts on breastfeeding and physical/mental health of all involved;</w:t>
      </w:r>
    </w:p>
    <w:p w14:paraId="5414AC27" w14:textId="1C2D41F5" w:rsidR="0013128B" w:rsidRPr="00EC57FB" w:rsidRDefault="0013128B" w:rsidP="00E67D04">
      <w:pPr>
        <w:pStyle w:val="3-BodyText"/>
        <w:numPr>
          <w:ilvl w:val="0"/>
          <w:numId w:val="50"/>
        </w:numPr>
        <w:ind w:left="1134"/>
        <w:rPr>
          <w:bCs/>
        </w:rPr>
      </w:pPr>
      <w:r w:rsidRPr="00EC57FB">
        <w:rPr>
          <w:bCs/>
        </w:rPr>
        <w:t>Lung Foundation Australia – nirsevimab will reduce the risk of disease, disability and death associated with RSV</w:t>
      </w:r>
      <w:r w:rsidR="00425716" w:rsidRPr="00EC57FB">
        <w:rPr>
          <w:bCs/>
        </w:rPr>
        <w:t>, funding through the NIP will provide a more standardised approach to eligibility criteria for nirsevimab, in comparison with state and territory funding arrangements</w:t>
      </w:r>
      <w:r w:rsidRPr="00EC57FB">
        <w:rPr>
          <w:bCs/>
        </w:rPr>
        <w:t xml:space="preserve">; </w:t>
      </w:r>
    </w:p>
    <w:p w14:paraId="381D3D38" w14:textId="2732BC91" w:rsidR="0013128B" w:rsidRPr="00EC57FB" w:rsidRDefault="0013128B" w:rsidP="00E67D04">
      <w:pPr>
        <w:pStyle w:val="3-BodyText"/>
        <w:numPr>
          <w:ilvl w:val="0"/>
          <w:numId w:val="50"/>
        </w:numPr>
        <w:ind w:left="1134"/>
        <w:rPr>
          <w:bCs/>
        </w:rPr>
      </w:pPr>
      <w:r w:rsidRPr="00EC57FB">
        <w:rPr>
          <w:bCs/>
        </w:rPr>
        <w:t>National Aboriginal Community Controlled Health Organisation (NACCHO) –Aboriginal and Torres Strait Islander infants experience a high burden of disease due to RSV</w:t>
      </w:r>
      <w:r w:rsidR="00A83CB6" w:rsidRPr="00EC57FB">
        <w:rPr>
          <w:bCs/>
        </w:rPr>
        <w:t>, access to treatment is harder for those in rural and remote locations and jurisdictional programs may create inequalities of eligibility and access. NACCHO also noted that the seasonality of the RSV season differs in tropical areas compared with temperate areas this needs to be accounted for in the restrictions, in particular the use of nirsevimab should not be limited to a specific season. For example, NACCHO noted that hospitalisations may be higher in the first four months of the year in the Northern Territory, rather than traditional “winter peak” months</w:t>
      </w:r>
      <w:r w:rsidRPr="00EC57FB">
        <w:rPr>
          <w:bCs/>
        </w:rPr>
        <w:t>;</w:t>
      </w:r>
    </w:p>
    <w:p w14:paraId="54C25A25" w14:textId="47AB3DE7" w:rsidR="0013128B" w:rsidRPr="00EC57FB" w:rsidRDefault="0013128B" w:rsidP="00E67D04">
      <w:pPr>
        <w:pStyle w:val="3-BodyText"/>
        <w:numPr>
          <w:ilvl w:val="0"/>
          <w:numId w:val="50"/>
        </w:numPr>
        <w:ind w:left="1134"/>
        <w:rPr>
          <w:bCs/>
        </w:rPr>
      </w:pPr>
      <w:r w:rsidRPr="00EC57FB">
        <w:rPr>
          <w:bCs/>
        </w:rPr>
        <w:t>National Paediatric Medicines Forum – Expanding access to nirsevimab will improve uptake particularly for rural and remote areas that may not be part of a hospital local area network</w:t>
      </w:r>
      <w:r w:rsidR="00A83CB6" w:rsidRPr="00EC57FB">
        <w:rPr>
          <w:bCs/>
        </w:rPr>
        <w:t>, a national listing would also address equity concerns surrounding current variation in jurisdictional access restrictions</w:t>
      </w:r>
      <w:r w:rsidRPr="00EC57FB">
        <w:rPr>
          <w:bCs/>
        </w:rPr>
        <w:t>;</w:t>
      </w:r>
    </w:p>
    <w:p w14:paraId="3F091E40" w14:textId="33E43F95" w:rsidR="0013128B" w:rsidRPr="00EC57FB" w:rsidRDefault="0013128B" w:rsidP="00E67D04">
      <w:pPr>
        <w:pStyle w:val="3-BodyText"/>
        <w:numPr>
          <w:ilvl w:val="0"/>
          <w:numId w:val="50"/>
        </w:numPr>
        <w:ind w:left="1134"/>
        <w:rPr>
          <w:bCs/>
        </w:rPr>
      </w:pPr>
      <w:r w:rsidRPr="00EC57FB">
        <w:rPr>
          <w:bCs/>
        </w:rPr>
        <w:t xml:space="preserve">RSV and Other Respiratory Illnesses Community Reference Group – </w:t>
      </w:r>
      <w:r w:rsidR="00444BF9" w:rsidRPr="00EC57FB">
        <w:rPr>
          <w:bCs/>
        </w:rPr>
        <w:t>discussed the impacts of RSV on children and their carers, not only in terms of the disease itself but also affecting the access of children suffering chronic conditions</w:t>
      </w:r>
      <w:r w:rsidRPr="00EC57FB">
        <w:rPr>
          <w:bCs/>
        </w:rPr>
        <w:t xml:space="preserve"> to undergo </w:t>
      </w:r>
      <w:r w:rsidRPr="00EC57FB">
        <w:rPr>
          <w:bCs/>
        </w:rPr>
        <w:lastRenderedPageBreak/>
        <w:t>scheduled hospital-based procedures on the planned dates, even during RSV season.</w:t>
      </w:r>
      <w:r w:rsidR="00577C66">
        <w:rPr>
          <w:bCs/>
        </w:rPr>
        <w:t xml:space="preserve"> </w:t>
      </w:r>
      <w:r w:rsidR="00444BF9" w:rsidRPr="00EC57FB">
        <w:rPr>
          <w:bCs/>
        </w:rPr>
        <w:t>The group suggested</w:t>
      </w:r>
      <w:r w:rsidR="00E67D04">
        <w:rPr>
          <w:bCs/>
        </w:rPr>
        <w:t xml:space="preserve"> </w:t>
      </w:r>
      <w:r w:rsidR="00444BF9" w:rsidRPr="00EC57FB">
        <w:rPr>
          <w:bCs/>
        </w:rPr>
        <w:t>access to nirsevimab will reduce the incidence of infection and severe complications and will reduce the financial impacts on parents in terms of medical expenses and loss of earnings from caring for sick children.</w:t>
      </w:r>
    </w:p>
    <w:bookmarkEnd w:id="54"/>
    <w:bookmarkEnd w:id="57"/>
    <w:p w14:paraId="609C0765" w14:textId="097A6C55" w:rsidR="00B60939" w:rsidRPr="00EC57FB" w:rsidRDefault="00B60939" w:rsidP="002E4F02">
      <w:pPr>
        <w:pStyle w:val="4-SubsectionHeading"/>
      </w:pPr>
      <w:r w:rsidRPr="00EC57FB">
        <w:t xml:space="preserve">Clinical </w:t>
      </w:r>
      <w:bookmarkEnd w:id="53"/>
      <w:r w:rsidR="00C82843" w:rsidRPr="00EC57FB">
        <w:t>evidence</w:t>
      </w:r>
      <w:bookmarkEnd w:id="55"/>
    </w:p>
    <w:p w14:paraId="547F1EC8" w14:textId="181574C7" w:rsidR="004812DA" w:rsidRPr="00EC57FB" w:rsidRDefault="00DF2035" w:rsidP="002E764A">
      <w:pPr>
        <w:pStyle w:val="3-BodyText"/>
      </w:pPr>
      <w:bookmarkStart w:id="58" w:name="_Ref188362957"/>
      <w:r w:rsidRPr="00EC57FB">
        <w:t xml:space="preserve">The </w:t>
      </w:r>
      <w:r w:rsidR="003D2225" w:rsidRPr="00EC57FB">
        <w:t xml:space="preserve">trials </w:t>
      </w:r>
      <w:r w:rsidR="002E764A" w:rsidRPr="00EC57FB">
        <w:t>and</w:t>
      </w:r>
      <w:r w:rsidR="00903F37" w:rsidRPr="00EC57FB">
        <w:t xml:space="preserve"> studies </w:t>
      </w:r>
      <w:r w:rsidR="003D2225" w:rsidRPr="00EC57FB">
        <w:t>presented in the resubmission are detailed in</w:t>
      </w:r>
      <w:r w:rsidR="002E764A" w:rsidRPr="00EC57FB">
        <w:t xml:space="preserve"> </w:t>
      </w:r>
      <w:r w:rsidR="00903F37" w:rsidRPr="00EC57FB">
        <w:fldChar w:fldCharType="begin"/>
      </w:r>
      <w:r w:rsidR="00903F37" w:rsidRPr="00EC57FB">
        <w:instrText xml:space="preserve"> REF _Ref185176789 \h </w:instrText>
      </w:r>
      <w:r w:rsidR="00903F37" w:rsidRPr="00EC57FB">
        <w:fldChar w:fldCharType="separate"/>
      </w:r>
      <w:r w:rsidR="00502C25" w:rsidRPr="00EC57FB">
        <w:t xml:space="preserve">Table </w:t>
      </w:r>
      <w:r w:rsidR="00502C25">
        <w:rPr>
          <w:noProof/>
        </w:rPr>
        <w:t>7</w:t>
      </w:r>
      <w:r w:rsidR="00903F37" w:rsidRPr="00EC57FB">
        <w:fldChar w:fldCharType="end"/>
      </w:r>
      <w:r w:rsidR="00903F37" w:rsidRPr="00EC57FB">
        <w:t>.</w:t>
      </w:r>
      <w:r w:rsidR="00B03A06" w:rsidRPr="00EC57FB">
        <w:t xml:space="preserve"> Descriptions </w:t>
      </w:r>
      <w:r w:rsidR="00815280" w:rsidRPr="00EC57FB">
        <w:t xml:space="preserve">detailing the populations, interventions, comparators and </w:t>
      </w:r>
      <w:r w:rsidR="00C80140" w:rsidRPr="00EC57FB">
        <w:t>outcomes assessed in each of the studies</w:t>
      </w:r>
      <w:r w:rsidR="00B03A06" w:rsidRPr="00EC57FB">
        <w:t xml:space="preserve"> are provided in </w:t>
      </w:r>
      <w:r w:rsidR="00B03A06" w:rsidRPr="00EC57FB">
        <w:fldChar w:fldCharType="begin"/>
      </w:r>
      <w:r w:rsidR="00B03A06" w:rsidRPr="00EC57FB">
        <w:instrText xml:space="preserve"> REF _Ref185177458 \h </w:instrText>
      </w:r>
      <w:r w:rsidR="00B03A06" w:rsidRPr="00EC57FB">
        <w:fldChar w:fldCharType="separate"/>
      </w:r>
      <w:r w:rsidR="00502C25" w:rsidRPr="00EC57FB">
        <w:t xml:space="preserve">Table </w:t>
      </w:r>
      <w:r w:rsidR="00502C25">
        <w:rPr>
          <w:noProof/>
        </w:rPr>
        <w:t>8</w:t>
      </w:r>
      <w:r w:rsidR="00B03A06" w:rsidRPr="00EC57FB">
        <w:fldChar w:fldCharType="end"/>
      </w:r>
      <w:r w:rsidR="00815280" w:rsidRPr="00EC57FB">
        <w:t>.</w:t>
      </w:r>
      <w:r w:rsidR="003F615A" w:rsidRPr="00EC57FB">
        <w:t xml:space="preserve"> </w:t>
      </w:r>
      <w:r w:rsidR="00A97A09" w:rsidRPr="00EC57FB">
        <w:t xml:space="preserve">Trials and studies presented in the </w:t>
      </w:r>
      <w:r w:rsidR="009934AE" w:rsidRPr="00EC57FB">
        <w:t>first</w:t>
      </w:r>
      <w:r w:rsidR="00A97A09" w:rsidRPr="00EC57FB">
        <w:t xml:space="preserve"> submission are </w:t>
      </w:r>
      <w:r w:rsidR="00C445C3">
        <w:t>shown with blue shading</w:t>
      </w:r>
      <w:r w:rsidR="00A97A09" w:rsidRPr="00EC57FB">
        <w:t xml:space="preserve">. </w:t>
      </w:r>
      <w:r w:rsidR="00BE3F12" w:rsidRPr="00EC57FB">
        <w:t>Several observational studies were provided with the resubmission</w:t>
      </w:r>
      <w:r w:rsidR="00C56919" w:rsidRPr="00EC57FB">
        <w:t xml:space="preserve"> with the objective of</w:t>
      </w:r>
      <w:r w:rsidR="00C77744" w:rsidRPr="00EC57FB">
        <w:t xml:space="preserve"> demonstrat</w:t>
      </w:r>
      <w:r w:rsidR="00C56919" w:rsidRPr="00EC57FB">
        <w:t>ing</w:t>
      </w:r>
      <w:r w:rsidR="00C77744" w:rsidRPr="00EC57FB">
        <w:t xml:space="preserve"> that results observed </w:t>
      </w:r>
      <w:r w:rsidR="00C65C28" w:rsidRPr="00EC57FB">
        <w:t>in a real world setting</w:t>
      </w:r>
      <w:r w:rsidR="007E0EAB" w:rsidRPr="00EC57FB">
        <w:t xml:space="preserve"> are consistent with those observed in the MELODY trial</w:t>
      </w:r>
      <w:r w:rsidR="00C65C28" w:rsidRPr="00EC57FB">
        <w:t xml:space="preserve">. </w:t>
      </w:r>
      <w:r w:rsidR="007C5536" w:rsidRPr="00EC57FB">
        <w:t>I</w:t>
      </w:r>
      <w:r w:rsidR="00C65C28" w:rsidRPr="00EC57FB">
        <w:t xml:space="preserve">nformation from nirsevimab programs introduced in some states </w:t>
      </w:r>
      <w:r w:rsidR="002A638D" w:rsidRPr="00EC57FB">
        <w:t>of Australia was</w:t>
      </w:r>
      <w:r w:rsidR="00C65C28" w:rsidRPr="00EC57FB">
        <w:t xml:space="preserve"> also provided</w:t>
      </w:r>
      <w:r w:rsidR="006823F9" w:rsidRPr="00EC57FB">
        <w:t xml:space="preserve"> by the sponsor</w:t>
      </w:r>
      <w:r w:rsidR="00C65C28" w:rsidRPr="00EC57FB">
        <w:t xml:space="preserve">. </w:t>
      </w:r>
    </w:p>
    <w:p w14:paraId="3C02C75F" w14:textId="55B64CCD" w:rsidR="003D2225" w:rsidRPr="00EC57FB" w:rsidRDefault="00175951" w:rsidP="002E764A">
      <w:pPr>
        <w:pStyle w:val="3-BodyText"/>
      </w:pPr>
      <w:r w:rsidRPr="00EC57FB">
        <w:t>During the evaluation of the resubmission, a</w:t>
      </w:r>
      <w:r w:rsidR="003F615A" w:rsidRPr="00EC57FB">
        <w:t xml:space="preserve">n independent search of the literature located </w:t>
      </w:r>
      <w:r w:rsidR="00645879" w:rsidRPr="00EC57FB">
        <w:t>two</w:t>
      </w:r>
      <w:r w:rsidR="003F615A" w:rsidRPr="00EC57FB">
        <w:t xml:space="preserve"> published report</w:t>
      </w:r>
      <w:r w:rsidR="0042300C" w:rsidRPr="00EC57FB">
        <w:t>s</w:t>
      </w:r>
      <w:r w:rsidR="00617E35" w:rsidRPr="00EC57FB">
        <w:t xml:space="preserve"> with updated results from the MELODY trial</w:t>
      </w:r>
      <w:r w:rsidR="0042300C" w:rsidRPr="00EC57FB">
        <w:t xml:space="preserve"> (Muller 2023, Dagan </w:t>
      </w:r>
      <w:r w:rsidR="00536597" w:rsidRPr="00EC57FB">
        <w:t>2024</w:t>
      </w:r>
      <w:r w:rsidR="0042300C" w:rsidRPr="00EC57FB">
        <w:t>)</w:t>
      </w:r>
      <w:r w:rsidR="0070676D" w:rsidRPr="00EC57FB">
        <w:t xml:space="preserve">. </w:t>
      </w:r>
      <w:r w:rsidR="00CF23F9" w:rsidRPr="00EC57FB">
        <w:t xml:space="preserve">An updated </w:t>
      </w:r>
      <w:r w:rsidR="00490DC1" w:rsidRPr="00EC57FB">
        <w:t>clinical study report for the</w:t>
      </w:r>
      <w:r w:rsidR="003D1DBA" w:rsidRPr="00EC57FB">
        <w:t xml:space="preserve"> MELODY </w:t>
      </w:r>
      <w:r w:rsidR="00490DC1" w:rsidRPr="00EC57FB">
        <w:t>trial was requested from the sponsor during the evaluation</w:t>
      </w:r>
      <w:r w:rsidR="00C65514" w:rsidRPr="00EC57FB">
        <w:t xml:space="preserve"> and was provided</w:t>
      </w:r>
      <w:r w:rsidR="00490DC1" w:rsidRPr="00EC57FB">
        <w:t>.</w:t>
      </w:r>
      <w:bookmarkEnd w:id="58"/>
    </w:p>
    <w:p w14:paraId="3FB08ABE" w14:textId="0E1E7730" w:rsidR="00C501DF" w:rsidRPr="00EC57FB" w:rsidRDefault="002E764A" w:rsidP="00C501DF">
      <w:pPr>
        <w:pStyle w:val="TableFigureHeading"/>
        <w:rPr>
          <w:rStyle w:val="CommentReference"/>
          <w:b/>
          <w:szCs w:val="24"/>
        </w:rPr>
      </w:pPr>
      <w:bookmarkStart w:id="59" w:name="_Ref185176789"/>
      <w:r w:rsidRPr="00EC57FB">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7</w:t>
      </w:r>
      <w:r w:rsidR="00C51E7C" w:rsidRPr="00EC57FB">
        <w:fldChar w:fldCharType="end"/>
      </w:r>
      <w:bookmarkEnd w:id="59"/>
      <w:r w:rsidRPr="00EC57FB">
        <w:t xml:space="preserve">: </w:t>
      </w:r>
      <w:r w:rsidR="00B03A06" w:rsidRPr="00EC57FB">
        <w:rPr>
          <w:rStyle w:val="CommentReference"/>
          <w:b/>
          <w:szCs w:val="24"/>
        </w:rPr>
        <w:t>Trials and studies</w:t>
      </w:r>
      <w:r w:rsidR="00C501DF" w:rsidRPr="00EC57FB">
        <w:rPr>
          <w:rStyle w:val="CommentReference"/>
          <w:b/>
          <w:szCs w:val="24"/>
        </w:rPr>
        <w:t xml:space="preserve"> presented in the submission</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66"/>
        <w:gridCol w:w="4511"/>
        <w:gridCol w:w="3321"/>
      </w:tblGrid>
      <w:tr w:rsidR="00814336" w:rsidRPr="00EC57FB" w14:paraId="3A9ECE76" w14:textId="77777777" w:rsidTr="00224F38">
        <w:trPr>
          <w:tblHeader/>
        </w:trPr>
        <w:tc>
          <w:tcPr>
            <w:tcW w:w="696" w:type="pct"/>
            <w:vAlign w:val="center"/>
          </w:tcPr>
          <w:p w14:paraId="72C76A12" w14:textId="77777777" w:rsidR="00C501DF" w:rsidRPr="00EC57FB" w:rsidRDefault="00C501DF" w:rsidP="0095132A">
            <w:pPr>
              <w:pStyle w:val="In-tableHeading"/>
              <w:keepNext w:val="0"/>
              <w:keepLines w:val="0"/>
              <w:rPr>
                <w:szCs w:val="20"/>
                <w:lang w:val="en-AU"/>
              </w:rPr>
            </w:pPr>
            <w:r w:rsidRPr="00EC57FB">
              <w:rPr>
                <w:szCs w:val="20"/>
                <w:lang w:val="en-AU"/>
              </w:rPr>
              <w:t>Trial ID</w:t>
            </w:r>
          </w:p>
        </w:tc>
        <w:tc>
          <w:tcPr>
            <w:tcW w:w="2479" w:type="pct"/>
            <w:vAlign w:val="center"/>
          </w:tcPr>
          <w:p w14:paraId="673D2694" w14:textId="16FA3ED0" w:rsidR="00C501DF" w:rsidRPr="00EC57FB" w:rsidRDefault="00815280" w:rsidP="0095132A">
            <w:pPr>
              <w:pStyle w:val="In-tableHeading"/>
              <w:keepNext w:val="0"/>
              <w:keepLines w:val="0"/>
              <w:rPr>
                <w:szCs w:val="20"/>
                <w:lang w:val="en-AU"/>
              </w:rPr>
            </w:pPr>
            <w:r w:rsidRPr="00EC57FB">
              <w:rPr>
                <w:szCs w:val="20"/>
                <w:lang w:val="en-AU"/>
              </w:rPr>
              <w:t xml:space="preserve">Report </w:t>
            </w:r>
            <w:r w:rsidR="00C501DF" w:rsidRPr="00EC57FB">
              <w:rPr>
                <w:szCs w:val="20"/>
                <w:lang w:val="en-AU"/>
              </w:rPr>
              <w:t>/ Publication title</w:t>
            </w:r>
          </w:p>
        </w:tc>
        <w:tc>
          <w:tcPr>
            <w:tcW w:w="1825" w:type="pct"/>
            <w:vAlign w:val="center"/>
          </w:tcPr>
          <w:p w14:paraId="2FFDE74A" w14:textId="77777777" w:rsidR="00C501DF" w:rsidRPr="00EC57FB" w:rsidRDefault="00C501DF" w:rsidP="00815280">
            <w:pPr>
              <w:pStyle w:val="In-tableHeading"/>
              <w:keepNext w:val="0"/>
              <w:keepLines w:val="0"/>
              <w:rPr>
                <w:szCs w:val="20"/>
                <w:lang w:val="en-AU"/>
              </w:rPr>
            </w:pPr>
            <w:r w:rsidRPr="00EC57FB">
              <w:rPr>
                <w:szCs w:val="20"/>
                <w:lang w:val="en-AU"/>
              </w:rPr>
              <w:t>Publication citation</w:t>
            </w:r>
          </w:p>
        </w:tc>
      </w:tr>
      <w:tr w:rsidR="00C501DF" w:rsidRPr="00EC57FB" w14:paraId="721E6F7A" w14:textId="77777777" w:rsidTr="00814336">
        <w:tc>
          <w:tcPr>
            <w:tcW w:w="5000" w:type="pct"/>
            <w:gridSpan w:val="3"/>
            <w:vAlign w:val="center"/>
          </w:tcPr>
          <w:p w14:paraId="796350C4" w14:textId="61A85EE9" w:rsidR="00C501DF" w:rsidRPr="00EC57FB" w:rsidRDefault="00C501DF" w:rsidP="0095132A">
            <w:pPr>
              <w:pStyle w:val="In-tableHeading"/>
              <w:keepNext w:val="0"/>
              <w:keepLines w:val="0"/>
              <w:rPr>
                <w:szCs w:val="20"/>
                <w:lang w:val="en-AU"/>
              </w:rPr>
            </w:pPr>
            <w:r w:rsidRPr="00EC57FB">
              <w:rPr>
                <w:rFonts w:cstheme="minorHAnsi"/>
                <w:bCs/>
                <w:szCs w:val="20"/>
                <w:lang w:val="en-AU"/>
              </w:rPr>
              <w:t>Nirsevimab vs. placebo</w:t>
            </w:r>
            <w:r w:rsidR="00880344" w:rsidRPr="00EC57FB">
              <w:rPr>
                <w:rFonts w:cstheme="minorHAnsi"/>
                <w:bCs/>
                <w:szCs w:val="20"/>
                <w:lang w:val="en-AU"/>
              </w:rPr>
              <w:t xml:space="preserve"> (for no </w:t>
            </w:r>
            <w:r w:rsidR="00B80FC5" w:rsidRPr="00EC57FB">
              <w:rPr>
                <w:rFonts w:cstheme="minorHAnsi"/>
                <w:bCs/>
                <w:szCs w:val="20"/>
                <w:lang w:val="en-AU"/>
              </w:rPr>
              <w:t>immun</w:t>
            </w:r>
            <w:r w:rsidR="00761519" w:rsidRPr="00EC57FB">
              <w:rPr>
                <w:rFonts w:cstheme="minorHAnsi"/>
                <w:bCs/>
                <w:szCs w:val="20"/>
                <w:lang w:val="en-AU"/>
              </w:rPr>
              <w:t>isation)</w:t>
            </w:r>
          </w:p>
        </w:tc>
      </w:tr>
      <w:tr w:rsidR="00E45CF8" w:rsidRPr="00EC57FB" w14:paraId="5FE75C03" w14:textId="77777777" w:rsidTr="00224F38">
        <w:tc>
          <w:tcPr>
            <w:tcW w:w="696" w:type="pct"/>
            <w:vMerge w:val="restart"/>
            <w:vAlign w:val="center"/>
          </w:tcPr>
          <w:p w14:paraId="14A79A54" w14:textId="77777777" w:rsidR="00E45CF8" w:rsidRPr="00EC57FB" w:rsidRDefault="00E45CF8" w:rsidP="0095132A">
            <w:pPr>
              <w:pStyle w:val="TableText0"/>
              <w:keepNext w:val="0"/>
              <w:keepLines w:val="0"/>
              <w:rPr>
                <w:szCs w:val="20"/>
              </w:rPr>
            </w:pPr>
            <w:r w:rsidRPr="00EC57FB">
              <w:rPr>
                <w:szCs w:val="20"/>
              </w:rPr>
              <w:t>MELODY</w:t>
            </w:r>
          </w:p>
        </w:tc>
        <w:tc>
          <w:tcPr>
            <w:tcW w:w="2479" w:type="pct"/>
            <w:vMerge w:val="restart"/>
            <w:shd w:val="clear" w:color="auto" w:fill="B8CCE4"/>
            <w:vAlign w:val="center"/>
          </w:tcPr>
          <w:p w14:paraId="7CD8377E" w14:textId="3FC13F08" w:rsidR="00E45CF8" w:rsidRPr="00EC57FB" w:rsidRDefault="00E45CF8" w:rsidP="00BF031C">
            <w:pPr>
              <w:pStyle w:val="TableText0"/>
              <w:rPr>
                <w:szCs w:val="20"/>
              </w:rPr>
            </w:pPr>
            <w:r w:rsidRPr="00EC57FB">
              <w:rPr>
                <w:szCs w:val="20"/>
              </w:rPr>
              <w:t>A Phase III Randomised, Double-blind, Placebo-controlled Study to Evaluate the Safety and Efficacy of Nirsevimab (MEDI8897), a Monoclonal Antibody With an Extended Half-life Against Respiratory Syncytial Virus, in Healthy Late Preterm and Term Infants (MELODY)</w:t>
            </w:r>
          </w:p>
        </w:tc>
        <w:tc>
          <w:tcPr>
            <w:tcW w:w="1825" w:type="pct"/>
            <w:shd w:val="clear" w:color="auto" w:fill="B8CCE4"/>
            <w:vAlign w:val="center"/>
          </w:tcPr>
          <w:p w14:paraId="4C83B03B" w14:textId="7DBB633D" w:rsidR="00E45CF8" w:rsidRPr="00EC57FB" w:rsidRDefault="00E45CF8" w:rsidP="000E3642">
            <w:pPr>
              <w:pStyle w:val="TableText0"/>
              <w:rPr>
                <w:szCs w:val="20"/>
              </w:rPr>
            </w:pPr>
            <w:r w:rsidRPr="00EC57FB">
              <w:rPr>
                <w:szCs w:val="20"/>
              </w:rPr>
              <w:t>Interim Clinical Study Report – Primary Analysis</w:t>
            </w:r>
          </w:p>
          <w:p w14:paraId="0DD5D8B5" w14:textId="07A0E9DD" w:rsidR="00E45CF8" w:rsidRPr="00EC57FB" w:rsidRDefault="00E45CF8" w:rsidP="000E3642">
            <w:pPr>
              <w:pStyle w:val="TableText0"/>
              <w:keepNext w:val="0"/>
              <w:keepLines w:val="0"/>
              <w:rPr>
                <w:szCs w:val="20"/>
              </w:rPr>
            </w:pPr>
            <w:r w:rsidRPr="00EC57FB">
              <w:rPr>
                <w:szCs w:val="20"/>
              </w:rPr>
              <w:t>27 September 2021</w:t>
            </w:r>
          </w:p>
        </w:tc>
      </w:tr>
      <w:tr w:rsidR="00F46EB7" w:rsidRPr="00EC57FB" w14:paraId="2106FDBC" w14:textId="77777777" w:rsidTr="00224F38">
        <w:tc>
          <w:tcPr>
            <w:tcW w:w="696" w:type="pct"/>
            <w:vMerge/>
            <w:vAlign w:val="center"/>
          </w:tcPr>
          <w:p w14:paraId="20A30F50" w14:textId="77777777" w:rsidR="00F46EB7" w:rsidRPr="00EC57FB" w:rsidRDefault="00F46EB7" w:rsidP="00F46EB7">
            <w:pPr>
              <w:pStyle w:val="TableText0"/>
              <w:keepNext w:val="0"/>
              <w:keepLines w:val="0"/>
              <w:rPr>
                <w:szCs w:val="20"/>
              </w:rPr>
            </w:pPr>
          </w:p>
        </w:tc>
        <w:tc>
          <w:tcPr>
            <w:tcW w:w="2479" w:type="pct"/>
            <w:vMerge/>
            <w:shd w:val="clear" w:color="auto" w:fill="B8CCE4"/>
            <w:vAlign w:val="center"/>
          </w:tcPr>
          <w:p w14:paraId="2A8F3453" w14:textId="77777777" w:rsidR="00F46EB7" w:rsidRPr="00EC57FB" w:rsidRDefault="00F46EB7" w:rsidP="00F46EB7">
            <w:pPr>
              <w:pStyle w:val="TableText0"/>
              <w:rPr>
                <w:szCs w:val="20"/>
              </w:rPr>
            </w:pPr>
          </w:p>
        </w:tc>
        <w:tc>
          <w:tcPr>
            <w:tcW w:w="1825" w:type="pct"/>
            <w:shd w:val="clear" w:color="auto" w:fill="B8CCE4"/>
            <w:vAlign w:val="center"/>
          </w:tcPr>
          <w:p w14:paraId="35FC78B0" w14:textId="77777777" w:rsidR="00F46EB7" w:rsidRPr="00EC57FB" w:rsidRDefault="00F46EB7" w:rsidP="00F46EB7">
            <w:pPr>
              <w:pStyle w:val="TableText0"/>
              <w:rPr>
                <w:iCs/>
                <w:szCs w:val="20"/>
              </w:rPr>
            </w:pPr>
            <w:r w:rsidRPr="00EC57FB">
              <w:rPr>
                <w:iCs/>
                <w:szCs w:val="20"/>
              </w:rPr>
              <w:t>Interim Clinical Study Report –</w:t>
            </w:r>
          </w:p>
          <w:p w14:paraId="52D719D6" w14:textId="31AEC51D" w:rsidR="00F46EB7" w:rsidRPr="00EC57FB" w:rsidRDefault="00F46EB7" w:rsidP="00F46EB7">
            <w:pPr>
              <w:pStyle w:val="TableText0"/>
              <w:rPr>
                <w:szCs w:val="20"/>
              </w:rPr>
            </w:pPr>
            <w:r w:rsidRPr="00EC57FB">
              <w:rPr>
                <w:iCs/>
                <w:szCs w:val="20"/>
              </w:rPr>
              <w:t>Primary Analysis and Safety Analysis</w:t>
            </w:r>
            <w:r w:rsidRPr="00EC57FB">
              <w:rPr>
                <w:iCs/>
                <w:szCs w:val="20"/>
              </w:rPr>
              <w:br/>
              <w:t>31 August 2022</w:t>
            </w:r>
          </w:p>
        </w:tc>
      </w:tr>
      <w:tr w:rsidR="00F46EB7" w:rsidRPr="00EC57FB" w14:paraId="2A23F371" w14:textId="77777777" w:rsidTr="00224F38">
        <w:tc>
          <w:tcPr>
            <w:tcW w:w="696" w:type="pct"/>
            <w:vMerge/>
            <w:vAlign w:val="center"/>
          </w:tcPr>
          <w:p w14:paraId="4187C352" w14:textId="77777777" w:rsidR="00F46EB7" w:rsidRPr="00EC57FB" w:rsidRDefault="00F46EB7" w:rsidP="00F46EB7">
            <w:pPr>
              <w:pStyle w:val="TableText0"/>
              <w:keepNext w:val="0"/>
              <w:keepLines w:val="0"/>
              <w:rPr>
                <w:szCs w:val="20"/>
              </w:rPr>
            </w:pPr>
          </w:p>
        </w:tc>
        <w:tc>
          <w:tcPr>
            <w:tcW w:w="2479" w:type="pct"/>
            <w:vMerge/>
            <w:shd w:val="clear" w:color="auto" w:fill="B8CCE4"/>
            <w:vAlign w:val="center"/>
          </w:tcPr>
          <w:p w14:paraId="105CFC94" w14:textId="77777777" w:rsidR="00F46EB7" w:rsidRPr="00EC57FB" w:rsidRDefault="00F46EB7" w:rsidP="00F46EB7">
            <w:pPr>
              <w:pStyle w:val="TableText0"/>
              <w:rPr>
                <w:szCs w:val="20"/>
              </w:rPr>
            </w:pPr>
          </w:p>
        </w:tc>
        <w:tc>
          <w:tcPr>
            <w:tcW w:w="1825" w:type="pct"/>
            <w:shd w:val="clear" w:color="auto" w:fill="B8CCE4"/>
            <w:vAlign w:val="center"/>
          </w:tcPr>
          <w:p w14:paraId="18CCC6D3" w14:textId="77777777" w:rsidR="00F46EB7" w:rsidRPr="00EC57FB" w:rsidRDefault="00F46EB7" w:rsidP="00F46EB7">
            <w:pPr>
              <w:pStyle w:val="TableText0"/>
              <w:rPr>
                <w:iCs/>
                <w:szCs w:val="20"/>
              </w:rPr>
            </w:pPr>
            <w:r w:rsidRPr="00EC57FB">
              <w:rPr>
                <w:iCs/>
                <w:szCs w:val="20"/>
              </w:rPr>
              <w:t>Final Clinical Study Report – Primary Analysis, Safety Analysis, and Final Analysis</w:t>
            </w:r>
          </w:p>
          <w:p w14:paraId="5A5280CC" w14:textId="02F4459A" w:rsidR="00F46EB7" w:rsidRPr="00EC57FB" w:rsidRDefault="00F46EB7" w:rsidP="00F46EB7">
            <w:pPr>
              <w:pStyle w:val="TableText0"/>
              <w:rPr>
                <w:szCs w:val="20"/>
              </w:rPr>
            </w:pPr>
            <w:r w:rsidRPr="00EC57FB">
              <w:rPr>
                <w:iCs/>
                <w:szCs w:val="20"/>
              </w:rPr>
              <w:t>20 June 2023</w:t>
            </w:r>
          </w:p>
        </w:tc>
      </w:tr>
      <w:tr w:rsidR="00E45CF8" w:rsidRPr="00EC57FB" w14:paraId="132ABCAE" w14:textId="77777777" w:rsidTr="00224F38">
        <w:tc>
          <w:tcPr>
            <w:tcW w:w="696" w:type="pct"/>
            <w:vMerge/>
            <w:vAlign w:val="center"/>
          </w:tcPr>
          <w:p w14:paraId="495361AE" w14:textId="77777777" w:rsidR="00E45CF8" w:rsidRPr="00EC57FB" w:rsidRDefault="00E45CF8" w:rsidP="002E23BE">
            <w:pPr>
              <w:pStyle w:val="TableText0"/>
              <w:keepNext w:val="0"/>
              <w:keepLines w:val="0"/>
              <w:rPr>
                <w:szCs w:val="20"/>
              </w:rPr>
            </w:pPr>
          </w:p>
        </w:tc>
        <w:tc>
          <w:tcPr>
            <w:tcW w:w="2479" w:type="pct"/>
            <w:shd w:val="clear" w:color="auto" w:fill="B8CCE4"/>
            <w:vAlign w:val="center"/>
          </w:tcPr>
          <w:p w14:paraId="1ED7307F" w14:textId="26D26A44" w:rsidR="00E45CF8" w:rsidRPr="00EC57FB" w:rsidRDefault="00E45CF8" w:rsidP="002E23BE">
            <w:pPr>
              <w:pStyle w:val="TableText0"/>
              <w:keepNext w:val="0"/>
              <w:keepLines w:val="0"/>
              <w:rPr>
                <w:szCs w:val="20"/>
              </w:rPr>
            </w:pPr>
            <w:r w:rsidRPr="00EC57FB">
              <w:rPr>
                <w:szCs w:val="20"/>
              </w:rPr>
              <w:t>Hammitt, L.L., Dagan, R., et al (MELODY Study Group). Nirsevimab for prevention of RSV in healthy late-preterm and term infants</w:t>
            </w:r>
          </w:p>
        </w:tc>
        <w:tc>
          <w:tcPr>
            <w:tcW w:w="1825" w:type="pct"/>
            <w:shd w:val="clear" w:color="auto" w:fill="B8CCE4"/>
            <w:vAlign w:val="center"/>
          </w:tcPr>
          <w:p w14:paraId="7143704B" w14:textId="77777777" w:rsidR="00E45CF8" w:rsidRPr="00EC57FB" w:rsidRDefault="00E45CF8" w:rsidP="002E23BE">
            <w:pPr>
              <w:pStyle w:val="TableText0"/>
              <w:keepNext w:val="0"/>
              <w:keepLines w:val="0"/>
              <w:rPr>
                <w:szCs w:val="20"/>
              </w:rPr>
            </w:pPr>
            <w:r w:rsidRPr="00EC57FB">
              <w:rPr>
                <w:iCs/>
                <w:szCs w:val="20"/>
              </w:rPr>
              <w:t>New England Journal of Medicine</w:t>
            </w:r>
            <w:r w:rsidRPr="00EC57FB">
              <w:rPr>
                <w:szCs w:val="20"/>
              </w:rPr>
              <w:t xml:space="preserve"> 2022;386(9):837-846</w:t>
            </w:r>
          </w:p>
          <w:p w14:paraId="406C3B46" w14:textId="1D88A661" w:rsidR="00E45CF8" w:rsidRPr="00EC57FB" w:rsidRDefault="00E45CF8" w:rsidP="002E23BE">
            <w:pPr>
              <w:pStyle w:val="TableText0"/>
              <w:keepNext w:val="0"/>
              <w:keepLines w:val="0"/>
              <w:rPr>
                <w:iCs/>
                <w:szCs w:val="20"/>
              </w:rPr>
            </w:pPr>
            <w:hyperlink r:id="rId10" w:history="1">
              <w:r w:rsidRPr="00EC57FB">
                <w:rPr>
                  <w:rStyle w:val="Hyperlink"/>
                  <w:szCs w:val="20"/>
                </w:rPr>
                <w:t>https://doi.org/10.1056/nejmoa2110275</w:t>
              </w:r>
            </w:hyperlink>
            <w:r w:rsidRPr="00EC57FB">
              <w:rPr>
                <w:szCs w:val="20"/>
              </w:rPr>
              <w:t xml:space="preserve"> </w:t>
            </w:r>
          </w:p>
        </w:tc>
      </w:tr>
      <w:tr w:rsidR="00E45CF8" w:rsidRPr="00EC57FB" w14:paraId="76EC3FA4" w14:textId="77777777" w:rsidTr="00224F38">
        <w:tc>
          <w:tcPr>
            <w:tcW w:w="696" w:type="pct"/>
            <w:vMerge/>
            <w:vAlign w:val="center"/>
          </w:tcPr>
          <w:p w14:paraId="5F3CB542" w14:textId="77777777" w:rsidR="00E45CF8" w:rsidRPr="00EC57FB" w:rsidRDefault="00E45CF8" w:rsidP="002E23BE">
            <w:pPr>
              <w:pStyle w:val="TableText0"/>
              <w:keepNext w:val="0"/>
              <w:keepLines w:val="0"/>
              <w:rPr>
                <w:szCs w:val="20"/>
              </w:rPr>
            </w:pPr>
          </w:p>
        </w:tc>
        <w:tc>
          <w:tcPr>
            <w:tcW w:w="2479" w:type="pct"/>
            <w:vAlign w:val="center"/>
          </w:tcPr>
          <w:p w14:paraId="37029FEF" w14:textId="6D86DDAF" w:rsidR="00E45CF8" w:rsidRPr="00EC57FB" w:rsidRDefault="00E45CF8" w:rsidP="002E23BE">
            <w:pPr>
              <w:pStyle w:val="TableText0"/>
              <w:keepNext w:val="0"/>
              <w:keepLines w:val="0"/>
              <w:rPr>
                <w:iCs/>
                <w:szCs w:val="20"/>
              </w:rPr>
            </w:pPr>
            <w:r w:rsidRPr="00EC57FB">
              <w:rPr>
                <w:iCs/>
                <w:szCs w:val="20"/>
              </w:rPr>
              <w:t xml:space="preserve">Muller W.J., Madhi S.A., et al (MELODY Study Group). Nirsevimab for Prevention of RSV in Term and Late-Preterm Infants. </w:t>
            </w:r>
          </w:p>
        </w:tc>
        <w:tc>
          <w:tcPr>
            <w:tcW w:w="1825" w:type="pct"/>
            <w:vAlign w:val="center"/>
          </w:tcPr>
          <w:p w14:paraId="7ABE706F" w14:textId="6CAD9610" w:rsidR="00E45CF8" w:rsidRPr="00EC57FB" w:rsidRDefault="00E45CF8" w:rsidP="002E23BE">
            <w:pPr>
              <w:pStyle w:val="TableText0"/>
              <w:keepNext w:val="0"/>
              <w:keepLines w:val="0"/>
              <w:rPr>
                <w:iCs/>
                <w:szCs w:val="20"/>
              </w:rPr>
            </w:pPr>
            <w:r w:rsidRPr="00EC57FB">
              <w:rPr>
                <w:iCs/>
                <w:szCs w:val="20"/>
              </w:rPr>
              <w:t>New England Journal of Medicine</w:t>
            </w:r>
            <w:r w:rsidRPr="00EC57FB">
              <w:rPr>
                <w:szCs w:val="20"/>
              </w:rPr>
              <w:t xml:space="preserve"> 2023;388(16):1533-1534. </w:t>
            </w:r>
            <w:hyperlink r:id="rId11" w:history="1">
              <w:r w:rsidRPr="00EC57FB">
                <w:rPr>
                  <w:rStyle w:val="Hyperlink"/>
                  <w:szCs w:val="20"/>
                </w:rPr>
                <w:t>https://doi.org/10.1056/NEJMc2214773</w:t>
              </w:r>
            </w:hyperlink>
            <w:r w:rsidRPr="00EC57FB">
              <w:rPr>
                <w:szCs w:val="20"/>
              </w:rPr>
              <w:t xml:space="preserve"> </w:t>
            </w:r>
          </w:p>
        </w:tc>
      </w:tr>
      <w:tr w:rsidR="00E45CF8" w:rsidRPr="00EC57FB" w14:paraId="6ADFA1B8" w14:textId="77777777" w:rsidTr="00224F38">
        <w:tc>
          <w:tcPr>
            <w:tcW w:w="696" w:type="pct"/>
            <w:vMerge/>
            <w:vAlign w:val="center"/>
          </w:tcPr>
          <w:p w14:paraId="6661D040" w14:textId="77777777" w:rsidR="00E45CF8" w:rsidRPr="00EC57FB" w:rsidRDefault="00E45CF8" w:rsidP="002E23BE">
            <w:pPr>
              <w:pStyle w:val="TableText0"/>
              <w:keepNext w:val="0"/>
              <w:keepLines w:val="0"/>
              <w:rPr>
                <w:szCs w:val="20"/>
              </w:rPr>
            </w:pPr>
          </w:p>
        </w:tc>
        <w:tc>
          <w:tcPr>
            <w:tcW w:w="2479" w:type="pct"/>
            <w:vAlign w:val="center"/>
          </w:tcPr>
          <w:p w14:paraId="517F0FA0" w14:textId="0F07DDC8" w:rsidR="00A228B9" w:rsidRPr="00EC57FB" w:rsidRDefault="00E45CF8" w:rsidP="002E23BE">
            <w:pPr>
              <w:pStyle w:val="TableText0"/>
              <w:keepNext w:val="0"/>
              <w:keepLines w:val="0"/>
              <w:rPr>
                <w:iCs/>
                <w:szCs w:val="20"/>
              </w:rPr>
            </w:pPr>
            <w:r w:rsidRPr="00EC57FB">
              <w:rPr>
                <w:iCs/>
                <w:szCs w:val="20"/>
              </w:rPr>
              <w:t>Dagan</w:t>
            </w:r>
            <w:r w:rsidR="0088686B" w:rsidRPr="00EC57FB">
              <w:rPr>
                <w:iCs/>
                <w:szCs w:val="20"/>
              </w:rPr>
              <w:t xml:space="preserve"> R</w:t>
            </w:r>
            <w:r w:rsidR="00081C5C" w:rsidRPr="00EC57FB">
              <w:rPr>
                <w:iCs/>
                <w:szCs w:val="20"/>
              </w:rPr>
              <w:t>., Hammitt, L.L.</w:t>
            </w:r>
            <w:r w:rsidR="00A228B9" w:rsidRPr="00EC57FB">
              <w:rPr>
                <w:iCs/>
                <w:szCs w:val="20"/>
              </w:rPr>
              <w:t xml:space="preserve">, et al (MELODY Study Group) </w:t>
            </w:r>
            <w:r w:rsidR="00CA2AC4" w:rsidRPr="00EC57FB">
              <w:rPr>
                <w:iCs/>
                <w:szCs w:val="20"/>
              </w:rPr>
              <w:t>Infants Receiving a Single Dose of Nirsevimab to Prevent RSV Do Not Have Evidence of Enhanced Disease in Their Second RSV Season</w:t>
            </w:r>
            <w:r w:rsidR="009F5DE3" w:rsidRPr="00EC57FB">
              <w:rPr>
                <w:iCs/>
                <w:szCs w:val="20"/>
              </w:rPr>
              <w:t>.</w:t>
            </w:r>
          </w:p>
        </w:tc>
        <w:tc>
          <w:tcPr>
            <w:tcW w:w="1825" w:type="pct"/>
            <w:vAlign w:val="center"/>
          </w:tcPr>
          <w:p w14:paraId="128747F1" w14:textId="1C935911" w:rsidR="00E45CF8" w:rsidRPr="00EC57FB" w:rsidRDefault="00095CDA" w:rsidP="002E23BE">
            <w:pPr>
              <w:pStyle w:val="TableText0"/>
              <w:keepNext w:val="0"/>
              <w:keepLines w:val="0"/>
              <w:rPr>
                <w:iCs/>
                <w:szCs w:val="20"/>
              </w:rPr>
            </w:pPr>
            <w:r w:rsidRPr="00EC57FB">
              <w:rPr>
                <w:iCs/>
                <w:szCs w:val="20"/>
              </w:rPr>
              <w:t>Journal of the Pediatric Infectious Diseases Society</w:t>
            </w:r>
            <w:r w:rsidR="000262A7" w:rsidRPr="00EC57FB">
              <w:rPr>
                <w:iCs/>
                <w:szCs w:val="20"/>
              </w:rPr>
              <w:t>. 2024;13(2):144</w:t>
            </w:r>
            <w:r w:rsidR="001E416E" w:rsidRPr="00EC57FB">
              <w:rPr>
                <w:iCs/>
                <w:szCs w:val="20"/>
              </w:rPr>
              <w:t>-</w:t>
            </w:r>
            <w:r w:rsidR="000262A7" w:rsidRPr="00EC57FB">
              <w:rPr>
                <w:iCs/>
                <w:szCs w:val="20"/>
              </w:rPr>
              <w:t>147</w:t>
            </w:r>
            <w:r w:rsidR="001E416E" w:rsidRPr="00EC57FB">
              <w:rPr>
                <w:iCs/>
                <w:szCs w:val="20"/>
              </w:rPr>
              <w:t xml:space="preserve"> </w:t>
            </w:r>
            <w:hyperlink r:id="rId12" w:history="1">
              <w:r w:rsidRPr="00EC57FB">
                <w:rPr>
                  <w:rStyle w:val="Hyperlink"/>
                  <w:iCs/>
                  <w:szCs w:val="20"/>
                </w:rPr>
                <w:t>https://doi.org/10.1093/jpids/piad113</w:t>
              </w:r>
            </w:hyperlink>
          </w:p>
        </w:tc>
      </w:tr>
      <w:tr w:rsidR="002B3609" w:rsidRPr="00EC57FB" w14:paraId="785079AA" w14:textId="77777777" w:rsidTr="00224F38">
        <w:tc>
          <w:tcPr>
            <w:tcW w:w="696" w:type="pct"/>
            <w:vMerge w:val="restart"/>
            <w:vAlign w:val="center"/>
          </w:tcPr>
          <w:p w14:paraId="2A9AD4B5" w14:textId="5545C5B0" w:rsidR="002B3609" w:rsidRPr="00EC57FB" w:rsidRDefault="002B3609" w:rsidP="0095132A">
            <w:pPr>
              <w:jc w:val="left"/>
              <w:rPr>
                <w:rFonts w:ascii="Arial Narrow" w:hAnsi="Arial Narrow"/>
                <w:sz w:val="20"/>
                <w:szCs w:val="20"/>
              </w:rPr>
            </w:pPr>
            <w:r w:rsidRPr="00EC57FB">
              <w:rPr>
                <w:rFonts w:ascii="Arial Narrow" w:hAnsi="Arial Narrow" w:cstheme="minorHAnsi"/>
                <w:sz w:val="20"/>
                <w:szCs w:val="20"/>
              </w:rPr>
              <w:t>Phase 2b</w:t>
            </w:r>
          </w:p>
        </w:tc>
        <w:tc>
          <w:tcPr>
            <w:tcW w:w="2479" w:type="pct"/>
            <w:shd w:val="clear" w:color="auto" w:fill="B8CCE4"/>
            <w:vAlign w:val="center"/>
          </w:tcPr>
          <w:p w14:paraId="10DEF92D" w14:textId="71A462EC" w:rsidR="002B3609" w:rsidRPr="00EC57FB" w:rsidRDefault="00146C8A" w:rsidP="00146C8A">
            <w:pPr>
              <w:pStyle w:val="TableText0"/>
              <w:rPr>
                <w:szCs w:val="20"/>
              </w:rPr>
            </w:pPr>
            <w:r w:rsidRPr="00EC57FB">
              <w:rPr>
                <w:szCs w:val="20"/>
              </w:rPr>
              <w:t>Phase 2b Randomized, Double-blind, Placebo-controlled Study to Evaluate the Safety and Efficacy of MEDI8897, a Monoclonal Antibody With an Extended Half-life Against Respiratory Syncytial Virus, in Healthy Preterm Infants</w:t>
            </w:r>
          </w:p>
        </w:tc>
        <w:tc>
          <w:tcPr>
            <w:tcW w:w="1825" w:type="pct"/>
            <w:shd w:val="clear" w:color="auto" w:fill="B8CCE4"/>
            <w:vAlign w:val="center"/>
          </w:tcPr>
          <w:p w14:paraId="1D473D27" w14:textId="77777777" w:rsidR="002B3609" w:rsidRPr="00EC57FB" w:rsidRDefault="006E7D49" w:rsidP="00815280">
            <w:pPr>
              <w:pStyle w:val="TableText0"/>
              <w:keepNext w:val="0"/>
              <w:keepLines w:val="0"/>
              <w:rPr>
                <w:szCs w:val="20"/>
              </w:rPr>
            </w:pPr>
            <w:r w:rsidRPr="00EC57FB">
              <w:rPr>
                <w:szCs w:val="20"/>
              </w:rPr>
              <w:t>Clinical Study Report</w:t>
            </w:r>
          </w:p>
          <w:p w14:paraId="5509E985" w14:textId="0FC7FDAD" w:rsidR="006E7D49" w:rsidRPr="00EC57FB" w:rsidRDefault="006E7D49" w:rsidP="00815280">
            <w:pPr>
              <w:pStyle w:val="TableText0"/>
              <w:keepNext w:val="0"/>
              <w:keepLines w:val="0"/>
              <w:rPr>
                <w:szCs w:val="20"/>
              </w:rPr>
            </w:pPr>
            <w:r w:rsidRPr="00EC57FB">
              <w:rPr>
                <w:szCs w:val="20"/>
              </w:rPr>
              <w:t>Version 1.0, 20 May 2019</w:t>
            </w:r>
          </w:p>
        </w:tc>
      </w:tr>
      <w:tr w:rsidR="002B3609" w:rsidRPr="00EC57FB" w14:paraId="325EDC60" w14:textId="77777777" w:rsidTr="00224F38">
        <w:tc>
          <w:tcPr>
            <w:tcW w:w="696" w:type="pct"/>
            <w:vMerge/>
            <w:vAlign w:val="center"/>
          </w:tcPr>
          <w:p w14:paraId="74DC9705" w14:textId="77777777" w:rsidR="002B3609" w:rsidRPr="00EC57FB" w:rsidRDefault="002B3609" w:rsidP="002B3609">
            <w:pPr>
              <w:jc w:val="left"/>
              <w:rPr>
                <w:rFonts w:ascii="Arial Narrow" w:hAnsi="Arial Narrow" w:cstheme="minorHAnsi"/>
                <w:sz w:val="20"/>
                <w:szCs w:val="20"/>
              </w:rPr>
            </w:pPr>
          </w:p>
        </w:tc>
        <w:tc>
          <w:tcPr>
            <w:tcW w:w="2479" w:type="pct"/>
            <w:shd w:val="clear" w:color="auto" w:fill="B8CCE4"/>
            <w:vAlign w:val="center"/>
          </w:tcPr>
          <w:p w14:paraId="4D9A9732" w14:textId="6E9BF066" w:rsidR="002B3609" w:rsidRPr="00EC57FB" w:rsidRDefault="002B3609" w:rsidP="002B3609">
            <w:pPr>
              <w:pStyle w:val="TableText0"/>
              <w:keepNext w:val="0"/>
              <w:keepLines w:val="0"/>
              <w:rPr>
                <w:szCs w:val="20"/>
              </w:rPr>
            </w:pPr>
            <w:r w:rsidRPr="00EC57FB">
              <w:rPr>
                <w:szCs w:val="20"/>
              </w:rPr>
              <w:t>Griffin, M.P., Yuan, Y., et al (Nirsevimab Study Group). Single-dose nirsevimab for prevention of RSV in preterm infants</w:t>
            </w:r>
          </w:p>
        </w:tc>
        <w:tc>
          <w:tcPr>
            <w:tcW w:w="1825" w:type="pct"/>
            <w:shd w:val="clear" w:color="auto" w:fill="B8CCE4"/>
            <w:vAlign w:val="center"/>
          </w:tcPr>
          <w:p w14:paraId="6F626D0B" w14:textId="77777777" w:rsidR="002B3609" w:rsidRPr="00EC57FB" w:rsidRDefault="002B3609" w:rsidP="002B3609">
            <w:pPr>
              <w:pStyle w:val="TableText0"/>
              <w:keepNext w:val="0"/>
              <w:keepLines w:val="0"/>
              <w:rPr>
                <w:szCs w:val="20"/>
              </w:rPr>
            </w:pPr>
            <w:r w:rsidRPr="00EC57FB">
              <w:rPr>
                <w:iCs/>
                <w:szCs w:val="20"/>
              </w:rPr>
              <w:t>New England Journal of Medicine</w:t>
            </w:r>
            <w:r w:rsidRPr="00EC57FB">
              <w:rPr>
                <w:szCs w:val="20"/>
              </w:rPr>
              <w:t xml:space="preserve"> 2020;383(5):415-425</w:t>
            </w:r>
          </w:p>
          <w:p w14:paraId="3EA74716" w14:textId="56329104" w:rsidR="002B3609" w:rsidRPr="00EC57FB" w:rsidRDefault="002B3609" w:rsidP="002B3609">
            <w:pPr>
              <w:pStyle w:val="TableText0"/>
              <w:keepNext w:val="0"/>
              <w:keepLines w:val="0"/>
              <w:rPr>
                <w:iCs/>
                <w:szCs w:val="20"/>
              </w:rPr>
            </w:pPr>
            <w:hyperlink r:id="rId13" w:history="1">
              <w:r w:rsidRPr="00EC57FB">
                <w:rPr>
                  <w:rStyle w:val="Hyperlink"/>
                  <w:szCs w:val="20"/>
                </w:rPr>
                <w:t>https://doi.org/10.1056/nejmoa1913556</w:t>
              </w:r>
            </w:hyperlink>
            <w:r w:rsidRPr="00EC57FB">
              <w:rPr>
                <w:szCs w:val="20"/>
              </w:rPr>
              <w:t xml:space="preserve"> </w:t>
            </w:r>
          </w:p>
        </w:tc>
      </w:tr>
      <w:tr w:rsidR="00074839" w:rsidRPr="00EC57FB" w14:paraId="5DC86552" w14:textId="77777777" w:rsidTr="00224F38">
        <w:tc>
          <w:tcPr>
            <w:tcW w:w="696" w:type="pct"/>
            <w:vAlign w:val="center"/>
          </w:tcPr>
          <w:p w14:paraId="1BFF0BF5" w14:textId="4042914C" w:rsidR="00074839" w:rsidRPr="00EC57FB" w:rsidRDefault="00074839" w:rsidP="0095132A">
            <w:pPr>
              <w:jc w:val="left"/>
              <w:rPr>
                <w:rFonts w:ascii="Arial Narrow" w:hAnsi="Arial Narrow" w:cstheme="minorHAnsi"/>
                <w:sz w:val="20"/>
                <w:szCs w:val="20"/>
              </w:rPr>
            </w:pPr>
            <w:r w:rsidRPr="00EC57FB">
              <w:rPr>
                <w:rFonts w:ascii="Arial Narrow" w:hAnsi="Arial Narrow" w:cstheme="minorHAnsi"/>
                <w:sz w:val="20"/>
                <w:szCs w:val="20"/>
              </w:rPr>
              <w:lastRenderedPageBreak/>
              <w:t>Simões 2023</w:t>
            </w:r>
          </w:p>
        </w:tc>
        <w:tc>
          <w:tcPr>
            <w:tcW w:w="2479" w:type="pct"/>
            <w:shd w:val="clear" w:color="auto" w:fill="B8CCE4"/>
            <w:vAlign w:val="center"/>
          </w:tcPr>
          <w:p w14:paraId="227A6416" w14:textId="294A9A0C" w:rsidR="00074839" w:rsidRPr="00EC57FB" w:rsidRDefault="00074839" w:rsidP="0095132A">
            <w:pPr>
              <w:pStyle w:val="TableText0"/>
              <w:keepNext w:val="0"/>
              <w:keepLines w:val="0"/>
              <w:rPr>
                <w:rFonts w:eastAsia="Times New Roman" w:cstheme="minorHAnsi"/>
                <w:bCs w:val="0"/>
                <w:szCs w:val="20"/>
              </w:rPr>
            </w:pPr>
            <w:r w:rsidRPr="00EC57FB">
              <w:rPr>
                <w:rFonts w:eastAsia="Times New Roman" w:cstheme="minorHAnsi"/>
                <w:bCs w:val="0"/>
                <w:szCs w:val="20"/>
              </w:rPr>
              <w:t>Simões, E.A., Madhi, S.A</w:t>
            </w:r>
            <w:r w:rsidR="003A0F4B" w:rsidRPr="00EC57FB">
              <w:rPr>
                <w:rFonts w:eastAsia="Times New Roman" w:cstheme="minorHAnsi"/>
                <w:bCs w:val="0"/>
                <w:szCs w:val="20"/>
              </w:rPr>
              <w:t>.,</w:t>
            </w:r>
            <w:r w:rsidR="009D4D7A" w:rsidRPr="00EC57FB">
              <w:rPr>
                <w:rFonts w:eastAsia="Times New Roman" w:cstheme="minorHAnsi"/>
                <w:bCs w:val="0"/>
                <w:szCs w:val="20"/>
              </w:rPr>
              <w:t xml:space="preserve"> et al</w:t>
            </w:r>
            <w:r w:rsidRPr="00EC57FB">
              <w:rPr>
                <w:rFonts w:eastAsia="Times New Roman" w:cstheme="minorHAnsi"/>
                <w:bCs w:val="0"/>
                <w:szCs w:val="20"/>
              </w:rPr>
              <w:t>. Efficacy of nirsevimab against respiratory syncytial virus lower respiratory tract infections in preterm and term infants, and pharmacokinetic extrapolation to infants with congenital heart disease and chronic lung disease: a pooled analysis of randomised controlled trials.</w:t>
            </w:r>
          </w:p>
        </w:tc>
        <w:tc>
          <w:tcPr>
            <w:tcW w:w="1825" w:type="pct"/>
            <w:shd w:val="clear" w:color="auto" w:fill="B8CCE4"/>
            <w:vAlign w:val="center"/>
          </w:tcPr>
          <w:p w14:paraId="2BEC308C" w14:textId="457D472C" w:rsidR="00074839" w:rsidRPr="00EC57FB" w:rsidRDefault="00BD33CA" w:rsidP="00815280">
            <w:pPr>
              <w:pStyle w:val="TableText0"/>
              <w:keepNext w:val="0"/>
              <w:keepLines w:val="0"/>
              <w:rPr>
                <w:rFonts w:eastAsia="Times New Roman" w:cstheme="minorHAnsi"/>
                <w:bCs w:val="0"/>
                <w:szCs w:val="20"/>
              </w:rPr>
            </w:pPr>
            <w:r w:rsidRPr="00EC57FB">
              <w:rPr>
                <w:rFonts w:eastAsia="Times New Roman" w:cstheme="minorHAnsi"/>
                <w:bCs w:val="0"/>
                <w:szCs w:val="20"/>
              </w:rPr>
              <w:t xml:space="preserve">The Lancet Child &amp; Adolescent Health, </w:t>
            </w:r>
            <w:r w:rsidR="00084F91" w:rsidRPr="00EC57FB">
              <w:rPr>
                <w:rFonts w:eastAsia="Times New Roman" w:cstheme="minorHAnsi"/>
                <w:bCs w:val="0"/>
                <w:szCs w:val="20"/>
              </w:rPr>
              <w:t>2023;</w:t>
            </w:r>
            <w:r w:rsidRPr="00EC57FB">
              <w:rPr>
                <w:rFonts w:eastAsia="Times New Roman" w:cstheme="minorHAnsi"/>
                <w:bCs w:val="0"/>
                <w:szCs w:val="20"/>
              </w:rPr>
              <w:t>7(3)</w:t>
            </w:r>
            <w:r w:rsidR="00084F91" w:rsidRPr="00EC57FB">
              <w:rPr>
                <w:rFonts w:eastAsia="Times New Roman" w:cstheme="minorHAnsi"/>
                <w:bCs w:val="0"/>
                <w:szCs w:val="20"/>
              </w:rPr>
              <w:t>:</w:t>
            </w:r>
            <w:r w:rsidRPr="00EC57FB">
              <w:rPr>
                <w:rFonts w:eastAsia="Times New Roman" w:cstheme="minorHAnsi"/>
                <w:bCs w:val="0"/>
                <w:szCs w:val="20"/>
              </w:rPr>
              <w:t>180-</w:t>
            </w:r>
            <w:r w:rsidR="00DF4AFD" w:rsidRPr="00EC57FB">
              <w:rPr>
                <w:rFonts w:eastAsia="Times New Roman" w:cstheme="minorHAnsi"/>
                <w:bCs w:val="0"/>
                <w:szCs w:val="20"/>
              </w:rPr>
              <w:t>189</w:t>
            </w:r>
          </w:p>
          <w:p w14:paraId="4C5E6EAB" w14:textId="1FD08ECA" w:rsidR="003E0500" w:rsidRPr="00EC57FB" w:rsidRDefault="003E0500" w:rsidP="00815280">
            <w:pPr>
              <w:pStyle w:val="TableText0"/>
              <w:keepNext w:val="0"/>
              <w:keepLines w:val="0"/>
              <w:rPr>
                <w:iCs/>
                <w:szCs w:val="20"/>
              </w:rPr>
            </w:pPr>
            <w:hyperlink r:id="rId14" w:history="1">
              <w:r w:rsidRPr="00EC57FB">
                <w:rPr>
                  <w:rStyle w:val="Hyperlink"/>
                  <w:iCs/>
                  <w:szCs w:val="20"/>
                </w:rPr>
                <w:t>https://doi.org/10.1016/s2352-4642(22)00321-2</w:t>
              </w:r>
            </w:hyperlink>
            <w:r w:rsidRPr="00EC57FB">
              <w:rPr>
                <w:iCs/>
                <w:szCs w:val="20"/>
              </w:rPr>
              <w:t xml:space="preserve"> </w:t>
            </w:r>
          </w:p>
        </w:tc>
      </w:tr>
      <w:tr w:rsidR="00D571F2" w:rsidRPr="00EC57FB" w14:paraId="24DA5604" w14:textId="77777777" w:rsidTr="00224F38">
        <w:tc>
          <w:tcPr>
            <w:tcW w:w="696" w:type="pct"/>
            <w:vAlign w:val="center"/>
          </w:tcPr>
          <w:p w14:paraId="4E21E4C2" w14:textId="7FFC3467" w:rsidR="00D571F2" w:rsidRPr="00EC57FB" w:rsidRDefault="00D571F2" w:rsidP="0095132A">
            <w:pPr>
              <w:jc w:val="left"/>
              <w:rPr>
                <w:rFonts w:ascii="Arial Narrow" w:hAnsi="Arial Narrow" w:cstheme="minorHAnsi"/>
                <w:sz w:val="20"/>
                <w:szCs w:val="20"/>
              </w:rPr>
            </w:pPr>
            <w:r w:rsidRPr="00EC57FB">
              <w:rPr>
                <w:rFonts w:ascii="Arial Narrow" w:hAnsi="Arial Narrow" w:cstheme="minorHAnsi"/>
                <w:sz w:val="20"/>
                <w:szCs w:val="20"/>
              </w:rPr>
              <w:t>Turalde-Mapili 2023</w:t>
            </w:r>
          </w:p>
        </w:tc>
        <w:tc>
          <w:tcPr>
            <w:tcW w:w="2479" w:type="pct"/>
            <w:shd w:val="clear" w:color="auto" w:fill="B8CCE4"/>
            <w:vAlign w:val="center"/>
          </w:tcPr>
          <w:p w14:paraId="0551B65B" w14:textId="37041636" w:rsidR="00D571F2" w:rsidRPr="00EC57FB" w:rsidRDefault="00D571F2" w:rsidP="0095132A">
            <w:pPr>
              <w:pStyle w:val="TableText0"/>
              <w:keepNext w:val="0"/>
              <w:keepLines w:val="0"/>
              <w:rPr>
                <w:rFonts w:eastAsia="Times New Roman" w:cstheme="minorHAnsi"/>
                <w:bCs w:val="0"/>
                <w:szCs w:val="20"/>
              </w:rPr>
            </w:pPr>
            <w:r w:rsidRPr="00EC57FB">
              <w:rPr>
                <w:rFonts w:eastAsia="Times New Roman" w:cstheme="minorHAnsi"/>
                <w:bCs w:val="0"/>
                <w:szCs w:val="20"/>
              </w:rPr>
              <w:t xml:space="preserve">Turalde Mapili, M.W.R., Mapili, J.A.L., </w:t>
            </w:r>
            <w:r w:rsidR="00C01B96" w:rsidRPr="00EC57FB">
              <w:rPr>
                <w:rFonts w:eastAsia="Times New Roman" w:cstheme="minorHAnsi"/>
                <w:bCs w:val="0"/>
                <w:szCs w:val="20"/>
              </w:rPr>
              <w:t>et al</w:t>
            </w:r>
            <w:r w:rsidRPr="00EC57FB">
              <w:rPr>
                <w:rFonts w:eastAsia="Times New Roman" w:cstheme="minorHAnsi"/>
                <w:bCs w:val="0"/>
                <w:szCs w:val="20"/>
              </w:rPr>
              <w:t xml:space="preserve">. The efficacy and safety of nirsevimab for the prevention of RSV infection among infants: A systematic review and meta analysis. </w:t>
            </w:r>
          </w:p>
        </w:tc>
        <w:tc>
          <w:tcPr>
            <w:tcW w:w="1825" w:type="pct"/>
            <w:shd w:val="clear" w:color="auto" w:fill="B8CCE4"/>
            <w:vAlign w:val="center"/>
          </w:tcPr>
          <w:p w14:paraId="3B7C610F" w14:textId="42FCF01D" w:rsidR="00D571F2" w:rsidRPr="00EC57FB" w:rsidRDefault="002A3C4F" w:rsidP="00815280">
            <w:pPr>
              <w:pStyle w:val="TableText0"/>
              <w:keepNext w:val="0"/>
              <w:keepLines w:val="0"/>
              <w:rPr>
                <w:rFonts w:eastAsia="Times New Roman" w:cstheme="minorHAnsi"/>
                <w:bCs w:val="0"/>
                <w:szCs w:val="20"/>
              </w:rPr>
            </w:pPr>
            <w:r w:rsidRPr="00EC57FB">
              <w:rPr>
                <w:rFonts w:eastAsia="Times New Roman" w:cstheme="minorHAnsi"/>
                <w:bCs w:val="0"/>
                <w:szCs w:val="20"/>
              </w:rPr>
              <w:t>Frontiers in Pediatrics</w:t>
            </w:r>
            <w:r w:rsidR="00DF4AFD" w:rsidRPr="00EC57FB">
              <w:rPr>
                <w:rFonts w:eastAsia="Times New Roman" w:cstheme="minorHAnsi"/>
                <w:bCs w:val="0"/>
                <w:szCs w:val="20"/>
              </w:rPr>
              <w:t xml:space="preserve"> 2023</w:t>
            </w:r>
            <w:r w:rsidR="00837C4F" w:rsidRPr="00EC57FB">
              <w:rPr>
                <w:rFonts w:eastAsia="Times New Roman" w:cstheme="minorHAnsi"/>
                <w:bCs w:val="0"/>
                <w:szCs w:val="20"/>
              </w:rPr>
              <w:t>;</w:t>
            </w:r>
            <w:r w:rsidRPr="00EC57FB">
              <w:rPr>
                <w:rFonts w:eastAsia="Times New Roman" w:cstheme="minorHAnsi"/>
                <w:bCs w:val="0"/>
                <w:szCs w:val="20"/>
              </w:rPr>
              <w:t>11</w:t>
            </w:r>
            <w:r w:rsidR="00837C4F" w:rsidRPr="00EC57FB">
              <w:rPr>
                <w:rFonts w:eastAsia="Times New Roman" w:cstheme="minorHAnsi"/>
                <w:bCs w:val="0"/>
                <w:szCs w:val="20"/>
              </w:rPr>
              <w:t>:</w:t>
            </w:r>
            <w:r w:rsidRPr="00EC57FB">
              <w:rPr>
                <w:rFonts w:eastAsia="Times New Roman" w:cstheme="minorHAnsi"/>
                <w:bCs w:val="0"/>
                <w:szCs w:val="20"/>
              </w:rPr>
              <w:t>1132740</w:t>
            </w:r>
          </w:p>
          <w:p w14:paraId="2ACD664D" w14:textId="4542A523" w:rsidR="00F7658B" w:rsidRPr="00EC57FB" w:rsidRDefault="00F7658B" w:rsidP="00815280">
            <w:pPr>
              <w:pStyle w:val="TableText0"/>
              <w:keepNext w:val="0"/>
              <w:keepLines w:val="0"/>
              <w:rPr>
                <w:iCs/>
                <w:szCs w:val="20"/>
              </w:rPr>
            </w:pPr>
            <w:hyperlink r:id="rId15" w:history="1">
              <w:r w:rsidRPr="00EC57FB">
                <w:rPr>
                  <w:rStyle w:val="Hyperlink"/>
                  <w:iCs/>
                  <w:szCs w:val="20"/>
                </w:rPr>
                <w:t>https://doi.org/10.3389/fped.2023.1132740</w:t>
              </w:r>
            </w:hyperlink>
            <w:r w:rsidRPr="00EC57FB">
              <w:rPr>
                <w:iCs/>
                <w:szCs w:val="20"/>
              </w:rPr>
              <w:t xml:space="preserve"> </w:t>
            </w:r>
          </w:p>
        </w:tc>
      </w:tr>
      <w:tr w:rsidR="004F7966" w:rsidRPr="00EC57FB" w14:paraId="62D4F37B" w14:textId="77777777" w:rsidTr="00224F38">
        <w:tc>
          <w:tcPr>
            <w:tcW w:w="696" w:type="pct"/>
            <w:vMerge w:val="restart"/>
            <w:vAlign w:val="center"/>
          </w:tcPr>
          <w:p w14:paraId="3432B561" w14:textId="3009DEBA" w:rsidR="004F7966" w:rsidRPr="00EC57FB" w:rsidRDefault="004F7966" w:rsidP="007B6971">
            <w:pPr>
              <w:keepNext/>
              <w:jc w:val="left"/>
              <w:rPr>
                <w:rFonts w:ascii="Arial Narrow" w:hAnsi="Arial Narrow"/>
                <w:sz w:val="20"/>
                <w:szCs w:val="20"/>
              </w:rPr>
            </w:pPr>
            <w:r w:rsidRPr="00EC57FB">
              <w:rPr>
                <w:rFonts w:ascii="Arial Narrow" w:hAnsi="Arial Narrow"/>
                <w:sz w:val="20"/>
                <w:szCs w:val="20"/>
              </w:rPr>
              <w:t xml:space="preserve">HARMONIE </w:t>
            </w:r>
          </w:p>
        </w:tc>
        <w:tc>
          <w:tcPr>
            <w:tcW w:w="2479" w:type="pct"/>
            <w:shd w:val="clear" w:color="auto" w:fill="B8CCE4"/>
            <w:vAlign w:val="center"/>
          </w:tcPr>
          <w:p w14:paraId="687666F5" w14:textId="58A02286" w:rsidR="004F7966" w:rsidRPr="00EC57FB" w:rsidRDefault="004F7966" w:rsidP="007B6971">
            <w:pPr>
              <w:pStyle w:val="TableText0"/>
              <w:rPr>
                <w:rFonts w:eastAsia="Times New Roman" w:cstheme="minorHAnsi"/>
                <w:bCs w:val="0"/>
                <w:szCs w:val="20"/>
              </w:rPr>
            </w:pPr>
            <w:r w:rsidRPr="00EC57FB">
              <w:rPr>
                <w:rFonts w:eastAsia="Times New Roman" w:cstheme="minorHAnsi"/>
                <w:bCs w:val="0"/>
                <w:szCs w:val="20"/>
              </w:rPr>
              <w:t>A Phase IIIb randomized open-label study of nirsevimab (versus no intervention) in preventing hospitalizations due to respiratory syncytial virus in infants (HARMONIE)</w:t>
            </w:r>
          </w:p>
        </w:tc>
        <w:tc>
          <w:tcPr>
            <w:tcW w:w="1825" w:type="pct"/>
            <w:shd w:val="clear" w:color="auto" w:fill="B8CCE4"/>
            <w:vAlign w:val="center"/>
          </w:tcPr>
          <w:p w14:paraId="7432D5DA" w14:textId="77777777" w:rsidR="009417B9" w:rsidRPr="00EC57FB" w:rsidRDefault="009417B9" w:rsidP="007B6971">
            <w:pPr>
              <w:pStyle w:val="TableText0"/>
              <w:rPr>
                <w:rFonts w:eastAsia="Times New Roman" w:cstheme="minorHAnsi"/>
                <w:bCs w:val="0"/>
                <w:szCs w:val="20"/>
              </w:rPr>
            </w:pPr>
            <w:r w:rsidRPr="00EC57FB">
              <w:rPr>
                <w:rFonts w:eastAsia="Times New Roman" w:cstheme="minorHAnsi"/>
                <w:bCs w:val="0"/>
                <w:szCs w:val="20"/>
              </w:rPr>
              <w:t>Primary Clinical Study Report</w:t>
            </w:r>
          </w:p>
          <w:p w14:paraId="2158B2ED" w14:textId="0387583D" w:rsidR="004F7966" w:rsidRPr="00EC57FB" w:rsidRDefault="009417B9" w:rsidP="007B6971">
            <w:pPr>
              <w:pStyle w:val="TableText0"/>
              <w:rPr>
                <w:rFonts w:eastAsia="Times New Roman" w:cstheme="minorHAnsi"/>
                <w:bCs w:val="0"/>
                <w:szCs w:val="20"/>
              </w:rPr>
            </w:pPr>
            <w:r w:rsidRPr="00EC57FB">
              <w:rPr>
                <w:rFonts w:eastAsia="Times New Roman" w:cstheme="minorHAnsi"/>
                <w:bCs w:val="0"/>
                <w:szCs w:val="20"/>
              </w:rPr>
              <w:t>Version 1.0</w:t>
            </w:r>
            <w:r w:rsidR="00440C3A" w:rsidRPr="00EC57FB">
              <w:rPr>
                <w:rFonts w:eastAsia="Times New Roman" w:cstheme="minorHAnsi"/>
                <w:bCs w:val="0"/>
                <w:szCs w:val="20"/>
              </w:rPr>
              <w:t xml:space="preserve"> 26 June 2023</w:t>
            </w:r>
          </w:p>
        </w:tc>
      </w:tr>
      <w:tr w:rsidR="004F7966" w:rsidRPr="00EC57FB" w14:paraId="394318FF" w14:textId="77777777" w:rsidTr="00224F38">
        <w:tc>
          <w:tcPr>
            <w:tcW w:w="696" w:type="pct"/>
            <w:vMerge/>
            <w:vAlign w:val="center"/>
          </w:tcPr>
          <w:p w14:paraId="215DCB9D" w14:textId="6BB52FD0" w:rsidR="004F7966" w:rsidRPr="00EC57FB" w:rsidRDefault="004F7966" w:rsidP="0095132A">
            <w:pPr>
              <w:jc w:val="left"/>
              <w:rPr>
                <w:rFonts w:ascii="Arial Narrow" w:hAnsi="Arial Narrow" w:cstheme="minorHAnsi"/>
                <w:sz w:val="20"/>
                <w:szCs w:val="20"/>
              </w:rPr>
            </w:pPr>
          </w:p>
        </w:tc>
        <w:tc>
          <w:tcPr>
            <w:tcW w:w="2479" w:type="pct"/>
            <w:shd w:val="clear" w:color="auto" w:fill="B8CCE4"/>
            <w:vAlign w:val="center"/>
          </w:tcPr>
          <w:p w14:paraId="26591C48" w14:textId="603E2B4B" w:rsidR="004F7966" w:rsidRPr="00EC57FB" w:rsidRDefault="004F7966" w:rsidP="007B6971">
            <w:pPr>
              <w:pStyle w:val="TableText0"/>
              <w:rPr>
                <w:rFonts w:eastAsia="Times New Roman" w:cstheme="minorHAnsi"/>
                <w:bCs w:val="0"/>
                <w:szCs w:val="20"/>
              </w:rPr>
            </w:pPr>
            <w:r w:rsidRPr="00EC57FB">
              <w:rPr>
                <w:rFonts w:eastAsia="Times New Roman" w:cstheme="minorHAnsi"/>
                <w:bCs w:val="0"/>
                <w:szCs w:val="20"/>
              </w:rPr>
              <w:t xml:space="preserve">Drysdale, S.B., Cathie, K., et al. Nirsevimab for prevention of hospitalizations due to RSV in infants. </w:t>
            </w:r>
          </w:p>
        </w:tc>
        <w:tc>
          <w:tcPr>
            <w:tcW w:w="1825" w:type="pct"/>
            <w:shd w:val="clear" w:color="auto" w:fill="B8CCE4"/>
            <w:vAlign w:val="center"/>
          </w:tcPr>
          <w:p w14:paraId="3555B45C" w14:textId="6047A266" w:rsidR="004F7966" w:rsidRPr="00EC57FB" w:rsidRDefault="004F7966" w:rsidP="007B6971">
            <w:pPr>
              <w:pStyle w:val="TableText0"/>
              <w:rPr>
                <w:rFonts w:eastAsia="Times New Roman" w:cstheme="minorHAnsi"/>
                <w:bCs w:val="0"/>
                <w:szCs w:val="20"/>
              </w:rPr>
            </w:pPr>
            <w:r w:rsidRPr="00EC57FB">
              <w:rPr>
                <w:rFonts w:eastAsia="Times New Roman" w:cstheme="minorHAnsi"/>
                <w:bCs w:val="0"/>
                <w:szCs w:val="20"/>
              </w:rPr>
              <w:t>New England Journal of Medicine 2023;389(26):2425-2435</w:t>
            </w:r>
          </w:p>
          <w:p w14:paraId="439EAC41" w14:textId="52E7818C" w:rsidR="004F7966" w:rsidRPr="00EC57FB" w:rsidRDefault="004F7966" w:rsidP="007B6971">
            <w:pPr>
              <w:pStyle w:val="TableText0"/>
              <w:rPr>
                <w:iCs/>
                <w:szCs w:val="20"/>
              </w:rPr>
            </w:pPr>
            <w:hyperlink r:id="rId16" w:history="1">
              <w:r w:rsidRPr="00EC57FB">
                <w:rPr>
                  <w:rStyle w:val="Hyperlink"/>
                  <w:iCs/>
                  <w:szCs w:val="20"/>
                </w:rPr>
                <w:t>https://doi.org/10.1056/nejmoa2309189</w:t>
              </w:r>
            </w:hyperlink>
          </w:p>
        </w:tc>
      </w:tr>
      <w:tr w:rsidR="00554BA5" w:rsidRPr="00EC57FB" w14:paraId="7164FB18" w14:textId="77777777" w:rsidTr="00814336">
        <w:tc>
          <w:tcPr>
            <w:tcW w:w="5000" w:type="pct"/>
            <w:gridSpan w:val="3"/>
            <w:vAlign w:val="center"/>
          </w:tcPr>
          <w:p w14:paraId="598228D3" w14:textId="77777777" w:rsidR="00554BA5" w:rsidRPr="00EC57FB" w:rsidRDefault="00554BA5" w:rsidP="0095132A">
            <w:pPr>
              <w:pStyle w:val="TableText0"/>
              <w:keepNext w:val="0"/>
              <w:keepLines w:val="0"/>
              <w:rPr>
                <w:b/>
                <w:bCs w:val="0"/>
                <w:iCs/>
                <w:szCs w:val="20"/>
              </w:rPr>
            </w:pPr>
            <w:r w:rsidRPr="00EC57FB">
              <w:rPr>
                <w:b/>
                <w:bCs w:val="0"/>
                <w:iCs/>
                <w:szCs w:val="20"/>
              </w:rPr>
              <w:t>RSVpreF vaccine vs. placebo</w:t>
            </w:r>
          </w:p>
        </w:tc>
      </w:tr>
      <w:tr w:rsidR="003C1C23" w:rsidRPr="00EC57FB" w14:paraId="750CA8C7" w14:textId="77777777" w:rsidTr="00224F38">
        <w:tc>
          <w:tcPr>
            <w:tcW w:w="696" w:type="pct"/>
            <w:vAlign w:val="center"/>
          </w:tcPr>
          <w:p w14:paraId="4A01BCC2" w14:textId="77777777" w:rsidR="003C1C23" w:rsidRPr="00EC57FB" w:rsidRDefault="003C1C23" w:rsidP="003C1C23">
            <w:pPr>
              <w:pStyle w:val="TableText0"/>
              <w:keepNext w:val="0"/>
              <w:keepLines w:val="0"/>
              <w:rPr>
                <w:rFonts w:cstheme="minorHAnsi"/>
                <w:szCs w:val="20"/>
              </w:rPr>
            </w:pPr>
            <w:r w:rsidRPr="00EC57FB">
              <w:rPr>
                <w:rFonts w:cstheme="minorHAnsi"/>
                <w:szCs w:val="20"/>
              </w:rPr>
              <w:t>MATISSE</w:t>
            </w:r>
          </w:p>
        </w:tc>
        <w:tc>
          <w:tcPr>
            <w:tcW w:w="2479" w:type="pct"/>
            <w:shd w:val="clear" w:color="auto" w:fill="B8CCE4"/>
            <w:vAlign w:val="center"/>
          </w:tcPr>
          <w:p w14:paraId="3FB32DD3" w14:textId="4BA16654" w:rsidR="003C1C23" w:rsidRPr="00EC57FB" w:rsidRDefault="00DD0DDE" w:rsidP="003C1C23">
            <w:pPr>
              <w:pStyle w:val="TableText0"/>
              <w:keepNext w:val="0"/>
              <w:keepLines w:val="0"/>
              <w:rPr>
                <w:szCs w:val="20"/>
              </w:rPr>
            </w:pPr>
            <w:r w:rsidRPr="00EC57FB">
              <w:rPr>
                <w:szCs w:val="20"/>
              </w:rPr>
              <w:t>Kampmann, B., Madhi, S.A., et al (MATISSE Study Group). Bivalent prefusion F vaccine in pregnancy to prevent RSV illness in infants.</w:t>
            </w:r>
          </w:p>
        </w:tc>
        <w:tc>
          <w:tcPr>
            <w:tcW w:w="1825" w:type="pct"/>
            <w:shd w:val="clear" w:color="auto" w:fill="B8CCE4"/>
            <w:vAlign w:val="center"/>
          </w:tcPr>
          <w:p w14:paraId="57F1DF34" w14:textId="3DB9E863" w:rsidR="003C1C23" w:rsidRPr="00EC57FB" w:rsidRDefault="00DD0DDE" w:rsidP="003C1C23">
            <w:pPr>
              <w:pStyle w:val="TableText0"/>
              <w:keepNext w:val="0"/>
              <w:keepLines w:val="0"/>
              <w:rPr>
                <w:iCs/>
                <w:szCs w:val="20"/>
              </w:rPr>
            </w:pPr>
            <w:r w:rsidRPr="00EC57FB">
              <w:t>New England Journal of Medicine 2023;388(16):1451-1464.</w:t>
            </w:r>
            <w:hyperlink r:id="rId17" w:history="1">
              <w:r w:rsidR="003C1C23" w:rsidRPr="00EC57FB">
                <w:rPr>
                  <w:rStyle w:val="Hyperlink"/>
                  <w:iCs/>
                  <w:szCs w:val="20"/>
                </w:rPr>
                <w:t>https://doi.org/10.1056/nejmoa2216480</w:t>
              </w:r>
            </w:hyperlink>
            <w:r w:rsidR="003C1C23" w:rsidRPr="00EC57FB">
              <w:rPr>
                <w:iCs/>
                <w:szCs w:val="20"/>
              </w:rPr>
              <w:t xml:space="preserve"> </w:t>
            </w:r>
          </w:p>
        </w:tc>
      </w:tr>
      <w:tr w:rsidR="003C1C23" w:rsidRPr="00EC57FB" w14:paraId="5657DD18" w14:textId="77777777" w:rsidTr="00814336">
        <w:tc>
          <w:tcPr>
            <w:tcW w:w="5000" w:type="pct"/>
            <w:gridSpan w:val="3"/>
            <w:vAlign w:val="center"/>
          </w:tcPr>
          <w:p w14:paraId="4258739B" w14:textId="77777777" w:rsidR="003C1C23" w:rsidRPr="00EC57FB" w:rsidRDefault="003C1C23" w:rsidP="003C1C23">
            <w:pPr>
              <w:pStyle w:val="TableText0"/>
              <w:keepLines w:val="0"/>
              <w:rPr>
                <w:b/>
                <w:bCs w:val="0"/>
                <w:iCs/>
                <w:szCs w:val="20"/>
              </w:rPr>
            </w:pPr>
            <w:r w:rsidRPr="00EC57FB">
              <w:rPr>
                <w:b/>
                <w:bCs w:val="0"/>
                <w:iCs/>
                <w:szCs w:val="20"/>
              </w:rPr>
              <w:t>Nirsevimab vs. palivizumab</w:t>
            </w:r>
          </w:p>
        </w:tc>
      </w:tr>
      <w:tr w:rsidR="003C1C23" w:rsidRPr="00EC57FB" w14:paraId="45DE4A7E" w14:textId="77777777" w:rsidTr="00224F38">
        <w:tc>
          <w:tcPr>
            <w:tcW w:w="696" w:type="pct"/>
            <w:vMerge w:val="restart"/>
            <w:vAlign w:val="center"/>
          </w:tcPr>
          <w:p w14:paraId="03C9CF1E" w14:textId="0E2E23EA" w:rsidR="003C1C23" w:rsidRPr="00EC57FB" w:rsidRDefault="003C1C23" w:rsidP="003C1C23">
            <w:pPr>
              <w:pStyle w:val="TableText0"/>
              <w:keepNext w:val="0"/>
              <w:keepLines w:val="0"/>
              <w:rPr>
                <w:rFonts w:cstheme="minorHAnsi"/>
                <w:szCs w:val="20"/>
              </w:rPr>
            </w:pPr>
            <w:r w:rsidRPr="00EC57FB">
              <w:rPr>
                <w:rFonts w:cstheme="minorHAnsi"/>
                <w:szCs w:val="20"/>
              </w:rPr>
              <w:t>MEDLEY</w:t>
            </w:r>
          </w:p>
        </w:tc>
        <w:tc>
          <w:tcPr>
            <w:tcW w:w="2479" w:type="pct"/>
            <w:shd w:val="clear" w:color="auto" w:fill="B8CCE4"/>
            <w:vAlign w:val="center"/>
          </w:tcPr>
          <w:p w14:paraId="701B6CDD" w14:textId="33A00BB6" w:rsidR="003C1C23" w:rsidRPr="00EC57FB" w:rsidRDefault="003C1C23" w:rsidP="003C1C23">
            <w:pPr>
              <w:jc w:val="left"/>
              <w:rPr>
                <w:rFonts w:ascii="Arial Narrow" w:hAnsi="Arial Narrow"/>
                <w:sz w:val="20"/>
                <w:szCs w:val="20"/>
              </w:rPr>
            </w:pPr>
            <w:r w:rsidRPr="00EC57FB">
              <w:rPr>
                <w:rFonts w:ascii="Arial Narrow" w:hAnsi="Arial Narrow"/>
                <w:sz w:val="20"/>
                <w:szCs w:val="20"/>
              </w:rPr>
              <w:t>A Phase 2/3 Randomized, Double-blind, Palivizumab-controlled Study to Evaluate the Safety of MEDI8897, a Monoclonal Antibody With an Extended Half-life Against Respiratory Syncytial Virus, in High-risk Children (MEDLEY)</w:t>
            </w:r>
          </w:p>
        </w:tc>
        <w:tc>
          <w:tcPr>
            <w:tcW w:w="1825" w:type="pct"/>
            <w:shd w:val="clear" w:color="auto" w:fill="B8CCE4"/>
            <w:vAlign w:val="center"/>
          </w:tcPr>
          <w:p w14:paraId="1C540018" w14:textId="77777777" w:rsidR="003C1C23" w:rsidRPr="00EC57FB" w:rsidRDefault="003C1C23" w:rsidP="003C1C23">
            <w:pPr>
              <w:rPr>
                <w:rFonts w:ascii="Arial Narrow" w:hAnsi="Arial Narrow"/>
                <w:iCs/>
                <w:sz w:val="20"/>
                <w:szCs w:val="20"/>
              </w:rPr>
            </w:pPr>
            <w:r w:rsidRPr="00EC57FB">
              <w:rPr>
                <w:rFonts w:ascii="Arial Narrow" w:hAnsi="Arial Narrow"/>
                <w:iCs/>
                <w:sz w:val="20"/>
                <w:szCs w:val="20"/>
              </w:rPr>
              <w:t>Clinical Study Report – Final Analysis</w:t>
            </w:r>
          </w:p>
          <w:p w14:paraId="2B506277" w14:textId="60F5CD39" w:rsidR="003C1C23" w:rsidRPr="00EC57FB" w:rsidRDefault="003C1C23" w:rsidP="003C1C23">
            <w:pPr>
              <w:rPr>
                <w:rFonts w:ascii="Arial Narrow" w:hAnsi="Arial Narrow"/>
                <w:iCs/>
                <w:sz w:val="20"/>
                <w:szCs w:val="20"/>
              </w:rPr>
            </w:pPr>
            <w:r w:rsidRPr="00EC57FB">
              <w:rPr>
                <w:rFonts w:ascii="Arial Narrow" w:hAnsi="Arial Narrow"/>
                <w:iCs/>
                <w:sz w:val="20"/>
                <w:szCs w:val="20"/>
              </w:rPr>
              <w:t>22 June 2023</w:t>
            </w:r>
          </w:p>
        </w:tc>
      </w:tr>
      <w:tr w:rsidR="00224F38" w:rsidRPr="00EC57FB" w14:paraId="0EB40CA3" w14:textId="77777777" w:rsidTr="00224F38">
        <w:tc>
          <w:tcPr>
            <w:tcW w:w="696" w:type="pct"/>
            <w:vMerge/>
            <w:vAlign w:val="center"/>
          </w:tcPr>
          <w:p w14:paraId="3FDA2905" w14:textId="77777777" w:rsidR="00224F38" w:rsidRPr="00EC57FB" w:rsidRDefault="00224F38" w:rsidP="003C1C23">
            <w:pPr>
              <w:pStyle w:val="TableText0"/>
              <w:keepNext w:val="0"/>
              <w:keepLines w:val="0"/>
              <w:rPr>
                <w:rFonts w:cstheme="minorHAnsi"/>
                <w:szCs w:val="20"/>
              </w:rPr>
            </w:pPr>
          </w:p>
        </w:tc>
        <w:tc>
          <w:tcPr>
            <w:tcW w:w="2479" w:type="pct"/>
            <w:shd w:val="clear" w:color="auto" w:fill="B8CCE4"/>
            <w:vAlign w:val="center"/>
          </w:tcPr>
          <w:p w14:paraId="2F6473CB" w14:textId="1ADD5452" w:rsidR="00224F38" w:rsidRPr="00EC57FB" w:rsidRDefault="00224F38" w:rsidP="003C1C23">
            <w:pPr>
              <w:jc w:val="left"/>
              <w:rPr>
                <w:rFonts w:ascii="Arial Narrow" w:hAnsi="Arial Narrow"/>
                <w:sz w:val="20"/>
                <w:szCs w:val="20"/>
              </w:rPr>
            </w:pPr>
            <w:r w:rsidRPr="00EC57FB">
              <w:rPr>
                <w:rFonts w:ascii="Arial Narrow" w:hAnsi="Arial Narrow"/>
                <w:sz w:val="20"/>
                <w:szCs w:val="20"/>
              </w:rPr>
              <w:t>Domachowske, J., Madhi, S.A., et al (MEDLEY Study Group). Safety of nirsevimab for RSV in infants with heart or lung disease or prematurity</w:t>
            </w:r>
          </w:p>
        </w:tc>
        <w:tc>
          <w:tcPr>
            <w:tcW w:w="1825" w:type="pct"/>
            <w:shd w:val="clear" w:color="auto" w:fill="B8CCE4"/>
            <w:vAlign w:val="center"/>
          </w:tcPr>
          <w:p w14:paraId="13E0459D" w14:textId="77777777" w:rsidR="00224F38" w:rsidRPr="00EC57FB" w:rsidRDefault="00224F38" w:rsidP="00224F38">
            <w:pPr>
              <w:rPr>
                <w:rFonts w:ascii="Arial Narrow" w:hAnsi="Arial Narrow"/>
                <w:iCs/>
                <w:sz w:val="20"/>
                <w:szCs w:val="20"/>
              </w:rPr>
            </w:pPr>
            <w:r w:rsidRPr="00EC57FB">
              <w:rPr>
                <w:rFonts w:ascii="Arial Narrow" w:hAnsi="Arial Narrow"/>
                <w:iCs/>
                <w:sz w:val="20"/>
                <w:szCs w:val="20"/>
              </w:rPr>
              <w:t>New England Journal of Medicine 2022;386(9):892-894.</w:t>
            </w:r>
          </w:p>
          <w:p w14:paraId="3BBAF775" w14:textId="60E91AB2" w:rsidR="00224F38" w:rsidRPr="00EC57FB" w:rsidRDefault="00224F38" w:rsidP="00224F38">
            <w:pPr>
              <w:rPr>
                <w:rFonts w:ascii="Arial Narrow" w:hAnsi="Arial Narrow"/>
                <w:iCs/>
                <w:sz w:val="20"/>
                <w:szCs w:val="20"/>
              </w:rPr>
            </w:pPr>
            <w:hyperlink r:id="rId18" w:history="1">
              <w:r w:rsidRPr="00EC57FB">
                <w:rPr>
                  <w:rStyle w:val="Hyperlink"/>
                  <w:rFonts w:ascii="Arial Narrow" w:hAnsi="Arial Narrow"/>
                  <w:iCs/>
                  <w:sz w:val="20"/>
                  <w:szCs w:val="20"/>
                </w:rPr>
                <w:t>https://doi.org/10.1056/nejmc2112186</w:t>
              </w:r>
            </w:hyperlink>
            <w:r w:rsidRPr="00EC57FB">
              <w:rPr>
                <w:rFonts w:ascii="Arial Narrow" w:hAnsi="Arial Narrow"/>
                <w:iCs/>
                <w:sz w:val="20"/>
                <w:szCs w:val="20"/>
              </w:rPr>
              <w:t xml:space="preserve"> </w:t>
            </w:r>
          </w:p>
        </w:tc>
      </w:tr>
      <w:tr w:rsidR="003C1C23" w:rsidRPr="00EC57FB" w14:paraId="73643067" w14:textId="77777777" w:rsidTr="00224F38">
        <w:tc>
          <w:tcPr>
            <w:tcW w:w="696" w:type="pct"/>
            <w:vMerge/>
            <w:vAlign w:val="center"/>
          </w:tcPr>
          <w:p w14:paraId="7BDCA6C0" w14:textId="77777777" w:rsidR="003C1C23" w:rsidRPr="00EC57FB" w:rsidRDefault="003C1C23" w:rsidP="003C1C23">
            <w:pPr>
              <w:pStyle w:val="TableText0"/>
              <w:keepNext w:val="0"/>
              <w:keepLines w:val="0"/>
              <w:rPr>
                <w:rFonts w:cstheme="minorHAnsi"/>
                <w:szCs w:val="20"/>
              </w:rPr>
            </w:pPr>
          </w:p>
        </w:tc>
        <w:tc>
          <w:tcPr>
            <w:tcW w:w="2479" w:type="pct"/>
            <w:shd w:val="clear" w:color="auto" w:fill="B8CCE4"/>
            <w:vAlign w:val="center"/>
          </w:tcPr>
          <w:p w14:paraId="5AF611EE" w14:textId="502D51D3" w:rsidR="003C1C23" w:rsidRPr="00EC57FB" w:rsidRDefault="003C1C23" w:rsidP="003C1C23">
            <w:pPr>
              <w:pStyle w:val="TableText0"/>
              <w:keepNext w:val="0"/>
              <w:keepLines w:val="0"/>
              <w:rPr>
                <w:szCs w:val="20"/>
              </w:rPr>
            </w:pPr>
            <w:r w:rsidRPr="00EC57FB">
              <w:rPr>
                <w:rFonts w:cstheme="minorHAnsi"/>
                <w:szCs w:val="20"/>
              </w:rPr>
              <w:t>Domachowske, J.B., Chang, Y., et al (MEDLEY Study Group)</w:t>
            </w:r>
            <w:r w:rsidRPr="00EC57FB">
              <w:rPr>
                <w:rFonts w:cstheme="minorHAnsi"/>
                <w:iCs/>
                <w:szCs w:val="20"/>
              </w:rPr>
              <w:t xml:space="preserve">. </w:t>
            </w:r>
            <w:r w:rsidRPr="00EC57FB">
              <w:rPr>
                <w:rFonts w:cstheme="minorHAnsi"/>
                <w:szCs w:val="20"/>
              </w:rPr>
              <w:t>Safety of re-dosing nirsevimab prior to RSV season 2 in children with heart or lung disease.</w:t>
            </w:r>
            <w:r w:rsidRPr="00EC57FB">
              <w:rPr>
                <w:rFonts w:cstheme="minorHAnsi"/>
                <w:iCs/>
                <w:szCs w:val="20"/>
              </w:rPr>
              <w:t xml:space="preserve"> </w:t>
            </w:r>
          </w:p>
        </w:tc>
        <w:tc>
          <w:tcPr>
            <w:tcW w:w="1825" w:type="pct"/>
            <w:shd w:val="clear" w:color="auto" w:fill="B8CCE4"/>
            <w:vAlign w:val="center"/>
          </w:tcPr>
          <w:p w14:paraId="11760AF6" w14:textId="77777777" w:rsidR="003C1C23" w:rsidRPr="00EC57FB" w:rsidRDefault="003C1C23" w:rsidP="003C1C23">
            <w:pPr>
              <w:pStyle w:val="TableText0"/>
              <w:keepNext w:val="0"/>
              <w:keepLines w:val="0"/>
              <w:rPr>
                <w:rFonts w:cstheme="minorHAnsi"/>
                <w:szCs w:val="20"/>
              </w:rPr>
            </w:pPr>
            <w:r w:rsidRPr="00EC57FB">
              <w:rPr>
                <w:rFonts w:cstheme="minorHAnsi"/>
                <w:iCs/>
                <w:szCs w:val="20"/>
              </w:rPr>
              <w:t xml:space="preserve">Journal of the Pediatric Infectious Diseases Society </w:t>
            </w:r>
            <w:r w:rsidRPr="00EC57FB">
              <w:rPr>
                <w:rFonts w:cstheme="minorHAnsi"/>
                <w:szCs w:val="20"/>
              </w:rPr>
              <w:t>2023;12(8):477-480</w:t>
            </w:r>
          </w:p>
          <w:p w14:paraId="2D1AACCE" w14:textId="6BB9BCFB" w:rsidR="003C1C23" w:rsidRPr="00EC57FB" w:rsidRDefault="003C1C23" w:rsidP="003C1C23">
            <w:pPr>
              <w:pStyle w:val="TableText0"/>
              <w:keepNext w:val="0"/>
              <w:keepLines w:val="0"/>
              <w:rPr>
                <w:iCs/>
                <w:szCs w:val="20"/>
              </w:rPr>
            </w:pPr>
            <w:hyperlink r:id="rId19" w:history="1">
              <w:r w:rsidRPr="00EC57FB">
                <w:rPr>
                  <w:rStyle w:val="Hyperlink"/>
                  <w:iCs/>
                  <w:szCs w:val="20"/>
                </w:rPr>
                <w:t>https://doi.org/10.1093/jpids/piad052</w:t>
              </w:r>
            </w:hyperlink>
            <w:r w:rsidRPr="00EC57FB">
              <w:rPr>
                <w:iCs/>
                <w:szCs w:val="20"/>
              </w:rPr>
              <w:t xml:space="preserve"> </w:t>
            </w:r>
          </w:p>
        </w:tc>
      </w:tr>
      <w:tr w:rsidR="003C1C23" w:rsidRPr="00EC57FB" w14:paraId="66D3EA7A" w14:textId="77777777" w:rsidTr="00814336">
        <w:tc>
          <w:tcPr>
            <w:tcW w:w="5000" w:type="pct"/>
            <w:gridSpan w:val="3"/>
            <w:vAlign w:val="center"/>
          </w:tcPr>
          <w:p w14:paraId="0EE79F38" w14:textId="35BCECEA" w:rsidR="003C1C23" w:rsidRPr="00EC57FB" w:rsidRDefault="003C1C23" w:rsidP="003C1C23">
            <w:pPr>
              <w:pStyle w:val="In-tableHeading"/>
              <w:keepNext w:val="0"/>
              <w:keepLines w:val="0"/>
              <w:rPr>
                <w:szCs w:val="20"/>
                <w:lang w:val="en-AU"/>
              </w:rPr>
            </w:pPr>
            <w:r w:rsidRPr="00EC57FB">
              <w:rPr>
                <w:rFonts w:cstheme="minorHAnsi"/>
                <w:bCs/>
                <w:szCs w:val="20"/>
                <w:lang w:val="en-AU"/>
              </w:rPr>
              <w:t>Observational studies</w:t>
            </w:r>
          </w:p>
        </w:tc>
      </w:tr>
      <w:tr w:rsidR="003C1C23" w:rsidRPr="00EC57FB" w14:paraId="2CEA0602" w14:textId="77777777" w:rsidTr="00224F38">
        <w:tc>
          <w:tcPr>
            <w:tcW w:w="696" w:type="pct"/>
            <w:vAlign w:val="center"/>
          </w:tcPr>
          <w:p w14:paraId="6AD740EE" w14:textId="14AAE48D" w:rsidR="003C1C23" w:rsidRPr="00EC57FB" w:rsidRDefault="003C1C23" w:rsidP="003C1C23">
            <w:pPr>
              <w:pStyle w:val="TableText0"/>
              <w:keepNext w:val="0"/>
              <w:keepLines w:val="0"/>
            </w:pPr>
            <w:r w:rsidRPr="00EC57FB">
              <w:t>Riccò 2024</w:t>
            </w:r>
          </w:p>
        </w:tc>
        <w:tc>
          <w:tcPr>
            <w:tcW w:w="2479" w:type="pct"/>
            <w:vAlign w:val="center"/>
          </w:tcPr>
          <w:p w14:paraId="5EE2D8E7" w14:textId="4935897A" w:rsidR="003C1C23" w:rsidRPr="00EC57FB" w:rsidRDefault="003C1C23" w:rsidP="003C1C23">
            <w:pPr>
              <w:pStyle w:val="TableText0"/>
              <w:keepNext w:val="0"/>
              <w:keepLines w:val="0"/>
            </w:pPr>
            <w:r w:rsidRPr="00EC57FB">
              <w:t>Riccò, M., Cascio A., et al. Impact of Nirsevimab Immunization on Pediatric Hospitalization rates: A Systematic Review and Meta Analysis</w:t>
            </w:r>
          </w:p>
        </w:tc>
        <w:tc>
          <w:tcPr>
            <w:tcW w:w="1825" w:type="pct"/>
            <w:vAlign w:val="center"/>
          </w:tcPr>
          <w:p w14:paraId="4E8D2B31" w14:textId="7CE0D623" w:rsidR="003C1C23" w:rsidRPr="00EC57FB" w:rsidRDefault="003C1C23" w:rsidP="003C1C23">
            <w:pPr>
              <w:pStyle w:val="TableText0"/>
              <w:keepNext w:val="0"/>
              <w:keepLines w:val="0"/>
              <w:rPr>
                <w:szCs w:val="20"/>
              </w:rPr>
            </w:pPr>
            <w:r w:rsidRPr="00EC57FB">
              <w:rPr>
                <w:szCs w:val="20"/>
              </w:rPr>
              <w:t>Vaccines 2024;12(6):640</w:t>
            </w:r>
          </w:p>
          <w:p w14:paraId="3FA80C3B" w14:textId="76B2A0A0" w:rsidR="003C1C23" w:rsidRPr="00EC57FB" w:rsidRDefault="003C1C23" w:rsidP="003C1C23">
            <w:pPr>
              <w:pStyle w:val="TableText0"/>
              <w:keepNext w:val="0"/>
              <w:keepLines w:val="0"/>
              <w:rPr>
                <w:szCs w:val="20"/>
              </w:rPr>
            </w:pPr>
            <w:hyperlink r:id="rId20" w:history="1">
              <w:r w:rsidRPr="00EC57FB">
                <w:rPr>
                  <w:rStyle w:val="Hyperlink"/>
                  <w:szCs w:val="20"/>
                </w:rPr>
                <w:t>https://doi.org/10.3390/vaccines12060640</w:t>
              </w:r>
            </w:hyperlink>
            <w:r w:rsidRPr="00EC57FB">
              <w:rPr>
                <w:szCs w:val="20"/>
              </w:rPr>
              <w:t xml:space="preserve"> </w:t>
            </w:r>
          </w:p>
        </w:tc>
      </w:tr>
      <w:tr w:rsidR="003C1C23" w:rsidRPr="00EC57FB" w14:paraId="309E4CE3" w14:textId="77777777" w:rsidTr="00224F38">
        <w:tc>
          <w:tcPr>
            <w:tcW w:w="696" w:type="pct"/>
            <w:vAlign w:val="center"/>
          </w:tcPr>
          <w:p w14:paraId="61F18770" w14:textId="5D6A1C92" w:rsidR="003C1C23" w:rsidRPr="00EC57FB" w:rsidRDefault="003C1C23" w:rsidP="003C1C23">
            <w:pPr>
              <w:pStyle w:val="TableText0"/>
              <w:keepNext w:val="0"/>
              <w:keepLines w:val="0"/>
            </w:pPr>
            <w:r w:rsidRPr="00EC57FB">
              <w:t>Barbas Del Buey 2024</w:t>
            </w:r>
          </w:p>
        </w:tc>
        <w:tc>
          <w:tcPr>
            <w:tcW w:w="2479" w:type="pct"/>
            <w:vAlign w:val="center"/>
          </w:tcPr>
          <w:p w14:paraId="09E5CA4D" w14:textId="71134C05" w:rsidR="003C1C23" w:rsidRPr="00EC57FB" w:rsidRDefault="003C1C23" w:rsidP="003C1C23">
            <w:pPr>
              <w:pStyle w:val="TableText0"/>
              <w:keepNext w:val="0"/>
              <w:keepLines w:val="0"/>
            </w:pPr>
            <w:r w:rsidRPr="00EC57FB">
              <w:t>Barbas Del Buey, J.F., Íñigo Martínez J, et al. The effectiveness of nirsevimab in reducing the burden of disease due to respiratory syncytial virus (RSV) infection over time in the Madrid region (Spain): a prospective population based cohort study.</w:t>
            </w:r>
          </w:p>
        </w:tc>
        <w:tc>
          <w:tcPr>
            <w:tcW w:w="1825" w:type="pct"/>
            <w:vAlign w:val="center"/>
          </w:tcPr>
          <w:p w14:paraId="6F992F54" w14:textId="77777777" w:rsidR="003C1C23" w:rsidRPr="00EC57FB" w:rsidRDefault="003C1C23" w:rsidP="003C1C23">
            <w:pPr>
              <w:pStyle w:val="TableText0"/>
              <w:keepNext w:val="0"/>
              <w:keepLines w:val="0"/>
            </w:pPr>
            <w:r w:rsidRPr="00EC57FB">
              <w:t>Frontiers in Public Health 2024;12:1441786</w:t>
            </w:r>
          </w:p>
          <w:p w14:paraId="4F8EB40E" w14:textId="655D4D32" w:rsidR="003C1C23" w:rsidRPr="00EC57FB" w:rsidRDefault="003C1C23" w:rsidP="003C1C23">
            <w:pPr>
              <w:pStyle w:val="TableText0"/>
              <w:keepNext w:val="0"/>
              <w:keepLines w:val="0"/>
              <w:rPr>
                <w:szCs w:val="20"/>
              </w:rPr>
            </w:pPr>
            <w:hyperlink r:id="rId21" w:history="1">
              <w:r w:rsidRPr="00EC57FB">
                <w:rPr>
                  <w:rStyle w:val="Hyperlink"/>
                </w:rPr>
                <w:t>https://doi.org/10.3389/fpubh.2024.1441786</w:t>
              </w:r>
            </w:hyperlink>
            <w:r w:rsidRPr="00EC57FB">
              <w:t xml:space="preserve"> </w:t>
            </w:r>
          </w:p>
        </w:tc>
      </w:tr>
      <w:tr w:rsidR="003C1C23" w:rsidRPr="00EC57FB" w14:paraId="2E4FF354" w14:textId="77777777" w:rsidTr="00224F38">
        <w:tc>
          <w:tcPr>
            <w:tcW w:w="696" w:type="pct"/>
            <w:vAlign w:val="center"/>
          </w:tcPr>
          <w:p w14:paraId="0333532B" w14:textId="22AE5153" w:rsidR="003C1C23" w:rsidRPr="00EC57FB" w:rsidRDefault="003C1C23" w:rsidP="003C1C23">
            <w:pPr>
              <w:pStyle w:val="TableText0"/>
              <w:keepNext w:val="0"/>
              <w:keepLines w:val="0"/>
              <w:rPr>
                <w:rFonts w:cstheme="minorHAnsi"/>
              </w:rPr>
            </w:pPr>
            <w:r w:rsidRPr="00EC57FB">
              <w:t>Assad 2024</w:t>
            </w:r>
          </w:p>
        </w:tc>
        <w:tc>
          <w:tcPr>
            <w:tcW w:w="2479" w:type="pct"/>
            <w:vAlign w:val="center"/>
          </w:tcPr>
          <w:p w14:paraId="630A3B16" w14:textId="4A712A82" w:rsidR="003C1C23" w:rsidRPr="00EC57FB" w:rsidRDefault="003C1C23" w:rsidP="003C1C23">
            <w:pPr>
              <w:pStyle w:val="TableText0"/>
              <w:keepNext w:val="0"/>
              <w:keepLines w:val="0"/>
            </w:pPr>
            <w:r w:rsidRPr="00EC57FB">
              <w:t>Assad, Z., Romain A. et al. Nirsevimab and hospitalization for RSV bronchiolitis.</w:t>
            </w:r>
          </w:p>
        </w:tc>
        <w:tc>
          <w:tcPr>
            <w:tcW w:w="1825" w:type="pct"/>
            <w:vAlign w:val="center"/>
          </w:tcPr>
          <w:p w14:paraId="1A89AA1E" w14:textId="6616516F" w:rsidR="003C1C23" w:rsidRPr="00EC57FB" w:rsidRDefault="003C1C23" w:rsidP="003C1C23">
            <w:pPr>
              <w:pStyle w:val="TableText0"/>
              <w:keepNext w:val="0"/>
              <w:keepLines w:val="0"/>
              <w:rPr>
                <w:iCs/>
                <w:szCs w:val="20"/>
              </w:rPr>
            </w:pPr>
            <w:r w:rsidRPr="00EC57FB">
              <w:t xml:space="preserve">New England Journal of Medicine 2024;391(2):144-154 </w:t>
            </w:r>
            <w:hyperlink r:id="rId22" w:history="1">
              <w:r w:rsidRPr="00EC57FB">
                <w:rPr>
                  <w:rStyle w:val="Hyperlink"/>
                </w:rPr>
                <w:t>https://doi.org/10.1056/nejmoa2314885</w:t>
              </w:r>
            </w:hyperlink>
            <w:r w:rsidRPr="00EC57FB">
              <w:t xml:space="preserve"> </w:t>
            </w:r>
          </w:p>
        </w:tc>
      </w:tr>
      <w:tr w:rsidR="003C1C23" w:rsidRPr="00EC57FB" w14:paraId="3656AE32" w14:textId="77777777" w:rsidTr="00224F38">
        <w:tc>
          <w:tcPr>
            <w:tcW w:w="696" w:type="pct"/>
            <w:vAlign w:val="center"/>
          </w:tcPr>
          <w:p w14:paraId="7A21A9E7" w14:textId="6C8BDBF5" w:rsidR="003C1C23" w:rsidRPr="00EC57FB" w:rsidRDefault="003C1C23" w:rsidP="003C1C23">
            <w:pPr>
              <w:pStyle w:val="TableText0"/>
              <w:keepNext w:val="0"/>
              <w:keepLines w:val="0"/>
              <w:rPr>
                <w:rFonts w:cstheme="minorHAnsi"/>
              </w:rPr>
            </w:pPr>
            <w:r w:rsidRPr="00EC57FB">
              <w:t>Carbajal 2024</w:t>
            </w:r>
          </w:p>
        </w:tc>
        <w:tc>
          <w:tcPr>
            <w:tcW w:w="2479" w:type="pct"/>
            <w:vAlign w:val="center"/>
          </w:tcPr>
          <w:p w14:paraId="78800943" w14:textId="73630E08" w:rsidR="003C1C23" w:rsidRPr="00EC57FB" w:rsidRDefault="003C1C23" w:rsidP="003C1C23">
            <w:pPr>
              <w:pStyle w:val="TableText0"/>
              <w:keepNext w:val="0"/>
            </w:pPr>
            <w:r w:rsidRPr="00EC57FB">
              <w:t>Carbajal, R., Boelle P., et al. Real world effectiveness of nirsevimab immunisation against bronchiolitis in infants: a case-control study in Paris, France.</w:t>
            </w:r>
          </w:p>
        </w:tc>
        <w:tc>
          <w:tcPr>
            <w:tcW w:w="1825" w:type="pct"/>
            <w:vAlign w:val="center"/>
          </w:tcPr>
          <w:p w14:paraId="1DCC386F" w14:textId="299199BE" w:rsidR="003C1C23" w:rsidRPr="00EC57FB" w:rsidRDefault="003C1C23" w:rsidP="003C1C23">
            <w:pPr>
              <w:pStyle w:val="TableText0"/>
              <w:keepNext w:val="0"/>
            </w:pPr>
            <w:r w:rsidRPr="00EC57FB">
              <w:t>The Lancet Child &amp; Adolescent Health 2024;8(10):730-739</w:t>
            </w:r>
          </w:p>
          <w:p w14:paraId="62F04367" w14:textId="663E9985" w:rsidR="003C1C23" w:rsidRPr="00EC57FB" w:rsidRDefault="003C1C23" w:rsidP="003C1C23">
            <w:pPr>
              <w:pStyle w:val="TableText0"/>
              <w:keepNext w:val="0"/>
              <w:rPr>
                <w:iCs/>
                <w:szCs w:val="20"/>
              </w:rPr>
            </w:pPr>
            <w:hyperlink r:id="rId23" w:history="1">
              <w:r w:rsidRPr="00EC57FB">
                <w:rPr>
                  <w:rStyle w:val="Hyperlink"/>
                  <w:iCs/>
                  <w:szCs w:val="20"/>
                </w:rPr>
                <w:t>https://doi.org/10.1016/s2352-4642(24)00171-8</w:t>
              </w:r>
            </w:hyperlink>
            <w:r w:rsidRPr="00EC57FB">
              <w:rPr>
                <w:iCs/>
                <w:szCs w:val="20"/>
              </w:rPr>
              <w:t xml:space="preserve"> </w:t>
            </w:r>
          </w:p>
        </w:tc>
      </w:tr>
      <w:tr w:rsidR="003C1C23" w:rsidRPr="00EC57FB" w14:paraId="4D7C006C" w14:textId="77777777" w:rsidTr="00224F38">
        <w:tc>
          <w:tcPr>
            <w:tcW w:w="696" w:type="pct"/>
            <w:vAlign w:val="center"/>
          </w:tcPr>
          <w:p w14:paraId="01A42D5E" w14:textId="60B98325" w:rsidR="003C1C23" w:rsidRPr="00EC57FB" w:rsidRDefault="003C1C23" w:rsidP="003C1C23">
            <w:pPr>
              <w:pStyle w:val="TableText0"/>
              <w:keepNext w:val="0"/>
              <w:keepLines w:val="0"/>
              <w:rPr>
                <w:rFonts w:cstheme="minorHAnsi"/>
              </w:rPr>
            </w:pPr>
            <w:r w:rsidRPr="00EC57FB">
              <w:t>Agüera 2024</w:t>
            </w:r>
          </w:p>
        </w:tc>
        <w:tc>
          <w:tcPr>
            <w:tcW w:w="2479" w:type="pct"/>
            <w:vAlign w:val="center"/>
          </w:tcPr>
          <w:p w14:paraId="126D2673" w14:textId="61D16FCF" w:rsidR="003C1C23" w:rsidRPr="00EC57FB" w:rsidRDefault="003C1C23" w:rsidP="003C1C23">
            <w:pPr>
              <w:pStyle w:val="TableText0"/>
              <w:keepNext w:val="0"/>
              <w:keepLines w:val="0"/>
            </w:pPr>
            <w:r w:rsidRPr="00EC57FB">
              <w:t>Agüera, M., Soler-Garcia A., et al.</w:t>
            </w:r>
            <w:r w:rsidR="0043023A" w:rsidRPr="00EC57FB">
              <w:t xml:space="preserve"> </w:t>
            </w:r>
            <w:r w:rsidRPr="00EC57FB">
              <w:t>Nirsevimab immunization's real</w:t>
            </w:r>
            <w:r w:rsidRPr="00EC57FB">
              <w:rPr>
                <w:rFonts w:ascii="Cambria Math" w:hAnsi="Cambria Math" w:cs="Cambria Math"/>
              </w:rPr>
              <w:t>‐</w:t>
            </w:r>
            <w:r w:rsidRPr="00EC57FB">
              <w:t>world effectiveness in preventing severe bronchiolitis: A test</w:t>
            </w:r>
            <w:r w:rsidRPr="00EC57FB">
              <w:rPr>
                <w:rFonts w:ascii="Cambria Math" w:hAnsi="Cambria Math" w:cs="Cambria Math"/>
              </w:rPr>
              <w:t>‐</w:t>
            </w:r>
            <w:r w:rsidRPr="00EC57FB">
              <w:t>negative case</w:t>
            </w:r>
            <w:r w:rsidRPr="00EC57FB">
              <w:rPr>
                <w:rFonts w:ascii="Aptos" w:hAnsi="Aptos" w:cs="Aptos"/>
              </w:rPr>
              <w:t>–</w:t>
            </w:r>
            <w:r w:rsidRPr="00EC57FB">
              <w:t xml:space="preserve">control study. </w:t>
            </w:r>
          </w:p>
        </w:tc>
        <w:tc>
          <w:tcPr>
            <w:tcW w:w="1825" w:type="pct"/>
            <w:vAlign w:val="center"/>
          </w:tcPr>
          <w:p w14:paraId="1CCBE414" w14:textId="2605864E" w:rsidR="003C1C23" w:rsidRPr="00EC57FB" w:rsidRDefault="003C1C23" w:rsidP="003C1C23">
            <w:pPr>
              <w:pStyle w:val="TableText0"/>
              <w:keepNext w:val="0"/>
              <w:keepLines w:val="0"/>
            </w:pPr>
            <w:r w:rsidRPr="00EC57FB">
              <w:t>Pediatric Allergy and Immunology 2024;35(6):e14175</w:t>
            </w:r>
          </w:p>
          <w:p w14:paraId="0068BF35" w14:textId="7E8F0210" w:rsidR="003C1C23" w:rsidRPr="00EC57FB" w:rsidRDefault="003C1C23" w:rsidP="003C1C23">
            <w:pPr>
              <w:pStyle w:val="TableText0"/>
              <w:keepNext w:val="0"/>
              <w:keepLines w:val="0"/>
              <w:rPr>
                <w:iCs/>
                <w:szCs w:val="20"/>
              </w:rPr>
            </w:pPr>
            <w:hyperlink r:id="rId24" w:history="1">
              <w:r w:rsidRPr="00EC57FB">
                <w:rPr>
                  <w:rStyle w:val="Hyperlink"/>
                  <w:iCs/>
                  <w:szCs w:val="20"/>
                </w:rPr>
                <w:t>https://doi.org/10.1111/pai.14175</w:t>
              </w:r>
            </w:hyperlink>
            <w:r w:rsidRPr="00EC57FB">
              <w:rPr>
                <w:iCs/>
                <w:szCs w:val="20"/>
              </w:rPr>
              <w:t xml:space="preserve"> </w:t>
            </w:r>
          </w:p>
        </w:tc>
      </w:tr>
      <w:tr w:rsidR="003C1C23" w:rsidRPr="00EC57FB" w14:paraId="1E063554" w14:textId="77777777" w:rsidTr="00224F38">
        <w:tc>
          <w:tcPr>
            <w:tcW w:w="696" w:type="pct"/>
            <w:vAlign w:val="center"/>
          </w:tcPr>
          <w:p w14:paraId="1DFD0AF4" w14:textId="74198623" w:rsidR="003C1C23" w:rsidRPr="00EC57FB" w:rsidRDefault="003C1C23" w:rsidP="003C1C23">
            <w:pPr>
              <w:pStyle w:val="TableText0"/>
              <w:keepNext w:val="0"/>
              <w:keepLines w:val="0"/>
              <w:rPr>
                <w:rFonts w:cstheme="minorHAnsi"/>
              </w:rPr>
            </w:pPr>
            <w:r w:rsidRPr="00EC57FB">
              <w:t>Lassoued 2024</w:t>
            </w:r>
          </w:p>
        </w:tc>
        <w:tc>
          <w:tcPr>
            <w:tcW w:w="2479" w:type="pct"/>
            <w:vAlign w:val="center"/>
          </w:tcPr>
          <w:p w14:paraId="0F99F495" w14:textId="534B95EE" w:rsidR="003C1C23" w:rsidRPr="00EC57FB" w:rsidRDefault="003C1C23" w:rsidP="003C1C23">
            <w:pPr>
              <w:pStyle w:val="TableText0"/>
              <w:keepNext w:val="0"/>
              <w:keepLines w:val="0"/>
            </w:pPr>
            <w:r w:rsidRPr="00EC57FB">
              <w:t>Lassoued, Y., Levy C., et al. Effectiveness of nirsevimab against RSV bronchiolitis in paediatric ambulatory care: a test negative case–control study.</w:t>
            </w:r>
          </w:p>
        </w:tc>
        <w:tc>
          <w:tcPr>
            <w:tcW w:w="1825" w:type="pct"/>
            <w:vAlign w:val="center"/>
          </w:tcPr>
          <w:p w14:paraId="0EB5A865" w14:textId="01D0D52D" w:rsidR="003C1C23" w:rsidRPr="00EC57FB" w:rsidRDefault="003C1C23" w:rsidP="003C1C23">
            <w:pPr>
              <w:pStyle w:val="TableText0"/>
              <w:keepNext w:val="0"/>
              <w:keepLines w:val="0"/>
            </w:pPr>
            <w:r w:rsidRPr="00EC57FB">
              <w:t>The Lancet Regional Health–Europe 2024;44:101007</w:t>
            </w:r>
          </w:p>
          <w:p w14:paraId="2048A59D" w14:textId="266CEF28" w:rsidR="003C1C23" w:rsidRPr="00EC57FB" w:rsidRDefault="003C1C23" w:rsidP="003C1C23">
            <w:pPr>
              <w:pStyle w:val="TableText0"/>
              <w:keepNext w:val="0"/>
              <w:keepLines w:val="0"/>
              <w:rPr>
                <w:iCs/>
                <w:szCs w:val="20"/>
              </w:rPr>
            </w:pPr>
            <w:hyperlink r:id="rId25" w:history="1">
              <w:r w:rsidRPr="00EC57FB">
                <w:rPr>
                  <w:rStyle w:val="Hyperlink"/>
                  <w:iCs/>
                  <w:szCs w:val="20"/>
                </w:rPr>
                <w:t>https://doi.org/10.1016/j.lanepe.2024.101007</w:t>
              </w:r>
            </w:hyperlink>
            <w:r w:rsidRPr="00EC57FB">
              <w:rPr>
                <w:iCs/>
                <w:szCs w:val="20"/>
              </w:rPr>
              <w:t xml:space="preserve"> </w:t>
            </w:r>
          </w:p>
        </w:tc>
      </w:tr>
      <w:tr w:rsidR="003C1C23" w:rsidRPr="00EC57FB" w14:paraId="39F45CBB" w14:textId="77777777" w:rsidTr="00224F38">
        <w:tc>
          <w:tcPr>
            <w:tcW w:w="696" w:type="pct"/>
            <w:vAlign w:val="center"/>
          </w:tcPr>
          <w:p w14:paraId="7D0DBEFB" w14:textId="73E211CD" w:rsidR="003C1C23" w:rsidRPr="00EC57FB" w:rsidRDefault="003C1C23" w:rsidP="003C1C23">
            <w:pPr>
              <w:pStyle w:val="TableText0"/>
              <w:keepNext w:val="0"/>
              <w:keepLines w:val="0"/>
              <w:rPr>
                <w:rFonts w:cstheme="minorHAnsi"/>
              </w:rPr>
            </w:pPr>
            <w:r w:rsidRPr="00EC57FB">
              <w:lastRenderedPageBreak/>
              <w:t>Ares Gómez 2024</w:t>
            </w:r>
          </w:p>
        </w:tc>
        <w:tc>
          <w:tcPr>
            <w:tcW w:w="2479" w:type="pct"/>
            <w:vAlign w:val="center"/>
          </w:tcPr>
          <w:p w14:paraId="1364AE2E" w14:textId="500E828B" w:rsidR="003C1C23" w:rsidRPr="00EC57FB" w:rsidRDefault="003C1C23" w:rsidP="003C1C23">
            <w:pPr>
              <w:pStyle w:val="TableText0"/>
              <w:keepNext w:val="0"/>
              <w:keepLines w:val="0"/>
            </w:pPr>
            <w:r w:rsidRPr="00EC57FB">
              <w:t xml:space="preserve">Ares Gómez, S, Mallah N., et al. Effectiveness and impact of universal prophylaxis with nirsevimab in infants against hospitalisation for respiratory syncytial virus in Galicia, Spain: initial results of a population based longitudinal study. </w:t>
            </w:r>
          </w:p>
        </w:tc>
        <w:tc>
          <w:tcPr>
            <w:tcW w:w="1825" w:type="pct"/>
            <w:vAlign w:val="center"/>
          </w:tcPr>
          <w:p w14:paraId="650D1B8B" w14:textId="334EF386" w:rsidR="003C1C23" w:rsidRPr="00EC57FB" w:rsidRDefault="003C1C23" w:rsidP="003C1C23">
            <w:pPr>
              <w:pStyle w:val="TableText0"/>
              <w:keepNext w:val="0"/>
              <w:keepLines w:val="0"/>
            </w:pPr>
            <w:r w:rsidRPr="00EC57FB">
              <w:t>The Lancet Infectious Diseases 2024;24(8):817-828</w:t>
            </w:r>
          </w:p>
          <w:p w14:paraId="187ACC17" w14:textId="206F4D34" w:rsidR="003C1C23" w:rsidRPr="00EC57FB" w:rsidRDefault="003C1C23" w:rsidP="003C1C23">
            <w:pPr>
              <w:pStyle w:val="TableText0"/>
              <w:keepNext w:val="0"/>
              <w:keepLines w:val="0"/>
              <w:rPr>
                <w:iCs/>
                <w:szCs w:val="20"/>
              </w:rPr>
            </w:pPr>
            <w:hyperlink r:id="rId26" w:history="1">
              <w:r w:rsidRPr="00EC57FB">
                <w:rPr>
                  <w:rStyle w:val="Hyperlink"/>
                  <w:iCs/>
                  <w:szCs w:val="20"/>
                </w:rPr>
                <w:t>https://doi.org/10.1016/s1473-3099(24)00215-9</w:t>
              </w:r>
            </w:hyperlink>
            <w:r w:rsidRPr="00EC57FB">
              <w:rPr>
                <w:iCs/>
                <w:szCs w:val="20"/>
              </w:rPr>
              <w:t xml:space="preserve"> </w:t>
            </w:r>
          </w:p>
        </w:tc>
      </w:tr>
      <w:tr w:rsidR="003C1C23" w:rsidRPr="00EC57FB" w14:paraId="0E2C084C" w14:textId="77777777" w:rsidTr="00814336">
        <w:tc>
          <w:tcPr>
            <w:tcW w:w="5000" w:type="pct"/>
            <w:gridSpan w:val="3"/>
            <w:vAlign w:val="center"/>
          </w:tcPr>
          <w:p w14:paraId="4036B78A" w14:textId="24940CEC" w:rsidR="003C1C23" w:rsidRPr="00EC57FB" w:rsidRDefault="003C1C23" w:rsidP="003C1C23">
            <w:pPr>
              <w:pStyle w:val="TableText0"/>
              <w:keepLines w:val="0"/>
              <w:rPr>
                <w:b/>
                <w:bCs w:val="0"/>
              </w:rPr>
            </w:pPr>
            <w:r w:rsidRPr="00EC57FB">
              <w:rPr>
                <w:rFonts w:cstheme="minorHAnsi"/>
                <w:b/>
                <w:bCs w:val="0"/>
              </w:rPr>
              <w:t>Unpublished observational studies from state-implemented nirsevimab immunisation programs in Australia</w:t>
            </w:r>
          </w:p>
        </w:tc>
      </w:tr>
      <w:tr w:rsidR="003C1C23" w:rsidRPr="00EC57FB" w14:paraId="71B0A62E" w14:textId="77777777" w:rsidTr="00224F38">
        <w:tc>
          <w:tcPr>
            <w:tcW w:w="696" w:type="pct"/>
            <w:vAlign w:val="center"/>
          </w:tcPr>
          <w:p w14:paraId="4A46F2F2" w14:textId="4CB8D59F" w:rsidR="003C1C23" w:rsidRPr="00EC57FB" w:rsidRDefault="003C1C23" w:rsidP="003C1C23">
            <w:pPr>
              <w:pStyle w:val="TableText0"/>
              <w:keepNext w:val="0"/>
              <w:keepLines w:val="0"/>
            </w:pPr>
            <w:r w:rsidRPr="00EC57FB">
              <w:t>REVIVE</w:t>
            </w:r>
            <w:r w:rsidRPr="00EC57FB">
              <w:br/>
              <w:t>(Western Australia)</w:t>
            </w:r>
          </w:p>
        </w:tc>
        <w:tc>
          <w:tcPr>
            <w:tcW w:w="2479" w:type="pct"/>
            <w:vAlign w:val="center"/>
          </w:tcPr>
          <w:p w14:paraId="2B807BB8" w14:textId="77777777" w:rsidR="003C1C23" w:rsidRPr="00EC57FB" w:rsidRDefault="003C1C23" w:rsidP="003C1C23">
            <w:pPr>
              <w:pStyle w:val="TableText0"/>
              <w:keepLines w:val="0"/>
            </w:pPr>
            <w:r w:rsidRPr="00EC57FB">
              <w:t>Blyth C.C., Wadia U., et al. Evaluating the Nirsevimab RSV prevention program in Western Australia -early insights into program impact.</w:t>
            </w:r>
          </w:p>
          <w:p w14:paraId="1EE3159E" w14:textId="3825A6D1" w:rsidR="003C1C23" w:rsidRPr="00EC57FB" w:rsidRDefault="003C1C23" w:rsidP="003C1C23">
            <w:pPr>
              <w:pStyle w:val="TableText0"/>
              <w:keepLines w:val="0"/>
            </w:pPr>
          </w:p>
        </w:tc>
        <w:tc>
          <w:tcPr>
            <w:tcW w:w="1825" w:type="pct"/>
            <w:vAlign w:val="center"/>
          </w:tcPr>
          <w:p w14:paraId="08C110DD" w14:textId="6E4842B9" w:rsidR="003C1C23" w:rsidRPr="00EC57FB" w:rsidRDefault="003C1C23" w:rsidP="003C1C23">
            <w:pPr>
              <w:pStyle w:val="TableText0"/>
              <w:keepLines w:val="0"/>
              <w:rPr>
                <w:szCs w:val="20"/>
              </w:rPr>
            </w:pPr>
            <w:r w:rsidRPr="00EC57FB">
              <w:rPr>
                <w:szCs w:val="20"/>
              </w:rPr>
              <w:t>Presentation to the 2024 Options XII for the control of Influenza Conference, Brisbane. October 2024</w:t>
            </w:r>
          </w:p>
        </w:tc>
      </w:tr>
      <w:tr w:rsidR="003C1C23" w:rsidRPr="00EC57FB" w14:paraId="59D5E08F" w14:textId="77777777" w:rsidTr="00224F38">
        <w:tc>
          <w:tcPr>
            <w:tcW w:w="696" w:type="pct"/>
            <w:vAlign w:val="center"/>
          </w:tcPr>
          <w:p w14:paraId="20E41FE2" w14:textId="25A1593B" w:rsidR="003C1C23" w:rsidRPr="00EC57FB" w:rsidRDefault="003C1C23" w:rsidP="003C1C23">
            <w:pPr>
              <w:pStyle w:val="TableText0"/>
              <w:keepNext w:val="0"/>
              <w:keepLines w:val="0"/>
            </w:pPr>
            <w:r w:rsidRPr="00EC57FB">
              <w:t>Queensland paediatric RSV prevention program</w:t>
            </w:r>
          </w:p>
        </w:tc>
        <w:tc>
          <w:tcPr>
            <w:tcW w:w="2479" w:type="pct"/>
            <w:vAlign w:val="center"/>
          </w:tcPr>
          <w:p w14:paraId="6AA7ED9A" w14:textId="3895264A" w:rsidR="003C1C23" w:rsidRPr="00EC57FB" w:rsidRDefault="003C1C23" w:rsidP="003C1C23">
            <w:pPr>
              <w:pStyle w:val="TableText0"/>
            </w:pPr>
            <w:r w:rsidRPr="00EC57FB">
              <w:t>Shrestha A., Rajmokan, M., et al. Letter. Impact of 2024 Respiratory Syncytial Virus Immunisation Program in Queensland, Australia</w:t>
            </w:r>
          </w:p>
        </w:tc>
        <w:tc>
          <w:tcPr>
            <w:tcW w:w="1825" w:type="pct"/>
            <w:vAlign w:val="center"/>
          </w:tcPr>
          <w:p w14:paraId="4753183E" w14:textId="043F1E24" w:rsidR="003C1C23" w:rsidRPr="00EC57FB" w:rsidRDefault="003C1C23" w:rsidP="003C1C23">
            <w:pPr>
              <w:pStyle w:val="TableText0"/>
              <w:keepNext w:val="0"/>
              <w:keepLines w:val="0"/>
              <w:rPr>
                <w:szCs w:val="20"/>
              </w:rPr>
            </w:pPr>
            <w:r w:rsidRPr="00EC57FB">
              <w:t>Letter submitted to New England Journal of Medicine on 18 Aug 2024 (Manuscript ID: 24-10507</w:t>
            </w:r>
          </w:p>
        </w:tc>
      </w:tr>
      <w:tr w:rsidR="003C1C23" w:rsidRPr="00EC57FB" w14:paraId="68E89E28" w14:textId="77777777" w:rsidTr="00224F38">
        <w:tc>
          <w:tcPr>
            <w:tcW w:w="696" w:type="pct"/>
            <w:vAlign w:val="center"/>
          </w:tcPr>
          <w:p w14:paraId="7D14A636" w14:textId="6863E335" w:rsidR="003C1C23" w:rsidRPr="00EC57FB" w:rsidRDefault="003C1C23" w:rsidP="003C1C23">
            <w:pPr>
              <w:pStyle w:val="TableText0"/>
              <w:rPr>
                <w:rFonts w:cstheme="minorHAnsi"/>
              </w:rPr>
            </w:pPr>
            <w:r w:rsidRPr="00EC57FB">
              <w:t>New South Wales RSV vulnerable babies’ program</w:t>
            </w:r>
          </w:p>
        </w:tc>
        <w:tc>
          <w:tcPr>
            <w:tcW w:w="2479" w:type="pct"/>
            <w:vAlign w:val="center"/>
          </w:tcPr>
          <w:p w14:paraId="1C3964C6" w14:textId="1F7BD0B0" w:rsidR="003C1C23" w:rsidRPr="00EC57FB" w:rsidRDefault="003C1C23" w:rsidP="003C1C23">
            <w:pPr>
              <w:pStyle w:val="TableText0"/>
            </w:pPr>
            <w:r w:rsidRPr="00EC57FB">
              <w:t>Data extraction (12 Sep 2024) from New South Wales RSV vulnerable babies’ program</w:t>
            </w:r>
          </w:p>
        </w:tc>
        <w:tc>
          <w:tcPr>
            <w:tcW w:w="1825" w:type="pct"/>
            <w:vAlign w:val="center"/>
          </w:tcPr>
          <w:p w14:paraId="60DBBCD8" w14:textId="3170BD50" w:rsidR="003C1C23" w:rsidRPr="00EC57FB" w:rsidRDefault="003C1C23" w:rsidP="003C1C23">
            <w:pPr>
              <w:pStyle w:val="TableText0"/>
              <w:rPr>
                <w:iCs/>
                <w:szCs w:val="20"/>
              </w:rPr>
            </w:pPr>
            <w:r w:rsidRPr="00EC57FB">
              <w:rPr>
                <w:iCs/>
                <w:szCs w:val="20"/>
              </w:rPr>
              <w:t>Unpublished report</w:t>
            </w:r>
          </w:p>
        </w:tc>
      </w:tr>
    </w:tbl>
    <w:p w14:paraId="49A194A6" w14:textId="22954E73" w:rsidR="00C501DF" w:rsidRPr="00EC57FB" w:rsidRDefault="004734A6" w:rsidP="00501E19">
      <w:pPr>
        <w:pStyle w:val="TableFigureFooter"/>
      </w:pPr>
      <w:r w:rsidRPr="00EC57FB">
        <w:t>Source: Table 2.2.1, Table 2.2.2 and Table 2.2.3 on pp45-47 of the resubmission and additional reports identified during the evaluation</w:t>
      </w:r>
    </w:p>
    <w:p w14:paraId="621DAE27" w14:textId="63990F29" w:rsidR="0005333B" w:rsidRPr="00EC57FB" w:rsidRDefault="00E63A67" w:rsidP="00E67D04">
      <w:pPr>
        <w:pStyle w:val="TableFigureFooter"/>
        <w:spacing w:after="120"/>
      </w:pPr>
      <w:r w:rsidRPr="00EC57FB">
        <w:t>Blue shading is indicative of information previously considered by the PBAC</w:t>
      </w:r>
      <w:r w:rsidR="00067A27" w:rsidRPr="00EC57FB">
        <w:t>.</w:t>
      </w:r>
    </w:p>
    <w:p w14:paraId="5ECDF9E1" w14:textId="3DBCAB5A" w:rsidR="002E764A" w:rsidRPr="00EC57FB" w:rsidRDefault="00C501DF" w:rsidP="00C501DF">
      <w:pPr>
        <w:pStyle w:val="Caption"/>
      </w:pPr>
      <w:bookmarkStart w:id="60" w:name="_Ref185177458"/>
      <w:r w:rsidRPr="00EC57FB">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8</w:t>
      </w:r>
      <w:r w:rsidR="00C51E7C" w:rsidRPr="00EC57FB">
        <w:fldChar w:fldCharType="end"/>
      </w:r>
      <w:bookmarkEnd w:id="60"/>
      <w:r w:rsidRPr="00EC57FB">
        <w:t xml:space="preserve">: </w:t>
      </w:r>
      <w:r w:rsidR="00EE133E" w:rsidRPr="00EC57FB">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5"/>
        <w:gridCol w:w="878"/>
        <w:gridCol w:w="1149"/>
        <w:gridCol w:w="774"/>
        <w:gridCol w:w="1701"/>
        <w:gridCol w:w="1843"/>
        <w:gridCol w:w="1367"/>
      </w:tblGrid>
      <w:tr w:rsidR="00A92A57" w:rsidRPr="00EC57FB" w14:paraId="18792F8A" w14:textId="77777777" w:rsidTr="00776D67">
        <w:trPr>
          <w:trHeight w:val="300"/>
          <w:tblHeader/>
        </w:trPr>
        <w:tc>
          <w:tcPr>
            <w:tcW w:w="724" w:type="pct"/>
            <w:vAlign w:val="center"/>
          </w:tcPr>
          <w:p w14:paraId="6DD240DF" w14:textId="100FE477" w:rsidR="008425AE" w:rsidRPr="00EC57FB" w:rsidRDefault="006E379D" w:rsidP="002453D8">
            <w:pPr>
              <w:pStyle w:val="In-tableHeading"/>
              <w:keepNext w:val="0"/>
              <w:keepLines w:val="0"/>
              <w:rPr>
                <w:lang w:val="en-AU"/>
              </w:rPr>
            </w:pPr>
            <w:r w:rsidRPr="00EC57FB">
              <w:rPr>
                <w:lang w:val="en-AU"/>
              </w:rPr>
              <w:t>Trial</w:t>
            </w:r>
          </w:p>
        </w:tc>
        <w:tc>
          <w:tcPr>
            <w:tcW w:w="487" w:type="pct"/>
            <w:vAlign w:val="center"/>
          </w:tcPr>
          <w:p w14:paraId="360FAAB1" w14:textId="77777777" w:rsidR="008425AE" w:rsidRPr="00EC57FB" w:rsidRDefault="008425AE" w:rsidP="002453D8">
            <w:pPr>
              <w:pStyle w:val="In-tableHeading"/>
              <w:keepNext w:val="0"/>
              <w:keepLines w:val="0"/>
              <w:jc w:val="center"/>
              <w:rPr>
                <w:lang w:val="en-AU"/>
              </w:rPr>
            </w:pPr>
            <w:r w:rsidRPr="00EC57FB">
              <w:rPr>
                <w:lang w:val="en-AU"/>
              </w:rPr>
              <w:t>N</w:t>
            </w:r>
          </w:p>
        </w:tc>
        <w:tc>
          <w:tcPr>
            <w:tcW w:w="637" w:type="pct"/>
            <w:vAlign w:val="center"/>
          </w:tcPr>
          <w:p w14:paraId="12140F90" w14:textId="77777777" w:rsidR="008425AE" w:rsidRPr="00EC57FB" w:rsidRDefault="008425AE" w:rsidP="002453D8">
            <w:pPr>
              <w:pStyle w:val="In-tableHeading"/>
              <w:keepNext w:val="0"/>
              <w:keepLines w:val="0"/>
              <w:jc w:val="center"/>
              <w:rPr>
                <w:lang w:val="en-AU"/>
              </w:rPr>
            </w:pPr>
            <w:r w:rsidRPr="00EC57FB">
              <w:rPr>
                <w:lang w:val="en-AU"/>
              </w:rPr>
              <w:t>Design/ duration</w:t>
            </w:r>
          </w:p>
        </w:tc>
        <w:tc>
          <w:tcPr>
            <w:tcW w:w="429" w:type="pct"/>
            <w:vAlign w:val="center"/>
          </w:tcPr>
          <w:p w14:paraId="26A5B0D3" w14:textId="77777777" w:rsidR="008425AE" w:rsidRPr="00EC57FB" w:rsidRDefault="008425AE" w:rsidP="002453D8">
            <w:pPr>
              <w:pStyle w:val="In-tableHeading"/>
              <w:keepNext w:val="0"/>
              <w:keepLines w:val="0"/>
              <w:jc w:val="center"/>
              <w:rPr>
                <w:lang w:val="en-AU"/>
              </w:rPr>
            </w:pPr>
            <w:r w:rsidRPr="00EC57FB">
              <w:rPr>
                <w:lang w:val="en-AU"/>
              </w:rPr>
              <w:t>Risk of bias</w:t>
            </w:r>
          </w:p>
        </w:tc>
        <w:tc>
          <w:tcPr>
            <w:tcW w:w="943" w:type="pct"/>
            <w:vAlign w:val="center"/>
          </w:tcPr>
          <w:p w14:paraId="3D7D5A41" w14:textId="77777777" w:rsidR="008425AE" w:rsidRPr="00EC57FB" w:rsidRDefault="008425AE" w:rsidP="002453D8">
            <w:pPr>
              <w:pStyle w:val="In-tableHeading"/>
              <w:keepNext w:val="0"/>
              <w:keepLines w:val="0"/>
              <w:jc w:val="center"/>
              <w:rPr>
                <w:lang w:val="en-AU"/>
              </w:rPr>
            </w:pPr>
            <w:r w:rsidRPr="00EC57FB">
              <w:rPr>
                <w:lang w:val="en-AU"/>
              </w:rPr>
              <w:t>Patient population</w:t>
            </w:r>
          </w:p>
        </w:tc>
        <w:tc>
          <w:tcPr>
            <w:tcW w:w="1022" w:type="pct"/>
            <w:vAlign w:val="center"/>
          </w:tcPr>
          <w:p w14:paraId="0CFC5405" w14:textId="77777777" w:rsidR="008425AE" w:rsidRPr="00EC57FB" w:rsidRDefault="008425AE" w:rsidP="002453D8">
            <w:pPr>
              <w:pStyle w:val="In-tableHeading"/>
              <w:keepNext w:val="0"/>
              <w:keepLines w:val="0"/>
              <w:jc w:val="center"/>
              <w:rPr>
                <w:lang w:val="en-AU"/>
              </w:rPr>
            </w:pPr>
            <w:r w:rsidRPr="00EC57FB">
              <w:rPr>
                <w:lang w:val="en-AU"/>
              </w:rPr>
              <w:t>Outcome(s)</w:t>
            </w:r>
          </w:p>
        </w:tc>
        <w:tc>
          <w:tcPr>
            <w:tcW w:w="758" w:type="pct"/>
            <w:vAlign w:val="center"/>
          </w:tcPr>
          <w:p w14:paraId="47300694" w14:textId="77777777" w:rsidR="008425AE" w:rsidRPr="00EC57FB" w:rsidRDefault="008425AE" w:rsidP="002453D8">
            <w:pPr>
              <w:pStyle w:val="In-tableHeading"/>
              <w:keepNext w:val="0"/>
              <w:keepLines w:val="0"/>
              <w:jc w:val="center"/>
              <w:rPr>
                <w:lang w:val="en-AU"/>
              </w:rPr>
            </w:pPr>
            <w:r w:rsidRPr="00EC57FB">
              <w:rPr>
                <w:lang w:val="en-AU"/>
              </w:rPr>
              <w:t>Use in modelled evaluation</w:t>
            </w:r>
          </w:p>
        </w:tc>
      </w:tr>
      <w:tr w:rsidR="008425AE" w:rsidRPr="00EC57FB" w14:paraId="2AF0916E" w14:textId="77777777" w:rsidTr="0045203D">
        <w:trPr>
          <w:trHeight w:val="300"/>
        </w:trPr>
        <w:tc>
          <w:tcPr>
            <w:tcW w:w="5000" w:type="pct"/>
            <w:gridSpan w:val="7"/>
            <w:vAlign w:val="center"/>
          </w:tcPr>
          <w:p w14:paraId="7C217774" w14:textId="1514E854" w:rsidR="008425AE" w:rsidRPr="00EC57FB" w:rsidRDefault="008425AE" w:rsidP="002453D8">
            <w:pPr>
              <w:pStyle w:val="In-tableHeading"/>
              <w:keepNext w:val="0"/>
              <w:keepLines w:val="0"/>
              <w:rPr>
                <w:lang w:val="en-AU"/>
              </w:rPr>
            </w:pPr>
            <w:r w:rsidRPr="00EC57FB">
              <w:rPr>
                <w:lang w:val="en-AU"/>
              </w:rPr>
              <w:t>Nirsevimab vs placebo RCTs</w:t>
            </w:r>
          </w:p>
        </w:tc>
      </w:tr>
      <w:tr w:rsidR="00A92A57" w:rsidRPr="00EC57FB" w14:paraId="6BAAED67" w14:textId="77777777" w:rsidTr="00776D67">
        <w:trPr>
          <w:trHeight w:val="300"/>
        </w:trPr>
        <w:tc>
          <w:tcPr>
            <w:tcW w:w="724" w:type="pct"/>
            <w:shd w:val="clear" w:color="auto" w:fill="B8CCE4"/>
            <w:vAlign w:val="center"/>
          </w:tcPr>
          <w:p w14:paraId="6A07FF33" w14:textId="77777777" w:rsidR="008425AE" w:rsidRPr="00EC57FB" w:rsidRDefault="008425AE" w:rsidP="002453D8">
            <w:pPr>
              <w:pStyle w:val="TableText0"/>
              <w:keepNext w:val="0"/>
              <w:keepLines w:val="0"/>
            </w:pPr>
            <w:r w:rsidRPr="00EC57FB">
              <w:t>MELODY</w:t>
            </w:r>
          </w:p>
        </w:tc>
        <w:tc>
          <w:tcPr>
            <w:tcW w:w="487" w:type="pct"/>
            <w:shd w:val="clear" w:color="auto" w:fill="B8CCE4"/>
            <w:vAlign w:val="center"/>
          </w:tcPr>
          <w:p w14:paraId="4FD64A5A" w14:textId="77777777" w:rsidR="008425AE" w:rsidRPr="00EC57FB" w:rsidRDefault="008425AE" w:rsidP="002453D8">
            <w:pPr>
              <w:pStyle w:val="TableText0"/>
              <w:keepNext w:val="0"/>
              <w:keepLines w:val="0"/>
              <w:jc w:val="center"/>
            </w:pPr>
            <w:r w:rsidRPr="00EC57FB">
              <w:t>1,490</w:t>
            </w:r>
          </w:p>
        </w:tc>
        <w:tc>
          <w:tcPr>
            <w:tcW w:w="637" w:type="pct"/>
            <w:shd w:val="clear" w:color="auto" w:fill="B8CCE4"/>
            <w:vAlign w:val="center"/>
          </w:tcPr>
          <w:p w14:paraId="6AEF3E14" w14:textId="77777777" w:rsidR="008425AE" w:rsidRPr="00EC57FB" w:rsidRDefault="008425AE" w:rsidP="002453D8">
            <w:pPr>
              <w:pStyle w:val="TableText0"/>
              <w:keepNext w:val="0"/>
              <w:keepLines w:val="0"/>
              <w:jc w:val="center"/>
            </w:pPr>
            <w:r w:rsidRPr="00EC57FB">
              <w:t>R, DB, MC</w:t>
            </w:r>
          </w:p>
          <w:p w14:paraId="772D67DE" w14:textId="77777777" w:rsidR="008425AE" w:rsidRPr="00EC57FB" w:rsidRDefault="008425AE" w:rsidP="002453D8">
            <w:pPr>
              <w:pStyle w:val="TableText0"/>
              <w:keepNext w:val="0"/>
              <w:keepLines w:val="0"/>
              <w:jc w:val="center"/>
            </w:pPr>
            <w:r w:rsidRPr="00EC57FB">
              <w:t>510 days</w:t>
            </w:r>
          </w:p>
        </w:tc>
        <w:tc>
          <w:tcPr>
            <w:tcW w:w="429" w:type="pct"/>
            <w:shd w:val="clear" w:color="auto" w:fill="B8CCE4"/>
            <w:vAlign w:val="center"/>
          </w:tcPr>
          <w:p w14:paraId="23F6B15A" w14:textId="77777777" w:rsidR="008425AE" w:rsidRPr="00EC57FB" w:rsidRDefault="008425AE" w:rsidP="002453D8">
            <w:pPr>
              <w:pStyle w:val="TableText0"/>
              <w:keepNext w:val="0"/>
              <w:keepLines w:val="0"/>
              <w:jc w:val="center"/>
            </w:pPr>
            <w:r w:rsidRPr="00EC57FB">
              <w:t>low</w:t>
            </w:r>
          </w:p>
        </w:tc>
        <w:tc>
          <w:tcPr>
            <w:tcW w:w="943" w:type="pct"/>
            <w:shd w:val="clear" w:color="auto" w:fill="B8CCE4"/>
            <w:vAlign w:val="center"/>
          </w:tcPr>
          <w:p w14:paraId="49FE8D5B" w14:textId="77777777" w:rsidR="008425AE" w:rsidRPr="00EC57FB" w:rsidRDefault="008425AE" w:rsidP="002453D8">
            <w:pPr>
              <w:pStyle w:val="TableText0"/>
              <w:keepNext w:val="0"/>
              <w:keepLines w:val="0"/>
              <w:jc w:val="center"/>
            </w:pPr>
            <w:r w:rsidRPr="00EC57FB">
              <w:t>Healthy infants in their first year of life and born ≥ 35 weeks 0 days GA and entering their first RSV season</w:t>
            </w:r>
          </w:p>
        </w:tc>
        <w:tc>
          <w:tcPr>
            <w:tcW w:w="1022" w:type="pct"/>
            <w:shd w:val="clear" w:color="auto" w:fill="B8CCE4"/>
            <w:vAlign w:val="center"/>
          </w:tcPr>
          <w:p w14:paraId="4581B6B9" w14:textId="77777777" w:rsidR="008425AE" w:rsidRPr="00EC57FB" w:rsidRDefault="008425AE" w:rsidP="00A369BF">
            <w:pPr>
              <w:pStyle w:val="TableText0"/>
              <w:keepNext w:val="0"/>
              <w:keepLines w:val="0"/>
              <w:numPr>
                <w:ilvl w:val="0"/>
                <w:numId w:val="26"/>
              </w:numPr>
            </w:pPr>
            <w:r w:rsidRPr="00EC57FB">
              <w:t>MA RSV LRTI</w:t>
            </w:r>
          </w:p>
          <w:p w14:paraId="1C4BA8CE" w14:textId="77777777" w:rsidR="008425AE" w:rsidRPr="00EC57FB" w:rsidRDefault="008425AE" w:rsidP="00A369BF">
            <w:pPr>
              <w:pStyle w:val="TableText0"/>
              <w:keepNext w:val="0"/>
              <w:keepLines w:val="0"/>
              <w:numPr>
                <w:ilvl w:val="0"/>
                <w:numId w:val="26"/>
              </w:numPr>
            </w:pPr>
            <w:r w:rsidRPr="00EC57FB">
              <w:t>RSV LRTI-hospitalisations</w:t>
            </w:r>
          </w:p>
          <w:p w14:paraId="1D97B942" w14:textId="77777777" w:rsidR="008425AE" w:rsidRPr="00EC57FB" w:rsidRDefault="008425AE" w:rsidP="00A369BF">
            <w:pPr>
              <w:pStyle w:val="TableText0"/>
              <w:keepNext w:val="0"/>
              <w:keepLines w:val="0"/>
              <w:widowControl w:val="0"/>
              <w:numPr>
                <w:ilvl w:val="0"/>
                <w:numId w:val="26"/>
              </w:numPr>
            </w:pPr>
            <w:r w:rsidRPr="00EC57FB">
              <w:t>Safety and tolerability</w:t>
            </w:r>
          </w:p>
          <w:p w14:paraId="60AAEB52" w14:textId="77777777" w:rsidR="008425AE" w:rsidRPr="00EC57FB" w:rsidRDefault="008425AE" w:rsidP="00A369BF">
            <w:pPr>
              <w:pStyle w:val="TableText0"/>
              <w:keepNext w:val="0"/>
              <w:keepLines w:val="0"/>
              <w:widowControl w:val="0"/>
              <w:numPr>
                <w:ilvl w:val="0"/>
                <w:numId w:val="26"/>
              </w:numPr>
            </w:pPr>
            <w:r w:rsidRPr="00EC57FB">
              <w:t>PK</w:t>
            </w:r>
          </w:p>
          <w:p w14:paraId="18129A88" w14:textId="77777777" w:rsidR="008425AE" w:rsidRPr="00EC57FB" w:rsidRDefault="008425AE" w:rsidP="00A369BF">
            <w:pPr>
              <w:pStyle w:val="TableText0"/>
              <w:keepNext w:val="0"/>
              <w:keepLines w:val="0"/>
              <w:widowControl w:val="0"/>
              <w:numPr>
                <w:ilvl w:val="0"/>
                <w:numId w:val="26"/>
              </w:numPr>
            </w:pPr>
            <w:r w:rsidRPr="00EC57FB">
              <w:t>ADA</w:t>
            </w:r>
          </w:p>
        </w:tc>
        <w:tc>
          <w:tcPr>
            <w:tcW w:w="758" w:type="pct"/>
            <w:shd w:val="clear" w:color="auto" w:fill="B8CCE4"/>
            <w:vAlign w:val="center"/>
          </w:tcPr>
          <w:p w14:paraId="1CBF22E8" w14:textId="77777777" w:rsidR="008425AE" w:rsidRPr="00EC57FB" w:rsidRDefault="008425AE" w:rsidP="002453D8">
            <w:pPr>
              <w:pStyle w:val="TableText0"/>
              <w:keepNext w:val="0"/>
              <w:keepLines w:val="0"/>
              <w:jc w:val="center"/>
            </w:pPr>
            <w:r w:rsidRPr="00EC57FB">
              <w:t>Used</w:t>
            </w:r>
          </w:p>
        </w:tc>
      </w:tr>
      <w:tr w:rsidR="00A92A57" w:rsidRPr="00EC57FB" w14:paraId="6C695345" w14:textId="77777777" w:rsidTr="00776D67">
        <w:trPr>
          <w:trHeight w:val="300"/>
        </w:trPr>
        <w:tc>
          <w:tcPr>
            <w:tcW w:w="724" w:type="pct"/>
            <w:shd w:val="clear" w:color="auto" w:fill="B8CCE4"/>
            <w:vAlign w:val="center"/>
          </w:tcPr>
          <w:p w14:paraId="1762816E" w14:textId="77777777" w:rsidR="008425AE" w:rsidRPr="00EC57FB" w:rsidRDefault="008425AE" w:rsidP="002453D8">
            <w:pPr>
              <w:rPr>
                <w:rFonts w:ascii="Arial Narrow" w:hAnsi="Arial Narrow" w:cstheme="minorBidi"/>
                <w:sz w:val="20"/>
                <w:szCs w:val="20"/>
              </w:rPr>
            </w:pPr>
            <w:r w:rsidRPr="00EC57FB">
              <w:rPr>
                <w:rFonts w:ascii="Arial Narrow" w:hAnsi="Arial Narrow" w:cstheme="minorBidi"/>
                <w:sz w:val="20"/>
                <w:szCs w:val="20"/>
              </w:rPr>
              <w:t>Phase 2b</w:t>
            </w:r>
          </w:p>
          <w:p w14:paraId="390C19ED" w14:textId="77777777" w:rsidR="008425AE" w:rsidRPr="00EC57FB" w:rsidRDefault="008425AE" w:rsidP="002453D8">
            <w:pPr>
              <w:pStyle w:val="TableText0"/>
              <w:keepNext w:val="0"/>
              <w:keepLines w:val="0"/>
              <w:rPr>
                <w:rFonts w:cstheme="minorBidi"/>
              </w:rPr>
            </w:pPr>
            <w:r w:rsidRPr="00EC57FB">
              <w:rPr>
                <w:rFonts w:cstheme="minorBidi"/>
              </w:rPr>
              <w:t>D5290C00003</w:t>
            </w:r>
          </w:p>
        </w:tc>
        <w:tc>
          <w:tcPr>
            <w:tcW w:w="487" w:type="pct"/>
            <w:shd w:val="clear" w:color="auto" w:fill="B8CCE4"/>
            <w:vAlign w:val="center"/>
          </w:tcPr>
          <w:p w14:paraId="204B5F15" w14:textId="77777777" w:rsidR="008425AE" w:rsidRPr="00EC57FB" w:rsidRDefault="008425AE" w:rsidP="002453D8">
            <w:pPr>
              <w:pStyle w:val="TableText0"/>
              <w:keepNext w:val="0"/>
              <w:keepLines w:val="0"/>
              <w:jc w:val="center"/>
            </w:pPr>
            <w:r w:rsidRPr="00EC57FB">
              <w:t>1,453</w:t>
            </w:r>
          </w:p>
        </w:tc>
        <w:tc>
          <w:tcPr>
            <w:tcW w:w="637" w:type="pct"/>
            <w:shd w:val="clear" w:color="auto" w:fill="B8CCE4"/>
            <w:vAlign w:val="center"/>
          </w:tcPr>
          <w:p w14:paraId="068B7522" w14:textId="77777777" w:rsidR="008425AE" w:rsidRPr="00EC57FB" w:rsidRDefault="008425AE" w:rsidP="002453D8">
            <w:pPr>
              <w:pStyle w:val="TableText0"/>
              <w:keepNext w:val="0"/>
              <w:keepLines w:val="0"/>
              <w:jc w:val="center"/>
            </w:pPr>
            <w:r w:rsidRPr="00EC57FB">
              <w:t>R, DB, MC</w:t>
            </w:r>
          </w:p>
          <w:p w14:paraId="2F195E49" w14:textId="77777777" w:rsidR="008425AE" w:rsidRPr="00EC57FB" w:rsidRDefault="008425AE" w:rsidP="002453D8">
            <w:pPr>
              <w:pStyle w:val="TableText0"/>
              <w:keepNext w:val="0"/>
              <w:keepLines w:val="0"/>
              <w:jc w:val="center"/>
            </w:pPr>
            <w:r w:rsidRPr="00EC57FB">
              <w:t>1 year</w:t>
            </w:r>
          </w:p>
        </w:tc>
        <w:tc>
          <w:tcPr>
            <w:tcW w:w="429" w:type="pct"/>
            <w:shd w:val="clear" w:color="auto" w:fill="B8CCE4"/>
            <w:vAlign w:val="center"/>
          </w:tcPr>
          <w:p w14:paraId="7B42F48D" w14:textId="77777777" w:rsidR="008425AE" w:rsidRPr="00EC57FB" w:rsidRDefault="008425AE" w:rsidP="002453D8">
            <w:pPr>
              <w:pStyle w:val="TableText0"/>
              <w:keepNext w:val="0"/>
              <w:keepLines w:val="0"/>
              <w:jc w:val="center"/>
            </w:pPr>
            <w:r w:rsidRPr="00EC57FB">
              <w:t>low</w:t>
            </w:r>
          </w:p>
        </w:tc>
        <w:tc>
          <w:tcPr>
            <w:tcW w:w="943" w:type="pct"/>
            <w:shd w:val="clear" w:color="auto" w:fill="B8CCE4"/>
            <w:vAlign w:val="center"/>
          </w:tcPr>
          <w:p w14:paraId="52ACC3DA" w14:textId="77777777" w:rsidR="008425AE" w:rsidRPr="00EC57FB" w:rsidRDefault="008425AE" w:rsidP="002453D8">
            <w:pPr>
              <w:pStyle w:val="TableText0"/>
              <w:keepNext w:val="0"/>
              <w:keepLines w:val="0"/>
              <w:jc w:val="center"/>
            </w:pPr>
            <w:r w:rsidRPr="00EC57FB">
              <w:t>Healthy preterm infants born between 29 weeks 0 days and 34 weeks 6 days GA.</w:t>
            </w:r>
          </w:p>
        </w:tc>
        <w:tc>
          <w:tcPr>
            <w:tcW w:w="1022" w:type="pct"/>
            <w:shd w:val="clear" w:color="auto" w:fill="B8CCE4"/>
            <w:vAlign w:val="center"/>
          </w:tcPr>
          <w:p w14:paraId="48E25B23" w14:textId="77777777" w:rsidR="008425AE" w:rsidRPr="00EC57FB" w:rsidRDefault="008425AE" w:rsidP="00A369BF">
            <w:pPr>
              <w:pStyle w:val="TableText0"/>
              <w:keepNext w:val="0"/>
              <w:keepLines w:val="0"/>
              <w:numPr>
                <w:ilvl w:val="0"/>
                <w:numId w:val="26"/>
              </w:numPr>
            </w:pPr>
            <w:r w:rsidRPr="00EC57FB">
              <w:t>MA RSV LRTI</w:t>
            </w:r>
          </w:p>
          <w:p w14:paraId="2ECF187F" w14:textId="77777777" w:rsidR="008425AE" w:rsidRPr="00EC57FB" w:rsidRDefault="008425AE" w:rsidP="00A369BF">
            <w:pPr>
              <w:pStyle w:val="TableText0"/>
              <w:keepNext w:val="0"/>
              <w:keepLines w:val="0"/>
              <w:numPr>
                <w:ilvl w:val="0"/>
                <w:numId w:val="26"/>
              </w:numPr>
            </w:pPr>
            <w:r w:rsidRPr="00EC57FB">
              <w:t>RSV LRTI-hospitalisations</w:t>
            </w:r>
          </w:p>
          <w:p w14:paraId="59EB7E40" w14:textId="77777777" w:rsidR="008425AE" w:rsidRPr="00EC57FB" w:rsidRDefault="008425AE" w:rsidP="00A369BF">
            <w:pPr>
              <w:pStyle w:val="TableText0"/>
              <w:keepNext w:val="0"/>
              <w:keepLines w:val="0"/>
              <w:numPr>
                <w:ilvl w:val="0"/>
                <w:numId w:val="26"/>
              </w:numPr>
            </w:pPr>
            <w:r w:rsidRPr="00EC57FB">
              <w:t>Safety and tolerability</w:t>
            </w:r>
          </w:p>
          <w:p w14:paraId="3A574D58" w14:textId="77777777" w:rsidR="008425AE" w:rsidRPr="00EC57FB" w:rsidRDefault="008425AE" w:rsidP="00A369BF">
            <w:pPr>
              <w:pStyle w:val="TableText0"/>
              <w:keepNext w:val="0"/>
              <w:keepLines w:val="0"/>
              <w:numPr>
                <w:ilvl w:val="0"/>
                <w:numId w:val="26"/>
              </w:numPr>
            </w:pPr>
            <w:r w:rsidRPr="00EC57FB">
              <w:t xml:space="preserve">PK </w:t>
            </w:r>
          </w:p>
          <w:p w14:paraId="423EF89E" w14:textId="77777777" w:rsidR="008425AE" w:rsidRPr="00EC57FB" w:rsidRDefault="008425AE" w:rsidP="00A369BF">
            <w:pPr>
              <w:pStyle w:val="TableText0"/>
              <w:keepNext w:val="0"/>
              <w:keepLines w:val="0"/>
              <w:numPr>
                <w:ilvl w:val="0"/>
                <w:numId w:val="26"/>
              </w:numPr>
            </w:pPr>
            <w:r w:rsidRPr="00EC57FB">
              <w:t>ADA</w:t>
            </w:r>
          </w:p>
        </w:tc>
        <w:tc>
          <w:tcPr>
            <w:tcW w:w="758" w:type="pct"/>
            <w:shd w:val="clear" w:color="auto" w:fill="B8CCE4"/>
            <w:vAlign w:val="center"/>
          </w:tcPr>
          <w:p w14:paraId="04D4A277" w14:textId="77777777" w:rsidR="008425AE" w:rsidRPr="00EC57FB" w:rsidRDefault="008425AE" w:rsidP="002453D8">
            <w:pPr>
              <w:pStyle w:val="TableText0"/>
              <w:keepNext w:val="0"/>
              <w:keepLines w:val="0"/>
              <w:jc w:val="center"/>
            </w:pPr>
            <w:r w:rsidRPr="00EC57FB">
              <w:t>Used</w:t>
            </w:r>
          </w:p>
        </w:tc>
      </w:tr>
      <w:tr w:rsidR="00A92A57" w:rsidRPr="00EC57FB" w14:paraId="6E784C7D" w14:textId="77777777" w:rsidTr="00776D67">
        <w:trPr>
          <w:trHeight w:val="300"/>
        </w:trPr>
        <w:tc>
          <w:tcPr>
            <w:tcW w:w="724" w:type="pct"/>
            <w:shd w:val="clear" w:color="auto" w:fill="B8CCE4"/>
            <w:vAlign w:val="center"/>
          </w:tcPr>
          <w:p w14:paraId="1FAC6612" w14:textId="77777777" w:rsidR="008425AE" w:rsidRPr="00EC57FB" w:rsidRDefault="008425AE" w:rsidP="002453D8">
            <w:pPr>
              <w:pStyle w:val="TableText0"/>
              <w:keepNext w:val="0"/>
              <w:keepLines w:val="0"/>
              <w:rPr>
                <w:rFonts w:eastAsia="Arial Narrow" w:cs="Arial Narrow"/>
                <w:bCs w:val="0"/>
                <w:color w:val="000000" w:themeColor="text1"/>
                <w:sz w:val="19"/>
                <w:szCs w:val="19"/>
              </w:rPr>
            </w:pPr>
            <w:r w:rsidRPr="00EC57FB">
              <w:rPr>
                <w:rFonts w:eastAsia="Arial Narrow" w:cs="Arial Narrow"/>
                <w:bCs w:val="0"/>
                <w:color w:val="000000" w:themeColor="text1"/>
                <w:szCs w:val="20"/>
              </w:rPr>
              <w:t>HARMONIE</w:t>
            </w:r>
          </w:p>
        </w:tc>
        <w:tc>
          <w:tcPr>
            <w:tcW w:w="487" w:type="pct"/>
            <w:shd w:val="clear" w:color="auto" w:fill="B8CCE4"/>
            <w:vAlign w:val="center"/>
          </w:tcPr>
          <w:p w14:paraId="33D47883" w14:textId="77777777" w:rsidR="008425AE" w:rsidRPr="00EC57FB" w:rsidRDefault="008425AE" w:rsidP="002453D8">
            <w:pPr>
              <w:pStyle w:val="TableText0"/>
              <w:keepNext w:val="0"/>
              <w:keepLines w:val="0"/>
              <w:jc w:val="center"/>
            </w:pPr>
            <w:r w:rsidRPr="00EC57FB">
              <w:t>8,058</w:t>
            </w:r>
          </w:p>
        </w:tc>
        <w:tc>
          <w:tcPr>
            <w:tcW w:w="637" w:type="pct"/>
            <w:shd w:val="clear" w:color="auto" w:fill="B8CCE4"/>
            <w:vAlign w:val="center"/>
          </w:tcPr>
          <w:p w14:paraId="7920075D"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Pragmatic, R, OL, MC</w:t>
            </w:r>
          </w:p>
          <w:p w14:paraId="5CC76974"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1 year</w:t>
            </w:r>
          </w:p>
        </w:tc>
        <w:tc>
          <w:tcPr>
            <w:tcW w:w="429" w:type="pct"/>
            <w:shd w:val="clear" w:color="auto" w:fill="B8CCE4"/>
            <w:vAlign w:val="center"/>
          </w:tcPr>
          <w:p w14:paraId="69256BEB" w14:textId="77777777" w:rsidR="008425AE" w:rsidRPr="00EC57FB" w:rsidRDefault="008425AE" w:rsidP="002453D8">
            <w:pPr>
              <w:pStyle w:val="TableText0"/>
              <w:keepNext w:val="0"/>
              <w:keepLines w:val="0"/>
              <w:jc w:val="center"/>
            </w:pPr>
            <w:r w:rsidRPr="00EC57FB">
              <w:t>low</w:t>
            </w:r>
          </w:p>
        </w:tc>
        <w:tc>
          <w:tcPr>
            <w:tcW w:w="943" w:type="pct"/>
            <w:shd w:val="clear" w:color="auto" w:fill="B8CCE4"/>
            <w:vAlign w:val="center"/>
          </w:tcPr>
          <w:p w14:paraId="5BA9FBF9" w14:textId="77777777" w:rsidR="008425AE" w:rsidRPr="00EC57FB" w:rsidRDefault="008425AE" w:rsidP="002453D8">
            <w:pPr>
              <w:pStyle w:val="TableText0"/>
              <w:keepNext w:val="0"/>
              <w:keepLines w:val="0"/>
              <w:jc w:val="center"/>
              <w:rPr>
                <w:rFonts w:eastAsia="Arial Narrow" w:cs="Arial Narrow"/>
                <w:bCs w:val="0"/>
                <w:color w:val="000000" w:themeColor="text1"/>
                <w:szCs w:val="20"/>
              </w:rPr>
            </w:pPr>
            <w:r w:rsidRPr="00EC57FB">
              <w:rPr>
                <w:rFonts w:eastAsia="Arial Narrow" w:cs="Arial Narrow"/>
                <w:bCs w:val="0"/>
                <w:color w:val="000000" w:themeColor="text1"/>
                <w:szCs w:val="20"/>
              </w:rPr>
              <w:t xml:space="preserve">Healthy infants, first season of RSV </w:t>
            </w:r>
          </w:p>
        </w:tc>
        <w:tc>
          <w:tcPr>
            <w:tcW w:w="1022" w:type="pct"/>
            <w:shd w:val="clear" w:color="auto" w:fill="B8CCE4"/>
            <w:vAlign w:val="center"/>
          </w:tcPr>
          <w:p w14:paraId="233464FD" w14:textId="77777777" w:rsidR="008425AE" w:rsidRPr="00EC57FB" w:rsidRDefault="008425AE" w:rsidP="00A369BF">
            <w:pPr>
              <w:pStyle w:val="TableText0"/>
              <w:keepNext w:val="0"/>
              <w:keepLines w:val="0"/>
              <w:numPr>
                <w:ilvl w:val="0"/>
                <w:numId w:val="32"/>
              </w:numPr>
            </w:pPr>
            <w:r w:rsidRPr="00EC57FB">
              <w:t>RSV LRTI-hospitalisation</w:t>
            </w:r>
          </w:p>
        </w:tc>
        <w:tc>
          <w:tcPr>
            <w:tcW w:w="758" w:type="pct"/>
            <w:shd w:val="clear" w:color="auto" w:fill="B8CCE4"/>
            <w:vAlign w:val="center"/>
          </w:tcPr>
          <w:p w14:paraId="2C12F61C" w14:textId="77777777" w:rsidR="008425AE" w:rsidRPr="00EC57FB" w:rsidRDefault="008425AE" w:rsidP="002453D8">
            <w:pPr>
              <w:pStyle w:val="TableText0"/>
              <w:keepNext w:val="0"/>
              <w:keepLines w:val="0"/>
              <w:jc w:val="center"/>
            </w:pPr>
            <w:r w:rsidRPr="00EC57FB">
              <w:t>Not used</w:t>
            </w:r>
          </w:p>
        </w:tc>
      </w:tr>
      <w:tr w:rsidR="008425AE" w:rsidRPr="00EC57FB" w14:paraId="6782074E" w14:textId="77777777" w:rsidTr="0045203D">
        <w:trPr>
          <w:trHeight w:val="300"/>
        </w:trPr>
        <w:tc>
          <w:tcPr>
            <w:tcW w:w="5000" w:type="pct"/>
            <w:gridSpan w:val="7"/>
            <w:shd w:val="clear" w:color="auto" w:fill="B8CCE4"/>
            <w:vAlign w:val="center"/>
          </w:tcPr>
          <w:p w14:paraId="181B39B8" w14:textId="3C90ABA0" w:rsidR="008425AE" w:rsidRPr="00EC57FB" w:rsidRDefault="008425AE" w:rsidP="002453D8">
            <w:pPr>
              <w:pStyle w:val="TableText0"/>
              <w:keepNext w:val="0"/>
              <w:keepLines w:val="0"/>
              <w:rPr>
                <w:b/>
              </w:rPr>
            </w:pPr>
            <w:r w:rsidRPr="00EC57FB">
              <w:rPr>
                <w:b/>
              </w:rPr>
              <w:t>Nirsevimab vs palivizumab RCTs</w:t>
            </w:r>
          </w:p>
        </w:tc>
      </w:tr>
      <w:tr w:rsidR="00A92A57" w:rsidRPr="00EC57FB" w14:paraId="07A86FD9" w14:textId="77777777" w:rsidTr="00776D67">
        <w:trPr>
          <w:trHeight w:val="300"/>
        </w:trPr>
        <w:tc>
          <w:tcPr>
            <w:tcW w:w="724" w:type="pct"/>
            <w:shd w:val="clear" w:color="auto" w:fill="B8CCE4"/>
            <w:vAlign w:val="center"/>
          </w:tcPr>
          <w:p w14:paraId="025F35C6" w14:textId="77777777" w:rsidR="008425AE" w:rsidRPr="00EC57FB" w:rsidRDefault="008425AE" w:rsidP="002453D8">
            <w:pPr>
              <w:pStyle w:val="TableText0"/>
              <w:keepNext w:val="0"/>
              <w:keepLines w:val="0"/>
              <w:rPr>
                <w:rFonts w:cstheme="minorBidi"/>
              </w:rPr>
            </w:pPr>
            <w:r w:rsidRPr="00EC57FB">
              <w:rPr>
                <w:rFonts w:cstheme="minorBidi"/>
              </w:rPr>
              <w:t>MEDLEY</w:t>
            </w:r>
          </w:p>
        </w:tc>
        <w:tc>
          <w:tcPr>
            <w:tcW w:w="487" w:type="pct"/>
            <w:shd w:val="clear" w:color="auto" w:fill="B8CCE4"/>
            <w:vAlign w:val="center"/>
          </w:tcPr>
          <w:p w14:paraId="199E98C4" w14:textId="77777777" w:rsidR="008425AE" w:rsidRPr="00EC57FB" w:rsidRDefault="008425AE" w:rsidP="002453D8">
            <w:pPr>
              <w:pStyle w:val="TableText0"/>
              <w:keepNext w:val="0"/>
              <w:keepLines w:val="0"/>
              <w:jc w:val="center"/>
            </w:pPr>
            <w:r w:rsidRPr="00EC57FB">
              <w:t>925</w:t>
            </w:r>
          </w:p>
        </w:tc>
        <w:tc>
          <w:tcPr>
            <w:tcW w:w="637" w:type="pct"/>
            <w:shd w:val="clear" w:color="auto" w:fill="B8CCE4"/>
            <w:vAlign w:val="center"/>
          </w:tcPr>
          <w:p w14:paraId="745754A5" w14:textId="77777777" w:rsidR="008425AE" w:rsidRPr="00EC57FB" w:rsidRDefault="008425AE" w:rsidP="002453D8">
            <w:pPr>
              <w:pStyle w:val="TableText0"/>
              <w:keepNext w:val="0"/>
              <w:keepLines w:val="0"/>
              <w:jc w:val="center"/>
            </w:pPr>
            <w:r w:rsidRPr="00EC57FB">
              <w:t>R, DB, MC</w:t>
            </w:r>
          </w:p>
          <w:p w14:paraId="55572CAF" w14:textId="77777777" w:rsidR="008425AE" w:rsidRPr="00EC57FB" w:rsidRDefault="008425AE" w:rsidP="002453D8">
            <w:pPr>
              <w:pStyle w:val="TableText0"/>
              <w:keepNext w:val="0"/>
              <w:keepLines w:val="0"/>
              <w:jc w:val="center"/>
            </w:pPr>
            <w:r w:rsidRPr="00EC57FB">
              <w:t>2 years</w:t>
            </w:r>
          </w:p>
        </w:tc>
        <w:tc>
          <w:tcPr>
            <w:tcW w:w="429" w:type="pct"/>
            <w:shd w:val="clear" w:color="auto" w:fill="B8CCE4"/>
            <w:vAlign w:val="center"/>
          </w:tcPr>
          <w:p w14:paraId="0C5A2166" w14:textId="77777777" w:rsidR="008425AE" w:rsidRPr="00EC57FB" w:rsidRDefault="008425AE" w:rsidP="002453D8">
            <w:pPr>
              <w:pStyle w:val="TableText0"/>
              <w:keepNext w:val="0"/>
              <w:keepLines w:val="0"/>
              <w:jc w:val="center"/>
            </w:pPr>
            <w:r w:rsidRPr="00EC57FB">
              <w:t>low</w:t>
            </w:r>
          </w:p>
        </w:tc>
        <w:tc>
          <w:tcPr>
            <w:tcW w:w="943" w:type="pct"/>
            <w:shd w:val="clear" w:color="auto" w:fill="B8CCE4"/>
            <w:vAlign w:val="center"/>
          </w:tcPr>
          <w:p w14:paraId="00D06BCF" w14:textId="77777777" w:rsidR="0054159A" w:rsidRPr="00EC57FB" w:rsidRDefault="008425AE" w:rsidP="002453D8">
            <w:pPr>
              <w:pStyle w:val="TableText0"/>
              <w:keepNext w:val="0"/>
              <w:keepLines w:val="0"/>
              <w:jc w:val="center"/>
            </w:pPr>
            <w:r w:rsidRPr="00EC57FB">
              <w:t xml:space="preserve">Preterm infants in their first year of life and born </w:t>
            </w:r>
            <w:r w:rsidR="0054159A" w:rsidRPr="00EC57FB">
              <w:t>≤ 35 weeks 0 days gestational age without CHD or CLD entering their first RSV season</w:t>
            </w:r>
          </w:p>
          <w:p w14:paraId="56C48757" w14:textId="77777777" w:rsidR="0054159A" w:rsidRPr="00EC57FB" w:rsidRDefault="0054159A" w:rsidP="002453D8">
            <w:pPr>
              <w:pStyle w:val="TableText0"/>
              <w:keepNext w:val="0"/>
              <w:keepLines w:val="0"/>
              <w:jc w:val="center"/>
            </w:pPr>
            <w:r w:rsidRPr="00EC57FB">
              <w:t>(preterm cohort) and children with CLD and/or CHD entering their first RSV season</w:t>
            </w:r>
          </w:p>
          <w:p w14:paraId="78C00823" w14:textId="782218E4" w:rsidR="008425AE" w:rsidRPr="00EC57FB" w:rsidRDefault="0054159A" w:rsidP="002453D8">
            <w:pPr>
              <w:pStyle w:val="TableText0"/>
              <w:keepNext w:val="0"/>
              <w:keepLines w:val="0"/>
              <w:jc w:val="center"/>
            </w:pPr>
            <w:r w:rsidRPr="00EC57FB">
              <w:lastRenderedPageBreak/>
              <w:t xml:space="preserve">(CLD/CHD cohort) </w:t>
            </w:r>
            <w:r w:rsidR="008425AE" w:rsidRPr="00EC57FB">
              <w:t>eligible to receive palivizumab and infants in their first year of life</w:t>
            </w:r>
          </w:p>
        </w:tc>
        <w:tc>
          <w:tcPr>
            <w:tcW w:w="1022" w:type="pct"/>
            <w:shd w:val="clear" w:color="auto" w:fill="B8CCE4"/>
            <w:vAlign w:val="center"/>
          </w:tcPr>
          <w:p w14:paraId="7A052EDB" w14:textId="77777777" w:rsidR="008425AE" w:rsidRPr="00EC57FB" w:rsidRDefault="008425AE" w:rsidP="00A369BF">
            <w:pPr>
              <w:pStyle w:val="TableText0"/>
              <w:keepNext w:val="0"/>
              <w:keepLines w:val="0"/>
              <w:numPr>
                <w:ilvl w:val="0"/>
                <w:numId w:val="26"/>
              </w:numPr>
            </w:pPr>
            <w:r w:rsidRPr="00EC57FB">
              <w:lastRenderedPageBreak/>
              <w:t>MA RSV LRTI</w:t>
            </w:r>
          </w:p>
          <w:p w14:paraId="33E38969" w14:textId="77777777" w:rsidR="008425AE" w:rsidRPr="00EC57FB" w:rsidRDefault="008425AE" w:rsidP="00A369BF">
            <w:pPr>
              <w:pStyle w:val="TableText0"/>
              <w:keepNext w:val="0"/>
              <w:keepLines w:val="0"/>
              <w:numPr>
                <w:ilvl w:val="0"/>
                <w:numId w:val="26"/>
              </w:numPr>
            </w:pPr>
            <w:r w:rsidRPr="00EC57FB">
              <w:t>Safety and tolerability</w:t>
            </w:r>
          </w:p>
          <w:p w14:paraId="3B1B52BE" w14:textId="77777777" w:rsidR="008425AE" w:rsidRPr="00EC57FB" w:rsidRDefault="008425AE" w:rsidP="00A369BF">
            <w:pPr>
              <w:pStyle w:val="TableText0"/>
              <w:keepNext w:val="0"/>
              <w:keepLines w:val="0"/>
              <w:numPr>
                <w:ilvl w:val="0"/>
                <w:numId w:val="26"/>
              </w:numPr>
            </w:pPr>
            <w:r w:rsidRPr="00EC57FB">
              <w:t xml:space="preserve">PK </w:t>
            </w:r>
          </w:p>
          <w:p w14:paraId="22421572" w14:textId="77777777" w:rsidR="008425AE" w:rsidRPr="00EC57FB" w:rsidRDefault="008425AE" w:rsidP="00A369BF">
            <w:pPr>
              <w:pStyle w:val="TableText0"/>
              <w:keepNext w:val="0"/>
              <w:keepLines w:val="0"/>
              <w:numPr>
                <w:ilvl w:val="0"/>
                <w:numId w:val="26"/>
              </w:numPr>
            </w:pPr>
            <w:r w:rsidRPr="00EC57FB">
              <w:t>ADA</w:t>
            </w:r>
          </w:p>
          <w:p w14:paraId="5C3D88C2" w14:textId="77777777" w:rsidR="008425AE" w:rsidRPr="00EC57FB" w:rsidRDefault="008425AE" w:rsidP="002453D8">
            <w:pPr>
              <w:pStyle w:val="TableText0"/>
              <w:keepNext w:val="0"/>
              <w:keepLines w:val="0"/>
              <w:jc w:val="center"/>
            </w:pPr>
          </w:p>
        </w:tc>
        <w:tc>
          <w:tcPr>
            <w:tcW w:w="758" w:type="pct"/>
            <w:shd w:val="clear" w:color="auto" w:fill="B8CCE4"/>
            <w:vAlign w:val="center"/>
          </w:tcPr>
          <w:p w14:paraId="3FB46C38" w14:textId="77777777" w:rsidR="008425AE" w:rsidRPr="00EC57FB" w:rsidRDefault="008425AE" w:rsidP="002453D8">
            <w:pPr>
              <w:pStyle w:val="TableText0"/>
              <w:keepNext w:val="0"/>
              <w:keepLines w:val="0"/>
              <w:jc w:val="center"/>
            </w:pPr>
            <w:r w:rsidRPr="00EC57FB">
              <w:t>Not used</w:t>
            </w:r>
          </w:p>
        </w:tc>
      </w:tr>
      <w:tr w:rsidR="008425AE" w:rsidRPr="00EC57FB" w14:paraId="5D6D19DD" w14:textId="77777777" w:rsidTr="0045203D">
        <w:trPr>
          <w:trHeight w:val="300"/>
        </w:trPr>
        <w:tc>
          <w:tcPr>
            <w:tcW w:w="5000" w:type="pct"/>
            <w:gridSpan w:val="7"/>
            <w:vAlign w:val="center"/>
          </w:tcPr>
          <w:p w14:paraId="63D78097" w14:textId="5FE90D5D" w:rsidR="008425AE" w:rsidRPr="00EC57FB" w:rsidRDefault="008425AE" w:rsidP="002453D8">
            <w:pPr>
              <w:pStyle w:val="TableText0"/>
              <w:keepNext w:val="0"/>
              <w:keepLines w:val="0"/>
              <w:rPr>
                <w:b/>
              </w:rPr>
            </w:pPr>
            <w:r w:rsidRPr="00EC57FB">
              <w:rPr>
                <w:b/>
              </w:rPr>
              <w:t>RSVpreF vaccine vs placebo RCTs</w:t>
            </w:r>
          </w:p>
        </w:tc>
      </w:tr>
      <w:tr w:rsidR="00A92A57" w:rsidRPr="00EC57FB" w14:paraId="6B709658" w14:textId="77777777" w:rsidTr="00776D67">
        <w:trPr>
          <w:trHeight w:val="794"/>
        </w:trPr>
        <w:tc>
          <w:tcPr>
            <w:tcW w:w="724" w:type="pct"/>
            <w:shd w:val="clear" w:color="auto" w:fill="B8CCE4"/>
            <w:vAlign w:val="center"/>
          </w:tcPr>
          <w:p w14:paraId="3D861A89" w14:textId="77777777" w:rsidR="008425AE" w:rsidRPr="00EC57FB" w:rsidRDefault="008425AE" w:rsidP="002453D8">
            <w:pPr>
              <w:pStyle w:val="TableText0"/>
              <w:keepNext w:val="0"/>
              <w:keepLines w:val="0"/>
              <w:rPr>
                <w:rFonts w:cstheme="minorBidi"/>
              </w:rPr>
            </w:pPr>
            <w:r w:rsidRPr="00EC57FB">
              <w:rPr>
                <w:rFonts w:cstheme="minorBidi"/>
              </w:rPr>
              <w:t>MATISSE</w:t>
            </w:r>
          </w:p>
        </w:tc>
        <w:tc>
          <w:tcPr>
            <w:tcW w:w="487" w:type="pct"/>
            <w:shd w:val="clear" w:color="auto" w:fill="B8CCE4"/>
            <w:vAlign w:val="center"/>
          </w:tcPr>
          <w:p w14:paraId="5CB4DF25" w14:textId="77777777" w:rsidR="008425AE" w:rsidRPr="00EC57FB" w:rsidRDefault="008425AE" w:rsidP="002453D8">
            <w:pPr>
              <w:pStyle w:val="TableText0"/>
              <w:keepNext w:val="0"/>
              <w:keepLines w:val="0"/>
              <w:jc w:val="center"/>
            </w:pPr>
            <w:r w:rsidRPr="00EC57FB">
              <w:t>7,392</w:t>
            </w:r>
          </w:p>
        </w:tc>
        <w:tc>
          <w:tcPr>
            <w:tcW w:w="637" w:type="pct"/>
            <w:shd w:val="clear" w:color="auto" w:fill="B8CCE4"/>
            <w:vAlign w:val="center"/>
          </w:tcPr>
          <w:p w14:paraId="21E1856E" w14:textId="77777777" w:rsidR="008425AE" w:rsidRPr="00EC57FB" w:rsidRDefault="008425AE" w:rsidP="002453D8">
            <w:pPr>
              <w:pStyle w:val="TableText0"/>
              <w:keepNext w:val="0"/>
              <w:keepLines w:val="0"/>
              <w:jc w:val="center"/>
            </w:pPr>
            <w:r w:rsidRPr="00EC57FB">
              <w:t>R, DB, MC</w:t>
            </w:r>
          </w:p>
          <w:p w14:paraId="63C89185" w14:textId="77777777" w:rsidR="008425AE" w:rsidRPr="00EC57FB" w:rsidRDefault="008425AE" w:rsidP="002453D8">
            <w:pPr>
              <w:pStyle w:val="TableText0"/>
              <w:keepNext w:val="0"/>
              <w:keepLines w:val="0"/>
              <w:jc w:val="center"/>
            </w:pPr>
            <w:r w:rsidRPr="00EC57FB">
              <w:t>2 years</w:t>
            </w:r>
          </w:p>
        </w:tc>
        <w:tc>
          <w:tcPr>
            <w:tcW w:w="429" w:type="pct"/>
            <w:shd w:val="clear" w:color="auto" w:fill="B8CCE4"/>
            <w:vAlign w:val="center"/>
          </w:tcPr>
          <w:p w14:paraId="20837CE0" w14:textId="77777777" w:rsidR="008425AE" w:rsidRPr="00EC57FB" w:rsidRDefault="008425AE" w:rsidP="002453D8">
            <w:pPr>
              <w:pStyle w:val="TableText0"/>
              <w:keepNext w:val="0"/>
              <w:keepLines w:val="0"/>
              <w:jc w:val="center"/>
            </w:pPr>
            <w:r w:rsidRPr="00EC57FB">
              <w:t>low</w:t>
            </w:r>
          </w:p>
        </w:tc>
        <w:tc>
          <w:tcPr>
            <w:tcW w:w="943" w:type="pct"/>
            <w:shd w:val="clear" w:color="auto" w:fill="B8CCE4"/>
            <w:vAlign w:val="center"/>
          </w:tcPr>
          <w:p w14:paraId="6F5A63E1" w14:textId="77777777" w:rsidR="008425AE" w:rsidRPr="00EC57FB" w:rsidRDefault="008425AE" w:rsidP="002453D8">
            <w:pPr>
              <w:pStyle w:val="TableText0"/>
              <w:keepNext w:val="0"/>
              <w:keepLines w:val="0"/>
              <w:jc w:val="center"/>
            </w:pPr>
            <w:r w:rsidRPr="00EC57FB">
              <w:t>Pregnant women between 24 – 36 weeks GA.</w:t>
            </w:r>
          </w:p>
        </w:tc>
        <w:tc>
          <w:tcPr>
            <w:tcW w:w="1022" w:type="pct"/>
            <w:shd w:val="clear" w:color="auto" w:fill="B8CCE4"/>
            <w:vAlign w:val="center"/>
          </w:tcPr>
          <w:p w14:paraId="79B6AC04" w14:textId="77777777" w:rsidR="008425AE" w:rsidRPr="00EC57FB" w:rsidRDefault="008425AE" w:rsidP="00A369BF">
            <w:pPr>
              <w:pStyle w:val="TableText0"/>
              <w:keepNext w:val="0"/>
              <w:keepLines w:val="0"/>
              <w:numPr>
                <w:ilvl w:val="0"/>
                <w:numId w:val="26"/>
              </w:numPr>
            </w:pPr>
            <w:r w:rsidRPr="00EC57FB">
              <w:t>MA-LRTI</w:t>
            </w:r>
          </w:p>
          <w:p w14:paraId="6FF20A44" w14:textId="77777777" w:rsidR="008425AE" w:rsidRPr="00EC57FB" w:rsidRDefault="008425AE" w:rsidP="00A369BF">
            <w:pPr>
              <w:pStyle w:val="TableText0"/>
              <w:keepNext w:val="0"/>
              <w:keepLines w:val="0"/>
              <w:numPr>
                <w:ilvl w:val="0"/>
                <w:numId w:val="26"/>
              </w:numPr>
            </w:pPr>
            <w:r w:rsidRPr="00EC57FB">
              <w:t>Severe MA-LRTI</w:t>
            </w:r>
          </w:p>
        </w:tc>
        <w:tc>
          <w:tcPr>
            <w:tcW w:w="758" w:type="pct"/>
            <w:shd w:val="clear" w:color="auto" w:fill="B8CCE4"/>
            <w:vAlign w:val="center"/>
          </w:tcPr>
          <w:p w14:paraId="3380B370" w14:textId="77777777" w:rsidR="008425AE" w:rsidRPr="00EC57FB" w:rsidRDefault="008425AE" w:rsidP="002453D8">
            <w:pPr>
              <w:pStyle w:val="TableText0"/>
              <w:keepNext w:val="0"/>
              <w:keepLines w:val="0"/>
              <w:jc w:val="center"/>
            </w:pPr>
            <w:r w:rsidRPr="00EC57FB">
              <w:t>Used</w:t>
            </w:r>
          </w:p>
        </w:tc>
      </w:tr>
      <w:tr w:rsidR="008425AE" w:rsidRPr="00EC57FB" w14:paraId="36C16F03" w14:textId="77777777" w:rsidTr="0045203D">
        <w:trPr>
          <w:trHeight w:val="300"/>
        </w:trPr>
        <w:tc>
          <w:tcPr>
            <w:tcW w:w="5000" w:type="pct"/>
            <w:gridSpan w:val="7"/>
            <w:vAlign w:val="center"/>
          </w:tcPr>
          <w:p w14:paraId="594492D2" w14:textId="77777777" w:rsidR="008425AE" w:rsidRPr="00EC57FB" w:rsidRDefault="008425AE" w:rsidP="002453D8">
            <w:pPr>
              <w:pStyle w:val="TableText0"/>
              <w:keepNext w:val="0"/>
              <w:keepLines w:val="0"/>
              <w:rPr>
                <w:rFonts w:eastAsia="MS Gothic" w:cs="Calibri"/>
                <w:b/>
              </w:rPr>
            </w:pPr>
            <w:r w:rsidRPr="00EC57FB">
              <w:rPr>
                <w:rFonts w:eastAsia="MS Gothic" w:cs="Calibri"/>
                <w:b/>
              </w:rPr>
              <w:t>Meta-analyses of nirsevimab vs placebo</w:t>
            </w:r>
          </w:p>
        </w:tc>
      </w:tr>
      <w:tr w:rsidR="00A92A57" w:rsidRPr="00EC57FB" w14:paraId="054CC23C" w14:textId="77777777" w:rsidTr="00776D67">
        <w:trPr>
          <w:trHeight w:val="300"/>
        </w:trPr>
        <w:tc>
          <w:tcPr>
            <w:tcW w:w="724" w:type="pct"/>
            <w:shd w:val="clear" w:color="auto" w:fill="B8CCE4"/>
            <w:vAlign w:val="center"/>
          </w:tcPr>
          <w:p w14:paraId="35CC8F12" w14:textId="77777777" w:rsidR="008425AE" w:rsidRPr="00EC57FB" w:rsidRDefault="008425AE" w:rsidP="002453D8">
            <w:pPr>
              <w:pStyle w:val="TableText0"/>
              <w:keepNext w:val="0"/>
              <w:keepLines w:val="0"/>
              <w:rPr>
                <w:rFonts w:eastAsia="Arial Narrow" w:cs="Arial Narrow"/>
                <w:bCs w:val="0"/>
                <w:color w:val="000000" w:themeColor="text1"/>
                <w:szCs w:val="20"/>
              </w:rPr>
            </w:pPr>
            <w:r w:rsidRPr="00EC57FB">
              <w:rPr>
                <w:rFonts w:eastAsia="Arial Narrow" w:cs="Arial Narrow"/>
                <w:bCs w:val="0"/>
                <w:color w:val="000000" w:themeColor="text1"/>
                <w:szCs w:val="20"/>
              </w:rPr>
              <w:t>Simões 2023</w:t>
            </w:r>
          </w:p>
        </w:tc>
        <w:tc>
          <w:tcPr>
            <w:tcW w:w="487" w:type="pct"/>
            <w:shd w:val="clear" w:color="auto" w:fill="B8CCE4"/>
            <w:vAlign w:val="center"/>
          </w:tcPr>
          <w:p w14:paraId="03997C3C" w14:textId="77777777" w:rsidR="008425AE" w:rsidRPr="00EC57FB" w:rsidRDefault="008425AE" w:rsidP="002453D8">
            <w:pPr>
              <w:pStyle w:val="TableText0"/>
              <w:keepNext w:val="0"/>
              <w:keepLines w:val="0"/>
              <w:jc w:val="center"/>
            </w:pPr>
            <w:r w:rsidRPr="00EC57FB">
              <w:t>2,350</w:t>
            </w:r>
          </w:p>
        </w:tc>
        <w:tc>
          <w:tcPr>
            <w:tcW w:w="637" w:type="pct"/>
            <w:shd w:val="clear" w:color="auto" w:fill="B8CCE4"/>
            <w:vAlign w:val="center"/>
          </w:tcPr>
          <w:p w14:paraId="323FC358" w14:textId="77777777" w:rsidR="008425AE" w:rsidRPr="00EC57FB" w:rsidRDefault="008425AE" w:rsidP="002453D8">
            <w:pPr>
              <w:pStyle w:val="TableText0"/>
              <w:keepNext w:val="0"/>
              <w:keepLines w:val="0"/>
              <w:jc w:val="center"/>
              <w:rPr>
                <w:rFonts w:eastAsia="Arial Narrow" w:cs="Arial Narrow"/>
                <w:bCs w:val="0"/>
                <w:color w:val="000000" w:themeColor="text1"/>
                <w:szCs w:val="20"/>
              </w:rPr>
            </w:pPr>
            <w:r w:rsidRPr="00EC57FB">
              <w:rPr>
                <w:rFonts w:eastAsia="Arial Narrow" w:cs="Arial Narrow"/>
                <w:bCs w:val="0"/>
                <w:color w:val="000000" w:themeColor="text1"/>
                <w:szCs w:val="20"/>
              </w:rPr>
              <w:t xml:space="preserve">Meta-analysis of MELODY &amp; Phase </w:t>
            </w:r>
            <w:r w:rsidRPr="00EC57FB">
              <w:rPr>
                <w:rFonts w:cstheme="minorBidi"/>
                <w:szCs w:val="20"/>
              </w:rPr>
              <w:t>2</w:t>
            </w:r>
            <w:r w:rsidRPr="00EC57FB">
              <w:rPr>
                <w:rFonts w:eastAsia="Arial Narrow" w:cs="Arial Narrow"/>
                <w:bCs w:val="0"/>
                <w:color w:val="000000" w:themeColor="text1"/>
                <w:szCs w:val="20"/>
              </w:rPr>
              <w:t>b</w:t>
            </w:r>
            <w:r w:rsidRPr="00EC57FB">
              <w:rPr>
                <w:rFonts w:eastAsia="Arial Narrow" w:cs="Arial Narrow"/>
                <w:bCs w:val="0"/>
                <w:color w:val="000000" w:themeColor="text1"/>
                <w:szCs w:val="20"/>
                <w:vertAlign w:val="superscript"/>
              </w:rPr>
              <w:t>a</w:t>
            </w:r>
            <w:r w:rsidRPr="00EC57FB">
              <w:rPr>
                <w:rFonts w:eastAsia="Arial Narrow" w:cs="Arial Narrow"/>
                <w:bCs w:val="0"/>
                <w:color w:val="000000" w:themeColor="text1"/>
                <w:szCs w:val="20"/>
              </w:rPr>
              <w:t xml:space="preserve"> </w:t>
            </w:r>
          </w:p>
        </w:tc>
        <w:tc>
          <w:tcPr>
            <w:tcW w:w="429" w:type="pct"/>
            <w:shd w:val="clear" w:color="auto" w:fill="B8CCE4"/>
            <w:vAlign w:val="center"/>
          </w:tcPr>
          <w:p w14:paraId="5335CDA0" w14:textId="77777777" w:rsidR="008425AE" w:rsidRPr="00EC57FB" w:rsidRDefault="008425AE" w:rsidP="002453D8">
            <w:pPr>
              <w:pStyle w:val="TableText0"/>
              <w:keepNext w:val="0"/>
              <w:keepLines w:val="0"/>
              <w:jc w:val="center"/>
              <w:rPr>
                <w:highlight w:val="yellow"/>
              </w:rPr>
            </w:pPr>
            <w:r w:rsidRPr="00EC57FB">
              <w:t>low</w:t>
            </w:r>
          </w:p>
        </w:tc>
        <w:tc>
          <w:tcPr>
            <w:tcW w:w="943" w:type="pct"/>
            <w:shd w:val="clear" w:color="auto" w:fill="B8CCE4"/>
            <w:vAlign w:val="center"/>
          </w:tcPr>
          <w:p w14:paraId="521E57FA"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Infants from the phase 2b</w:t>
            </w:r>
            <w:r w:rsidRPr="00EC57FB">
              <w:rPr>
                <w:rFonts w:eastAsia="Arial Narrow" w:cs="Arial Narrow"/>
                <w:bCs w:val="0"/>
                <w:color w:val="000000" w:themeColor="text1"/>
                <w:sz w:val="19"/>
                <w:szCs w:val="19"/>
                <w:vertAlign w:val="superscript"/>
              </w:rPr>
              <w:t>a</w:t>
            </w:r>
            <w:r w:rsidRPr="00EC57FB">
              <w:rPr>
                <w:rFonts w:eastAsia="Arial Narrow" w:cs="Arial Narrow"/>
                <w:bCs w:val="0"/>
                <w:color w:val="000000" w:themeColor="text1"/>
                <w:sz w:val="19"/>
                <w:szCs w:val="19"/>
              </w:rPr>
              <w:t xml:space="preserve"> and MELODY trials</w:t>
            </w:r>
          </w:p>
        </w:tc>
        <w:tc>
          <w:tcPr>
            <w:tcW w:w="1022" w:type="pct"/>
            <w:shd w:val="clear" w:color="auto" w:fill="B8CCE4"/>
            <w:vAlign w:val="center"/>
          </w:tcPr>
          <w:p w14:paraId="7121FE64" w14:textId="77777777" w:rsidR="008425AE" w:rsidRPr="00EC57FB" w:rsidRDefault="008425AE" w:rsidP="00A369BF">
            <w:pPr>
              <w:pStyle w:val="TableText0"/>
              <w:keepNext w:val="0"/>
              <w:keepLines w:val="0"/>
              <w:numPr>
                <w:ilvl w:val="0"/>
                <w:numId w:val="33"/>
              </w:numPr>
            </w:pPr>
            <w:r w:rsidRPr="00EC57FB">
              <w:t xml:space="preserve">MA RSV LRTI </w:t>
            </w:r>
          </w:p>
        </w:tc>
        <w:tc>
          <w:tcPr>
            <w:tcW w:w="758" w:type="pct"/>
            <w:shd w:val="clear" w:color="auto" w:fill="B8CCE4"/>
            <w:vAlign w:val="center"/>
          </w:tcPr>
          <w:p w14:paraId="402923BC" w14:textId="77777777" w:rsidR="008425AE" w:rsidRPr="00EC57FB" w:rsidRDefault="008425AE" w:rsidP="002453D8">
            <w:pPr>
              <w:pStyle w:val="TableText0"/>
              <w:keepNext w:val="0"/>
              <w:keepLines w:val="0"/>
              <w:jc w:val="center"/>
            </w:pPr>
            <w:r w:rsidRPr="00EC57FB">
              <w:t>Used</w:t>
            </w:r>
          </w:p>
        </w:tc>
      </w:tr>
      <w:tr w:rsidR="00A92A57" w:rsidRPr="00EC57FB" w14:paraId="67206888" w14:textId="77777777" w:rsidTr="00776D67">
        <w:trPr>
          <w:trHeight w:val="300"/>
        </w:trPr>
        <w:tc>
          <w:tcPr>
            <w:tcW w:w="724" w:type="pct"/>
            <w:shd w:val="clear" w:color="auto" w:fill="B8CCE4"/>
            <w:vAlign w:val="center"/>
          </w:tcPr>
          <w:p w14:paraId="6CC43097" w14:textId="77777777" w:rsidR="008425AE" w:rsidRPr="00EC57FB" w:rsidRDefault="008425AE" w:rsidP="002453D8">
            <w:pPr>
              <w:pStyle w:val="TableText0"/>
              <w:keepNext w:val="0"/>
              <w:keepLines w:val="0"/>
            </w:pPr>
            <w:r w:rsidRPr="00EC57FB">
              <w:rPr>
                <w:rFonts w:eastAsia="Arial Narrow" w:cs="Arial Narrow"/>
                <w:bCs w:val="0"/>
                <w:color w:val="000000" w:themeColor="text1"/>
                <w:sz w:val="19"/>
                <w:szCs w:val="19"/>
              </w:rPr>
              <w:t>Turalde-Mapili 2023</w:t>
            </w:r>
          </w:p>
        </w:tc>
        <w:tc>
          <w:tcPr>
            <w:tcW w:w="487" w:type="pct"/>
            <w:shd w:val="clear" w:color="auto" w:fill="B8CCE4"/>
            <w:vAlign w:val="center"/>
          </w:tcPr>
          <w:p w14:paraId="3D8904EB" w14:textId="77777777" w:rsidR="008425AE" w:rsidRPr="00EC57FB" w:rsidRDefault="008425AE" w:rsidP="002453D8">
            <w:pPr>
              <w:pStyle w:val="TableText0"/>
              <w:keepNext w:val="0"/>
              <w:keepLines w:val="0"/>
              <w:jc w:val="center"/>
            </w:pPr>
            <w:r w:rsidRPr="00EC57FB">
              <w:t>2,943</w:t>
            </w:r>
          </w:p>
        </w:tc>
        <w:tc>
          <w:tcPr>
            <w:tcW w:w="637" w:type="pct"/>
            <w:shd w:val="clear" w:color="auto" w:fill="B8CCE4"/>
            <w:vAlign w:val="center"/>
          </w:tcPr>
          <w:p w14:paraId="4C8E9325" w14:textId="77777777" w:rsidR="008425AE" w:rsidRPr="00EC57FB" w:rsidRDefault="008425AE" w:rsidP="002453D8">
            <w:pPr>
              <w:pStyle w:val="TableText0"/>
              <w:keepNext w:val="0"/>
              <w:keepLines w:val="0"/>
              <w:jc w:val="center"/>
            </w:pPr>
            <w:r w:rsidRPr="00EC57FB">
              <w:rPr>
                <w:rFonts w:eastAsia="Arial Narrow" w:cs="Arial Narrow"/>
                <w:bCs w:val="0"/>
                <w:color w:val="000000" w:themeColor="text1"/>
                <w:szCs w:val="20"/>
              </w:rPr>
              <w:t xml:space="preserve">Meta-analysis of </w:t>
            </w:r>
            <w:r w:rsidRPr="00EC57FB">
              <w:rPr>
                <w:rFonts w:eastAsia="Arial Narrow" w:cs="Arial Narrow"/>
                <w:bCs w:val="0"/>
                <w:color w:val="000000" w:themeColor="text1"/>
                <w:sz w:val="19"/>
                <w:szCs w:val="19"/>
              </w:rPr>
              <w:t>MELODY &amp; Phase 2b</w:t>
            </w:r>
            <w:r w:rsidRPr="00EC57FB">
              <w:rPr>
                <w:rFonts w:eastAsia="Arial Narrow" w:cs="Arial Narrow"/>
                <w:bCs w:val="0"/>
                <w:color w:val="000000" w:themeColor="text1"/>
                <w:sz w:val="19"/>
                <w:szCs w:val="19"/>
                <w:vertAlign w:val="superscript"/>
              </w:rPr>
              <w:t>b</w:t>
            </w:r>
          </w:p>
        </w:tc>
        <w:tc>
          <w:tcPr>
            <w:tcW w:w="429" w:type="pct"/>
            <w:shd w:val="clear" w:color="auto" w:fill="B8CCE4"/>
            <w:vAlign w:val="center"/>
          </w:tcPr>
          <w:p w14:paraId="14AFE23D" w14:textId="77777777" w:rsidR="008425AE" w:rsidRPr="00EC57FB" w:rsidRDefault="008425AE" w:rsidP="002453D8">
            <w:pPr>
              <w:pStyle w:val="TableText0"/>
              <w:keepNext w:val="0"/>
              <w:keepLines w:val="0"/>
              <w:jc w:val="center"/>
            </w:pPr>
            <w:r w:rsidRPr="00EC57FB">
              <w:t>low</w:t>
            </w:r>
          </w:p>
        </w:tc>
        <w:tc>
          <w:tcPr>
            <w:tcW w:w="943" w:type="pct"/>
            <w:shd w:val="clear" w:color="auto" w:fill="B8CCE4"/>
            <w:vAlign w:val="center"/>
          </w:tcPr>
          <w:p w14:paraId="3A86F1F0"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Cs w:val="20"/>
              </w:rPr>
              <w:t>Infants from the MELODY and Phase 2b</w:t>
            </w:r>
            <w:r w:rsidRPr="00EC57FB">
              <w:rPr>
                <w:rFonts w:eastAsia="Arial Narrow" w:cs="Arial Narrow"/>
                <w:bCs w:val="0"/>
                <w:color w:val="000000" w:themeColor="text1"/>
                <w:szCs w:val="20"/>
                <w:vertAlign w:val="superscript"/>
              </w:rPr>
              <w:t>b</w:t>
            </w:r>
            <w:r w:rsidRPr="00EC57FB">
              <w:rPr>
                <w:rFonts w:eastAsia="Arial Narrow" w:cs="Arial Narrow"/>
                <w:bCs w:val="0"/>
                <w:color w:val="000000" w:themeColor="text1"/>
                <w:szCs w:val="20"/>
              </w:rPr>
              <w:t xml:space="preserve"> trials.</w:t>
            </w:r>
          </w:p>
        </w:tc>
        <w:tc>
          <w:tcPr>
            <w:tcW w:w="1022" w:type="pct"/>
            <w:shd w:val="clear" w:color="auto" w:fill="B8CCE4"/>
            <w:vAlign w:val="center"/>
          </w:tcPr>
          <w:p w14:paraId="65FC4B5E" w14:textId="77777777" w:rsidR="008425AE" w:rsidRPr="00EC57FB" w:rsidRDefault="008425AE" w:rsidP="00A369BF">
            <w:pPr>
              <w:pStyle w:val="TableText0"/>
              <w:keepNext w:val="0"/>
              <w:keepLines w:val="0"/>
              <w:numPr>
                <w:ilvl w:val="0"/>
                <w:numId w:val="33"/>
              </w:numPr>
            </w:pPr>
            <w:r w:rsidRPr="00EC57FB">
              <w:t>MA RSV LRTI</w:t>
            </w:r>
          </w:p>
          <w:p w14:paraId="1AE4446B" w14:textId="77777777" w:rsidR="008425AE" w:rsidRPr="00EC57FB" w:rsidRDefault="008425AE" w:rsidP="00A369BF">
            <w:pPr>
              <w:pStyle w:val="TableText0"/>
              <w:keepNext w:val="0"/>
              <w:keepLines w:val="0"/>
              <w:numPr>
                <w:ilvl w:val="0"/>
                <w:numId w:val="33"/>
              </w:numPr>
            </w:pPr>
            <w:r w:rsidRPr="00EC57FB">
              <w:t>RSV LRTI-hospitalisations</w:t>
            </w:r>
          </w:p>
          <w:p w14:paraId="42218C98" w14:textId="77777777" w:rsidR="008425AE" w:rsidRPr="00EC57FB" w:rsidRDefault="008425AE" w:rsidP="00A369BF">
            <w:pPr>
              <w:pStyle w:val="TableText0"/>
              <w:keepNext w:val="0"/>
              <w:keepLines w:val="0"/>
              <w:numPr>
                <w:ilvl w:val="0"/>
                <w:numId w:val="33"/>
              </w:numPr>
            </w:pPr>
            <w:r w:rsidRPr="00EC57FB">
              <w:t>Safety</w:t>
            </w:r>
          </w:p>
        </w:tc>
        <w:tc>
          <w:tcPr>
            <w:tcW w:w="758" w:type="pct"/>
            <w:shd w:val="clear" w:color="auto" w:fill="B8CCE4"/>
            <w:vAlign w:val="center"/>
          </w:tcPr>
          <w:p w14:paraId="1C1B8740" w14:textId="77777777" w:rsidR="008425AE" w:rsidRPr="00EC57FB" w:rsidRDefault="008425AE" w:rsidP="002453D8">
            <w:pPr>
              <w:pStyle w:val="TableText0"/>
              <w:keepNext w:val="0"/>
              <w:keepLines w:val="0"/>
              <w:jc w:val="center"/>
            </w:pPr>
            <w:r w:rsidRPr="00EC57FB">
              <w:t>Not used</w:t>
            </w:r>
          </w:p>
        </w:tc>
      </w:tr>
      <w:tr w:rsidR="00A92A57" w:rsidRPr="00EC57FB" w14:paraId="4874EDBB" w14:textId="77777777" w:rsidTr="00776D67">
        <w:trPr>
          <w:trHeight w:val="300"/>
        </w:trPr>
        <w:tc>
          <w:tcPr>
            <w:tcW w:w="724" w:type="pct"/>
            <w:vAlign w:val="center"/>
          </w:tcPr>
          <w:p w14:paraId="615711C8" w14:textId="77777777" w:rsidR="008425AE" w:rsidRPr="00EC57FB" w:rsidRDefault="008425AE" w:rsidP="002453D8">
            <w:pPr>
              <w:pStyle w:val="TableText0"/>
              <w:keepNext w:val="0"/>
              <w:keepLines w:val="0"/>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 xml:space="preserve">Riccò 2024 </w:t>
            </w:r>
          </w:p>
        </w:tc>
        <w:tc>
          <w:tcPr>
            <w:tcW w:w="487" w:type="pct"/>
            <w:vAlign w:val="center"/>
          </w:tcPr>
          <w:p w14:paraId="64520078" w14:textId="77777777" w:rsidR="008425AE" w:rsidRPr="00EC57FB" w:rsidRDefault="008425AE" w:rsidP="002453D8">
            <w:pPr>
              <w:pStyle w:val="TableText0"/>
              <w:keepNext w:val="0"/>
              <w:keepLines w:val="0"/>
              <w:jc w:val="center"/>
              <w:rPr>
                <w:iCs/>
              </w:rPr>
            </w:pPr>
            <w:r w:rsidRPr="00EC57FB">
              <w:rPr>
                <w:iCs/>
              </w:rPr>
              <w:t>43,294</w:t>
            </w:r>
          </w:p>
        </w:tc>
        <w:tc>
          <w:tcPr>
            <w:tcW w:w="637" w:type="pct"/>
            <w:vAlign w:val="center"/>
          </w:tcPr>
          <w:p w14:paraId="38E8DB21"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Meta-analysis of 19 studies (RCTs and observational studies)</w:t>
            </w:r>
          </w:p>
        </w:tc>
        <w:tc>
          <w:tcPr>
            <w:tcW w:w="429" w:type="pct"/>
            <w:vAlign w:val="center"/>
          </w:tcPr>
          <w:p w14:paraId="582B4B2B" w14:textId="77777777" w:rsidR="008425AE" w:rsidRPr="00EC57FB" w:rsidRDefault="008425AE" w:rsidP="002453D8">
            <w:pPr>
              <w:pStyle w:val="TableText0"/>
              <w:keepNext w:val="0"/>
              <w:keepLines w:val="0"/>
              <w:jc w:val="center"/>
            </w:pPr>
            <w:r w:rsidRPr="00EC57FB">
              <w:t>high</w:t>
            </w:r>
          </w:p>
        </w:tc>
        <w:tc>
          <w:tcPr>
            <w:tcW w:w="943" w:type="pct"/>
            <w:vAlign w:val="center"/>
          </w:tcPr>
          <w:p w14:paraId="0FEF83B8" w14:textId="77777777" w:rsidR="008425AE" w:rsidRPr="00EC57FB" w:rsidRDefault="008425AE" w:rsidP="002453D8">
            <w:pPr>
              <w:pStyle w:val="TableText0"/>
              <w:keepNext w:val="0"/>
              <w:keepLines w:val="0"/>
              <w:jc w:val="center"/>
            </w:pPr>
            <w:r w:rsidRPr="00EC57FB">
              <w:t>Children &lt;2 entering their first RSV season</w:t>
            </w:r>
          </w:p>
        </w:tc>
        <w:tc>
          <w:tcPr>
            <w:tcW w:w="1022" w:type="pct"/>
            <w:vAlign w:val="center"/>
          </w:tcPr>
          <w:p w14:paraId="729CEE2D" w14:textId="77777777" w:rsidR="008425AE" w:rsidRPr="00EC57FB" w:rsidRDefault="008425AE" w:rsidP="00A369BF">
            <w:pPr>
              <w:pStyle w:val="TableText0"/>
              <w:keepNext w:val="0"/>
              <w:keepLines w:val="0"/>
              <w:numPr>
                <w:ilvl w:val="0"/>
                <w:numId w:val="31"/>
              </w:numPr>
            </w:pPr>
            <w:r w:rsidRPr="00EC57FB">
              <w:t>Hospitalisation due to RSV</w:t>
            </w:r>
          </w:p>
        </w:tc>
        <w:tc>
          <w:tcPr>
            <w:tcW w:w="758" w:type="pct"/>
            <w:vAlign w:val="center"/>
          </w:tcPr>
          <w:p w14:paraId="096A275E" w14:textId="77777777" w:rsidR="008425AE" w:rsidRPr="00EC57FB" w:rsidRDefault="008425AE" w:rsidP="002453D8">
            <w:pPr>
              <w:pStyle w:val="TableText0"/>
              <w:keepNext w:val="0"/>
              <w:keepLines w:val="0"/>
              <w:jc w:val="center"/>
            </w:pPr>
            <w:r w:rsidRPr="00EC57FB">
              <w:t>Not used</w:t>
            </w:r>
          </w:p>
        </w:tc>
      </w:tr>
      <w:tr w:rsidR="008425AE" w:rsidRPr="00EC57FB" w14:paraId="1454B090" w14:textId="77777777" w:rsidTr="0045203D">
        <w:trPr>
          <w:trHeight w:val="300"/>
        </w:trPr>
        <w:tc>
          <w:tcPr>
            <w:tcW w:w="5000" w:type="pct"/>
            <w:gridSpan w:val="7"/>
            <w:vAlign w:val="center"/>
          </w:tcPr>
          <w:p w14:paraId="48D0FBB2" w14:textId="77777777" w:rsidR="008425AE" w:rsidRPr="00EC57FB" w:rsidRDefault="008425AE" w:rsidP="002453D8">
            <w:pPr>
              <w:pStyle w:val="TableText0"/>
              <w:keepNext w:val="0"/>
              <w:keepLines w:val="0"/>
              <w:rPr>
                <w:rFonts w:eastAsia="Arial Narrow" w:cs="Arial Narrow"/>
                <w:b/>
                <w:color w:val="000000" w:themeColor="text1"/>
                <w:sz w:val="19"/>
                <w:szCs w:val="19"/>
              </w:rPr>
            </w:pPr>
            <w:r w:rsidRPr="00EC57FB">
              <w:rPr>
                <w:rFonts w:eastAsia="Arial Narrow" w:cs="Arial Narrow"/>
                <w:b/>
                <w:color w:val="000000" w:themeColor="text1"/>
                <w:sz w:val="19"/>
                <w:szCs w:val="19"/>
              </w:rPr>
              <w:t>Observational studies involving nirsevimab (presented as supportive evidence)</w:t>
            </w:r>
          </w:p>
        </w:tc>
      </w:tr>
      <w:tr w:rsidR="00A92A57" w:rsidRPr="00EC57FB" w14:paraId="166C1B0F" w14:textId="77777777" w:rsidTr="00776D67">
        <w:trPr>
          <w:trHeight w:val="300"/>
        </w:trPr>
        <w:tc>
          <w:tcPr>
            <w:tcW w:w="724" w:type="pct"/>
            <w:vAlign w:val="center"/>
          </w:tcPr>
          <w:p w14:paraId="10063013" w14:textId="77777777" w:rsidR="008425AE" w:rsidRPr="00EC57FB" w:rsidRDefault="008425AE" w:rsidP="002453D8">
            <w:pPr>
              <w:pStyle w:val="TableText0"/>
              <w:keepNext w:val="0"/>
              <w:keepLines w:val="0"/>
            </w:pPr>
            <w:r w:rsidRPr="00EC57FB">
              <w:rPr>
                <w:rFonts w:eastAsia="Arial Narrow" w:cs="Arial Narrow"/>
                <w:bCs w:val="0"/>
                <w:color w:val="000000" w:themeColor="text1"/>
                <w:szCs w:val="20"/>
              </w:rPr>
              <w:t>Barbas Del Buey 2024</w:t>
            </w:r>
          </w:p>
        </w:tc>
        <w:tc>
          <w:tcPr>
            <w:tcW w:w="487" w:type="pct"/>
            <w:vAlign w:val="center"/>
          </w:tcPr>
          <w:p w14:paraId="586EFF60" w14:textId="77777777" w:rsidR="008425AE" w:rsidRPr="00EC57FB" w:rsidRDefault="008425AE" w:rsidP="002453D8">
            <w:pPr>
              <w:pStyle w:val="TableText0"/>
              <w:keepNext w:val="0"/>
              <w:keepLines w:val="0"/>
              <w:jc w:val="center"/>
            </w:pPr>
            <w:r w:rsidRPr="00EC57FB">
              <w:rPr>
                <w:rFonts w:eastAsia="Arial Narrow" w:cs="Arial Narrow"/>
                <w:bCs w:val="0"/>
                <w:color w:val="000000" w:themeColor="text1"/>
                <w:sz w:val="19"/>
                <w:szCs w:val="19"/>
              </w:rPr>
              <w:t>37,067</w:t>
            </w:r>
          </w:p>
        </w:tc>
        <w:tc>
          <w:tcPr>
            <w:tcW w:w="637" w:type="pct"/>
            <w:vAlign w:val="center"/>
          </w:tcPr>
          <w:p w14:paraId="3547E1BD"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Prospective, cohort study</w:t>
            </w:r>
          </w:p>
        </w:tc>
        <w:tc>
          <w:tcPr>
            <w:tcW w:w="429" w:type="pct"/>
            <w:vAlign w:val="center"/>
          </w:tcPr>
          <w:p w14:paraId="21ABDDAA" w14:textId="77777777" w:rsidR="008425AE" w:rsidRPr="00EC57FB" w:rsidRDefault="008425AE" w:rsidP="002453D8">
            <w:pPr>
              <w:pStyle w:val="TableText0"/>
              <w:keepNext w:val="0"/>
              <w:keepLines w:val="0"/>
              <w:jc w:val="center"/>
            </w:pPr>
            <w:r w:rsidRPr="00EC57FB">
              <w:t>High</w:t>
            </w:r>
          </w:p>
        </w:tc>
        <w:tc>
          <w:tcPr>
            <w:tcW w:w="943" w:type="pct"/>
            <w:vAlign w:val="center"/>
          </w:tcPr>
          <w:p w14:paraId="5963799B" w14:textId="77777777" w:rsidR="008425AE" w:rsidRPr="00EC57FB" w:rsidRDefault="008425AE" w:rsidP="002453D8">
            <w:pPr>
              <w:pStyle w:val="TableText0"/>
              <w:keepNext w:val="0"/>
              <w:keepLines w:val="0"/>
              <w:jc w:val="center"/>
            </w:pPr>
            <w:r w:rsidRPr="00EC57FB">
              <w:rPr>
                <w:rFonts w:eastAsia="Arial Narrow" w:cs="Arial Narrow"/>
                <w:bCs w:val="0"/>
                <w:color w:val="000000" w:themeColor="text1"/>
                <w:sz w:val="19"/>
                <w:szCs w:val="19"/>
              </w:rPr>
              <w:t>Infants born between 1 April and 31 December 2023 who resided in the Madrid region of Spain during the follow-up period (1 October 2023 to 29 February 2024)</w:t>
            </w:r>
          </w:p>
        </w:tc>
        <w:tc>
          <w:tcPr>
            <w:tcW w:w="1022" w:type="pct"/>
            <w:vAlign w:val="center"/>
          </w:tcPr>
          <w:p w14:paraId="583D07A6" w14:textId="77777777" w:rsidR="008425AE" w:rsidRPr="00EC57FB" w:rsidRDefault="008425AE" w:rsidP="00A369BF">
            <w:pPr>
              <w:pStyle w:val="TableText0"/>
              <w:keepNext w:val="0"/>
              <w:keepLines w:val="0"/>
              <w:numPr>
                <w:ilvl w:val="0"/>
                <w:numId w:val="31"/>
              </w:numPr>
            </w:pPr>
            <w:r w:rsidRPr="00EC57FB">
              <w:rPr>
                <w:rFonts w:eastAsia="Arial Narrow" w:cs="Arial Narrow"/>
                <w:bCs w:val="0"/>
                <w:color w:val="000000" w:themeColor="text1"/>
                <w:sz w:val="19"/>
                <w:szCs w:val="19"/>
              </w:rPr>
              <w:t>Primary care episodes</w:t>
            </w:r>
          </w:p>
          <w:p w14:paraId="385B4B10" w14:textId="77777777" w:rsidR="008425AE" w:rsidRPr="00EC57FB" w:rsidRDefault="008425AE" w:rsidP="00A369BF">
            <w:pPr>
              <w:pStyle w:val="TableText0"/>
              <w:keepNext w:val="0"/>
              <w:keepLines w:val="0"/>
              <w:numPr>
                <w:ilvl w:val="0"/>
                <w:numId w:val="31"/>
              </w:numPr>
            </w:pPr>
            <w:r w:rsidRPr="00EC57FB">
              <w:rPr>
                <w:rFonts w:eastAsia="Arial Narrow" w:cs="Arial Narrow"/>
                <w:bCs w:val="0"/>
                <w:color w:val="000000" w:themeColor="text1"/>
                <w:sz w:val="19"/>
                <w:szCs w:val="19"/>
              </w:rPr>
              <w:t>Hospital ED presentations</w:t>
            </w:r>
          </w:p>
          <w:p w14:paraId="215B83E6" w14:textId="77777777" w:rsidR="008425AE" w:rsidRPr="00EC57FB" w:rsidRDefault="008425AE" w:rsidP="00A369BF">
            <w:pPr>
              <w:pStyle w:val="TableText0"/>
              <w:keepNext w:val="0"/>
              <w:keepLines w:val="0"/>
              <w:numPr>
                <w:ilvl w:val="0"/>
                <w:numId w:val="31"/>
              </w:numPr>
            </w:pPr>
            <w:r w:rsidRPr="00EC57FB">
              <w:rPr>
                <w:rFonts w:eastAsia="Arial Narrow" w:cs="Arial Narrow"/>
                <w:bCs w:val="0"/>
                <w:color w:val="000000" w:themeColor="text1"/>
                <w:sz w:val="19"/>
                <w:szCs w:val="19"/>
              </w:rPr>
              <w:t>Hospital admissions</w:t>
            </w:r>
          </w:p>
          <w:p w14:paraId="4EDFD549" w14:textId="77777777" w:rsidR="008425AE" w:rsidRPr="00EC57FB" w:rsidRDefault="008425AE" w:rsidP="00A369BF">
            <w:pPr>
              <w:pStyle w:val="TableText0"/>
              <w:keepNext w:val="0"/>
              <w:keepLines w:val="0"/>
              <w:numPr>
                <w:ilvl w:val="0"/>
                <w:numId w:val="31"/>
              </w:numP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Hospital admissions requiring intensive care</w:t>
            </w:r>
          </w:p>
        </w:tc>
        <w:tc>
          <w:tcPr>
            <w:tcW w:w="758" w:type="pct"/>
            <w:vAlign w:val="center"/>
          </w:tcPr>
          <w:p w14:paraId="7C063D57" w14:textId="77777777" w:rsidR="008425AE" w:rsidRPr="00EC57FB" w:rsidRDefault="008425AE" w:rsidP="002453D8">
            <w:pPr>
              <w:pStyle w:val="TableText0"/>
              <w:keepNext w:val="0"/>
              <w:keepLines w:val="0"/>
              <w:jc w:val="center"/>
            </w:pPr>
            <w:r w:rsidRPr="00EC57FB">
              <w:t>Not used</w:t>
            </w:r>
          </w:p>
        </w:tc>
      </w:tr>
      <w:tr w:rsidR="00A92A57" w:rsidRPr="00EC57FB" w14:paraId="6749966E" w14:textId="77777777" w:rsidTr="00776D67">
        <w:trPr>
          <w:trHeight w:val="300"/>
        </w:trPr>
        <w:tc>
          <w:tcPr>
            <w:tcW w:w="724" w:type="pct"/>
            <w:vAlign w:val="center"/>
          </w:tcPr>
          <w:p w14:paraId="4C56CA04" w14:textId="77777777" w:rsidR="008425AE" w:rsidRPr="00EC57FB" w:rsidRDefault="008425AE" w:rsidP="002453D8">
            <w:pPr>
              <w:pStyle w:val="TableText0"/>
              <w:keepNext w:val="0"/>
              <w:keepLines w:val="0"/>
              <w:rPr>
                <w:rFonts w:eastAsia="Arial Narrow" w:cs="Arial Narrow"/>
                <w:bCs w:val="0"/>
                <w:color w:val="000000" w:themeColor="text1"/>
                <w:szCs w:val="20"/>
              </w:rPr>
            </w:pPr>
            <w:r w:rsidRPr="00EC57FB">
              <w:rPr>
                <w:rFonts w:eastAsia="Arial Narrow" w:cs="Arial Narrow"/>
                <w:bCs w:val="0"/>
                <w:color w:val="000000" w:themeColor="text1"/>
                <w:szCs w:val="20"/>
              </w:rPr>
              <w:t>Assad 2024</w:t>
            </w:r>
          </w:p>
        </w:tc>
        <w:tc>
          <w:tcPr>
            <w:tcW w:w="487" w:type="pct"/>
            <w:vAlign w:val="center"/>
          </w:tcPr>
          <w:p w14:paraId="3890E4CE" w14:textId="77777777" w:rsidR="008425AE" w:rsidRPr="00EC57FB" w:rsidRDefault="008425AE" w:rsidP="002453D8">
            <w:pPr>
              <w:pStyle w:val="TableText0"/>
              <w:keepNext w:val="0"/>
              <w:keepLines w:val="0"/>
              <w:jc w:val="center"/>
              <w:rPr>
                <w:rFonts w:eastAsia="Arial Narrow" w:cs="Arial Narrow"/>
                <w:bCs w:val="0"/>
                <w:sz w:val="19"/>
                <w:szCs w:val="19"/>
              </w:rPr>
            </w:pPr>
            <w:r w:rsidRPr="00EC57FB">
              <w:rPr>
                <w:rFonts w:eastAsia="Arial Narrow" w:cs="Arial Narrow"/>
                <w:bCs w:val="0"/>
                <w:sz w:val="19"/>
                <w:szCs w:val="19"/>
              </w:rPr>
              <w:t>1,035</w:t>
            </w:r>
          </w:p>
        </w:tc>
        <w:tc>
          <w:tcPr>
            <w:tcW w:w="637" w:type="pct"/>
            <w:vAlign w:val="center"/>
          </w:tcPr>
          <w:p w14:paraId="29A67526"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Prospective, MC, matched case control study</w:t>
            </w:r>
          </w:p>
        </w:tc>
        <w:tc>
          <w:tcPr>
            <w:tcW w:w="429" w:type="pct"/>
            <w:vAlign w:val="center"/>
          </w:tcPr>
          <w:p w14:paraId="71E90320" w14:textId="77777777" w:rsidR="008425AE" w:rsidRPr="00EC57FB" w:rsidRDefault="008425AE" w:rsidP="002453D8">
            <w:pPr>
              <w:pStyle w:val="TableText0"/>
              <w:keepNext w:val="0"/>
              <w:keepLines w:val="0"/>
              <w:jc w:val="center"/>
            </w:pPr>
            <w:r w:rsidRPr="00EC57FB">
              <w:t>High</w:t>
            </w:r>
          </w:p>
        </w:tc>
        <w:tc>
          <w:tcPr>
            <w:tcW w:w="943" w:type="pct"/>
            <w:vAlign w:val="center"/>
          </w:tcPr>
          <w:p w14:paraId="1329D80A" w14:textId="77777777" w:rsidR="008425AE" w:rsidRPr="00EC57FB" w:rsidRDefault="008425AE" w:rsidP="002453D8">
            <w:pPr>
              <w:pStyle w:val="TableText0"/>
              <w:keepNext w:val="0"/>
              <w:keepLines w:val="0"/>
              <w:jc w:val="center"/>
            </w:pPr>
            <w:r w:rsidRPr="00EC57FB">
              <w:rPr>
                <w:rFonts w:eastAsia="Arial Narrow" w:cs="Arial Narrow"/>
                <w:bCs w:val="0"/>
                <w:color w:val="000000" w:themeColor="text1"/>
                <w:sz w:val="19"/>
                <w:szCs w:val="19"/>
              </w:rPr>
              <w:t>Infants &lt; 12 months of age hospitalised in France between 15 October and 10 December 2023</w:t>
            </w:r>
          </w:p>
        </w:tc>
        <w:tc>
          <w:tcPr>
            <w:tcW w:w="1022" w:type="pct"/>
            <w:vAlign w:val="center"/>
          </w:tcPr>
          <w:p w14:paraId="4751C363" w14:textId="77777777" w:rsidR="008425AE" w:rsidRPr="00EC57FB" w:rsidRDefault="008425AE" w:rsidP="00A369BF">
            <w:pPr>
              <w:pStyle w:val="TableText0"/>
              <w:keepNext w:val="0"/>
              <w:keepLines w:val="0"/>
              <w:numPr>
                <w:ilvl w:val="0"/>
                <w:numId w:val="31"/>
              </w:numPr>
            </w:pPr>
            <w:r w:rsidRPr="00EC57FB">
              <w:t>RSV-associated bronchiolitis hospitalisation</w:t>
            </w:r>
          </w:p>
        </w:tc>
        <w:tc>
          <w:tcPr>
            <w:tcW w:w="758" w:type="pct"/>
            <w:vAlign w:val="center"/>
          </w:tcPr>
          <w:p w14:paraId="26C178F2" w14:textId="77777777" w:rsidR="008425AE" w:rsidRPr="00EC57FB" w:rsidRDefault="008425AE" w:rsidP="002453D8">
            <w:pPr>
              <w:pStyle w:val="TableText0"/>
              <w:keepNext w:val="0"/>
              <w:keepLines w:val="0"/>
              <w:jc w:val="center"/>
            </w:pPr>
            <w:r w:rsidRPr="00EC57FB">
              <w:t>Not used</w:t>
            </w:r>
          </w:p>
        </w:tc>
      </w:tr>
      <w:tr w:rsidR="00A92A57" w:rsidRPr="00EC57FB" w14:paraId="5C2D932E" w14:textId="77777777" w:rsidTr="00776D67">
        <w:trPr>
          <w:trHeight w:val="300"/>
        </w:trPr>
        <w:tc>
          <w:tcPr>
            <w:tcW w:w="724" w:type="pct"/>
            <w:vAlign w:val="center"/>
          </w:tcPr>
          <w:p w14:paraId="0D1CF4D9" w14:textId="77777777" w:rsidR="008425AE" w:rsidRPr="00EC57FB" w:rsidRDefault="008425AE" w:rsidP="002453D8">
            <w:pPr>
              <w:pStyle w:val="TableText0"/>
              <w:keepNext w:val="0"/>
              <w:keepLines w:val="0"/>
              <w:rPr>
                <w:rFonts w:eastAsia="Arial Narrow" w:cs="Arial Narrow"/>
                <w:bCs w:val="0"/>
                <w:color w:val="000000" w:themeColor="text1"/>
                <w:szCs w:val="20"/>
              </w:rPr>
            </w:pPr>
            <w:r w:rsidRPr="00EC57FB">
              <w:rPr>
                <w:rFonts w:eastAsia="Arial Narrow" w:cs="Arial Narrow"/>
                <w:bCs w:val="0"/>
                <w:color w:val="000000" w:themeColor="text1"/>
                <w:szCs w:val="20"/>
              </w:rPr>
              <w:t>Carbajal 2024</w:t>
            </w:r>
          </w:p>
        </w:tc>
        <w:tc>
          <w:tcPr>
            <w:tcW w:w="487" w:type="pct"/>
            <w:vAlign w:val="center"/>
          </w:tcPr>
          <w:p w14:paraId="2AE9D81D" w14:textId="77777777" w:rsidR="008425AE" w:rsidRPr="00EC57FB" w:rsidRDefault="008425AE" w:rsidP="002453D8">
            <w:pPr>
              <w:pStyle w:val="TableText0"/>
              <w:keepNext w:val="0"/>
              <w:keepLines w:val="0"/>
              <w:jc w:val="center"/>
            </w:pPr>
            <w:r w:rsidRPr="00EC57FB">
              <w:rPr>
                <w:rFonts w:eastAsia="Arial Narrow" w:cs="Arial Narrow"/>
                <w:bCs w:val="0"/>
                <w:color w:val="000000" w:themeColor="text1"/>
                <w:sz w:val="19"/>
                <w:szCs w:val="19"/>
              </w:rPr>
              <w:t>2,786</w:t>
            </w:r>
          </w:p>
        </w:tc>
        <w:tc>
          <w:tcPr>
            <w:tcW w:w="637" w:type="pct"/>
            <w:vAlign w:val="center"/>
          </w:tcPr>
          <w:p w14:paraId="68149B9C"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Test-negative case-control study</w:t>
            </w:r>
          </w:p>
        </w:tc>
        <w:tc>
          <w:tcPr>
            <w:tcW w:w="429" w:type="pct"/>
            <w:vAlign w:val="center"/>
          </w:tcPr>
          <w:p w14:paraId="79A2B005" w14:textId="77777777" w:rsidR="008425AE" w:rsidRPr="00EC57FB" w:rsidRDefault="008425AE" w:rsidP="002453D8">
            <w:pPr>
              <w:pStyle w:val="TableText0"/>
              <w:keepNext w:val="0"/>
              <w:keepLines w:val="0"/>
              <w:jc w:val="center"/>
            </w:pPr>
            <w:r w:rsidRPr="00EC57FB">
              <w:t>High</w:t>
            </w:r>
          </w:p>
        </w:tc>
        <w:tc>
          <w:tcPr>
            <w:tcW w:w="943" w:type="pct"/>
            <w:vAlign w:val="center"/>
          </w:tcPr>
          <w:p w14:paraId="7147B5C9" w14:textId="77777777" w:rsidR="008425AE" w:rsidRPr="00EC57FB" w:rsidRDefault="008425AE" w:rsidP="002453D8">
            <w:pPr>
              <w:pStyle w:val="TableText0"/>
              <w:keepNext w:val="0"/>
              <w:keepLines w:val="0"/>
              <w:jc w:val="center"/>
            </w:pPr>
            <w:r w:rsidRPr="00EC57FB">
              <w:rPr>
                <w:rFonts w:eastAsia="Arial Narrow" w:cs="Arial Narrow"/>
                <w:bCs w:val="0"/>
                <w:color w:val="000000" w:themeColor="text1"/>
                <w:sz w:val="19"/>
                <w:szCs w:val="19"/>
              </w:rPr>
              <w:t>Infants &lt; 12 months of age, presenting to a paediatric ED and tested for RSV in Paris, France between 14 October 2023 and 29 February 2024</w:t>
            </w:r>
          </w:p>
        </w:tc>
        <w:tc>
          <w:tcPr>
            <w:tcW w:w="1022" w:type="pct"/>
            <w:vAlign w:val="center"/>
          </w:tcPr>
          <w:p w14:paraId="6715D787" w14:textId="77777777" w:rsidR="008425AE" w:rsidRPr="00EC57FB" w:rsidRDefault="008425AE" w:rsidP="00A369BF">
            <w:pPr>
              <w:pStyle w:val="TableText0"/>
              <w:keepNext w:val="0"/>
              <w:keepLines w:val="0"/>
              <w:numPr>
                <w:ilvl w:val="0"/>
                <w:numId w:val="31"/>
              </w:numPr>
            </w:pPr>
            <w:r w:rsidRPr="00EC57FB">
              <w:rPr>
                <w:rFonts w:eastAsia="Arial Narrow" w:cs="Arial Narrow"/>
                <w:bCs w:val="0"/>
                <w:color w:val="000000" w:themeColor="text1"/>
                <w:sz w:val="19"/>
                <w:szCs w:val="19"/>
              </w:rPr>
              <w:t>ED visits for all-cause bronchiolitis</w:t>
            </w:r>
          </w:p>
        </w:tc>
        <w:tc>
          <w:tcPr>
            <w:tcW w:w="758" w:type="pct"/>
            <w:vAlign w:val="center"/>
          </w:tcPr>
          <w:p w14:paraId="4BFA4B75" w14:textId="77777777" w:rsidR="008425AE" w:rsidRPr="00EC57FB" w:rsidRDefault="008425AE" w:rsidP="002453D8">
            <w:pPr>
              <w:pStyle w:val="TableText0"/>
              <w:keepNext w:val="0"/>
              <w:keepLines w:val="0"/>
              <w:jc w:val="center"/>
            </w:pPr>
            <w:r w:rsidRPr="00EC57FB">
              <w:t>Not used</w:t>
            </w:r>
          </w:p>
        </w:tc>
      </w:tr>
      <w:tr w:rsidR="00A92A57" w:rsidRPr="00EC57FB" w14:paraId="684265BB" w14:textId="77777777" w:rsidTr="00776D67">
        <w:trPr>
          <w:trHeight w:val="300"/>
        </w:trPr>
        <w:tc>
          <w:tcPr>
            <w:tcW w:w="724" w:type="pct"/>
            <w:vAlign w:val="center"/>
          </w:tcPr>
          <w:p w14:paraId="5B743715" w14:textId="77777777" w:rsidR="008425AE" w:rsidRPr="00EC57FB" w:rsidRDefault="008425AE" w:rsidP="002453D8">
            <w:pPr>
              <w:pStyle w:val="TableText0"/>
              <w:keepNext w:val="0"/>
              <w:keepLines w:val="0"/>
            </w:pPr>
            <w:r w:rsidRPr="00EC57FB">
              <w:rPr>
                <w:rFonts w:eastAsia="Arial Narrow" w:cs="Arial Narrow"/>
                <w:bCs w:val="0"/>
                <w:color w:val="000000" w:themeColor="text1"/>
                <w:szCs w:val="20"/>
              </w:rPr>
              <w:t>Agüera 2024</w:t>
            </w:r>
          </w:p>
        </w:tc>
        <w:tc>
          <w:tcPr>
            <w:tcW w:w="487" w:type="pct"/>
            <w:vAlign w:val="center"/>
          </w:tcPr>
          <w:p w14:paraId="147205A3"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234</w:t>
            </w:r>
          </w:p>
        </w:tc>
        <w:tc>
          <w:tcPr>
            <w:tcW w:w="637" w:type="pct"/>
            <w:vAlign w:val="center"/>
          </w:tcPr>
          <w:p w14:paraId="754EEBFE"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Test-negative case-control study</w:t>
            </w:r>
          </w:p>
        </w:tc>
        <w:tc>
          <w:tcPr>
            <w:tcW w:w="429" w:type="pct"/>
            <w:vAlign w:val="center"/>
          </w:tcPr>
          <w:p w14:paraId="6FC06ECC" w14:textId="77777777" w:rsidR="008425AE" w:rsidRPr="00EC57FB" w:rsidRDefault="008425AE" w:rsidP="002453D8">
            <w:pPr>
              <w:pStyle w:val="TableText0"/>
              <w:keepNext w:val="0"/>
              <w:keepLines w:val="0"/>
              <w:jc w:val="center"/>
            </w:pPr>
            <w:r w:rsidRPr="00EC57FB">
              <w:t>High</w:t>
            </w:r>
          </w:p>
        </w:tc>
        <w:tc>
          <w:tcPr>
            <w:tcW w:w="943" w:type="pct"/>
            <w:vAlign w:val="center"/>
          </w:tcPr>
          <w:p w14:paraId="44678E4E"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Infants &lt; 12 months of age hospitalised and tested for RSV across three hospitals in Spain</w:t>
            </w:r>
          </w:p>
        </w:tc>
        <w:tc>
          <w:tcPr>
            <w:tcW w:w="1022" w:type="pct"/>
            <w:vAlign w:val="center"/>
          </w:tcPr>
          <w:p w14:paraId="53CB2C76" w14:textId="77777777" w:rsidR="008425AE" w:rsidRPr="00EC57FB" w:rsidRDefault="008425AE" w:rsidP="00A369BF">
            <w:pPr>
              <w:pStyle w:val="TableText0"/>
              <w:keepNext w:val="0"/>
              <w:keepLines w:val="0"/>
              <w:numPr>
                <w:ilvl w:val="0"/>
                <w:numId w:val="31"/>
              </w:numP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RSV-associated bronchiolitis hospitalisation</w:t>
            </w:r>
          </w:p>
          <w:p w14:paraId="34759AD0" w14:textId="77777777" w:rsidR="008425AE" w:rsidRPr="00EC57FB" w:rsidRDefault="008425AE" w:rsidP="00A369BF">
            <w:pPr>
              <w:pStyle w:val="TableText0"/>
              <w:keepNext w:val="0"/>
              <w:keepLines w:val="0"/>
              <w:numPr>
                <w:ilvl w:val="0"/>
                <w:numId w:val="31"/>
              </w:numP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Severe RSV disease</w:t>
            </w:r>
          </w:p>
        </w:tc>
        <w:tc>
          <w:tcPr>
            <w:tcW w:w="758" w:type="pct"/>
            <w:vAlign w:val="center"/>
          </w:tcPr>
          <w:p w14:paraId="1EC0DF47" w14:textId="77777777" w:rsidR="008425AE" w:rsidRPr="00EC57FB" w:rsidRDefault="008425AE" w:rsidP="002453D8">
            <w:pPr>
              <w:pStyle w:val="TableText0"/>
              <w:keepNext w:val="0"/>
              <w:keepLines w:val="0"/>
              <w:jc w:val="center"/>
            </w:pPr>
            <w:r w:rsidRPr="00EC57FB">
              <w:t>Not used</w:t>
            </w:r>
          </w:p>
        </w:tc>
      </w:tr>
      <w:tr w:rsidR="00A92A57" w:rsidRPr="00EC57FB" w14:paraId="5C31951B" w14:textId="77777777" w:rsidTr="00776D67">
        <w:trPr>
          <w:trHeight w:val="300"/>
        </w:trPr>
        <w:tc>
          <w:tcPr>
            <w:tcW w:w="724" w:type="pct"/>
            <w:vAlign w:val="center"/>
          </w:tcPr>
          <w:p w14:paraId="5645A6F3" w14:textId="77777777" w:rsidR="008425AE" w:rsidRPr="00EC57FB" w:rsidRDefault="008425AE" w:rsidP="002453D8">
            <w:pPr>
              <w:pStyle w:val="TableText0"/>
              <w:keepNext w:val="0"/>
              <w:keepLines w:val="0"/>
              <w:rPr>
                <w:rFonts w:eastAsia="Arial Narrow" w:cs="Arial Narrow"/>
                <w:bCs w:val="0"/>
                <w:color w:val="000000" w:themeColor="text1"/>
                <w:szCs w:val="20"/>
              </w:rPr>
            </w:pPr>
            <w:r w:rsidRPr="00EC57FB">
              <w:rPr>
                <w:rFonts w:eastAsia="Arial Narrow" w:cs="Arial Narrow"/>
                <w:bCs w:val="0"/>
                <w:color w:val="000000" w:themeColor="text1"/>
                <w:szCs w:val="20"/>
              </w:rPr>
              <w:t>Lassoued 2024</w:t>
            </w:r>
          </w:p>
        </w:tc>
        <w:tc>
          <w:tcPr>
            <w:tcW w:w="487" w:type="pct"/>
            <w:vAlign w:val="center"/>
          </w:tcPr>
          <w:p w14:paraId="4922A752"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833</w:t>
            </w:r>
          </w:p>
        </w:tc>
        <w:tc>
          <w:tcPr>
            <w:tcW w:w="637" w:type="pct"/>
            <w:vAlign w:val="center"/>
          </w:tcPr>
          <w:p w14:paraId="5179D5F8"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Test-negative case-control study</w:t>
            </w:r>
          </w:p>
        </w:tc>
        <w:tc>
          <w:tcPr>
            <w:tcW w:w="429" w:type="pct"/>
            <w:vAlign w:val="center"/>
          </w:tcPr>
          <w:p w14:paraId="4A127B7C" w14:textId="77777777" w:rsidR="008425AE" w:rsidRPr="00EC57FB" w:rsidRDefault="008425AE" w:rsidP="002453D8">
            <w:pPr>
              <w:pStyle w:val="TableText0"/>
              <w:keepNext w:val="0"/>
              <w:keepLines w:val="0"/>
              <w:jc w:val="center"/>
            </w:pPr>
            <w:r w:rsidRPr="00EC57FB">
              <w:t>High</w:t>
            </w:r>
          </w:p>
        </w:tc>
        <w:tc>
          <w:tcPr>
            <w:tcW w:w="943" w:type="pct"/>
            <w:vAlign w:val="center"/>
          </w:tcPr>
          <w:p w14:paraId="42182F92" w14:textId="77777777" w:rsidR="008425AE" w:rsidRPr="00EC57FB" w:rsidRDefault="008425AE" w:rsidP="002453D8">
            <w:pPr>
              <w:pStyle w:val="TableText0"/>
              <w:keepNext w:val="0"/>
              <w:keepLines w:val="0"/>
              <w:jc w:val="center"/>
            </w:pPr>
            <w:r w:rsidRPr="00EC57FB">
              <w:rPr>
                <w:rFonts w:eastAsia="Arial Narrow" w:cs="Arial Narrow"/>
                <w:bCs w:val="0"/>
                <w:color w:val="000000" w:themeColor="text1"/>
                <w:sz w:val="19"/>
                <w:szCs w:val="19"/>
              </w:rPr>
              <w:t xml:space="preserve">Infants &lt; 12 months of age with bronchiolitis attending a network of 107 ambulatory </w:t>
            </w:r>
            <w:r w:rsidRPr="00EC57FB">
              <w:rPr>
                <w:rFonts w:eastAsia="Arial Narrow" w:cs="Arial Narrow"/>
                <w:bCs w:val="0"/>
                <w:color w:val="000000" w:themeColor="text1"/>
                <w:sz w:val="19"/>
                <w:szCs w:val="19"/>
              </w:rPr>
              <w:lastRenderedPageBreak/>
              <w:t>paediatricians and tested for RSV in France between 15 September 2023 and 1 February 2024</w:t>
            </w:r>
          </w:p>
        </w:tc>
        <w:tc>
          <w:tcPr>
            <w:tcW w:w="1022" w:type="pct"/>
            <w:vAlign w:val="center"/>
          </w:tcPr>
          <w:p w14:paraId="34E5C09E" w14:textId="77777777" w:rsidR="008425AE" w:rsidRPr="00EC57FB" w:rsidRDefault="008425AE" w:rsidP="00A369BF">
            <w:pPr>
              <w:pStyle w:val="TableText0"/>
              <w:keepNext w:val="0"/>
              <w:keepLines w:val="0"/>
              <w:numPr>
                <w:ilvl w:val="0"/>
                <w:numId w:val="31"/>
              </w:numP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lastRenderedPageBreak/>
              <w:t>RSV-associated bronchiolitis hospitalisation</w:t>
            </w:r>
          </w:p>
          <w:p w14:paraId="6D1B394C" w14:textId="77777777" w:rsidR="008425AE" w:rsidRPr="00EC57FB" w:rsidRDefault="008425AE" w:rsidP="00A369BF">
            <w:pPr>
              <w:pStyle w:val="TableText0"/>
              <w:keepNext w:val="0"/>
              <w:keepLines w:val="0"/>
              <w:numPr>
                <w:ilvl w:val="0"/>
                <w:numId w:val="31"/>
              </w:numP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lastRenderedPageBreak/>
              <w:t>Severe RSV disease</w:t>
            </w:r>
          </w:p>
        </w:tc>
        <w:tc>
          <w:tcPr>
            <w:tcW w:w="758" w:type="pct"/>
            <w:vAlign w:val="center"/>
          </w:tcPr>
          <w:p w14:paraId="487218E3" w14:textId="77777777" w:rsidR="008425AE" w:rsidRPr="00EC57FB" w:rsidRDefault="008425AE" w:rsidP="002453D8">
            <w:pPr>
              <w:pStyle w:val="TableText0"/>
              <w:keepNext w:val="0"/>
              <w:keepLines w:val="0"/>
              <w:jc w:val="center"/>
            </w:pPr>
            <w:r w:rsidRPr="00EC57FB">
              <w:lastRenderedPageBreak/>
              <w:t>Not used</w:t>
            </w:r>
          </w:p>
        </w:tc>
      </w:tr>
      <w:tr w:rsidR="008425AE" w:rsidRPr="00EC57FB" w14:paraId="1A8687DE" w14:textId="77777777" w:rsidTr="0045203D">
        <w:trPr>
          <w:trHeight w:val="300"/>
        </w:trPr>
        <w:tc>
          <w:tcPr>
            <w:tcW w:w="5000" w:type="pct"/>
            <w:gridSpan w:val="7"/>
            <w:vAlign w:val="center"/>
          </w:tcPr>
          <w:p w14:paraId="75320213" w14:textId="77777777" w:rsidR="008425AE" w:rsidRPr="00EC57FB" w:rsidRDefault="008425AE" w:rsidP="002453D8">
            <w:pPr>
              <w:pStyle w:val="TableText0"/>
              <w:keepNext w:val="0"/>
              <w:keepLines w:val="0"/>
              <w:jc w:val="both"/>
              <w:rPr>
                <w:rFonts w:eastAsia="Arial Narrow" w:cs="Arial Narrow"/>
                <w:b/>
                <w:color w:val="000000" w:themeColor="text1"/>
                <w:sz w:val="19"/>
                <w:szCs w:val="19"/>
                <w:highlight w:val="yellow"/>
              </w:rPr>
            </w:pPr>
            <w:r w:rsidRPr="00EC57FB">
              <w:rPr>
                <w:rFonts w:eastAsia="Arial Narrow" w:cs="Arial Narrow"/>
                <w:b/>
                <w:color w:val="000000" w:themeColor="text1"/>
                <w:sz w:val="19"/>
                <w:szCs w:val="19"/>
              </w:rPr>
              <w:t>Observational studies investigating association between RSV and short- to mid-term morbidity</w:t>
            </w:r>
          </w:p>
        </w:tc>
      </w:tr>
      <w:tr w:rsidR="00A92A57" w:rsidRPr="00EC57FB" w14:paraId="5BC4E0E9" w14:textId="77777777" w:rsidTr="00776D67">
        <w:trPr>
          <w:trHeight w:val="300"/>
        </w:trPr>
        <w:tc>
          <w:tcPr>
            <w:tcW w:w="724" w:type="pct"/>
            <w:vAlign w:val="center"/>
          </w:tcPr>
          <w:p w14:paraId="2EFED058" w14:textId="7F2C8852" w:rsidR="008425AE" w:rsidRPr="00EC57FB" w:rsidRDefault="008425AE" w:rsidP="002453D8">
            <w:pPr>
              <w:pStyle w:val="TableText0"/>
              <w:keepNext w:val="0"/>
              <w:keepLines w:val="0"/>
              <w:rPr>
                <w:rFonts w:eastAsia="Arial Narrow" w:cs="Arial Narrow"/>
                <w:bCs w:val="0"/>
                <w:color w:val="000000" w:themeColor="text1"/>
                <w:szCs w:val="20"/>
              </w:rPr>
            </w:pPr>
            <w:r w:rsidRPr="00EC57FB">
              <w:rPr>
                <w:rFonts w:eastAsia="Arial Narrow" w:cs="Arial Narrow"/>
                <w:bCs w:val="0"/>
                <w:color w:val="000000" w:themeColor="text1"/>
                <w:szCs w:val="20"/>
              </w:rPr>
              <w:t>Ares Gómez 2024</w:t>
            </w:r>
          </w:p>
        </w:tc>
        <w:tc>
          <w:tcPr>
            <w:tcW w:w="487" w:type="pct"/>
            <w:vAlign w:val="center"/>
          </w:tcPr>
          <w:p w14:paraId="008B9E9B"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6,626</w:t>
            </w:r>
          </w:p>
        </w:tc>
        <w:tc>
          <w:tcPr>
            <w:tcW w:w="637" w:type="pct"/>
            <w:vAlign w:val="center"/>
          </w:tcPr>
          <w:p w14:paraId="07506399"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Matched case-control</w:t>
            </w:r>
          </w:p>
        </w:tc>
        <w:tc>
          <w:tcPr>
            <w:tcW w:w="429" w:type="pct"/>
            <w:vAlign w:val="center"/>
          </w:tcPr>
          <w:p w14:paraId="32099C68" w14:textId="77777777" w:rsidR="008425AE" w:rsidRPr="00EC57FB" w:rsidRDefault="008425AE" w:rsidP="002453D8">
            <w:pPr>
              <w:pStyle w:val="TableText0"/>
              <w:keepNext w:val="0"/>
              <w:keepLines w:val="0"/>
              <w:jc w:val="center"/>
            </w:pPr>
            <w:r w:rsidRPr="00EC57FB">
              <w:t>High</w:t>
            </w:r>
          </w:p>
        </w:tc>
        <w:tc>
          <w:tcPr>
            <w:tcW w:w="943" w:type="pct"/>
            <w:vAlign w:val="center"/>
          </w:tcPr>
          <w:p w14:paraId="35C20D1F" w14:textId="77777777" w:rsidR="008425AE" w:rsidRPr="00EC57FB" w:rsidRDefault="008425AE" w:rsidP="002453D8">
            <w:pPr>
              <w:pStyle w:val="TableText0"/>
              <w:keepNext w:val="0"/>
              <w:keepLines w:val="0"/>
              <w:spacing w:line="259" w:lineRule="auto"/>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Infants hospitalised for RSV</w:t>
            </w:r>
          </w:p>
        </w:tc>
        <w:tc>
          <w:tcPr>
            <w:tcW w:w="1022" w:type="pct"/>
            <w:vAlign w:val="center"/>
          </w:tcPr>
          <w:p w14:paraId="707E3D75" w14:textId="77777777" w:rsidR="008425AE" w:rsidRPr="00EC57FB" w:rsidRDefault="008425AE" w:rsidP="00A369BF">
            <w:pPr>
              <w:pStyle w:val="TableText0"/>
              <w:keepNext w:val="0"/>
              <w:keepLines w:val="0"/>
              <w:numPr>
                <w:ilvl w:val="0"/>
                <w:numId w:val="27"/>
              </w:numP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Primary Health Care and emergency services visits for RSV</w:t>
            </w:r>
          </w:p>
          <w:p w14:paraId="360895E9" w14:textId="77777777" w:rsidR="008425AE" w:rsidRPr="00EC57FB" w:rsidRDefault="008425AE" w:rsidP="00A369BF">
            <w:pPr>
              <w:pStyle w:val="TableText0"/>
              <w:keepNext w:val="0"/>
              <w:keepLines w:val="0"/>
              <w:numPr>
                <w:ilvl w:val="0"/>
                <w:numId w:val="27"/>
              </w:numP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Prescriptions for respiratory airway obstructive disease</w:t>
            </w:r>
          </w:p>
          <w:p w14:paraId="026BCE69" w14:textId="77777777" w:rsidR="008425AE" w:rsidRPr="00EC57FB" w:rsidRDefault="008425AE" w:rsidP="00A369BF">
            <w:pPr>
              <w:pStyle w:val="TableText0"/>
              <w:keepNext w:val="0"/>
              <w:keepLines w:val="0"/>
              <w:numPr>
                <w:ilvl w:val="0"/>
                <w:numId w:val="27"/>
              </w:numP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Antibacterial prescriptions</w:t>
            </w:r>
          </w:p>
        </w:tc>
        <w:tc>
          <w:tcPr>
            <w:tcW w:w="758" w:type="pct"/>
            <w:vAlign w:val="center"/>
          </w:tcPr>
          <w:p w14:paraId="7CDA3F8C" w14:textId="77777777" w:rsidR="008425AE" w:rsidRPr="00EC57FB" w:rsidRDefault="008425AE" w:rsidP="002453D8">
            <w:pPr>
              <w:pStyle w:val="TableText0"/>
              <w:keepNext w:val="0"/>
              <w:keepLines w:val="0"/>
              <w:jc w:val="center"/>
            </w:pPr>
            <w:r w:rsidRPr="00EC57FB">
              <w:t>Used</w:t>
            </w:r>
          </w:p>
        </w:tc>
      </w:tr>
      <w:tr w:rsidR="008425AE" w:rsidRPr="00EC57FB" w14:paraId="1B2EE795" w14:textId="77777777" w:rsidTr="0045203D">
        <w:trPr>
          <w:trHeight w:val="300"/>
        </w:trPr>
        <w:tc>
          <w:tcPr>
            <w:tcW w:w="5000" w:type="pct"/>
            <w:gridSpan w:val="7"/>
            <w:vAlign w:val="center"/>
          </w:tcPr>
          <w:p w14:paraId="2AF52F93" w14:textId="77777777" w:rsidR="008425AE" w:rsidRPr="00EC57FB" w:rsidRDefault="008425AE" w:rsidP="002453D8">
            <w:pPr>
              <w:pStyle w:val="TableText0"/>
              <w:keepNext w:val="0"/>
              <w:keepLines w:val="0"/>
              <w:rPr>
                <w:rFonts w:eastAsia="Arial Narrow" w:cs="Arial Narrow"/>
                <w:b/>
                <w:color w:val="000000" w:themeColor="text1"/>
                <w:sz w:val="19"/>
                <w:szCs w:val="19"/>
                <w:highlight w:val="yellow"/>
              </w:rPr>
            </w:pPr>
            <w:r w:rsidRPr="00EC57FB">
              <w:rPr>
                <w:rFonts w:eastAsia="Arial Narrow" w:cs="Arial Narrow"/>
                <w:b/>
                <w:color w:val="000000" w:themeColor="text1"/>
                <w:sz w:val="19"/>
                <w:szCs w:val="19"/>
              </w:rPr>
              <w:t>Observational studies of nirsevimab effectiveness based on Australian State Nirsevimab Programs</w:t>
            </w:r>
          </w:p>
        </w:tc>
      </w:tr>
      <w:tr w:rsidR="00A92A57" w:rsidRPr="00EC57FB" w14:paraId="0184B2E7" w14:textId="77777777" w:rsidTr="00776D67">
        <w:trPr>
          <w:trHeight w:val="300"/>
        </w:trPr>
        <w:tc>
          <w:tcPr>
            <w:tcW w:w="724" w:type="pct"/>
            <w:vAlign w:val="center"/>
          </w:tcPr>
          <w:p w14:paraId="7176F60C" w14:textId="77777777" w:rsidR="008425AE" w:rsidRPr="00EC57FB" w:rsidRDefault="008425AE" w:rsidP="002453D8">
            <w:pPr>
              <w:pStyle w:val="TableText0"/>
              <w:keepNext w:val="0"/>
              <w:keepLines w:val="0"/>
            </w:pPr>
            <w:r w:rsidRPr="00EC57FB">
              <w:rPr>
                <w:rFonts w:eastAsia="Arial Narrow" w:cs="Arial Narrow"/>
                <w:bCs w:val="0"/>
                <w:color w:val="000000" w:themeColor="text1"/>
                <w:sz w:val="19"/>
                <w:szCs w:val="19"/>
              </w:rPr>
              <w:t>REVIVE</w:t>
            </w:r>
          </w:p>
        </w:tc>
        <w:tc>
          <w:tcPr>
            <w:tcW w:w="487" w:type="pct"/>
            <w:vAlign w:val="center"/>
          </w:tcPr>
          <w:p w14:paraId="7BCA3007"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840</w:t>
            </w:r>
          </w:p>
        </w:tc>
        <w:tc>
          <w:tcPr>
            <w:tcW w:w="637" w:type="pct"/>
            <w:vAlign w:val="center"/>
          </w:tcPr>
          <w:p w14:paraId="16A17E8C"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Test-negative case-control study</w:t>
            </w:r>
          </w:p>
        </w:tc>
        <w:tc>
          <w:tcPr>
            <w:tcW w:w="429" w:type="pct"/>
            <w:vAlign w:val="center"/>
          </w:tcPr>
          <w:p w14:paraId="4C807A07" w14:textId="77777777" w:rsidR="008425AE" w:rsidRPr="00EC57FB" w:rsidRDefault="008425AE" w:rsidP="002453D8">
            <w:pPr>
              <w:pStyle w:val="TableText0"/>
              <w:keepNext w:val="0"/>
              <w:keepLines w:val="0"/>
              <w:jc w:val="center"/>
            </w:pPr>
            <w:r w:rsidRPr="00EC57FB">
              <w:t>High</w:t>
            </w:r>
          </w:p>
        </w:tc>
        <w:tc>
          <w:tcPr>
            <w:tcW w:w="943" w:type="pct"/>
            <w:vAlign w:val="center"/>
          </w:tcPr>
          <w:p w14:paraId="77D64F15" w14:textId="77777777" w:rsidR="008425AE" w:rsidRPr="00EC57FB" w:rsidRDefault="008425AE" w:rsidP="002453D8">
            <w:pPr>
              <w:pStyle w:val="TableText0"/>
              <w:keepNext w:val="0"/>
              <w:keepLines w:val="0"/>
              <w:jc w:val="center"/>
            </w:pPr>
            <w:r w:rsidRPr="00EC57FB">
              <w:rPr>
                <w:rFonts w:eastAsia="Arial Narrow" w:cs="Arial Narrow"/>
                <w:bCs w:val="0"/>
                <w:color w:val="000000" w:themeColor="text1"/>
                <w:sz w:val="19"/>
                <w:szCs w:val="19"/>
              </w:rPr>
              <w:t>Infants and children hospitalised in a paediatric unit and tested for RSV in Western Australia over 24 weeks</w:t>
            </w:r>
          </w:p>
        </w:tc>
        <w:tc>
          <w:tcPr>
            <w:tcW w:w="1022" w:type="pct"/>
            <w:vAlign w:val="center"/>
          </w:tcPr>
          <w:p w14:paraId="73A4D216" w14:textId="77777777" w:rsidR="008425AE" w:rsidRPr="00EC57FB" w:rsidRDefault="008425AE" w:rsidP="00A369BF">
            <w:pPr>
              <w:pStyle w:val="TableText0"/>
              <w:keepNext w:val="0"/>
              <w:keepLines w:val="0"/>
              <w:numPr>
                <w:ilvl w:val="0"/>
                <w:numId w:val="30"/>
              </w:numP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Hospitalisation with RSV positive acute respiratory infection</w:t>
            </w:r>
          </w:p>
        </w:tc>
        <w:tc>
          <w:tcPr>
            <w:tcW w:w="758" w:type="pct"/>
            <w:vAlign w:val="center"/>
          </w:tcPr>
          <w:p w14:paraId="151C80C5" w14:textId="77777777" w:rsidR="008425AE" w:rsidRPr="00EC57FB" w:rsidRDefault="008425AE" w:rsidP="002453D8">
            <w:pPr>
              <w:pStyle w:val="TableText0"/>
              <w:keepNext w:val="0"/>
              <w:keepLines w:val="0"/>
              <w:jc w:val="center"/>
            </w:pPr>
            <w:r w:rsidRPr="00EC57FB">
              <w:t>Used</w:t>
            </w:r>
          </w:p>
        </w:tc>
      </w:tr>
      <w:tr w:rsidR="00A92A57" w:rsidRPr="00EC57FB" w14:paraId="0674A4FB" w14:textId="77777777" w:rsidTr="00776D67">
        <w:trPr>
          <w:trHeight w:val="300"/>
        </w:trPr>
        <w:tc>
          <w:tcPr>
            <w:tcW w:w="724" w:type="pct"/>
            <w:vAlign w:val="center"/>
          </w:tcPr>
          <w:p w14:paraId="5ACFF745" w14:textId="77777777" w:rsidR="008425AE" w:rsidRPr="00EC57FB" w:rsidRDefault="008425AE" w:rsidP="002453D8">
            <w:pPr>
              <w:pStyle w:val="TableText0"/>
              <w:keepNext w:val="0"/>
              <w:keepLines w:val="0"/>
              <w:rPr>
                <w:rFonts w:eastAsia="Arial Narrow" w:cs="Arial Narrow"/>
                <w:bCs w:val="0"/>
                <w:color w:val="000000" w:themeColor="text1"/>
                <w:szCs w:val="20"/>
              </w:rPr>
            </w:pPr>
            <w:r w:rsidRPr="00EC57FB">
              <w:rPr>
                <w:rFonts w:eastAsia="Arial Narrow" w:cs="Arial Narrow"/>
                <w:bCs w:val="0"/>
                <w:color w:val="000000" w:themeColor="text1"/>
                <w:szCs w:val="20"/>
              </w:rPr>
              <w:t>Queensland paediatric RSV prevention program 2024</w:t>
            </w:r>
          </w:p>
        </w:tc>
        <w:tc>
          <w:tcPr>
            <w:tcW w:w="487" w:type="pct"/>
            <w:vAlign w:val="center"/>
          </w:tcPr>
          <w:p w14:paraId="774E0A79" w14:textId="77777777" w:rsidR="008425AE" w:rsidRPr="00EC57FB" w:rsidRDefault="008425AE" w:rsidP="002453D8">
            <w:pPr>
              <w:pStyle w:val="TableText0"/>
              <w:keepNext w:val="0"/>
              <w:keepLines w:val="0"/>
              <w:spacing w:line="259" w:lineRule="auto"/>
              <w:jc w:val="center"/>
            </w:pPr>
            <w:r w:rsidRPr="00EC57FB">
              <w:rPr>
                <w:rFonts w:eastAsia="Arial Narrow" w:cs="Arial Narrow"/>
                <w:bCs w:val="0"/>
                <w:color w:val="000000" w:themeColor="text1"/>
                <w:sz w:val="19"/>
                <w:szCs w:val="19"/>
              </w:rPr>
              <w:t>Sample size not reported</w:t>
            </w:r>
          </w:p>
        </w:tc>
        <w:tc>
          <w:tcPr>
            <w:tcW w:w="637" w:type="pct"/>
            <w:vAlign w:val="center"/>
          </w:tcPr>
          <w:p w14:paraId="07F4CBA8" w14:textId="77777777" w:rsidR="008425AE" w:rsidRPr="00EC57FB" w:rsidRDefault="008425AE" w:rsidP="002453D8">
            <w:pPr>
              <w:pStyle w:val="TableText0"/>
              <w:keepNext w:val="0"/>
              <w:keepLines w:val="0"/>
              <w:jc w:val="center"/>
              <w:rPr>
                <w:rFonts w:eastAsia="Arial Narrow" w:cs="Arial Narrow"/>
                <w:bCs w:val="0"/>
                <w:iCs/>
                <w:color w:val="000000" w:themeColor="text1"/>
                <w:szCs w:val="20"/>
              </w:rPr>
            </w:pPr>
            <w:r w:rsidRPr="00EC57FB">
              <w:rPr>
                <w:rFonts w:eastAsia="Arial Narrow" w:cs="Arial Narrow"/>
                <w:bCs w:val="0"/>
                <w:iCs/>
                <w:color w:val="000000" w:themeColor="text1"/>
                <w:szCs w:val="20"/>
              </w:rPr>
              <w:t xml:space="preserve">Observational before-and-after study </w:t>
            </w:r>
          </w:p>
        </w:tc>
        <w:tc>
          <w:tcPr>
            <w:tcW w:w="429" w:type="pct"/>
            <w:vAlign w:val="center"/>
          </w:tcPr>
          <w:p w14:paraId="55359DB5" w14:textId="77777777" w:rsidR="008425AE" w:rsidRPr="00EC57FB" w:rsidRDefault="008425AE" w:rsidP="002453D8">
            <w:pPr>
              <w:pStyle w:val="TableText0"/>
              <w:keepNext w:val="0"/>
              <w:keepLines w:val="0"/>
              <w:jc w:val="center"/>
            </w:pPr>
            <w:r w:rsidRPr="00EC57FB">
              <w:t>High</w:t>
            </w:r>
          </w:p>
        </w:tc>
        <w:tc>
          <w:tcPr>
            <w:tcW w:w="943" w:type="pct"/>
            <w:vAlign w:val="center"/>
          </w:tcPr>
          <w:p w14:paraId="04F01302" w14:textId="77777777" w:rsidR="008425AE" w:rsidRPr="00EC57FB" w:rsidRDefault="008425AE" w:rsidP="002453D8">
            <w:pPr>
              <w:pStyle w:val="TableText0"/>
              <w:keepNext w:val="0"/>
              <w:keepLines w:val="0"/>
              <w:jc w:val="center"/>
            </w:pPr>
            <w:r w:rsidRPr="00EC57FB">
              <w:rPr>
                <w:rFonts w:eastAsia="Arial Narrow" w:cs="Arial Narrow"/>
                <w:bCs w:val="0"/>
                <w:color w:val="000000" w:themeColor="text1"/>
                <w:sz w:val="19"/>
                <w:szCs w:val="19"/>
              </w:rPr>
              <w:t>Infants &lt; 12 months of age</w:t>
            </w:r>
          </w:p>
        </w:tc>
        <w:tc>
          <w:tcPr>
            <w:tcW w:w="1022" w:type="pct"/>
            <w:vAlign w:val="center"/>
          </w:tcPr>
          <w:p w14:paraId="0915D692" w14:textId="77777777" w:rsidR="008425AE" w:rsidRPr="00EC57FB" w:rsidRDefault="008425AE" w:rsidP="00A369BF">
            <w:pPr>
              <w:pStyle w:val="TableText0"/>
              <w:keepNext w:val="0"/>
              <w:keepLines w:val="0"/>
              <w:numPr>
                <w:ilvl w:val="0"/>
                <w:numId w:val="29"/>
              </w:numPr>
            </w:pPr>
            <w:r w:rsidRPr="00EC57FB">
              <w:rPr>
                <w:rFonts w:eastAsia="Arial Narrow" w:cs="Arial Narrow"/>
                <w:bCs w:val="0"/>
                <w:color w:val="000000" w:themeColor="text1"/>
                <w:sz w:val="19"/>
                <w:szCs w:val="19"/>
              </w:rPr>
              <w:t>Hospitalisation for RSV in 2023 vs. 2024 (before &amp; after the introduction of the Queensland paediatric RSV prevention program that provides RSV prophylaxis with nirsevimab to infants at high risk of severe RSV</w:t>
            </w:r>
          </w:p>
        </w:tc>
        <w:tc>
          <w:tcPr>
            <w:tcW w:w="758" w:type="pct"/>
            <w:vAlign w:val="center"/>
          </w:tcPr>
          <w:p w14:paraId="25D56446" w14:textId="77777777" w:rsidR="008425AE" w:rsidRPr="00EC57FB" w:rsidRDefault="008425AE" w:rsidP="002453D8">
            <w:pPr>
              <w:pStyle w:val="TableText0"/>
              <w:keepNext w:val="0"/>
              <w:keepLines w:val="0"/>
              <w:jc w:val="center"/>
            </w:pPr>
            <w:r w:rsidRPr="00EC57FB">
              <w:t>Not used</w:t>
            </w:r>
          </w:p>
        </w:tc>
      </w:tr>
      <w:tr w:rsidR="00A92A57" w:rsidRPr="00EC57FB" w14:paraId="58BA9C01" w14:textId="77777777" w:rsidTr="00776D67">
        <w:trPr>
          <w:trHeight w:val="300"/>
        </w:trPr>
        <w:tc>
          <w:tcPr>
            <w:tcW w:w="724" w:type="pct"/>
            <w:vAlign w:val="center"/>
          </w:tcPr>
          <w:p w14:paraId="43E9D29A" w14:textId="77777777" w:rsidR="008425AE" w:rsidRPr="00EC57FB" w:rsidRDefault="008425AE" w:rsidP="002453D8">
            <w:pPr>
              <w:pStyle w:val="TableText0"/>
              <w:keepNext w:val="0"/>
              <w:keepLines w:val="0"/>
              <w:rPr>
                <w:rFonts w:eastAsia="Arial Narrow" w:cs="Arial Narrow"/>
                <w:bCs w:val="0"/>
                <w:color w:val="000000" w:themeColor="text1"/>
                <w:szCs w:val="20"/>
              </w:rPr>
            </w:pPr>
            <w:r w:rsidRPr="00EC57FB">
              <w:rPr>
                <w:rFonts w:eastAsia="Arial Narrow" w:cs="Arial Narrow"/>
                <w:bCs w:val="0"/>
                <w:color w:val="000000" w:themeColor="text1"/>
                <w:szCs w:val="20"/>
              </w:rPr>
              <w:t>New South Wales RSV Vulnerable Babies Program 2024</w:t>
            </w:r>
          </w:p>
        </w:tc>
        <w:tc>
          <w:tcPr>
            <w:tcW w:w="487" w:type="pct"/>
            <w:vAlign w:val="center"/>
          </w:tcPr>
          <w:p w14:paraId="7C41383B" w14:textId="77777777" w:rsidR="008425AE" w:rsidRPr="00EC57FB" w:rsidRDefault="008425AE" w:rsidP="002453D8">
            <w:pPr>
              <w:pStyle w:val="TableText0"/>
              <w:keepNext w:val="0"/>
              <w:keepLines w:val="0"/>
              <w:jc w:val="center"/>
              <w:rPr>
                <w:rFonts w:eastAsia="Arial Narrow" w:cs="Arial Narrow"/>
                <w:bCs w:val="0"/>
                <w:color w:val="000000" w:themeColor="text1"/>
                <w:sz w:val="19"/>
                <w:szCs w:val="19"/>
              </w:rPr>
            </w:pPr>
            <w:r w:rsidRPr="00EC57FB">
              <w:rPr>
                <w:rFonts w:eastAsia="Arial Narrow" w:cs="Arial Narrow"/>
                <w:bCs w:val="0"/>
                <w:color w:val="000000" w:themeColor="text1"/>
                <w:sz w:val="19"/>
                <w:szCs w:val="19"/>
              </w:rPr>
              <w:t xml:space="preserve">141,958 in 2023 and 146,017 in 2024 </w:t>
            </w:r>
          </w:p>
        </w:tc>
        <w:tc>
          <w:tcPr>
            <w:tcW w:w="637" w:type="pct"/>
            <w:vAlign w:val="center"/>
          </w:tcPr>
          <w:p w14:paraId="6D172AEA" w14:textId="77777777" w:rsidR="008425AE" w:rsidRPr="00EC57FB" w:rsidRDefault="008425AE" w:rsidP="002453D8">
            <w:pPr>
              <w:pStyle w:val="TableText0"/>
              <w:keepNext w:val="0"/>
              <w:keepLines w:val="0"/>
              <w:spacing w:line="259" w:lineRule="auto"/>
              <w:jc w:val="center"/>
              <w:rPr>
                <w:rFonts w:eastAsia="Arial Narrow" w:cs="Arial Narrow"/>
                <w:bCs w:val="0"/>
                <w:iCs/>
                <w:color w:val="000000" w:themeColor="text1"/>
                <w:sz w:val="19"/>
                <w:szCs w:val="19"/>
              </w:rPr>
            </w:pPr>
            <w:r w:rsidRPr="00EC57FB">
              <w:rPr>
                <w:rFonts w:eastAsia="Arial Narrow" w:cs="Arial Narrow"/>
                <w:bCs w:val="0"/>
                <w:iCs/>
                <w:color w:val="000000" w:themeColor="text1"/>
                <w:sz w:val="19"/>
                <w:szCs w:val="19"/>
              </w:rPr>
              <w:t>Observational before-and-after study</w:t>
            </w:r>
          </w:p>
        </w:tc>
        <w:tc>
          <w:tcPr>
            <w:tcW w:w="429" w:type="pct"/>
            <w:vAlign w:val="center"/>
          </w:tcPr>
          <w:p w14:paraId="2CD63A09" w14:textId="77777777" w:rsidR="008425AE" w:rsidRPr="00EC57FB" w:rsidRDefault="008425AE" w:rsidP="002453D8">
            <w:pPr>
              <w:pStyle w:val="TableText0"/>
              <w:keepNext w:val="0"/>
              <w:keepLines w:val="0"/>
              <w:jc w:val="center"/>
            </w:pPr>
            <w:r w:rsidRPr="00EC57FB">
              <w:t>High</w:t>
            </w:r>
          </w:p>
        </w:tc>
        <w:tc>
          <w:tcPr>
            <w:tcW w:w="943" w:type="pct"/>
            <w:vAlign w:val="center"/>
          </w:tcPr>
          <w:p w14:paraId="317D3BD2" w14:textId="77777777" w:rsidR="008425AE" w:rsidRPr="00EC57FB" w:rsidRDefault="008425AE" w:rsidP="002453D8">
            <w:pPr>
              <w:pStyle w:val="TableText0"/>
              <w:keepNext w:val="0"/>
              <w:keepLines w:val="0"/>
              <w:jc w:val="center"/>
            </w:pPr>
            <w:r w:rsidRPr="00EC57FB">
              <w:rPr>
                <w:rFonts w:eastAsia="Arial Narrow" w:cs="Arial Narrow"/>
                <w:bCs w:val="0"/>
                <w:color w:val="000000" w:themeColor="text1"/>
                <w:sz w:val="19"/>
                <w:szCs w:val="19"/>
              </w:rPr>
              <w:t>Infants &lt; 12 months of age</w:t>
            </w:r>
          </w:p>
        </w:tc>
        <w:tc>
          <w:tcPr>
            <w:tcW w:w="1022" w:type="pct"/>
            <w:vAlign w:val="center"/>
          </w:tcPr>
          <w:p w14:paraId="2C6CA4E2" w14:textId="3038C343" w:rsidR="008425AE" w:rsidRPr="00EC57FB" w:rsidRDefault="008425AE" w:rsidP="00A369BF">
            <w:pPr>
              <w:pStyle w:val="TableText0"/>
              <w:keepNext w:val="0"/>
              <w:keepLines w:val="0"/>
              <w:numPr>
                <w:ilvl w:val="0"/>
                <w:numId w:val="28"/>
              </w:numPr>
            </w:pPr>
            <w:r w:rsidRPr="00EC57FB">
              <w:rPr>
                <w:rFonts w:eastAsia="Arial Narrow" w:cs="Arial Narrow"/>
                <w:bCs w:val="0"/>
                <w:color w:val="000000" w:themeColor="text1"/>
                <w:sz w:val="19"/>
                <w:szCs w:val="19"/>
              </w:rPr>
              <w:t>Total RSV notifications</w:t>
            </w:r>
            <w:r w:rsidR="00577C66">
              <w:rPr>
                <w:rFonts w:eastAsia="Arial Narrow" w:cs="Arial Narrow"/>
                <w:bCs w:val="0"/>
                <w:color w:val="000000" w:themeColor="text1"/>
                <w:sz w:val="19"/>
                <w:szCs w:val="19"/>
              </w:rPr>
              <w:t xml:space="preserve"> </w:t>
            </w:r>
            <w:r w:rsidRPr="00EC57FB">
              <w:rPr>
                <w:rFonts w:eastAsia="Arial Narrow" w:cs="Arial Narrow"/>
                <w:bCs w:val="0"/>
                <w:color w:val="000000" w:themeColor="text1"/>
                <w:sz w:val="19"/>
                <w:szCs w:val="19"/>
              </w:rPr>
              <w:t>between 1 March and 1 August 2024 (after the introduction of the Vulnerable Babies Program which provided nirsevimab) to infants with risk conditions</w:t>
            </w:r>
          </w:p>
        </w:tc>
        <w:tc>
          <w:tcPr>
            <w:tcW w:w="758" w:type="pct"/>
            <w:vAlign w:val="center"/>
          </w:tcPr>
          <w:p w14:paraId="5EFE316A" w14:textId="77777777" w:rsidR="008425AE" w:rsidRPr="00EC57FB" w:rsidRDefault="008425AE" w:rsidP="002453D8">
            <w:pPr>
              <w:pStyle w:val="TableText0"/>
              <w:keepNext w:val="0"/>
              <w:keepLines w:val="0"/>
              <w:jc w:val="center"/>
            </w:pPr>
            <w:r w:rsidRPr="00EC57FB">
              <w:t>Not used</w:t>
            </w:r>
          </w:p>
        </w:tc>
      </w:tr>
    </w:tbl>
    <w:p w14:paraId="62B474D3" w14:textId="77777777" w:rsidR="008425AE" w:rsidRPr="00EC57FB" w:rsidRDefault="008425AE" w:rsidP="00623A0F">
      <w:pPr>
        <w:pStyle w:val="FooterTableFigure"/>
      </w:pPr>
      <w:r w:rsidRPr="00EC57FB">
        <w:t>Sources: Table 2.2.3, p47, Table 2.3.1, pp48-49, Table 2.3.2, p50, Table 2.4.1, p51, and Table 2.4.2., pp52-55, Table 2.5.10, pp86-87, text on pp83, 89-92 of the resubmission, Ricco 2024</w:t>
      </w:r>
    </w:p>
    <w:p w14:paraId="350DB234" w14:textId="10E0F380" w:rsidR="00067A27" w:rsidRPr="00EC57FB" w:rsidRDefault="00067A27" w:rsidP="00623A0F">
      <w:pPr>
        <w:pStyle w:val="FooterTableFigure"/>
      </w:pPr>
      <w:r w:rsidRPr="00EC57FB">
        <w:t>Blue shading is indicative of information previously considered by the PBAC.</w:t>
      </w:r>
    </w:p>
    <w:p w14:paraId="3FF2BA3D" w14:textId="77777777" w:rsidR="008425AE" w:rsidRPr="00EC57FB" w:rsidRDefault="008425AE" w:rsidP="00623A0F">
      <w:pPr>
        <w:pStyle w:val="FooterTableFigure"/>
      </w:pPr>
      <w:r w:rsidRPr="00EC57FB">
        <w:t>ADA = anti-drug antibodies; CHD = congenital heart disease; CLD = chronic lung disease; DB = double blind; ED = emergency departments; GA = gestational age; IM = intramuscular; MA RSV LRTI = medically attended respiratory syncytial virus lower respiratory tract infection; MC = multicentre; N = number of participants; OL = open-label; PK = pharmacokinetics; R = randomised; RSV = respiratory syncytial virus</w:t>
      </w:r>
    </w:p>
    <w:p w14:paraId="74DC6EDD" w14:textId="77777777" w:rsidR="002D398E" w:rsidRPr="00EC57FB" w:rsidRDefault="002D398E" w:rsidP="00623A0F">
      <w:pPr>
        <w:pStyle w:val="FooterTableFigure"/>
      </w:pPr>
      <w:r w:rsidRPr="00EC57FB">
        <w:rPr>
          <w:vertAlign w:val="superscript"/>
        </w:rPr>
        <w:t>a</w:t>
      </w:r>
      <w:r w:rsidRPr="00EC57FB">
        <w:t xml:space="preserve"> excluding infants from the Phase 2b trial who weighed ≥ 5 kg and received a 50 mg dose</w:t>
      </w:r>
    </w:p>
    <w:p w14:paraId="7A178F2B" w14:textId="541EC5BC" w:rsidR="002D398E" w:rsidRPr="00EC57FB" w:rsidRDefault="002D398E" w:rsidP="00623A0F">
      <w:pPr>
        <w:pStyle w:val="FooterTableFigure"/>
      </w:pPr>
      <w:r w:rsidRPr="00EC57FB">
        <w:rPr>
          <w:vertAlign w:val="superscript"/>
        </w:rPr>
        <w:t>b</w:t>
      </w:r>
      <w:r w:rsidRPr="00EC57FB">
        <w:t xml:space="preserve"> including the full intention-to-treat populations</w:t>
      </w:r>
    </w:p>
    <w:p w14:paraId="79A5F07C" w14:textId="0C523CAE" w:rsidR="002E764A" w:rsidRPr="00EC57FB" w:rsidRDefault="002433BB" w:rsidP="00892B3D">
      <w:pPr>
        <w:pStyle w:val="3-BodyText"/>
      </w:pPr>
      <w:r w:rsidRPr="00EC57FB">
        <w:lastRenderedPageBreak/>
        <w:fldChar w:fldCharType="begin"/>
      </w:r>
      <w:r w:rsidRPr="00EC57FB">
        <w:instrText xml:space="preserve"> REF _Ref185262048 \h </w:instrText>
      </w:r>
      <w:r w:rsidRPr="00EC57FB">
        <w:fldChar w:fldCharType="separate"/>
      </w:r>
      <w:r w:rsidR="00502C25" w:rsidRPr="00EC57FB">
        <w:t xml:space="preserve">Table </w:t>
      </w:r>
      <w:r w:rsidR="00502C25">
        <w:rPr>
          <w:noProof/>
        </w:rPr>
        <w:t>9</w:t>
      </w:r>
      <w:r w:rsidRPr="00EC57FB">
        <w:fldChar w:fldCharType="end"/>
      </w:r>
      <w:r w:rsidRPr="00EC57FB">
        <w:t xml:space="preserve"> classifies the studies</w:t>
      </w:r>
      <w:r w:rsidR="005275A1" w:rsidRPr="00EC57FB">
        <w:t xml:space="preserve"> detailed in </w:t>
      </w:r>
      <w:r w:rsidR="005275A1" w:rsidRPr="00EC57FB">
        <w:fldChar w:fldCharType="begin"/>
      </w:r>
      <w:r w:rsidR="005275A1" w:rsidRPr="00EC57FB">
        <w:instrText xml:space="preserve"> REF _Ref185177458 \h </w:instrText>
      </w:r>
      <w:r w:rsidR="005275A1" w:rsidRPr="00EC57FB">
        <w:fldChar w:fldCharType="separate"/>
      </w:r>
      <w:r w:rsidR="00502C25" w:rsidRPr="00EC57FB">
        <w:t xml:space="preserve">Table </w:t>
      </w:r>
      <w:r w:rsidR="00502C25">
        <w:rPr>
          <w:noProof/>
        </w:rPr>
        <w:t>8</w:t>
      </w:r>
      <w:r w:rsidR="005275A1" w:rsidRPr="00EC57FB">
        <w:fldChar w:fldCharType="end"/>
      </w:r>
      <w:r w:rsidR="005275A1" w:rsidRPr="00EC57FB">
        <w:t xml:space="preserve"> according to the populations and relevant comparisons</w:t>
      </w:r>
      <w:r w:rsidR="00AC206B" w:rsidRPr="00EC57FB">
        <w:t xml:space="preserve">, as detailed in </w:t>
      </w:r>
      <w:r w:rsidR="00AC206B" w:rsidRPr="00EC57FB">
        <w:fldChar w:fldCharType="begin"/>
      </w:r>
      <w:r w:rsidR="00AC206B" w:rsidRPr="00EC57FB">
        <w:instrText xml:space="preserve"> REF _Ref185172303 \h </w:instrText>
      </w:r>
      <w:r w:rsidR="00AC206B" w:rsidRPr="00EC57FB">
        <w:fldChar w:fldCharType="separate"/>
      </w:r>
      <w:r w:rsidR="00502C25" w:rsidRPr="00EC57FB">
        <w:t xml:space="preserve">Table </w:t>
      </w:r>
      <w:r w:rsidR="00502C25">
        <w:rPr>
          <w:noProof/>
        </w:rPr>
        <w:t>6</w:t>
      </w:r>
      <w:r w:rsidR="00AC206B" w:rsidRPr="00EC57FB">
        <w:fldChar w:fldCharType="end"/>
      </w:r>
      <w:r w:rsidR="00AC206B" w:rsidRPr="00EC57FB">
        <w:t>,</w:t>
      </w:r>
      <w:r w:rsidR="005275A1" w:rsidRPr="00EC57FB">
        <w:t xml:space="preserve"> they </w:t>
      </w:r>
      <w:r w:rsidR="00AC206B" w:rsidRPr="00EC57FB">
        <w:t>could</w:t>
      </w:r>
      <w:r w:rsidR="005275A1" w:rsidRPr="00EC57FB">
        <w:t xml:space="preserve"> inform</w:t>
      </w:r>
      <w:r w:rsidR="00AC206B" w:rsidRPr="00EC57FB">
        <w:t>.</w:t>
      </w:r>
      <w:r w:rsidR="00B92251" w:rsidRPr="00EC57FB">
        <w:t xml:space="preserve"> The highest available level of evidence is presented such that if, for example, directly relevant RCTs are available then</w:t>
      </w:r>
      <w:r w:rsidR="003F5C71" w:rsidRPr="00EC57FB">
        <w:t xml:space="preserve"> supportive observational studies are not listed in the table.</w:t>
      </w:r>
    </w:p>
    <w:p w14:paraId="577FE905" w14:textId="2AEDA91D" w:rsidR="00CB5BAF" w:rsidRPr="00EC57FB" w:rsidRDefault="00CB5BAF" w:rsidP="00CB5BAF">
      <w:pPr>
        <w:pStyle w:val="TableHeading"/>
      </w:pPr>
      <w:bookmarkStart w:id="61" w:name="_Ref185262048"/>
      <w:r w:rsidRPr="00EC57FB">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9</w:t>
      </w:r>
      <w:r w:rsidR="00C51E7C" w:rsidRPr="00EC57FB">
        <w:fldChar w:fldCharType="end"/>
      </w:r>
      <w:bookmarkEnd w:id="61"/>
      <w:r w:rsidRPr="00EC57FB">
        <w:t xml:space="preserve">: </w:t>
      </w:r>
      <w:r w:rsidR="006B1584" w:rsidRPr="00EC57FB">
        <w:t xml:space="preserve">Classification of the evidence by the comparisons </w:t>
      </w:r>
      <w:r w:rsidR="00EF0FCB" w:rsidRPr="00EC57FB">
        <w:t>required to inform PBAC decision-making</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6524"/>
      </w:tblGrid>
      <w:tr w:rsidR="00F66EC5" w:rsidRPr="00EC57FB" w14:paraId="460F7129" w14:textId="4997C083" w:rsidTr="009A26E7">
        <w:trPr>
          <w:trHeight w:val="20"/>
          <w:tblHeader/>
        </w:trPr>
        <w:tc>
          <w:tcPr>
            <w:tcW w:w="2403" w:type="dxa"/>
            <w:vAlign w:val="center"/>
          </w:tcPr>
          <w:p w14:paraId="77FA9E3A" w14:textId="6D9495B0" w:rsidR="00F66EC5" w:rsidRPr="00EC57FB" w:rsidRDefault="00F66EC5">
            <w:pPr>
              <w:keepNext/>
              <w:keepLines/>
              <w:jc w:val="left"/>
              <w:rPr>
                <w:rFonts w:ascii="Arial Narrow" w:hAnsi="Arial Narrow"/>
                <w:b/>
                <w:sz w:val="20"/>
                <w:szCs w:val="20"/>
              </w:rPr>
            </w:pPr>
            <w:r w:rsidRPr="00EC57FB">
              <w:rPr>
                <w:rFonts w:ascii="Arial Narrow" w:hAnsi="Arial Narrow"/>
                <w:b/>
                <w:bCs/>
                <w:sz w:val="20"/>
                <w:szCs w:val="20"/>
              </w:rPr>
              <w:t>Population</w:t>
            </w:r>
          </w:p>
        </w:tc>
        <w:tc>
          <w:tcPr>
            <w:tcW w:w="6524" w:type="dxa"/>
            <w:vAlign w:val="center"/>
          </w:tcPr>
          <w:p w14:paraId="64951339" w14:textId="63113E5B" w:rsidR="00F66EC5" w:rsidRPr="00EC57FB" w:rsidRDefault="00F66EC5">
            <w:pPr>
              <w:pStyle w:val="TableText0"/>
              <w:jc w:val="center"/>
              <w:rPr>
                <w:b/>
                <w:bCs w:val="0"/>
                <w:szCs w:val="20"/>
              </w:rPr>
            </w:pPr>
            <w:r w:rsidRPr="00EC57FB">
              <w:rPr>
                <w:b/>
                <w:bCs w:val="0"/>
                <w:snapToGrid w:val="0"/>
              </w:rPr>
              <w:t>Studies that could inform the relevant comparison</w:t>
            </w:r>
          </w:p>
        </w:tc>
      </w:tr>
      <w:tr w:rsidR="0060767B" w:rsidRPr="00EC57FB" w14:paraId="291DB596" w14:textId="3FDE5CD3" w:rsidTr="009A26E7">
        <w:trPr>
          <w:trHeight w:val="20"/>
        </w:trPr>
        <w:tc>
          <w:tcPr>
            <w:tcW w:w="2403" w:type="dxa"/>
            <w:vAlign w:val="center"/>
          </w:tcPr>
          <w:p w14:paraId="7A24DEE8" w14:textId="30D864BD" w:rsidR="0060767B" w:rsidRPr="00EC57FB" w:rsidRDefault="0060767B" w:rsidP="00380979">
            <w:pPr>
              <w:pStyle w:val="TableText0"/>
              <w:keepNext w:val="0"/>
              <w:keepLines w:val="0"/>
              <w:rPr>
                <w:color w:val="000000" w:themeColor="text1"/>
                <w:szCs w:val="20"/>
              </w:rPr>
            </w:pPr>
            <w:r w:rsidRPr="00EC57FB">
              <w:rPr>
                <w:b/>
                <w:bCs w:val="0"/>
                <w:color w:val="000000" w:themeColor="text1"/>
                <w:szCs w:val="20"/>
              </w:rPr>
              <w:t xml:space="preserve">Population </w:t>
            </w:r>
            <w:r w:rsidR="000F7A12" w:rsidRPr="00EC57FB">
              <w:rPr>
                <w:b/>
                <w:bCs w:val="0"/>
                <w:color w:val="000000" w:themeColor="text1"/>
                <w:szCs w:val="20"/>
              </w:rPr>
              <w:t>A</w:t>
            </w:r>
            <w:r w:rsidRPr="00EC57FB">
              <w:rPr>
                <w:b/>
                <w:bCs w:val="0"/>
                <w:color w:val="000000" w:themeColor="text1"/>
                <w:szCs w:val="20"/>
              </w:rPr>
              <w:t>:</w:t>
            </w:r>
            <w:r w:rsidRPr="00EC57FB">
              <w:rPr>
                <w:color w:val="000000" w:themeColor="text1"/>
                <w:szCs w:val="20"/>
              </w:rPr>
              <w:t xml:space="preserve"> infants aged &lt; 8 months being exposed to their first RSV where the mother did not receive </w:t>
            </w:r>
            <w:r w:rsidR="00485EA7" w:rsidRPr="00EC57FB">
              <w:rPr>
                <w:color w:val="000000" w:themeColor="text1"/>
                <w:szCs w:val="20"/>
              </w:rPr>
              <w:t xml:space="preserve">RSVpreF </w:t>
            </w:r>
            <w:r w:rsidRPr="00EC57FB">
              <w:rPr>
                <w:color w:val="000000" w:themeColor="text1"/>
                <w:szCs w:val="20"/>
              </w:rPr>
              <w:t>and where the infant does not have a risk condition</w:t>
            </w:r>
          </w:p>
        </w:tc>
        <w:tc>
          <w:tcPr>
            <w:tcW w:w="6524" w:type="dxa"/>
            <w:vAlign w:val="center"/>
          </w:tcPr>
          <w:p w14:paraId="3406B489" w14:textId="15729A18" w:rsidR="0060767B" w:rsidRPr="00EC57FB" w:rsidRDefault="0060767B" w:rsidP="00380979">
            <w:pPr>
              <w:pStyle w:val="TableText0"/>
              <w:keepNext w:val="0"/>
              <w:keepLines w:val="0"/>
              <w:rPr>
                <w:color w:val="000000" w:themeColor="text1"/>
                <w:u w:val="single"/>
              </w:rPr>
            </w:pPr>
            <w:r w:rsidRPr="00EC57FB">
              <w:rPr>
                <w:color w:val="000000" w:themeColor="text1"/>
                <w:u w:val="single"/>
              </w:rPr>
              <w:t xml:space="preserve">Comparison </w:t>
            </w:r>
            <w:r w:rsidR="00C83A94" w:rsidRPr="00EC57FB">
              <w:rPr>
                <w:color w:val="000000" w:themeColor="text1"/>
                <w:u w:val="single"/>
              </w:rPr>
              <w:t xml:space="preserve">of nirsevimab </w:t>
            </w:r>
            <w:r w:rsidRPr="00EC57FB">
              <w:rPr>
                <w:color w:val="000000" w:themeColor="text1"/>
                <w:u w:val="single"/>
              </w:rPr>
              <w:t>vs no immunisation:</w:t>
            </w:r>
          </w:p>
          <w:p w14:paraId="0C725A41" w14:textId="5A0E23DC" w:rsidR="00730ED5" w:rsidRPr="00EC57FB" w:rsidRDefault="0060767B" w:rsidP="001A1FAE">
            <w:pPr>
              <w:pStyle w:val="TableText0"/>
              <w:keepNext w:val="0"/>
              <w:keepLines w:val="0"/>
              <w:rPr>
                <w:color w:val="000000" w:themeColor="text1"/>
                <w:szCs w:val="20"/>
              </w:rPr>
            </w:pPr>
            <w:r w:rsidRPr="00EC57FB">
              <w:rPr>
                <w:color w:val="000000" w:themeColor="text1"/>
                <w:szCs w:val="20"/>
              </w:rPr>
              <w:t xml:space="preserve">MELODY, Phase 2b &amp; HARMONIE RCTs (including </w:t>
            </w:r>
            <w:r w:rsidR="009153B6" w:rsidRPr="00EC57FB">
              <w:rPr>
                <w:color w:val="000000" w:themeColor="text1"/>
                <w:szCs w:val="20"/>
              </w:rPr>
              <w:t xml:space="preserve">a </w:t>
            </w:r>
            <w:r w:rsidRPr="00EC57FB">
              <w:rPr>
                <w:color w:val="000000" w:themeColor="text1"/>
                <w:szCs w:val="20"/>
              </w:rPr>
              <w:t>meta-analysis of outcomes from these trials)</w:t>
            </w:r>
            <w:r w:rsidR="00DA3A6D" w:rsidRPr="00EC57FB">
              <w:rPr>
                <w:color w:val="000000" w:themeColor="text1"/>
                <w:szCs w:val="20"/>
              </w:rPr>
              <w:t xml:space="preserve">. </w:t>
            </w:r>
            <w:r w:rsidR="001A1FAE" w:rsidRPr="00EC57FB">
              <w:rPr>
                <w:color w:val="000000" w:themeColor="text1"/>
                <w:szCs w:val="20"/>
              </w:rPr>
              <w:t xml:space="preserve">HARMONIE was proposed as supportive evidence in the </w:t>
            </w:r>
            <w:r w:rsidR="009934AE" w:rsidRPr="00EC57FB">
              <w:rPr>
                <w:color w:val="000000" w:themeColor="text1"/>
                <w:szCs w:val="20"/>
              </w:rPr>
              <w:t xml:space="preserve">first </w:t>
            </w:r>
            <w:r w:rsidR="001A1FAE" w:rsidRPr="00EC57FB">
              <w:rPr>
                <w:color w:val="000000" w:themeColor="text1"/>
                <w:szCs w:val="20"/>
              </w:rPr>
              <w:t>submission</w:t>
            </w:r>
            <w:r w:rsidRPr="00EC57FB">
              <w:rPr>
                <w:color w:val="000000" w:themeColor="text1"/>
                <w:szCs w:val="20"/>
              </w:rPr>
              <w:t xml:space="preserve"> on the grounds that i</w:t>
            </w:r>
            <w:r w:rsidR="00C37053" w:rsidRPr="00EC57FB">
              <w:rPr>
                <w:color w:val="000000" w:themeColor="text1"/>
                <w:szCs w:val="20"/>
              </w:rPr>
              <w:t>t</w:t>
            </w:r>
            <w:r w:rsidRPr="00EC57FB">
              <w:rPr>
                <w:color w:val="000000" w:themeColor="text1"/>
                <w:szCs w:val="20"/>
              </w:rPr>
              <w:t xml:space="preserve"> was an open-label trial</w:t>
            </w:r>
            <w:r w:rsidR="00DA3A6D" w:rsidRPr="00EC57FB">
              <w:rPr>
                <w:color w:val="000000" w:themeColor="text1"/>
                <w:szCs w:val="20"/>
              </w:rPr>
              <w:t xml:space="preserve"> and thus potentially subject to </w:t>
            </w:r>
            <w:r w:rsidR="00F5750E" w:rsidRPr="00EC57FB">
              <w:rPr>
                <w:color w:val="000000" w:themeColor="text1"/>
                <w:szCs w:val="20"/>
              </w:rPr>
              <w:t>bias</w:t>
            </w:r>
            <w:r w:rsidRPr="00EC57FB">
              <w:rPr>
                <w:color w:val="000000" w:themeColor="text1"/>
                <w:szCs w:val="20"/>
              </w:rPr>
              <w:t>.</w:t>
            </w:r>
            <w:r w:rsidR="006C3F7A" w:rsidRPr="00EC57FB">
              <w:rPr>
                <w:color w:val="000000" w:themeColor="text1"/>
                <w:szCs w:val="20"/>
              </w:rPr>
              <w:t xml:space="preserve"> The resubmission</w:t>
            </w:r>
            <w:r w:rsidR="00A92B0F" w:rsidRPr="00EC57FB">
              <w:rPr>
                <w:color w:val="000000" w:themeColor="text1"/>
                <w:szCs w:val="20"/>
              </w:rPr>
              <w:t xml:space="preserve">, </w:t>
            </w:r>
            <w:r w:rsidR="00A92B0F" w:rsidRPr="00EC57FB">
              <w:rPr>
                <w:iCs/>
                <w:color w:val="000000" w:themeColor="text1"/>
                <w:szCs w:val="20"/>
              </w:rPr>
              <w:t>reasonably,</w:t>
            </w:r>
            <w:r w:rsidR="006C3F7A" w:rsidRPr="00EC57FB">
              <w:rPr>
                <w:color w:val="000000" w:themeColor="text1"/>
                <w:szCs w:val="20"/>
              </w:rPr>
              <w:t xml:space="preserve"> </w:t>
            </w:r>
            <w:r w:rsidR="00C16FD8" w:rsidRPr="00EC57FB">
              <w:rPr>
                <w:color w:val="000000" w:themeColor="text1"/>
                <w:szCs w:val="20"/>
              </w:rPr>
              <w:t xml:space="preserve">excluded </w:t>
            </w:r>
            <w:r w:rsidR="006C3F7A" w:rsidRPr="00EC57FB">
              <w:rPr>
                <w:color w:val="000000" w:themeColor="text1"/>
                <w:szCs w:val="20"/>
              </w:rPr>
              <w:t>the HARMONIE trial from consideration in the resubmission.</w:t>
            </w:r>
            <w:r w:rsidR="00C6518F" w:rsidRPr="00EC57FB">
              <w:rPr>
                <w:color w:val="000000" w:themeColor="text1"/>
                <w:szCs w:val="20"/>
              </w:rPr>
              <w:t xml:space="preserve"> </w:t>
            </w:r>
          </w:p>
          <w:p w14:paraId="1D830EB0" w14:textId="77777777" w:rsidR="00730ED5" w:rsidRPr="00EC57FB" w:rsidRDefault="00730ED5" w:rsidP="00380979">
            <w:pPr>
              <w:pStyle w:val="TableText0"/>
              <w:keepNext w:val="0"/>
              <w:keepLines w:val="0"/>
              <w:rPr>
                <w:color w:val="000000" w:themeColor="text1"/>
                <w:szCs w:val="20"/>
              </w:rPr>
            </w:pPr>
          </w:p>
          <w:p w14:paraId="56153CE3" w14:textId="5EE68021" w:rsidR="00CA126E" w:rsidRPr="00EC57FB" w:rsidRDefault="00167892" w:rsidP="00380979">
            <w:pPr>
              <w:pStyle w:val="TableText0"/>
              <w:keepNext w:val="0"/>
              <w:keepLines w:val="0"/>
              <w:rPr>
                <w:color w:val="000000" w:themeColor="text1"/>
              </w:rPr>
            </w:pPr>
            <w:r w:rsidRPr="00EC57FB">
              <w:rPr>
                <w:color w:val="000000" w:themeColor="text1"/>
              </w:rPr>
              <w:t>Infants born</w:t>
            </w:r>
            <w:r w:rsidR="000E36F0" w:rsidRPr="00EC57FB">
              <w:rPr>
                <w:color w:val="000000" w:themeColor="text1"/>
              </w:rPr>
              <w:t xml:space="preserve"> with a gestational age ≤ 32 weeks are</w:t>
            </w:r>
            <w:r w:rsidR="006D01AE" w:rsidRPr="00EC57FB">
              <w:rPr>
                <w:color w:val="000000" w:themeColor="text1"/>
              </w:rPr>
              <w:t xml:space="preserve"> considered to have a risk condition according t</w:t>
            </w:r>
            <w:r w:rsidR="00A469C8" w:rsidRPr="00EC57FB">
              <w:rPr>
                <w:color w:val="000000" w:themeColor="text1"/>
              </w:rPr>
              <w:t xml:space="preserve">o the AIH. </w:t>
            </w:r>
            <w:r w:rsidR="00CA126E" w:rsidRPr="00EC57FB">
              <w:rPr>
                <w:color w:val="000000" w:themeColor="text1"/>
              </w:rPr>
              <w:t xml:space="preserve">Pooling of </w:t>
            </w:r>
            <w:r w:rsidR="00A766E2" w:rsidRPr="00EC57FB">
              <w:rPr>
                <w:color w:val="000000" w:themeColor="text1"/>
              </w:rPr>
              <w:t xml:space="preserve">results from the </w:t>
            </w:r>
            <w:r w:rsidR="00CA126E" w:rsidRPr="00EC57FB">
              <w:rPr>
                <w:color w:val="000000" w:themeColor="text1"/>
              </w:rPr>
              <w:t>MELODY</w:t>
            </w:r>
            <w:r w:rsidR="00AF6315" w:rsidRPr="00EC57FB">
              <w:rPr>
                <w:color w:val="000000" w:themeColor="text1"/>
              </w:rPr>
              <w:t xml:space="preserve"> trial</w:t>
            </w:r>
            <w:r w:rsidR="00CA126E" w:rsidRPr="00EC57FB">
              <w:rPr>
                <w:color w:val="000000" w:themeColor="text1"/>
              </w:rPr>
              <w:t xml:space="preserve"> </w:t>
            </w:r>
            <w:r w:rsidR="00A43A5B" w:rsidRPr="00EC57FB">
              <w:rPr>
                <w:color w:val="000000" w:themeColor="text1"/>
              </w:rPr>
              <w:t>(which recruited only infants with a gestational age</w:t>
            </w:r>
            <w:r w:rsidR="00880AA6" w:rsidRPr="00EC57FB">
              <w:rPr>
                <w:color w:val="000000" w:themeColor="text1"/>
              </w:rPr>
              <w:t xml:space="preserve">≥ 35 weeks) </w:t>
            </w:r>
            <w:r w:rsidR="00AF6315" w:rsidRPr="00EC57FB">
              <w:rPr>
                <w:color w:val="000000" w:themeColor="text1"/>
              </w:rPr>
              <w:t>with results from the</w:t>
            </w:r>
            <w:r w:rsidR="00CA126E" w:rsidRPr="00EC57FB">
              <w:rPr>
                <w:color w:val="000000" w:themeColor="text1"/>
              </w:rPr>
              <w:t xml:space="preserve"> Phase 2b trial</w:t>
            </w:r>
            <w:r w:rsidR="00AF6315" w:rsidRPr="00EC57FB">
              <w:rPr>
                <w:color w:val="000000" w:themeColor="text1"/>
              </w:rPr>
              <w:t xml:space="preserve"> (which recruited infants born with gestational age between ≥ 29 weeks and &lt; 35 weeks</w:t>
            </w:r>
            <w:r w:rsidR="00D36E03" w:rsidRPr="00EC57FB">
              <w:rPr>
                <w:color w:val="000000" w:themeColor="text1"/>
              </w:rPr>
              <w:t>)</w:t>
            </w:r>
            <w:r w:rsidR="00CA126E" w:rsidRPr="00EC57FB">
              <w:rPr>
                <w:color w:val="000000" w:themeColor="text1"/>
              </w:rPr>
              <w:t xml:space="preserve"> inappropriately assumes that, in practice, the proportion of infants born with gestational age between ≥ 29 weeks and &lt; 35 weeks is approximately equal to the proportion of infants born with gestational age ≥</w:t>
            </w:r>
            <w:r w:rsidR="00CF135A" w:rsidRPr="00EC57FB">
              <w:rPr>
                <w:color w:val="000000" w:themeColor="text1"/>
              </w:rPr>
              <w:t> </w:t>
            </w:r>
            <w:r w:rsidR="00CA126E" w:rsidRPr="00EC57FB">
              <w:rPr>
                <w:color w:val="000000" w:themeColor="text1"/>
              </w:rPr>
              <w:t>35 weeks</w:t>
            </w:r>
            <w:bookmarkStart w:id="62" w:name="_Hlk186195420"/>
            <w:r w:rsidR="00CA126E" w:rsidRPr="00EC57FB">
              <w:rPr>
                <w:color w:val="000000" w:themeColor="text1"/>
              </w:rPr>
              <w:t>. According to the AIHW Australia’s mothers and babies report</w:t>
            </w:r>
            <w:bookmarkStart w:id="63" w:name="_Ref187966594"/>
            <w:r w:rsidR="000A1E76" w:rsidRPr="00EC57FB">
              <w:rPr>
                <w:rStyle w:val="FootnoteReference"/>
                <w:color w:val="000000" w:themeColor="text1"/>
              </w:rPr>
              <w:footnoteReference w:id="14"/>
            </w:r>
            <w:bookmarkEnd w:id="63"/>
            <w:r w:rsidR="00CA126E" w:rsidRPr="00EC57FB">
              <w:rPr>
                <w:color w:val="000000" w:themeColor="text1"/>
              </w:rPr>
              <w:t>, most babies (91%) born in Australia were born at term (37-41 weeks) in 2022.</w:t>
            </w:r>
            <w:bookmarkEnd w:id="62"/>
            <w:r w:rsidR="0088493A" w:rsidRPr="00EC57FB">
              <w:rPr>
                <w:color w:val="000000" w:themeColor="text1"/>
              </w:rPr>
              <w:t xml:space="preserve"> Pooling of the outcomes will </w:t>
            </w:r>
            <w:r w:rsidR="00FA5AE0" w:rsidRPr="00EC57FB">
              <w:rPr>
                <w:color w:val="000000" w:themeColor="text1"/>
              </w:rPr>
              <w:t xml:space="preserve">inappropriately give </w:t>
            </w:r>
            <w:r w:rsidR="0010047F" w:rsidRPr="00EC57FB">
              <w:rPr>
                <w:color w:val="000000" w:themeColor="text1"/>
              </w:rPr>
              <w:t>an un</w:t>
            </w:r>
            <w:r w:rsidR="00FA5AE0" w:rsidRPr="00EC57FB">
              <w:rPr>
                <w:color w:val="000000" w:themeColor="text1"/>
              </w:rPr>
              <w:t xml:space="preserve">due </w:t>
            </w:r>
            <w:r w:rsidR="0010047F" w:rsidRPr="00EC57FB">
              <w:rPr>
                <w:color w:val="000000" w:themeColor="text1"/>
              </w:rPr>
              <w:t xml:space="preserve">greater </w:t>
            </w:r>
            <w:r w:rsidR="00FA5AE0" w:rsidRPr="00EC57FB">
              <w:rPr>
                <w:color w:val="000000" w:themeColor="text1"/>
              </w:rPr>
              <w:t xml:space="preserve">weight to outcomes from the Phase 2b trial. </w:t>
            </w:r>
            <w:r w:rsidR="00303C4F" w:rsidRPr="00EC57FB">
              <w:rPr>
                <w:color w:val="000000" w:themeColor="text1"/>
              </w:rPr>
              <w:t xml:space="preserve">Approximately 35% of infants in the </w:t>
            </w:r>
            <w:r w:rsidR="001543E7" w:rsidRPr="00EC57FB">
              <w:rPr>
                <w:color w:val="000000" w:themeColor="text1"/>
              </w:rPr>
              <w:t>Phase 2b trial wou</w:t>
            </w:r>
            <w:r w:rsidR="00B61A63" w:rsidRPr="00EC57FB">
              <w:rPr>
                <w:color w:val="000000" w:themeColor="text1"/>
              </w:rPr>
              <w:t>ld be considered to have a risk condition due to being born</w:t>
            </w:r>
            <w:r w:rsidR="001542EC" w:rsidRPr="00EC57FB">
              <w:rPr>
                <w:color w:val="000000" w:themeColor="text1"/>
              </w:rPr>
              <w:t xml:space="preserve"> </w:t>
            </w:r>
            <w:r w:rsidR="00115751" w:rsidRPr="00EC57FB">
              <w:rPr>
                <w:color w:val="000000" w:themeColor="text1"/>
              </w:rPr>
              <w:t>with a gestational age</w:t>
            </w:r>
            <w:r w:rsidR="008D0765" w:rsidRPr="00EC57FB">
              <w:rPr>
                <w:color w:val="000000" w:themeColor="text1"/>
              </w:rPr>
              <w:t xml:space="preserve"> </w:t>
            </w:r>
            <w:r w:rsidR="00115751" w:rsidRPr="00EC57FB">
              <w:rPr>
                <w:color w:val="000000" w:themeColor="text1"/>
              </w:rPr>
              <w:t>≤ 32 weeks</w:t>
            </w:r>
            <w:r w:rsidR="009074B4" w:rsidRPr="00EC57FB">
              <w:rPr>
                <w:color w:val="000000" w:themeColor="text1"/>
              </w:rPr>
              <w:t>.</w:t>
            </w:r>
          </w:p>
          <w:p w14:paraId="103C408A" w14:textId="77777777" w:rsidR="00B401EA" w:rsidRPr="00EC57FB" w:rsidRDefault="00B401EA" w:rsidP="00380979">
            <w:pPr>
              <w:pStyle w:val="TableText0"/>
              <w:keepNext w:val="0"/>
              <w:keepLines w:val="0"/>
              <w:rPr>
                <w:color w:val="000000" w:themeColor="text1"/>
              </w:rPr>
            </w:pPr>
          </w:p>
          <w:p w14:paraId="0048C2C4" w14:textId="1357923E" w:rsidR="0060767B" w:rsidRPr="00EC57FB" w:rsidRDefault="00BB1E37" w:rsidP="00380979">
            <w:pPr>
              <w:pStyle w:val="TableText0"/>
              <w:keepNext w:val="0"/>
              <w:keepLines w:val="0"/>
              <w:rPr>
                <w:color w:val="000000" w:themeColor="text1"/>
                <w:szCs w:val="20"/>
              </w:rPr>
            </w:pPr>
            <w:r w:rsidRPr="00EC57FB">
              <w:rPr>
                <w:color w:val="000000" w:themeColor="text1"/>
                <w:szCs w:val="20"/>
              </w:rPr>
              <w:t xml:space="preserve">The PBAC </w:t>
            </w:r>
            <w:r w:rsidR="00B401EA" w:rsidRPr="00EC57FB">
              <w:rPr>
                <w:color w:val="000000" w:themeColor="text1"/>
                <w:szCs w:val="20"/>
              </w:rPr>
              <w:t xml:space="preserve">previously </w:t>
            </w:r>
            <w:r w:rsidRPr="00EC57FB">
              <w:rPr>
                <w:color w:val="000000" w:themeColor="text1"/>
                <w:szCs w:val="20"/>
              </w:rPr>
              <w:t xml:space="preserve">considered that “a claim of superior comparative effectiveness was reasonable for the main comparison between nirsevimab and no immunisation in Season 1, as supported by the relative risk reduction in MA RSV LRTI for nirsevimab patients compared with placebo in the MELODY and Phase </w:t>
            </w:r>
            <w:r w:rsidR="00A922E0" w:rsidRPr="00EC57FB">
              <w:rPr>
                <w:color w:val="000000" w:themeColor="text1"/>
                <w:szCs w:val="20"/>
              </w:rPr>
              <w:t>2</w:t>
            </w:r>
            <w:r w:rsidRPr="00EC57FB">
              <w:rPr>
                <w:color w:val="000000" w:themeColor="text1"/>
                <w:szCs w:val="20"/>
              </w:rPr>
              <w:t>b studies. The PBAC was also satisfied that the claim of non-inferior safety was reasonable based on the</w:t>
            </w:r>
            <w:r w:rsidRPr="00EC57FB">
              <w:rPr>
                <w:iCs/>
                <w:color w:val="000000" w:themeColor="text1"/>
                <w:szCs w:val="20"/>
              </w:rPr>
              <w:t xml:space="preserve"> </w:t>
            </w:r>
            <w:r w:rsidRPr="00EC57FB">
              <w:rPr>
                <w:color w:val="000000" w:themeColor="text1"/>
                <w:szCs w:val="20"/>
              </w:rPr>
              <w:t>similar rates of AEs observed in the nirsevimab and placebo arms of both studies” (paragraph 7.14</w:t>
            </w:r>
            <w:r w:rsidR="00052AB0" w:rsidRPr="00EC57FB">
              <w:rPr>
                <w:color w:val="000000" w:themeColor="text1"/>
                <w:szCs w:val="20"/>
              </w:rPr>
              <w:t xml:space="preserve">, nirsevimab </w:t>
            </w:r>
            <w:r w:rsidRPr="00EC57FB">
              <w:rPr>
                <w:color w:val="000000" w:themeColor="text1"/>
                <w:szCs w:val="20"/>
              </w:rPr>
              <w:t xml:space="preserve">July 2024 PSD). </w:t>
            </w:r>
          </w:p>
          <w:p w14:paraId="336ADC0B" w14:textId="77777777" w:rsidR="00141396" w:rsidRPr="00EC57FB" w:rsidRDefault="00141396" w:rsidP="00380979">
            <w:pPr>
              <w:pStyle w:val="TableText0"/>
              <w:keepNext w:val="0"/>
              <w:keepLines w:val="0"/>
              <w:rPr>
                <w:color w:val="000000" w:themeColor="text1"/>
                <w:szCs w:val="20"/>
              </w:rPr>
            </w:pPr>
          </w:p>
          <w:p w14:paraId="797AEDA0" w14:textId="4B2139A6" w:rsidR="00744D8E" w:rsidRPr="00EC57FB" w:rsidRDefault="00744D8E" w:rsidP="00380979">
            <w:pPr>
              <w:pStyle w:val="TableText0"/>
              <w:keepNext w:val="0"/>
              <w:keepLines w:val="0"/>
              <w:rPr>
                <w:color w:val="000000" w:themeColor="text1"/>
                <w:u w:val="single"/>
              </w:rPr>
            </w:pPr>
            <w:r w:rsidRPr="00EC57FB">
              <w:rPr>
                <w:color w:val="000000" w:themeColor="text1"/>
                <w:u w:val="single"/>
              </w:rPr>
              <w:t xml:space="preserve">Comparison </w:t>
            </w:r>
            <w:r w:rsidR="00C83A94" w:rsidRPr="00EC57FB">
              <w:rPr>
                <w:color w:val="000000" w:themeColor="text1"/>
                <w:u w:val="single"/>
              </w:rPr>
              <w:t xml:space="preserve">of nirsevimab </w:t>
            </w:r>
            <w:r w:rsidRPr="00EC57FB">
              <w:rPr>
                <w:color w:val="000000" w:themeColor="text1"/>
                <w:u w:val="single"/>
              </w:rPr>
              <w:t xml:space="preserve">vs </w:t>
            </w:r>
            <w:r w:rsidR="00485EA7" w:rsidRPr="00EC57FB">
              <w:rPr>
                <w:color w:val="000000" w:themeColor="text1"/>
                <w:u w:val="single"/>
              </w:rPr>
              <w:t>RSVpreF</w:t>
            </w:r>
            <w:r w:rsidRPr="00EC57FB">
              <w:rPr>
                <w:color w:val="000000" w:themeColor="text1"/>
                <w:u w:val="single"/>
              </w:rPr>
              <w:t>:</w:t>
            </w:r>
          </w:p>
          <w:p w14:paraId="7D6B15C4" w14:textId="54AD74FD" w:rsidR="00826B9A" w:rsidRPr="00EC57FB" w:rsidRDefault="00826B9A" w:rsidP="00380979">
            <w:pPr>
              <w:pStyle w:val="TableText0"/>
              <w:keepNext w:val="0"/>
              <w:keepLines w:val="0"/>
              <w:rPr>
                <w:color w:val="000000" w:themeColor="text1"/>
                <w:szCs w:val="20"/>
              </w:rPr>
            </w:pPr>
            <w:r w:rsidRPr="00EC57FB">
              <w:rPr>
                <w:color w:val="000000" w:themeColor="text1"/>
                <w:szCs w:val="20"/>
              </w:rPr>
              <w:t xml:space="preserve">An indirect comparison </w:t>
            </w:r>
            <w:r w:rsidR="005456D1" w:rsidRPr="00EC57FB">
              <w:rPr>
                <w:color w:val="000000" w:themeColor="text1"/>
                <w:szCs w:val="20"/>
              </w:rPr>
              <w:t xml:space="preserve">of nirsevimab and RSVpreF </w:t>
            </w:r>
            <w:r w:rsidRPr="00EC57FB">
              <w:rPr>
                <w:color w:val="000000" w:themeColor="text1"/>
                <w:szCs w:val="20"/>
              </w:rPr>
              <w:t>was previously considered by the PBAC. The PBAC considered that “the clinical evidence did not support a conclusion of superiority between nirsevimab and the near-market comparator RSVpreF in Season 1, due to substantial transitivity issues between the nirsevimab trials and the RSVpreF MATISSE trial.” (paragraph 7.15, nirsevimab July 2024 PSD).</w:t>
            </w:r>
          </w:p>
          <w:p w14:paraId="0FE78C45" w14:textId="77777777" w:rsidR="00826B9A" w:rsidRPr="00EC57FB" w:rsidRDefault="00826B9A" w:rsidP="00380979">
            <w:pPr>
              <w:pStyle w:val="TableText0"/>
              <w:keepNext w:val="0"/>
              <w:keepLines w:val="0"/>
              <w:rPr>
                <w:iCs/>
                <w:color w:val="000000" w:themeColor="text1"/>
                <w:szCs w:val="20"/>
              </w:rPr>
            </w:pPr>
          </w:p>
          <w:p w14:paraId="7A3F4B7A" w14:textId="0430887A" w:rsidR="0007787A" w:rsidRPr="00EC57FB" w:rsidRDefault="0098203A" w:rsidP="00380979">
            <w:pPr>
              <w:pStyle w:val="TableText0"/>
              <w:keepNext w:val="0"/>
              <w:keepLines w:val="0"/>
              <w:rPr>
                <w:color w:val="000000" w:themeColor="text1"/>
                <w:szCs w:val="20"/>
              </w:rPr>
            </w:pPr>
            <w:r w:rsidRPr="00EC57FB">
              <w:rPr>
                <w:color w:val="000000" w:themeColor="text1"/>
                <w:szCs w:val="20"/>
              </w:rPr>
              <w:t xml:space="preserve">A qualitative </w:t>
            </w:r>
            <w:r w:rsidR="000420D2" w:rsidRPr="00EC57FB">
              <w:rPr>
                <w:color w:val="000000" w:themeColor="text1"/>
                <w:szCs w:val="20"/>
              </w:rPr>
              <w:t>ITC</w:t>
            </w:r>
            <w:r w:rsidR="005D61A0" w:rsidRPr="00EC57FB">
              <w:rPr>
                <w:color w:val="000000" w:themeColor="text1"/>
                <w:szCs w:val="20"/>
              </w:rPr>
              <w:t xml:space="preserve"> of nirsevimab and RSVpreF was provided by the resubmission.</w:t>
            </w:r>
            <w:r w:rsidR="00E72FF2" w:rsidRPr="00EC57FB">
              <w:rPr>
                <w:color w:val="000000" w:themeColor="text1"/>
                <w:szCs w:val="20"/>
              </w:rPr>
              <w:t xml:space="preserve"> The comparison provided results from the</w:t>
            </w:r>
            <w:r w:rsidR="00637D44" w:rsidRPr="00EC57FB">
              <w:rPr>
                <w:color w:val="000000" w:themeColor="text1"/>
                <w:szCs w:val="20"/>
              </w:rPr>
              <w:t xml:space="preserve"> meta-analysis of nirsevimab versus placebo trials reported by Simões 2023</w:t>
            </w:r>
            <w:r w:rsidR="003578F0" w:rsidRPr="00EC57FB">
              <w:rPr>
                <w:color w:val="000000" w:themeColor="text1"/>
                <w:szCs w:val="20"/>
              </w:rPr>
              <w:t xml:space="preserve"> and from the MATISSE RSVpreF versus placebo trial but </w:t>
            </w:r>
            <w:r w:rsidR="000420D2" w:rsidRPr="00EC57FB">
              <w:rPr>
                <w:color w:val="000000" w:themeColor="text1"/>
                <w:szCs w:val="20"/>
              </w:rPr>
              <w:t>a</w:t>
            </w:r>
            <w:r w:rsidR="00F63DC4" w:rsidRPr="00EC57FB">
              <w:rPr>
                <w:color w:val="000000" w:themeColor="text1"/>
                <w:szCs w:val="20"/>
              </w:rPr>
              <w:t xml:space="preserve"> formal</w:t>
            </w:r>
            <w:r w:rsidR="005D61A0" w:rsidRPr="00EC57FB">
              <w:rPr>
                <w:color w:val="000000" w:themeColor="text1"/>
                <w:szCs w:val="20"/>
              </w:rPr>
              <w:t xml:space="preserve"> </w:t>
            </w:r>
            <w:r w:rsidR="00ED1F5A" w:rsidRPr="00EC57FB">
              <w:rPr>
                <w:color w:val="000000" w:themeColor="text1"/>
                <w:szCs w:val="20"/>
              </w:rPr>
              <w:t xml:space="preserve">ITC </w:t>
            </w:r>
            <w:r w:rsidR="004B5AB8" w:rsidRPr="00EC57FB">
              <w:rPr>
                <w:color w:val="000000" w:themeColor="text1"/>
                <w:szCs w:val="20"/>
              </w:rPr>
              <w:t>was not presented</w:t>
            </w:r>
            <w:r w:rsidR="00F7717F" w:rsidRPr="00EC57FB">
              <w:rPr>
                <w:color w:val="000000" w:themeColor="text1"/>
                <w:szCs w:val="20"/>
              </w:rPr>
              <w:t xml:space="preserve"> </w:t>
            </w:r>
            <w:r w:rsidR="00ED1F5A" w:rsidRPr="00EC57FB">
              <w:rPr>
                <w:color w:val="000000" w:themeColor="text1"/>
                <w:szCs w:val="20"/>
              </w:rPr>
              <w:t xml:space="preserve">in the resubmission </w:t>
            </w:r>
            <w:r w:rsidR="00F7717F" w:rsidRPr="00EC57FB">
              <w:rPr>
                <w:color w:val="000000" w:themeColor="text1"/>
                <w:szCs w:val="20"/>
              </w:rPr>
              <w:t xml:space="preserve">on the grounds that the PBAC </w:t>
            </w:r>
            <w:r w:rsidR="00ED1F5A" w:rsidRPr="00EC57FB">
              <w:rPr>
                <w:color w:val="000000" w:themeColor="text1"/>
                <w:szCs w:val="20"/>
              </w:rPr>
              <w:t xml:space="preserve">considered the ITC presented in the </w:t>
            </w:r>
            <w:r w:rsidR="009934AE" w:rsidRPr="00EC57FB">
              <w:rPr>
                <w:color w:val="000000" w:themeColor="text1"/>
                <w:szCs w:val="20"/>
              </w:rPr>
              <w:t>first</w:t>
            </w:r>
            <w:r w:rsidR="00ED1F5A" w:rsidRPr="00EC57FB">
              <w:rPr>
                <w:color w:val="000000" w:themeColor="text1"/>
                <w:szCs w:val="20"/>
              </w:rPr>
              <w:t xml:space="preserve"> submission</w:t>
            </w:r>
            <w:r w:rsidR="0007787A" w:rsidRPr="00EC57FB">
              <w:rPr>
                <w:color w:val="000000" w:themeColor="text1"/>
                <w:szCs w:val="20"/>
              </w:rPr>
              <w:t xml:space="preserve"> </w:t>
            </w:r>
            <w:r w:rsidR="00236158" w:rsidRPr="00EC57FB">
              <w:rPr>
                <w:color w:val="000000" w:themeColor="text1"/>
                <w:szCs w:val="20"/>
              </w:rPr>
              <w:t>to be</w:t>
            </w:r>
            <w:r w:rsidR="00ED1F5A" w:rsidRPr="00EC57FB">
              <w:rPr>
                <w:color w:val="000000" w:themeColor="text1"/>
                <w:szCs w:val="20"/>
              </w:rPr>
              <w:t xml:space="preserve"> unreliable</w:t>
            </w:r>
            <w:r w:rsidR="00476A6F" w:rsidRPr="00EC57FB">
              <w:rPr>
                <w:color w:val="000000" w:themeColor="text1"/>
                <w:szCs w:val="20"/>
              </w:rPr>
              <w:t xml:space="preserve"> and subject to</w:t>
            </w:r>
            <w:r w:rsidR="00ED1F5A" w:rsidRPr="00EC57FB">
              <w:rPr>
                <w:color w:val="000000" w:themeColor="text1"/>
                <w:szCs w:val="20"/>
              </w:rPr>
              <w:t xml:space="preserve"> substantial transitivity issues</w:t>
            </w:r>
            <w:r w:rsidR="00476A6F" w:rsidRPr="00EC57FB">
              <w:rPr>
                <w:color w:val="000000" w:themeColor="text1"/>
                <w:szCs w:val="20"/>
              </w:rPr>
              <w:t>.</w:t>
            </w:r>
          </w:p>
          <w:p w14:paraId="5B3E1C43" w14:textId="77777777" w:rsidR="0007787A" w:rsidRPr="00EC57FB" w:rsidRDefault="0007787A" w:rsidP="00380979">
            <w:pPr>
              <w:pStyle w:val="TableText0"/>
              <w:keepNext w:val="0"/>
              <w:keepLines w:val="0"/>
              <w:rPr>
                <w:color w:val="000000" w:themeColor="text1"/>
                <w:szCs w:val="20"/>
              </w:rPr>
            </w:pPr>
          </w:p>
          <w:p w14:paraId="77AFAA1B" w14:textId="424EDE22" w:rsidR="0060767B" w:rsidRPr="00EC57FB" w:rsidRDefault="005473C3" w:rsidP="00380979">
            <w:pPr>
              <w:pStyle w:val="TableText0"/>
              <w:keepNext w:val="0"/>
              <w:keepLines w:val="0"/>
              <w:rPr>
                <w:i/>
                <w:iCs/>
                <w:color w:val="000000" w:themeColor="text1"/>
                <w:szCs w:val="20"/>
              </w:rPr>
            </w:pPr>
            <w:r w:rsidRPr="00EC57FB">
              <w:rPr>
                <w:color w:val="000000" w:themeColor="text1"/>
                <w:szCs w:val="20"/>
              </w:rPr>
              <w:lastRenderedPageBreak/>
              <w:t xml:space="preserve">An ITC comparing nirsevimab and </w:t>
            </w:r>
            <w:r w:rsidR="00DA135F" w:rsidRPr="00EC57FB">
              <w:rPr>
                <w:color w:val="000000" w:themeColor="text1"/>
                <w:szCs w:val="20"/>
              </w:rPr>
              <w:t xml:space="preserve">RSVpreF, </w:t>
            </w:r>
            <w:r w:rsidRPr="00EC57FB">
              <w:rPr>
                <w:color w:val="000000" w:themeColor="text1"/>
                <w:szCs w:val="20"/>
              </w:rPr>
              <w:t xml:space="preserve">using </w:t>
            </w:r>
            <w:r w:rsidR="00FB2B31" w:rsidRPr="00EC57FB">
              <w:rPr>
                <w:color w:val="000000" w:themeColor="text1"/>
                <w:szCs w:val="20"/>
              </w:rPr>
              <w:t>placebo</w:t>
            </w:r>
            <w:r w:rsidR="00C73D35" w:rsidRPr="00EC57FB">
              <w:rPr>
                <w:color w:val="000000" w:themeColor="text1"/>
                <w:szCs w:val="20"/>
              </w:rPr>
              <w:t xml:space="preserve"> (</w:t>
            </w:r>
            <w:r w:rsidR="00DA135F" w:rsidRPr="00EC57FB">
              <w:rPr>
                <w:color w:val="000000" w:themeColor="text1"/>
                <w:szCs w:val="20"/>
              </w:rPr>
              <w:t>as a proxy for</w:t>
            </w:r>
            <w:r w:rsidR="00C73D35" w:rsidRPr="00EC57FB">
              <w:rPr>
                <w:color w:val="000000" w:themeColor="text1"/>
                <w:szCs w:val="20"/>
              </w:rPr>
              <w:t xml:space="preserve"> no immunisation)</w:t>
            </w:r>
            <w:r w:rsidR="00FB2B31" w:rsidRPr="00EC57FB">
              <w:rPr>
                <w:color w:val="000000" w:themeColor="text1"/>
                <w:szCs w:val="20"/>
              </w:rPr>
              <w:t xml:space="preserve"> as the common reference</w:t>
            </w:r>
            <w:r w:rsidR="00C73D35" w:rsidRPr="00EC57FB">
              <w:rPr>
                <w:color w:val="000000" w:themeColor="text1"/>
                <w:szCs w:val="20"/>
              </w:rPr>
              <w:t>,</w:t>
            </w:r>
            <w:r w:rsidR="00FB2B31" w:rsidRPr="00EC57FB">
              <w:rPr>
                <w:color w:val="000000" w:themeColor="text1"/>
                <w:szCs w:val="20"/>
              </w:rPr>
              <w:t xml:space="preserve"> informed by the </w:t>
            </w:r>
            <w:r w:rsidR="00826B9A" w:rsidRPr="00EC57FB">
              <w:rPr>
                <w:color w:val="000000" w:themeColor="text1"/>
                <w:szCs w:val="20"/>
              </w:rPr>
              <w:t>final</w:t>
            </w:r>
            <w:r w:rsidR="00F63DC4" w:rsidRPr="00EC57FB">
              <w:rPr>
                <w:color w:val="000000" w:themeColor="text1"/>
                <w:szCs w:val="20"/>
              </w:rPr>
              <w:t xml:space="preserve"> results from the </w:t>
            </w:r>
            <w:r w:rsidR="00744D8E" w:rsidRPr="00EC57FB">
              <w:rPr>
                <w:color w:val="000000" w:themeColor="text1"/>
                <w:szCs w:val="20"/>
              </w:rPr>
              <w:t>MELODY</w:t>
            </w:r>
            <w:r w:rsidR="00826B9A" w:rsidRPr="00EC57FB">
              <w:rPr>
                <w:color w:val="000000" w:themeColor="text1"/>
                <w:szCs w:val="20"/>
              </w:rPr>
              <w:t xml:space="preserve"> nirsevimab vs placebo</w:t>
            </w:r>
            <w:r w:rsidR="006C3F7A" w:rsidRPr="00EC57FB">
              <w:rPr>
                <w:color w:val="000000" w:themeColor="text1"/>
                <w:szCs w:val="20"/>
              </w:rPr>
              <w:t xml:space="preserve"> </w:t>
            </w:r>
            <w:r w:rsidR="00F63DC4" w:rsidRPr="00EC57FB">
              <w:rPr>
                <w:color w:val="000000" w:themeColor="text1"/>
                <w:szCs w:val="20"/>
              </w:rPr>
              <w:t xml:space="preserve">trial </w:t>
            </w:r>
            <w:r w:rsidR="00FB2B31" w:rsidRPr="00EC57FB">
              <w:rPr>
                <w:color w:val="000000" w:themeColor="text1"/>
                <w:szCs w:val="20"/>
              </w:rPr>
              <w:t>and by the</w:t>
            </w:r>
            <w:r w:rsidR="0089742C" w:rsidRPr="00EC57FB">
              <w:rPr>
                <w:color w:val="000000" w:themeColor="text1"/>
                <w:szCs w:val="20"/>
              </w:rPr>
              <w:t xml:space="preserve"> MATISSE </w:t>
            </w:r>
            <w:r w:rsidR="00826B9A" w:rsidRPr="00EC57FB">
              <w:rPr>
                <w:color w:val="000000" w:themeColor="text1"/>
                <w:szCs w:val="20"/>
              </w:rPr>
              <w:t xml:space="preserve">RSVpreF </w:t>
            </w:r>
            <w:r w:rsidR="009D2F23" w:rsidRPr="00EC57FB">
              <w:rPr>
                <w:color w:val="000000" w:themeColor="text1"/>
                <w:szCs w:val="20"/>
              </w:rPr>
              <w:t xml:space="preserve">vs placebo </w:t>
            </w:r>
            <w:r w:rsidR="00DA135F" w:rsidRPr="00EC57FB">
              <w:rPr>
                <w:color w:val="000000" w:themeColor="text1"/>
                <w:szCs w:val="20"/>
              </w:rPr>
              <w:t xml:space="preserve">trial was </w:t>
            </w:r>
            <w:r w:rsidR="007412DB" w:rsidRPr="00EC57FB">
              <w:rPr>
                <w:color w:val="000000" w:themeColor="text1"/>
                <w:szCs w:val="20"/>
              </w:rPr>
              <w:t xml:space="preserve">presented in the resubmission and additional analyses </w:t>
            </w:r>
            <w:r w:rsidR="009C21C0" w:rsidRPr="00EC57FB">
              <w:rPr>
                <w:color w:val="000000" w:themeColor="text1"/>
                <w:szCs w:val="20"/>
              </w:rPr>
              <w:t>were</w:t>
            </w:r>
            <w:r w:rsidR="007412DB" w:rsidRPr="00EC57FB">
              <w:rPr>
                <w:color w:val="000000" w:themeColor="text1"/>
                <w:szCs w:val="20"/>
              </w:rPr>
              <w:t xml:space="preserve"> </w:t>
            </w:r>
            <w:r w:rsidR="00DA135F" w:rsidRPr="00EC57FB">
              <w:rPr>
                <w:color w:val="000000" w:themeColor="text1"/>
                <w:szCs w:val="20"/>
              </w:rPr>
              <w:t xml:space="preserve">conducted during the evaluation, noting that </w:t>
            </w:r>
            <w:r w:rsidR="006468CA" w:rsidRPr="00EC57FB">
              <w:rPr>
                <w:color w:val="000000" w:themeColor="text1"/>
                <w:szCs w:val="20"/>
              </w:rPr>
              <w:t xml:space="preserve">transitivity issues </w:t>
            </w:r>
            <w:r w:rsidR="00046033" w:rsidRPr="00EC57FB">
              <w:rPr>
                <w:color w:val="000000" w:themeColor="text1"/>
                <w:szCs w:val="20"/>
              </w:rPr>
              <w:t>continue to apply</w:t>
            </w:r>
            <w:r w:rsidR="006468CA" w:rsidRPr="00EC57FB">
              <w:rPr>
                <w:color w:val="000000" w:themeColor="text1"/>
                <w:szCs w:val="20"/>
              </w:rPr>
              <w:t>.</w:t>
            </w:r>
            <w:r w:rsidR="006468CA" w:rsidRPr="00EC57FB">
              <w:rPr>
                <w:iCs/>
                <w:color w:val="000000" w:themeColor="text1"/>
                <w:szCs w:val="20"/>
              </w:rPr>
              <w:t xml:space="preserve"> </w:t>
            </w:r>
          </w:p>
        </w:tc>
      </w:tr>
      <w:tr w:rsidR="0060767B" w:rsidRPr="00EC57FB" w14:paraId="50DFDC27" w14:textId="67E74A80" w:rsidTr="009A26E7">
        <w:trPr>
          <w:trHeight w:val="20"/>
        </w:trPr>
        <w:tc>
          <w:tcPr>
            <w:tcW w:w="2403" w:type="dxa"/>
            <w:vAlign w:val="center"/>
          </w:tcPr>
          <w:p w14:paraId="74E88BBE" w14:textId="36216A1A" w:rsidR="0060767B" w:rsidRPr="00EC57FB" w:rsidRDefault="0060767B" w:rsidP="00380979">
            <w:pPr>
              <w:jc w:val="left"/>
              <w:rPr>
                <w:rFonts w:ascii="Arial Narrow" w:hAnsi="Arial Narrow"/>
                <w:color w:val="000000" w:themeColor="text1"/>
                <w:sz w:val="20"/>
                <w:szCs w:val="20"/>
              </w:rPr>
            </w:pPr>
            <w:r w:rsidRPr="00EC57FB">
              <w:rPr>
                <w:rFonts w:ascii="Arial Narrow" w:hAnsi="Arial Narrow"/>
                <w:b/>
                <w:color w:val="000000" w:themeColor="text1"/>
                <w:sz w:val="20"/>
                <w:szCs w:val="20"/>
              </w:rPr>
              <w:lastRenderedPageBreak/>
              <w:t xml:space="preserve">Population </w:t>
            </w:r>
            <w:r w:rsidR="0073017D" w:rsidRPr="00EC57FB">
              <w:rPr>
                <w:rFonts w:ascii="Arial Narrow" w:hAnsi="Arial Narrow"/>
                <w:b/>
                <w:color w:val="000000" w:themeColor="text1"/>
                <w:sz w:val="20"/>
                <w:szCs w:val="20"/>
              </w:rPr>
              <w:t>B</w:t>
            </w:r>
            <w:r w:rsidRPr="00EC57FB">
              <w:rPr>
                <w:rFonts w:ascii="Arial Narrow" w:hAnsi="Arial Narrow"/>
                <w:b/>
                <w:color w:val="000000" w:themeColor="text1"/>
                <w:sz w:val="20"/>
                <w:szCs w:val="20"/>
              </w:rPr>
              <w:t xml:space="preserve">: </w:t>
            </w:r>
            <w:r w:rsidRPr="00EC57FB">
              <w:rPr>
                <w:rFonts w:ascii="Arial Narrow" w:hAnsi="Arial Narrow"/>
                <w:color w:val="000000" w:themeColor="text1"/>
                <w:sz w:val="20"/>
                <w:szCs w:val="20"/>
              </w:rPr>
              <w:t xml:space="preserve">infants where the mother received the RSVpreF vaccine but where the </w:t>
            </w:r>
            <w:r w:rsidR="00AD4A66" w:rsidRPr="00EC57FB">
              <w:rPr>
                <w:rFonts w:ascii="Arial Narrow" w:hAnsi="Arial Narrow"/>
                <w:color w:val="000000" w:themeColor="text1"/>
                <w:sz w:val="20"/>
                <w:szCs w:val="20"/>
              </w:rPr>
              <w:t>immune response to</w:t>
            </w:r>
            <w:r w:rsidRPr="00EC57FB">
              <w:rPr>
                <w:rFonts w:ascii="Arial Narrow" w:hAnsi="Arial Narrow"/>
                <w:color w:val="000000" w:themeColor="text1"/>
                <w:sz w:val="20"/>
                <w:szCs w:val="20"/>
              </w:rPr>
              <w:t xml:space="preserve"> the vaccine (in terms of prevention of RSV disease in the infant) may be </w:t>
            </w:r>
            <w:r w:rsidR="00AD4A66" w:rsidRPr="00EC57FB">
              <w:rPr>
                <w:rFonts w:ascii="Arial Narrow" w:hAnsi="Arial Narrow"/>
                <w:color w:val="000000" w:themeColor="text1"/>
                <w:sz w:val="20"/>
                <w:szCs w:val="20"/>
              </w:rPr>
              <w:t>impaired</w:t>
            </w:r>
            <w:r w:rsidRPr="00EC57FB">
              <w:rPr>
                <w:rFonts w:ascii="Arial Narrow" w:hAnsi="Arial Narrow"/>
                <w:color w:val="000000" w:themeColor="text1"/>
                <w:sz w:val="20"/>
                <w:szCs w:val="20"/>
              </w:rPr>
              <w:t xml:space="preserve"> </w:t>
            </w:r>
          </w:p>
        </w:tc>
        <w:tc>
          <w:tcPr>
            <w:tcW w:w="6524" w:type="dxa"/>
            <w:vAlign w:val="center"/>
          </w:tcPr>
          <w:p w14:paraId="4D3530CE" w14:textId="6D6F834C" w:rsidR="00054D3F" w:rsidRPr="00EC57FB" w:rsidRDefault="00482014" w:rsidP="00380979">
            <w:pPr>
              <w:pStyle w:val="TableText0"/>
              <w:keepNext w:val="0"/>
              <w:keepLines w:val="0"/>
              <w:rPr>
                <w:color w:val="000000" w:themeColor="text1"/>
                <w:szCs w:val="20"/>
              </w:rPr>
            </w:pPr>
            <w:r w:rsidRPr="00EC57FB">
              <w:rPr>
                <w:color w:val="000000" w:themeColor="text1"/>
              </w:rPr>
              <w:t>No data are presented in the resubmission to inform a c</w:t>
            </w:r>
            <w:r w:rsidR="00054D3F" w:rsidRPr="00EC57FB">
              <w:rPr>
                <w:color w:val="000000" w:themeColor="text1"/>
              </w:rPr>
              <w:t xml:space="preserve">omparison of </w:t>
            </w:r>
            <w:r w:rsidR="00054D3F" w:rsidRPr="00EC57FB">
              <w:rPr>
                <w:color w:val="000000" w:themeColor="text1"/>
                <w:szCs w:val="20"/>
              </w:rPr>
              <w:t xml:space="preserve">nirsevimab + </w:t>
            </w:r>
            <w:r w:rsidR="00485EA7" w:rsidRPr="00EC57FB">
              <w:rPr>
                <w:color w:val="000000" w:themeColor="text1"/>
                <w:szCs w:val="20"/>
              </w:rPr>
              <w:t>RSVpreF maternal</w:t>
            </w:r>
            <w:r w:rsidR="00054D3F" w:rsidRPr="00EC57FB">
              <w:rPr>
                <w:color w:val="000000" w:themeColor="text1"/>
                <w:szCs w:val="20"/>
              </w:rPr>
              <w:t xml:space="preserve"> vaccination (with </w:t>
            </w:r>
            <w:r w:rsidR="00AD4A66" w:rsidRPr="00EC57FB">
              <w:rPr>
                <w:color w:val="000000" w:themeColor="text1"/>
                <w:szCs w:val="20"/>
              </w:rPr>
              <w:t>potentially impaired</w:t>
            </w:r>
            <w:r w:rsidR="00054D3F" w:rsidRPr="00EC57FB">
              <w:rPr>
                <w:color w:val="000000" w:themeColor="text1"/>
                <w:szCs w:val="20"/>
              </w:rPr>
              <w:t xml:space="preserve"> efficacy) versus </w:t>
            </w:r>
            <w:r w:rsidR="00485EA7" w:rsidRPr="00EC57FB">
              <w:rPr>
                <w:color w:val="000000" w:themeColor="text1"/>
                <w:szCs w:val="20"/>
              </w:rPr>
              <w:t>RSVpreF maternal</w:t>
            </w:r>
            <w:r w:rsidR="00054D3F" w:rsidRPr="00EC57FB">
              <w:rPr>
                <w:color w:val="000000" w:themeColor="text1"/>
                <w:szCs w:val="20"/>
              </w:rPr>
              <w:t xml:space="preserve"> vaccination alone (with </w:t>
            </w:r>
            <w:r w:rsidR="00AD4A66" w:rsidRPr="00EC57FB">
              <w:rPr>
                <w:color w:val="000000" w:themeColor="text1"/>
                <w:szCs w:val="20"/>
              </w:rPr>
              <w:t>potentially impaired</w:t>
            </w:r>
            <w:r w:rsidR="00054D3F" w:rsidRPr="00EC57FB">
              <w:rPr>
                <w:color w:val="000000" w:themeColor="text1"/>
                <w:szCs w:val="20"/>
              </w:rPr>
              <w:t xml:space="preserve"> efficacy)</w:t>
            </w:r>
            <w:r w:rsidR="006B1584" w:rsidRPr="00EC57FB">
              <w:rPr>
                <w:color w:val="000000" w:themeColor="text1"/>
                <w:szCs w:val="20"/>
              </w:rPr>
              <w:t>.</w:t>
            </w:r>
          </w:p>
          <w:p w14:paraId="61258DC2" w14:textId="67128D86" w:rsidR="006B1584" w:rsidRPr="00EC57FB" w:rsidRDefault="006B1584" w:rsidP="00380979">
            <w:pPr>
              <w:pStyle w:val="TableText0"/>
              <w:keepNext w:val="0"/>
              <w:keepLines w:val="0"/>
              <w:rPr>
                <w:color w:val="000000" w:themeColor="text1"/>
                <w:szCs w:val="20"/>
              </w:rPr>
            </w:pPr>
          </w:p>
          <w:p w14:paraId="4CED90FB" w14:textId="7737895A" w:rsidR="0060767B" w:rsidRPr="00EC57FB" w:rsidRDefault="006B1584" w:rsidP="00380979">
            <w:pPr>
              <w:pStyle w:val="TableText0"/>
              <w:keepNext w:val="0"/>
              <w:keepLines w:val="0"/>
              <w:rPr>
                <w:color w:val="000000" w:themeColor="text1"/>
                <w:szCs w:val="20"/>
              </w:rPr>
            </w:pPr>
            <w:bookmarkStart w:id="64" w:name="_Hlk186110064"/>
            <w:r w:rsidRPr="00EC57FB">
              <w:t>The PBAC previously considered that “additional benefits of maternal vaccination plus nirsevimab would be difficult to assess due to limited data; however, it considered that there may be a small number of instances where it may be clinically appropriate for an infant to receive nirsevimab after the mother had been vaccinated”. The PBAC further considered that “if clinically justified, these infants should not be precluded from accessing nirsevimab, as outlined in the ATAGI’s advice to the PBAC” (paragraph 7.10</w:t>
            </w:r>
            <w:r w:rsidR="00DF0D2B" w:rsidRPr="00EC57FB">
              <w:t xml:space="preserve">, nirsevimab </w:t>
            </w:r>
            <w:r w:rsidRPr="00EC57FB">
              <w:t>July 2024 PSD</w:t>
            </w:r>
            <w:r w:rsidR="00DF0D2B" w:rsidRPr="00EC57FB">
              <w:t>)</w:t>
            </w:r>
            <w:r w:rsidR="00890BE6" w:rsidRPr="00EC57FB">
              <w:t>.</w:t>
            </w:r>
            <w:bookmarkEnd w:id="64"/>
          </w:p>
        </w:tc>
      </w:tr>
      <w:tr w:rsidR="0060767B" w:rsidRPr="00EC57FB" w14:paraId="7E31178A" w14:textId="77777777" w:rsidTr="009A26E7">
        <w:trPr>
          <w:trHeight w:val="20"/>
        </w:trPr>
        <w:tc>
          <w:tcPr>
            <w:tcW w:w="2403" w:type="dxa"/>
            <w:vAlign w:val="center"/>
          </w:tcPr>
          <w:p w14:paraId="5028C9DA" w14:textId="72AB8DE6" w:rsidR="0060767B" w:rsidRPr="00EC57FB" w:rsidRDefault="0060767B" w:rsidP="00380979">
            <w:pPr>
              <w:jc w:val="left"/>
              <w:rPr>
                <w:rFonts w:ascii="Arial Narrow" w:hAnsi="Arial Narrow"/>
                <w:color w:val="000000" w:themeColor="text1"/>
                <w:sz w:val="20"/>
                <w:szCs w:val="20"/>
              </w:rPr>
            </w:pPr>
            <w:r w:rsidRPr="00EC57FB">
              <w:rPr>
                <w:rFonts w:ascii="Arial Narrow" w:hAnsi="Arial Narrow"/>
                <w:b/>
                <w:color w:val="000000" w:themeColor="text1"/>
                <w:sz w:val="20"/>
                <w:szCs w:val="20"/>
              </w:rPr>
              <w:t xml:space="preserve">Population </w:t>
            </w:r>
            <w:r w:rsidR="0073017D" w:rsidRPr="00EC57FB">
              <w:rPr>
                <w:rFonts w:ascii="Arial Narrow" w:hAnsi="Arial Narrow"/>
                <w:b/>
                <w:color w:val="000000" w:themeColor="text1"/>
                <w:sz w:val="20"/>
                <w:szCs w:val="20"/>
              </w:rPr>
              <w:t>C(</w:t>
            </w:r>
            <w:r w:rsidRPr="00EC57FB">
              <w:rPr>
                <w:rFonts w:ascii="Arial Narrow" w:hAnsi="Arial Narrow"/>
                <w:b/>
                <w:color w:val="000000" w:themeColor="text1"/>
                <w:sz w:val="20"/>
                <w:szCs w:val="20"/>
              </w:rPr>
              <w:t>a</w:t>
            </w:r>
            <w:r w:rsidR="0073017D" w:rsidRPr="00EC57FB">
              <w:rPr>
                <w:rFonts w:ascii="Arial Narrow" w:hAnsi="Arial Narrow"/>
                <w:b/>
                <w:color w:val="000000" w:themeColor="text1"/>
                <w:sz w:val="20"/>
                <w:szCs w:val="20"/>
              </w:rPr>
              <w:t>)</w:t>
            </w:r>
            <w:r w:rsidRPr="00EC57FB">
              <w:rPr>
                <w:rFonts w:ascii="Arial Narrow" w:hAnsi="Arial Narrow"/>
                <w:b/>
                <w:color w:val="000000" w:themeColor="text1"/>
                <w:sz w:val="20"/>
                <w:szCs w:val="20"/>
              </w:rPr>
              <w:t xml:space="preserve">: </w:t>
            </w:r>
            <w:r w:rsidRPr="00EC57FB">
              <w:rPr>
                <w:rFonts w:ascii="Arial Narrow" w:hAnsi="Arial Narrow"/>
                <w:color w:val="000000" w:themeColor="text1"/>
                <w:sz w:val="20"/>
                <w:szCs w:val="20"/>
              </w:rPr>
              <w:t xml:space="preserve">infants with risk conditions entering their first season of possible exposure to RSV where the mother did not receive </w:t>
            </w:r>
            <w:r w:rsidR="00485EA7" w:rsidRPr="00EC57FB">
              <w:rPr>
                <w:rFonts w:ascii="Arial Narrow" w:hAnsi="Arial Narrow"/>
                <w:color w:val="000000" w:themeColor="text1"/>
                <w:sz w:val="20"/>
                <w:szCs w:val="20"/>
              </w:rPr>
              <w:t xml:space="preserve">RSVpreF </w:t>
            </w:r>
          </w:p>
        </w:tc>
        <w:tc>
          <w:tcPr>
            <w:tcW w:w="6524" w:type="dxa"/>
            <w:vAlign w:val="center"/>
          </w:tcPr>
          <w:p w14:paraId="5D2D9319" w14:textId="3F1B0F38" w:rsidR="00A3256B" w:rsidRPr="00EC57FB" w:rsidRDefault="00A3256B" w:rsidP="00380979">
            <w:pPr>
              <w:pStyle w:val="TableText0"/>
              <w:keepNext w:val="0"/>
              <w:keepLines w:val="0"/>
              <w:rPr>
                <w:color w:val="000000" w:themeColor="text1"/>
                <w:u w:val="single"/>
              </w:rPr>
            </w:pPr>
            <w:r w:rsidRPr="00EC57FB">
              <w:rPr>
                <w:color w:val="000000" w:themeColor="text1"/>
                <w:u w:val="single"/>
              </w:rPr>
              <w:t>Comparison of nirsevimab vs no immunisation:</w:t>
            </w:r>
          </w:p>
          <w:p w14:paraId="77F9332E" w14:textId="58A911D1" w:rsidR="00346C62" w:rsidRPr="00EC57FB" w:rsidRDefault="0047754B" w:rsidP="00376C6A">
            <w:pPr>
              <w:pStyle w:val="TableText0"/>
              <w:keepNext w:val="0"/>
              <w:keepLines w:val="0"/>
              <w:spacing w:after="120"/>
              <w:rPr>
                <w:color w:val="000000" w:themeColor="text1"/>
                <w:szCs w:val="20"/>
              </w:rPr>
            </w:pPr>
            <w:r w:rsidRPr="00EC57FB">
              <w:rPr>
                <w:color w:val="000000" w:themeColor="text1"/>
                <w:szCs w:val="20"/>
              </w:rPr>
              <w:t>Evidence for this comparison</w:t>
            </w:r>
            <w:r w:rsidR="00264A5A" w:rsidRPr="00EC57FB">
              <w:rPr>
                <w:color w:val="000000" w:themeColor="text1"/>
                <w:szCs w:val="20"/>
              </w:rPr>
              <w:t xml:space="preserve"> was not provided by the </w:t>
            </w:r>
            <w:r w:rsidR="009934AE" w:rsidRPr="00EC57FB">
              <w:rPr>
                <w:color w:val="000000" w:themeColor="text1"/>
                <w:szCs w:val="20"/>
              </w:rPr>
              <w:t xml:space="preserve">first </w:t>
            </w:r>
            <w:r w:rsidR="00264A5A" w:rsidRPr="00EC57FB">
              <w:rPr>
                <w:color w:val="000000" w:themeColor="text1"/>
                <w:szCs w:val="20"/>
              </w:rPr>
              <w:t xml:space="preserve">submission. </w:t>
            </w:r>
            <w:r w:rsidR="00117100" w:rsidRPr="00EC57FB">
              <w:rPr>
                <w:color w:val="000000" w:themeColor="text1"/>
                <w:szCs w:val="20"/>
              </w:rPr>
              <w:t xml:space="preserve">The PBAC stated that </w:t>
            </w:r>
            <w:r w:rsidR="00346C62" w:rsidRPr="00EC57FB">
              <w:rPr>
                <w:color w:val="000000" w:themeColor="text1"/>
                <w:szCs w:val="20"/>
              </w:rPr>
              <w:t>“</w:t>
            </w:r>
            <w:r w:rsidR="005B692B" w:rsidRPr="00EC57FB">
              <w:rPr>
                <w:color w:val="000000" w:themeColor="text1"/>
                <w:szCs w:val="20"/>
              </w:rPr>
              <w:t xml:space="preserve">data for the overall infant population and for the </w:t>
            </w:r>
            <w:r w:rsidR="00814818" w:rsidRPr="00EC57FB">
              <w:rPr>
                <w:color w:val="000000" w:themeColor="text1"/>
                <w:szCs w:val="20"/>
              </w:rPr>
              <w:t>high-risk</w:t>
            </w:r>
            <w:r w:rsidR="005B692B" w:rsidRPr="00EC57FB">
              <w:rPr>
                <w:color w:val="000000" w:themeColor="text1"/>
                <w:szCs w:val="20"/>
              </w:rPr>
              <w:t xml:space="preserve"> subgroup should be presented separately</w:t>
            </w:r>
            <w:r w:rsidR="00346C62" w:rsidRPr="00EC57FB">
              <w:rPr>
                <w:color w:val="000000" w:themeColor="text1"/>
                <w:szCs w:val="20"/>
              </w:rPr>
              <w:t>” in a resubmission (</w:t>
            </w:r>
            <w:bookmarkStart w:id="65" w:name="_Hlk199271779"/>
            <w:r w:rsidR="00346C62" w:rsidRPr="00EC57FB">
              <w:rPr>
                <w:color w:val="000000" w:themeColor="text1"/>
                <w:szCs w:val="20"/>
              </w:rPr>
              <w:t>paragraph 7.23, July 2024 PSD)</w:t>
            </w:r>
            <w:r w:rsidR="00190E22" w:rsidRPr="00EC57FB">
              <w:rPr>
                <w:color w:val="000000" w:themeColor="text1"/>
                <w:szCs w:val="20"/>
              </w:rPr>
              <w:t xml:space="preserve">. </w:t>
            </w:r>
            <w:bookmarkEnd w:id="65"/>
            <w:r w:rsidR="00190E22" w:rsidRPr="00EC57FB">
              <w:rPr>
                <w:color w:val="000000" w:themeColor="text1"/>
                <w:szCs w:val="20"/>
              </w:rPr>
              <w:t xml:space="preserve">Such data would permit the PBAC to assess whether risk conditions were a </w:t>
            </w:r>
            <w:r w:rsidR="007C11CF" w:rsidRPr="00EC57FB">
              <w:rPr>
                <w:color w:val="000000" w:themeColor="text1"/>
                <w:szCs w:val="20"/>
              </w:rPr>
              <w:t xml:space="preserve">prognostic variable or a modifier of </w:t>
            </w:r>
            <w:r w:rsidR="004424BB" w:rsidRPr="00EC57FB">
              <w:rPr>
                <w:color w:val="000000" w:themeColor="text1"/>
                <w:szCs w:val="20"/>
              </w:rPr>
              <w:t>the effectiveness of nirsevimab.</w:t>
            </w:r>
          </w:p>
          <w:p w14:paraId="711936BC" w14:textId="59605845" w:rsidR="00BB0137" w:rsidRPr="00EC57FB" w:rsidRDefault="00FC3107" w:rsidP="00380979">
            <w:pPr>
              <w:pStyle w:val="TableText0"/>
              <w:keepNext w:val="0"/>
              <w:keepLines w:val="0"/>
              <w:rPr>
                <w:color w:val="000000" w:themeColor="text1"/>
                <w:szCs w:val="20"/>
              </w:rPr>
            </w:pPr>
            <w:r w:rsidRPr="00EC57FB">
              <w:rPr>
                <w:color w:val="000000" w:themeColor="text1"/>
                <w:szCs w:val="20"/>
              </w:rPr>
              <w:t xml:space="preserve">No trials of nirsevimab versus placebo (for no vaccination) </w:t>
            </w:r>
            <w:r w:rsidR="00A17638" w:rsidRPr="00EC57FB">
              <w:rPr>
                <w:color w:val="000000" w:themeColor="text1"/>
                <w:szCs w:val="20"/>
              </w:rPr>
              <w:t>in infants with risk conditions have been performed.</w:t>
            </w:r>
            <w:r w:rsidR="0047754B" w:rsidRPr="00EC57FB">
              <w:rPr>
                <w:color w:val="000000" w:themeColor="text1"/>
                <w:szCs w:val="20"/>
              </w:rPr>
              <w:t xml:space="preserve"> </w:t>
            </w:r>
            <w:r w:rsidR="00B42E62" w:rsidRPr="00EC57FB">
              <w:rPr>
                <w:color w:val="000000" w:themeColor="text1"/>
              </w:rPr>
              <w:t>However</w:t>
            </w:r>
            <w:r w:rsidR="003B4310" w:rsidRPr="00EC57FB">
              <w:rPr>
                <w:color w:val="000000" w:themeColor="text1"/>
              </w:rPr>
              <w:t>,</w:t>
            </w:r>
            <w:r w:rsidR="00B42E62" w:rsidRPr="00EC57FB">
              <w:rPr>
                <w:color w:val="000000" w:themeColor="text1"/>
              </w:rPr>
              <w:t xml:space="preserve"> the MEDLEY trial </w:t>
            </w:r>
            <w:r w:rsidR="00251D00" w:rsidRPr="00EC57FB">
              <w:rPr>
                <w:color w:val="000000" w:themeColor="text1"/>
              </w:rPr>
              <w:t xml:space="preserve">of nirsevimab vs palivizumab </w:t>
            </w:r>
            <w:r w:rsidR="00B42E62" w:rsidRPr="00EC57FB">
              <w:rPr>
                <w:color w:val="000000" w:themeColor="text1"/>
              </w:rPr>
              <w:t>included infants</w:t>
            </w:r>
            <w:r w:rsidR="006A7803" w:rsidRPr="00EC57FB">
              <w:rPr>
                <w:color w:val="000000" w:themeColor="text1"/>
              </w:rPr>
              <w:t xml:space="preserve"> with risk conditions (preterm birth, CLD or CHD)</w:t>
            </w:r>
            <w:r w:rsidR="00B42E62" w:rsidRPr="00EC57FB">
              <w:rPr>
                <w:color w:val="000000" w:themeColor="text1"/>
              </w:rPr>
              <w:t xml:space="preserve"> entering their first RSV season and children with CLD or CHD in the Season 2 phase of the trial. </w:t>
            </w:r>
            <w:r w:rsidR="00AB1098" w:rsidRPr="00EC57FB">
              <w:rPr>
                <w:color w:val="000000" w:themeColor="text1"/>
                <w:szCs w:val="20"/>
              </w:rPr>
              <w:t xml:space="preserve">In the absence of head-to-head evidence comparing </w:t>
            </w:r>
            <w:r w:rsidR="00041613" w:rsidRPr="00EC57FB">
              <w:rPr>
                <w:color w:val="000000" w:themeColor="text1"/>
                <w:szCs w:val="20"/>
              </w:rPr>
              <w:t xml:space="preserve">nirsevimab and no immunisation, an </w:t>
            </w:r>
            <w:r w:rsidR="001F7909" w:rsidRPr="00EC57FB">
              <w:rPr>
                <w:color w:val="000000" w:themeColor="text1"/>
                <w:szCs w:val="20"/>
              </w:rPr>
              <w:t>ITC</w:t>
            </w:r>
            <w:r w:rsidR="00041613" w:rsidRPr="00EC57FB">
              <w:rPr>
                <w:color w:val="000000" w:themeColor="text1"/>
                <w:szCs w:val="20"/>
              </w:rPr>
              <w:t xml:space="preserve"> using palivizumab</w:t>
            </w:r>
            <w:r w:rsidR="004A7664" w:rsidRPr="00EC57FB">
              <w:rPr>
                <w:color w:val="000000" w:themeColor="text1"/>
                <w:szCs w:val="20"/>
              </w:rPr>
              <w:t xml:space="preserve"> as the common reference based on </w:t>
            </w:r>
            <w:r w:rsidR="00041613" w:rsidRPr="00EC57FB">
              <w:rPr>
                <w:color w:val="000000" w:themeColor="text1"/>
                <w:szCs w:val="20"/>
              </w:rPr>
              <w:t xml:space="preserve">the MEDLEY trial </w:t>
            </w:r>
            <w:r w:rsidR="00FE1243" w:rsidRPr="00EC57FB">
              <w:rPr>
                <w:color w:val="000000" w:themeColor="text1"/>
                <w:szCs w:val="20"/>
              </w:rPr>
              <w:t xml:space="preserve">(comparing nirsevimab and palivizumab) </w:t>
            </w:r>
            <w:r w:rsidR="00041613" w:rsidRPr="00EC57FB">
              <w:rPr>
                <w:color w:val="000000" w:themeColor="text1"/>
                <w:szCs w:val="20"/>
              </w:rPr>
              <w:t>and trials</w:t>
            </w:r>
            <w:r w:rsidR="004A7664" w:rsidRPr="00EC57FB">
              <w:rPr>
                <w:color w:val="000000" w:themeColor="text1"/>
                <w:szCs w:val="20"/>
              </w:rPr>
              <w:t xml:space="preserve"> </w:t>
            </w:r>
            <w:r w:rsidR="00A17638" w:rsidRPr="00EC57FB">
              <w:rPr>
                <w:color w:val="000000" w:themeColor="text1"/>
                <w:szCs w:val="20"/>
              </w:rPr>
              <w:t xml:space="preserve">comparing palivizumab to placebo (for no immunisation) </w:t>
            </w:r>
            <w:r w:rsidR="004A7664" w:rsidRPr="00EC57FB">
              <w:rPr>
                <w:color w:val="000000" w:themeColor="text1"/>
                <w:szCs w:val="20"/>
              </w:rPr>
              <w:t>in infants with risk conditions</w:t>
            </w:r>
            <w:r w:rsidR="00177E6A" w:rsidRPr="00EC57FB">
              <w:rPr>
                <w:color w:val="000000" w:themeColor="text1"/>
                <w:szCs w:val="20"/>
              </w:rPr>
              <w:t xml:space="preserve"> could be informative</w:t>
            </w:r>
            <w:r w:rsidR="004A7664" w:rsidRPr="00EC57FB">
              <w:rPr>
                <w:color w:val="000000" w:themeColor="text1"/>
                <w:szCs w:val="20"/>
              </w:rPr>
              <w:t xml:space="preserve">. </w:t>
            </w:r>
            <w:r w:rsidR="00AC53F8" w:rsidRPr="00EC57FB">
              <w:rPr>
                <w:color w:val="000000" w:themeColor="text1"/>
                <w:szCs w:val="20"/>
              </w:rPr>
              <w:t>A</w:t>
            </w:r>
            <w:r w:rsidR="00866682" w:rsidRPr="00EC57FB">
              <w:rPr>
                <w:color w:val="000000" w:themeColor="text1"/>
                <w:szCs w:val="20"/>
              </w:rPr>
              <w:t xml:space="preserve"> pragmatic </w:t>
            </w:r>
            <w:r w:rsidR="00CA438B" w:rsidRPr="00EC57FB">
              <w:rPr>
                <w:color w:val="000000" w:themeColor="text1"/>
                <w:szCs w:val="20"/>
              </w:rPr>
              <w:t xml:space="preserve">(not systematic) </w:t>
            </w:r>
            <w:r w:rsidR="00866682" w:rsidRPr="00EC57FB">
              <w:rPr>
                <w:color w:val="000000" w:themeColor="text1"/>
                <w:szCs w:val="20"/>
              </w:rPr>
              <w:t>search of the literature</w:t>
            </w:r>
            <w:r w:rsidR="009A7268" w:rsidRPr="00EC57FB">
              <w:rPr>
                <w:color w:val="000000" w:themeColor="text1"/>
                <w:szCs w:val="20"/>
              </w:rPr>
              <w:t xml:space="preserve"> conducted during the evaluation</w:t>
            </w:r>
            <w:r w:rsidR="00866682" w:rsidRPr="00EC57FB">
              <w:rPr>
                <w:color w:val="000000" w:themeColor="text1"/>
                <w:szCs w:val="20"/>
              </w:rPr>
              <w:t xml:space="preserve"> identified the following trials comparing palivizumab and </w:t>
            </w:r>
            <w:r w:rsidR="00A17638" w:rsidRPr="00EC57FB">
              <w:rPr>
                <w:color w:val="000000" w:themeColor="text1"/>
                <w:szCs w:val="20"/>
              </w:rPr>
              <w:t>placebo (for no immunisation</w:t>
            </w:r>
            <w:r w:rsidR="00BB0137" w:rsidRPr="00EC57FB">
              <w:rPr>
                <w:color w:val="000000" w:themeColor="text1"/>
                <w:szCs w:val="20"/>
              </w:rPr>
              <w:t>) in infants with risk conditions:</w:t>
            </w:r>
          </w:p>
          <w:p w14:paraId="1E38BACC" w14:textId="65E34E58" w:rsidR="00BB0137" w:rsidRPr="00EC57FB" w:rsidRDefault="007C7ECF" w:rsidP="00A369BF">
            <w:pPr>
              <w:pStyle w:val="TableText0"/>
              <w:keepNext w:val="0"/>
              <w:keepLines w:val="0"/>
              <w:numPr>
                <w:ilvl w:val="0"/>
                <w:numId w:val="19"/>
              </w:numPr>
              <w:ind w:left="360"/>
              <w:rPr>
                <w:color w:val="000000" w:themeColor="text1"/>
                <w:szCs w:val="20"/>
              </w:rPr>
            </w:pPr>
            <w:r w:rsidRPr="00EC57FB">
              <w:rPr>
                <w:color w:val="000000" w:themeColor="text1"/>
                <w:szCs w:val="20"/>
              </w:rPr>
              <w:t>Feltes</w:t>
            </w:r>
            <w:r w:rsidR="009A7434" w:rsidRPr="00EC57FB">
              <w:rPr>
                <w:color w:val="000000" w:themeColor="text1"/>
                <w:szCs w:val="20"/>
              </w:rPr>
              <w:t xml:space="preserve"> T.F., Cabalka A.K., et al. </w:t>
            </w:r>
            <w:r w:rsidR="00B04D59" w:rsidRPr="00EC57FB">
              <w:rPr>
                <w:color w:val="000000" w:themeColor="text1"/>
                <w:szCs w:val="20"/>
              </w:rPr>
              <w:t xml:space="preserve">Palivizumab prophylaxis reduces hospitalization due to respiratory syncytial virus in young children with hemodynamically significant congenital heart disease. </w:t>
            </w:r>
            <w:r w:rsidR="00B04D59" w:rsidRPr="00EC57FB">
              <w:rPr>
                <w:iCs/>
                <w:color w:val="000000" w:themeColor="text1"/>
                <w:szCs w:val="20"/>
              </w:rPr>
              <w:t>J Pediatr</w:t>
            </w:r>
            <w:r w:rsidR="009929F4" w:rsidRPr="00EC57FB">
              <w:rPr>
                <w:color w:val="000000" w:themeColor="text1"/>
                <w:szCs w:val="20"/>
              </w:rPr>
              <w:t xml:space="preserve"> 2003;143(4):532-540 </w:t>
            </w:r>
            <w:hyperlink r:id="rId27" w:history="1">
              <w:r w:rsidR="009929F4" w:rsidRPr="00EC57FB">
                <w:rPr>
                  <w:rStyle w:val="Hyperlink"/>
                  <w:szCs w:val="20"/>
                </w:rPr>
                <w:t>https://doi.org/10.1067/s0022-3476(03)00454-2</w:t>
              </w:r>
            </w:hyperlink>
          </w:p>
          <w:p w14:paraId="1C32317B" w14:textId="548C4848" w:rsidR="00334765" w:rsidRPr="00EC57FB" w:rsidRDefault="007B0979" w:rsidP="00A369BF">
            <w:pPr>
              <w:pStyle w:val="TableText0"/>
              <w:keepNext w:val="0"/>
              <w:keepLines w:val="0"/>
              <w:numPr>
                <w:ilvl w:val="0"/>
                <w:numId w:val="19"/>
              </w:numPr>
              <w:ind w:left="360"/>
              <w:rPr>
                <w:color w:val="000000" w:themeColor="text1"/>
                <w:szCs w:val="20"/>
              </w:rPr>
            </w:pPr>
            <w:r w:rsidRPr="00EC57FB">
              <w:rPr>
                <w:color w:val="000000" w:themeColor="text1"/>
                <w:szCs w:val="20"/>
              </w:rPr>
              <w:t>I</w:t>
            </w:r>
            <w:r w:rsidR="00884500" w:rsidRPr="00EC57FB">
              <w:rPr>
                <w:color w:val="000000" w:themeColor="text1"/>
                <w:szCs w:val="20"/>
              </w:rPr>
              <w:t>M</w:t>
            </w:r>
            <w:r w:rsidRPr="00EC57FB">
              <w:rPr>
                <w:color w:val="000000" w:themeColor="text1"/>
                <w:szCs w:val="20"/>
              </w:rPr>
              <w:t xml:space="preserve">pact-RSV Study Group. </w:t>
            </w:r>
            <w:r w:rsidR="00C8783D" w:rsidRPr="00EC57FB">
              <w:rPr>
                <w:color w:val="000000" w:themeColor="text1"/>
                <w:szCs w:val="20"/>
              </w:rPr>
              <w:t xml:space="preserve">Palivizumab, a humanized respiratory syncytial virus monoclonal antibody, reduces hospitalization from respiratory syncytial virus infection in high-risk infants. </w:t>
            </w:r>
            <w:r w:rsidR="00C8783D" w:rsidRPr="00EC57FB">
              <w:rPr>
                <w:iCs/>
                <w:color w:val="000000" w:themeColor="text1"/>
                <w:szCs w:val="20"/>
              </w:rPr>
              <w:t>Pediatrics</w:t>
            </w:r>
            <w:r w:rsidR="007B3D18" w:rsidRPr="00EC57FB">
              <w:rPr>
                <w:iCs/>
                <w:color w:val="000000" w:themeColor="text1"/>
                <w:szCs w:val="20"/>
              </w:rPr>
              <w:t xml:space="preserve"> </w:t>
            </w:r>
            <w:r w:rsidR="007B3D18" w:rsidRPr="00EC57FB">
              <w:rPr>
                <w:color w:val="000000" w:themeColor="text1"/>
                <w:szCs w:val="20"/>
              </w:rPr>
              <w:t>1998;102(3 Pt 1):531-537</w:t>
            </w:r>
            <w:r w:rsidR="00D7016C" w:rsidRPr="00EC57FB">
              <w:rPr>
                <w:color w:val="000000" w:themeColor="text1"/>
                <w:szCs w:val="20"/>
              </w:rPr>
              <w:t xml:space="preserve"> </w:t>
            </w:r>
            <w:hyperlink r:id="rId28" w:history="1">
              <w:r w:rsidR="00D7016C" w:rsidRPr="00EC57FB">
                <w:rPr>
                  <w:rStyle w:val="Hyperlink"/>
                  <w:szCs w:val="20"/>
                </w:rPr>
                <w:t>https://publications.aap.org/pediatrics/article-pdf/887238/531.pdf</w:t>
              </w:r>
            </w:hyperlink>
            <w:r w:rsidR="00D7016C" w:rsidRPr="00EC57FB">
              <w:rPr>
                <w:color w:val="000000" w:themeColor="text1"/>
                <w:szCs w:val="20"/>
              </w:rPr>
              <w:t xml:space="preserve"> </w:t>
            </w:r>
          </w:p>
          <w:p w14:paraId="3688694F" w14:textId="22756E39" w:rsidR="00656C67" w:rsidRPr="00EC57FB" w:rsidRDefault="00151BDF" w:rsidP="00A369BF">
            <w:pPr>
              <w:pStyle w:val="TableText0"/>
              <w:keepNext w:val="0"/>
              <w:keepLines w:val="0"/>
              <w:numPr>
                <w:ilvl w:val="0"/>
                <w:numId w:val="19"/>
              </w:numPr>
              <w:spacing w:after="120"/>
              <w:ind w:left="357" w:hanging="357"/>
              <w:rPr>
                <w:color w:val="000000" w:themeColor="text1"/>
                <w:szCs w:val="20"/>
              </w:rPr>
            </w:pPr>
            <w:r w:rsidRPr="00EC57FB">
              <w:rPr>
                <w:color w:val="000000" w:themeColor="text1"/>
                <w:szCs w:val="20"/>
              </w:rPr>
              <w:t xml:space="preserve">Tavsu I., Gursoy T., et al. </w:t>
            </w:r>
            <w:r w:rsidR="00FC1939" w:rsidRPr="00EC57FB">
              <w:rPr>
                <w:color w:val="000000" w:themeColor="text1"/>
                <w:szCs w:val="20"/>
              </w:rPr>
              <w:t xml:space="preserve">Palivizumab prophylaxis: does it have any influence on the growth and development of the infants? </w:t>
            </w:r>
            <w:r w:rsidR="00DD7174" w:rsidRPr="00EC57FB">
              <w:rPr>
                <w:color w:val="000000" w:themeColor="text1"/>
                <w:szCs w:val="20"/>
              </w:rPr>
              <w:t xml:space="preserve">Am J Pernatol. </w:t>
            </w:r>
            <w:r w:rsidR="00C316E2" w:rsidRPr="00EC57FB">
              <w:rPr>
                <w:color w:val="000000" w:themeColor="text1"/>
                <w:szCs w:val="20"/>
              </w:rPr>
              <w:t>2014;31(8):667-672</w:t>
            </w:r>
            <w:r w:rsidR="00815541" w:rsidRPr="00EC57FB">
              <w:rPr>
                <w:color w:val="000000" w:themeColor="text1"/>
                <w:szCs w:val="20"/>
              </w:rPr>
              <w:br/>
            </w:r>
            <w:hyperlink r:id="rId29" w:history="1">
              <w:r w:rsidR="00815541" w:rsidRPr="00EC57FB">
                <w:rPr>
                  <w:rStyle w:val="Hyperlink"/>
                  <w:szCs w:val="20"/>
                </w:rPr>
                <w:t>https://doi.org/10.1055/s-0033-1356485</w:t>
              </w:r>
            </w:hyperlink>
            <w:r w:rsidR="00815541" w:rsidRPr="00EC57FB">
              <w:rPr>
                <w:color w:val="000000" w:themeColor="text1"/>
                <w:szCs w:val="20"/>
              </w:rPr>
              <w:t xml:space="preserve"> </w:t>
            </w:r>
          </w:p>
          <w:p w14:paraId="747DFADE" w14:textId="331A60B3" w:rsidR="00932BF0" w:rsidRPr="00EC57FB" w:rsidRDefault="00C043AA" w:rsidP="00932BF0">
            <w:pPr>
              <w:pStyle w:val="TableText0"/>
              <w:keepNext w:val="0"/>
              <w:keepLines w:val="0"/>
              <w:spacing w:after="120"/>
              <w:rPr>
                <w:color w:val="000000" w:themeColor="text1"/>
                <w:szCs w:val="20"/>
              </w:rPr>
            </w:pPr>
            <w:r w:rsidRPr="00EC57FB">
              <w:rPr>
                <w:color w:val="000000" w:themeColor="text1"/>
                <w:szCs w:val="20"/>
              </w:rPr>
              <w:t xml:space="preserve">The resubmission </w:t>
            </w:r>
            <w:r w:rsidR="00F72FD7" w:rsidRPr="00EC57FB">
              <w:rPr>
                <w:color w:val="000000" w:themeColor="text1"/>
                <w:szCs w:val="20"/>
              </w:rPr>
              <w:t xml:space="preserve">did </w:t>
            </w:r>
            <w:r w:rsidRPr="00EC57FB">
              <w:rPr>
                <w:color w:val="000000" w:themeColor="text1"/>
                <w:szCs w:val="20"/>
              </w:rPr>
              <w:t>not present such an indirect comparison</w:t>
            </w:r>
            <w:r w:rsidR="007C1900" w:rsidRPr="00EC57FB">
              <w:rPr>
                <w:color w:val="000000" w:themeColor="text1"/>
                <w:szCs w:val="20"/>
              </w:rPr>
              <w:t xml:space="preserve"> </w:t>
            </w:r>
            <w:r w:rsidR="000420D2" w:rsidRPr="00EC57FB">
              <w:rPr>
                <w:color w:val="000000" w:themeColor="text1"/>
                <w:szCs w:val="20"/>
              </w:rPr>
              <w:t xml:space="preserve">rather </w:t>
            </w:r>
            <w:r w:rsidR="00F72FD7" w:rsidRPr="00EC57FB">
              <w:rPr>
                <w:color w:val="000000" w:themeColor="text1"/>
                <w:szCs w:val="20"/>
              </w:rPr>
              <w:t xml:space="preserve">relied </w:t>
            </w:r>
            <w:r w:rsidR="007C1900" w:rsidRPr="00EC57FB">
              <w:rPr>
                <w:color w:val="000000" w:themeColor="text1"/>
                <w:szCs w:val="20"/>
              </w:rPr>
              <w:t xml:space="preserve">on </w:t>
            </w:r>
            <w:r w:rsidR="0076580A" w:rsidRPr="00EC57FB">
              <w:rPr>
                <w:color w:val="000000" w:themeColor="text1"/>
                <w:szCs w:val="20"/>
              </w:rPr>
              <w:t>observational data</w:t>
            </w:r>
            <w:r w:rsidR="007C1900" w:rsidRPr="00EC57FB">
              <w:rPr>
                <w:color w:val="000000" w:themeColor="text1"/>
                <w:szCs w:val="20"/>
              </w:rPr>
              <w:t xml:space="preserve"> to support its </w:t>
            </w:r>
            <w:r w:rsidR="000420D2" w:rsidRPr="00EC57FB">
              <w:rPr>
                <w:color w:val="000000" w:themeColor="text1"/>
                <w:szCs w:val="20"/>
              </w:rPr>
              <w:t xml:space="preserve">claim </w:t>
            </w:r>
            <w:r w:rsidR="007C1900" w:rsidRPr="00EC57FB">
              <w:rPr>
                <w:color w:val="000000" w:themeColor="text1"/>
                <w:szCs w:val="20"/>
              </w:rPr>
              <w:t xml:space="preserve">that </w:t>
            </w:r>
            <w:r w:rsidR="00D477C9" w:rsidRPr="00EC57FB">
              <w:rPr>
                <w:color w:val="000000" w:themeColor="text1"/>
                <w:szCs w:val="20"/>
              </w:rPr>
              <w:t>nirsevimab is superior to</w:t>
            </w:r>
            <w:r w:rsidR="00851023" w:rsidRPr="00EC57FB">
              <w:rPr>
                <w:color w:val="000000" w:themeColor="text1"/>
                <w:szCs w:val="20"/>
              </w:rPr>
              <w:t xml:space="preserve"> no immunisation in</w:t>
            </w:r>
            <w:r w:rsidR="00464C72" w:rsidRPr="00EC57FB">
              <w:rPr>
                <w:color w:val="000000" w:themeColor="text1"/>
                <w:szCs w:val="20"/>
              </w:rPr>
              <w:t xml:space="preserve"> protecting infants </w:t>
            </w:r>
            <w:r w:rsidR="00413889" w:rsidRPr="00EC57FB">
              <w:rPr>
                <w:color w:val="000000" w:themeColor="text1"/>
                <w:szCs w:val="20"/>
              </w:rPr>
              <w:t xml:space="preserve">with risk conditions </w:t>
            </w:r>
            <w:r w:rsidR="00033ADB" w:rsidRPr="00EC57FB">
              <w:rPr>
                <w:color w:val="000000" w:themeColor="text1"/>
                <w:szCs w:val="20"/>
              </w:rPr>
              <w:t xml:space="preserve">from </w:t>
            </w:r>
            <w:r w:rsidR="00FF287C" w:rsidRPr="00EC57FB">
              <w:rPr>
                <w:color w:val="000000" w:themeColor="text1"/>
                <w:szCs w:val="20"/>
              </w:rPr>
              <w:t>RSV-related illness</w:t>
            </w:r>
            <w:r w:rsidR="003C477B" w:rsidRPr="00EC57FB">
              <w:rPr>
                <w:color w:val="000000" w:themeColor="text1"/>
                <w:szCs w:val="20"/>
              </w:rPr>
              <w:t xml:space="preserve">. </w:t>
            </w:r>
          </w:p>
          <w:p w14:paraId="69C50F0C" w14:textId="0663CA23" w:rsidR="0076580A" w:rsidRPr="00EC57FB" w:rsidRDefault="003C477B" w:rsidP="00380979">
            <w:pPr>
              <w:pStyle w:val="TableText0"/>
              <w:keepNext w:val="0"/>
              <w:keepLines w:val="0"/>
              <w:rPr>
                <w:color w:val="000000" w:themeColor="text1"/>
                <w:szCs w:val="20"/>
              </w:rPr>
            </w:pPr>
            <w:r w:rsidRPr="00EC57FB">
              <w:rPr>
                <w:color w:val="000000" w:themeColor="text1"/>
                <w:szCs w:val="20"/>
              </w:rPr>
              <w:t xml:space="preserve">None of the </w:t>
            </w:r>
            <w:r w:rsidR="002A5C9E" w:rsidRPr="00EC57FB">
              <w:rPr>
                <w:color w:val="000000" w:themeColor="text1"/>
                <w:szCs w:val="20"/>
              </w:rPr>
              <w:t xml:space="preserve">observational </w:t>
            </w:r>
            <w:r w:rsidRPr="00EC57FB">
              <w:rPr>
                <w:color w:val="000000" w:themeColor="text1"/>
                <w:szCs w:val="20"/>
              </w:rPr>
              <w:t xml:space="preserve">studies were </w:t>
            </w:r>
            <w:r w:rsidR="00A54378" w:rsidRPr="00EC57FB">
              <w:rPr>
                <w:color w:val="000000" w:themeColor="text1"/>
                <w:szCs w:val="20"/>
              </w:rPr>
              <w:t xml:space="preserve">specifically </w:t>
            </w:r>
            <w:r w:rsidRPr="00EC57FB">
              <w:rPr>
                <w:color w:val="000000" w:themeColor="text1"/>
                <w:szCs w:val="20"/>
              </w:rPr>
              <w:t xml:space="preserve">designed to investigate </w:t>
            </w:r>
            <w:r w:rsidR="00402AA4" w:rsidRPr="00EC57FB">
              <w:rPr>
                <w:color w:val="000000" w:themeColor="text1"/>
                <w:szCs w:val="20"/>
              </w:rPr>
              <w:t>the efficacy of nirsevimab in infants with risk factors,</w:t>
            </w:r>
            <w:r w:rsidRPr="00EC57FB">
              <w:rPr>
                <w:color w:val="000000" w:themeColor="text1"/>
                <w:szCs w:val="20"/>
              </w:rPr>
              <w:t xml:space="preserve"> </w:t>
            </w:r>
            <w:r w:rsidR="00B64560" w:rsidRPr="00EC57FB">
              <w:rPr>
                <w:color w:val="000000" w:themeColor="text1"/>
                <w:szCs w:val="20"/>
              </w:rPr>
              <w:t>al</w:t>
            </w:r>
            <w:r w:rsidRPr="00EC57FB">
              <w:rPr>
                <w:color w:val="000000" w:themeColor="text1"/>
                <w:szCs w:val="20"/>
              </w:rPr>
              <w:t>though some of the studies did include</w:t>
            </w:r>
            <w:r w:rsidR="007941EE" w:rsidRPr="00EC57FB">
              <w:rPr>
                <w:color w:val="000000" w:themeColor="text1"/>
                <w:szCs w:val="20"/>
              </w:rPr>
              <w:t xml:space="preserve"> some</w:t>
            </w:r>
            <w:r w:rsidRPr="00EC57FB">
              <w:rPr>
                <w:color w:val="000000" w:themeColor="text1"/>
                <w:szCs w:val="20"/>
              </w:rPr>
              <w:t xml:space="preserve"> infants with risk factors</w:t>
            </w:r>
            <w:r w:rsidR="00620E75" w:rsidRPr="00EC57FB">
              <w:rPr>
                <w:color w:val="000000" w:themeColor="text1"/>
                <w:szCs w:val="20"/>
              </w:rPr>
              <w:t xml:space="preserve">. </w:t>
            </w:r>
            <w:r w:rsidR="00297F1C" w:rsidRPr="00EC57FB">
              <w:rPr>
                <w:color w:val="000000" w:themeColor="text1"/>
                <w:szCs w:val="20"/>
              </w:rPr>
              <w:t>T</w:t>
            </w:r>
            <w:r w:rsidR="00620E75" w:rsidRPr="00EC57FB">
              <w:rPr>
                <w:color w:val="000000" w:themeColor="text1"/>
                <w:szCs w:val="20"/>
              </w:rPr>
              <w:t>he</w:t>
            </w:r>
            <w:r w:rsidR="00321890" w:rsidRPr="00EC57FB">
              <w:rPr>
                <w:color w:val="000000" w:themeColor="text1"/>
                <w:szCs w:val="20"/>
              </w:rPr>
              <w:t xml:space="preserve"> NSW </w:t>
            </w:r>
            <w:r w:rsidR="00297F1C" w:rsidRPr="00EC57FB">
              <w:rPr>
                <w:color w:val="000000" w:themeColor="text1"/>
                <w:szCs w:val="20"/>
              </w:rPr>
              <w:t>RSV prevention program appear</w:t>
            </w:r>
            <w:r w:rsidR="00C404CB" w:rsidRPr="00EC57FB">
              <w:rPr>
                <w:color w:val="000000" w:themeColor="text1"/>
                <w:szCs w:val="20"/>
              </w:rPr>
              <w:t>s</w:t>
            </w:r>
            <w:r w:rsidR="00297F1C" w:rsidRPr="00EC57FB">
              <w:rPr>
                <w:color w:val="000000" w:themeColor="text1"/>
                <w:szCs w:val="20"/>
              </w:rPr>
              <w:t xml:space="preserve"> to be limited to infants and children with </w:t>
            </w:r>
            <w:r w:rsidR="00402AA4" w:rsidRPr="00EC57FB">
              <w:rPr>
                <w:color w:val="000000" w:themeColor="text1"/>
                <w:szCs w:val="20"/>
              </w:rPr>
              <w:t>risk</w:t>
            </w:r>
            <w:r w:rsidR="00297F1C" w:rsidRPr="00EC57FB">
              <w:rPr>
                <w:color w:val="000000" w:themeColor="text1"/>
                <w:szCs w:val="20"/>
              </w:rPr>
              <w:t xml:space="preserve"> conditions.</w:t>
            </w:r>
            <w:r w:rsidR="00470017" w:rsidRPr="00EC57FB">
              <w:rPr>
                <w:color w:val="000000" w:themeColor="text1"/>
                <w:szCs w:val="20"/>
              </w:rPr>
              <w:t xml:space="preserve"> </w:t>
            </w:r>
            <w:r w:rsidR="00977326" w:rsidRPr="00EC57FB">
              <w:rPr>
                <w:color w:val="000000" w:themeColor="text1"/>
                <w:szCs w:val="20"/>
              </w:rPr>
              <w:t>Thus</w:t>
            </w:r>
            <w:r w:rsidR="00470017" w:rsidRPr="00EC57FB">
              <w:rPr>
                <w:color w:val="000000" w:themeColor="text1"/>
                <w:szCs w:val="20"/>
              </w:rPr>
              <w:t xml:space="preserve">, analyses </w:t>
            </w:r>
            <w:r w:rsidR="00633177" w:rsidRPr="00EC57FB">
              <w:rPr>
                <w:color w:val="000000" w:themeColor="text1"/>
                <w:szCs w:val="20"/>
              </w:rPr>
              <w:t>of data from</w:t>
            </w:r>
            <w:r w:rsidR="00470017" w:rsidRPr="00EC57FB">
              <w:rPr>
                <w:color w:val="000000" w:themeColor="text1"/>
                <w:szCs w:val="20"/>
              </w:rPr>
              <w:t xml:space="preserve"> th</w:t>
            </w:r>
            <w:r w:rsidR="00AA57D3" w:rsidRPr="00EC57FB">
              <w:rPr>
                <w:color w:val="000000" w:themeColor="text1"/>
                <w:szCs w:val="20"/>
              </w:rPr>
              <w:t>at</w:t>
            </w:r>
            <w:r w:rsidR="00470017" w:rsidRPr="00EC57FB">
              <w:rPr>
                <w:color w:val="000000" w:themeColor="text1"/>
                <w:szCs w:val="20"/>
              </w:rPr>
              <w:t xml:space="preserve"> program </w:t>
            </w:r>
            <w:r w:rsidR="00977326" w:rsidRPr="00EC57FB">
              <w:rPr>
                <w:color w:val="000000" w:themeColor="text1"/>
                <w:szCs w:val="20"/>
              </w:rPr>
              <w:t xml:space="preserve">could potentially be informative. However, the analyses </w:t>
            </w:r>
            <w:r w:rsidR="00C500D3" w:rsidRPr="00EC57FB">
              <w:rPr>
                <w:color w:val="000000" w:themeColor="text1"/>
                <w:szCs w:val="20"/>
              </w:rPr>
              <w:t xml:space="preserve">of data presented </w:t>
            </w:r>
            <w:r w:rsidR="00977326" w:rsidRPr="00EC57FB">
              <w:rPr>
                <w:color w:val="000000" w:themeColor="text1"/>
                <w:szCs w:val="20"/>
              </w:rPr>
              <w:t xml:space="preserve">are </w:t>
            </w:r>
            <w:r w:rsidR="00977326" w:rsidRPr="00EC57FB">
              <w:rPr>
                <w:color w:val="000000" w:themeColor="text1"/>
                <w:szCs w:val="20"/>
              </w:rPr>
              <w:lastRenderedPageBreak/>
              <w:t xml:space="preserve">limited to </w:t>
            </w:r>
            <w:r w:rsidR="00470017" w:rsidRPr="00EC57FB">
              <w:rPr>
                <w:color w:val="000000" w:themeColor="text1"/>
                <w:szCs w:val="20"/>
              </w:rPr>
              <w:t>compar</w:t>
            </w:r>
            <w:r w:rsidR="00977326" w:rsidRPr="00EC57FB">
              <w:rPr>
                <w:color w:val="000000" w:themeColor="text1"/>
                <w:szCs w:val="20"/>
              </w:rPr>
              <w:t>ison</w:t>
            </w:r>
            <w:r w:rsidR="000A715C" w:rsidRPr="00EC57FB">
              <w:rPr>
                <w:color w:val="000000" w:themeColor="text1"/>
                <w:szCs w:val="20"/>
              </w:rPr>
              <w:t>s</w:t>
            </w:r>
            <w:r w:rsidR="00470017" w:rsidRPr="00EC57FB">
              <w:rPr>
                <w:color w:val="000000" w:themeColor="text1"/>
                <w:szCs w:val="20"/>
              </w:rPr>
              <w:t xml:space="preserve"> </w:t>
            </w:r>
            <w:r w:rsidR="00C529FC" w:rsidRPr="00EC57FB">
              <w:rPr>
                <w:color w:val="000000" w:themeColor="text1"/>
                <w:szCs w:val="20"/>
              </w:rPr>
              <w:t xml:space="preserve">of rates of RSV disease in 2023 (before the introduction of the programs) with those in 2024 after the </w:t>
            </w:r>
            <w:r w:rsidR="00470017" w:rsidRPr="00EC57FB">
              <w:rPr>
                <w:color w:val="000000" w:themeColor="text1"/>
                <w:szCs w:val="20"/>
              </w:rPr>
              <w:t>introduction</w:t>
            </w:r>
            <w:r w:rsidR="00002C25" w:rsidRPr="00EC57FB">
              <w:rPr>
                <w:color w:val="000000" w:themeColor="text1"/>
                <w:szCs w:val="20"/>
              </w:rPr>
              <w:t xml:space="preserve"> of the program</w:t>
            </w:r>
            <w:r w:rsidR="00C529FC" w:rsidRPr="00EC57FB">
              <w:rPr>
                <w:color w:val="000000" w:themeColor="text1"/>
                <w:szCs w:val="20"/>
              </w:rPr>
              <w:t>s</w:t>
            </w:r>
            <w:r w:rsidR="00002C25" w:rsidRPr="00EC57FB">
              <w:rPr>
                <w:color w:val="000000" w:themeColor="text1"/>
                <w:szCs w:val="20"/>
              </w:rPr>
              <w:t xml:space="preserve">. The potential for confounded results </w:t>
            </w:r>
            <w:r w:rsidR="00C529FC" w:rsidRPr="00EC57FB">
              <w:rPr>
                <w:color w:val="000000" w:themeColor="text1"/>
                <w:szCs w:val="20"/>
              </w:rPr>
              <w:t>(</w:t>
            </w:r>
            <w:r w:rsidR="00002C25" w:rsidRPr="00EC57FB">
              <w:rPr>
                <w:color w:val="000000" w:themeColor="text1"/>
                <w:szCs w:val="20"/>
              </w:rPr>
              <w:t>e.g., due to greater or lesser circulating levels of RSV in the community</w:t>
            </w:r>
            <w:r w:rsidR="00C529FC" w:rsidRPr="00EC57FB">
              <w:rPr>
                <w:color w:val="000000" w:themeColor="text1"/>
                <w:szCs w:val="20"/>
              </w:rPr>
              <w:t>)</w:t>
            </w:r>
            <w:r w:rsidR="00977326" w:rsidRPr="00EC57FB">
              <w:rPr>
                <w:color w:val="000000" w:themeColor="text1"/>
                <w:szCs w:val="20"/>
              </w:rPr>
              <w:t xml:space="preserve"> </w:t>
            </w:r>
            <w:r w:rsidR="000F66A5" w:rsidRPr="00EC57FB">
              <w:rPr>
                <w:color w:val="000000" w:themeColor="text1"/>
                <w:szCs w:val="20"/>
              </w:rPr>
              <w:t>is</w:t>
            </w:r>
            <w:r w:rsidR="00977326" w:rsidRPr="00EC57FB">
              <w:rPr>
                <w:color w:val="000000" w:themeColor="text1"/>
                <w:szCs w:val="20"/>
              </w:rPr>
              <w:t xml:space="preserve"> high.</w:t>
            </w:r>
          </w:p>
          <w:p w14:paraId="681F8998" w14:textId="77777777" w:rsidR="007941EE" w:rsidRPr="00EC57FB" w:rsidRDefault="007941EE" w:rsidP="00380979">
            <w:pPr>
              <w:pStyle w:val="TableText0"/>
              <w:keepNext w:val="0"/>
              <w:keepLines w:val="0"/>
              <w:rPr>
                <w:color w:val="000000" w:themeColor="text1"/>
                <w:szCs w:val="20"/>
              </w:rPr>
            </w:pPr>
          </w:p>
          <w:p w14:paraId="62E8A8F7" w14:textId="318FC282" w:rsidR="00A3256B" w:rsidRPr="00EC57FB" w:rsidRDefault="00A3256B" w:rsidP="00376C6A">
            <w:pPr>
              <w:pStyle w:val="TableText0"/>
              <w:rPr>
                <w:color w:val="000000" w:themeColor="text1"/>
                <w:u w:val="single"/>
              </w:rPr>
            </w:pPr>
            <w:r w:rsidRPr="00EC57FB">
              <w:rPr>
                <w:color w:val="000000" w:themeColor="text1"/>
                <w:u w:val="single"/>
              </w:rPr>
              <w:t xml:space="preserve">Comparison of nirsevimab vs </w:t>
            </w:r>
            <w:r w:rsidR="00485EA7" w:rsidRPr="00EC57FB">
              <w:rPr>
                <w:color w:val="000000" w:themeColor="text1"/>
                <w:u w:val="single"/>
              </w:rPr>
              <w:t>RSVpreF</w:t>
            </w:r>
            <w:r w:rsidRPr="00EC57FB">
              <w:rPr>
                <w:color w:val="000000" w:themeColor="text1"/>
                <w:u w:val="single"/>
              </w:rPr>
              <w:t>:</w:t>
            </w:r>
          </w:p>
          <w:p w14:paraId="47D49A12" w14:textId="046B16ED" w:rsidR="0060767B" w:rsidRPr="00EC57FB" w:rsidRDefault="00B0465D" w:rsidP="00376C6A">
            <w:pPr>
              <w:pStyle w:val="TableText0"/>
              <w:rPr>
                <w:color w:val="000000" w:themeColor="text1"/>
                <w:szCs w:val="20"/>
              </w:rPr>
            </w:pPr>
            <w:r w:rsidRPr="00EC57FB">
              <w:rPr>
                <w:color w:val="000000" w:themeColor="text1"/>
                <w:szCs w:val="20"/>
              </w:rPr>
              <w:t>Although</w:t>
            </w:r>
            <w:r w:rsidR="007D4B82" w:rsidRPr="00EC57FB">
              <w:rPr>
                <w:color w:val="000000" w:themeColor="text1"/>
                <w:szCs w:val="20"/>
              </w:rPr>
              <w:t xml:space="preserve"> infants with risk conditions</w:t>
            </w:r>
            <w:r w:rsidR="001529BE" w:rsidRPr="00EC57FB">
              <w:rPr>
                <w:color w:val="000000" w:themeColor="text1"/>
                <w:szCs w:val="20"/>
              </w:rPr>
              <w:t xml:space="preserve"> </w:t>
            </w:r>
            <w:r w:rsidR="00710F32" w:rsidRPr="00EC57FB">
              <w:rPr>
                <w:color w:val="000000" w:themeColor="text1"/>
                <w:szCs w:val="20"/>
              </w:rPr>
              <w:t>were</w:t>
            </w:r>
            <w:r w:rsidR="00BC2070" w:rsidRPr="00EC57FB">
              <w:rPr>
                <w:color w:val="000000" w:themeColor="text1"/>
                <w:szCs w:val="20"/>
              </w:rPr>
              <w:t xml:space="preserve"> included in the MATISSE trial</w:t>
            </w:r>
            <w:r w:rsidR="00AD197F" w:rsidRPr="00EC57FB">
              <w:rPr>
                <w:color w:val="000000" w:themeColor="text1"/>
                <w:szCs w:val="20"/>
              </w:rPr>
              <w:t xml:space="preserve">, results for this subgroup of patients </w:t>
            </w:r>
            <w:r w:rsidR="0004025E" w:rsidRPr="00EC57FB">
              <w:rPr>
                <w:color w:val="000000" w:themeColor="text1"/>
                <w:szCs w:val="20"/>
              </w:rPr>
              <w:t>were</w:t>
            </w:r>
            <w:r w:rsidR="00AD197F" w:rsidRPr="00EC57FB">
              <w:rPr>
                <w:color w:val="000000" w:themeColor="text1"/>
                <w:szCs w:val="20"/>
              </w:rPr>
              <w:t xml:space="preserve"> not reported separately in the published report </w:t>
            </w:r>
            <w:r w:rsidR="00EB02B2" w:rsidRPr="00EC57FB">
              <w:rPr>
                <w:color w:val="000000" w:themeColor="text1"/>
                <w:szCs w:val="20"/>
              </w:rPr>
              <w:t>of the trial (Kampmann 2023)</w:t>
            </w:r>
            <w:r w:rsidR="00BE5BB6" w:rsidRPr="00EC57FB">
              <w:rPr>
                <w:color w:val="000000" w:themeColor="text1"/>
                <w:szCs w:val="20"/>
              </w:rPr>
              <w:t>. C</w:t>
            </w:r>
            <w:r w:rsidR="00942B34" w:rsidRPr="00EC57FB">
              <w:rPr>
                <w:color w:val="000000" w:themeColor="text1"/>
                <w:szCs w:val="20"/>
              </w:rPr>
              <w:t xml:space="preserve">omparison </w:t>
            </w:r>
            <w:r w:rsidR="00DF1D3E" w:rsidRPr="00EC57FB">
              <w:rPr>
                <w:color w:val="000000" w:themeColor="text1"/>
                <w:szCs w:val="20"/>
              </w:rPr>
              <w:t xml:space="preserve">of nirsevimab and </w:t>
            </w:r>
            <w:r w:rsidR="00485EA7" w:rsidRPr="00EC57FB">
              <w:rPr>
                <w:color w:val="000000" w:themeColor="text1"/>
                <w:szCs w:val="20"/>
              </w:rPr>
              <w:t>RSVpreF maternal</w:t>
            </w:r>
            <w:r w:rsidR="00DF1D3E" w:rsidRPr="00EC57FB">
              <w:rPr>
                <w:color w:val="000000" w:themeColor="text1"/>
                <w:szCs w:val="20"/>
              </w:rPr>
              <w:t xml:space="preserve"> vaccination </w:t>
            </w:r>
            <w:r w:rsidR="00597C98" w:rsidRPr="00EC57FB">
              <w:rPr>
                <w:color w:val="000000" w:themeColor="text1"/>
                <w:szCs w:val="20"/>
              </w:rPr>
              <w:t xml:space="preserve">in infants with risk conditions </w:t>
            </w:r>
            <w:r w:rsidR="002B34D1" w:rsidRPr="00EC57FB">
              <w:rPr>
                <w:color w:val="000000" w:themeColor="text1"/>
                <w:szCs w:val="20"/>
              </w:rPr>
              <w:t>was</w:t>
            </w:r>
            <w:r w:rsidR="00DF1D3E" w:rsidRPr="00EC57FB">
              <w:rPr>
                <w:color w:val="000000" w:themeColor="text1"/>
                <w:szCs w:val="20"/>
              </w:rPr>
              <w:t xml:space="preserve"> </w:t>
            </w:r>
            <w:r w:rsidR="0053747F" w:rsidRPr="00EC57FB">
              <w:rPr>
                <w:color w:val="000000" w:themeColor="text1"/>
                <w:szCs w:val="20"/>
              </w:rPr>
              <w:t xml:space="preserve">thus </w:t>
            </w:r>
            <w:r w:rsidR="00DF1D3E" w:rsidRPr="00EC57FB">
              <w:rPr>
                <w:color w:val="000000" w:themeColor="text1"/>
                <w:szCs w:val="20"/>
              </w:rPr>
              <w:t>hampered</w:t>
            </w:r>
            <w:r w:rsidR="002B34D1" w:rsidRPr="00EC57FB">
              <w:rPr>
                <w:color w:val="000000" w:themeColor="text1"/>
                <w:szCs w:val="20"/>
              </w:rPr>
              <w:t xml:space="preserve"> and it </w:t>
            </w:r>
            <w:r w:rsidR="009A3753" w:rsidRPr="00EC57FB">
              <w:rPr>
                <w:color w:val="000000" w:themeColor="text1"/>
                <w:szCs w:val="20"/>
              </w:rPr>
              <w:t>was</w:t>
            </w:r>
            <w:r w:rsidR="00340E2C" w:rsidRPr="00EC57FB">
              <w:rPr>
                <w:color w:val="000000" w:themeColor="text1"/>
                <w:szCs w:val="20"/>
              </w:rPr>
              <w:t xml:space="preserve"> therefore not possible to determine whether</w:t>
            </w:r>
            <w:r w:rsidR="002B34D1" w:rsidRPr="00EC57FB">
              <w:rPr>
                <w:color w:val="000000" w:themeColor="text1"/>
                <w:szCs w:val="20"/>
              </w:rPr>
              <w:t xml:space="preserve"> one approach </w:t>
            </w:r>
            <w:r w:rsidR="008B394D" w:rsidRPr="00EC57FB">
              <w:rPr>
                <w:color w:val="000000" w:themeColor="text1"/>
                <w:szCs w:val="20"/>
              </w:rPr>
              <w:t xml:space="preserve">(nirsevimab or RSVpreF) </w:t>
            </w:r>
            <w:r w:rsidR="002B34D1" w:rsidRPr="00EC57FB">
              <w:rPr>
                <w:color w:val="000000" w:themeColor="text1"/>
                <w:szCs w:val="20"/>
              </w:rPr>
              <w:t xml:space="preserve">is </w:t>
            </w:r>
            <w:r w:rsidR="00647BEB" w:rsidRPr="00EC57FB">
              <w:rPr>
                <w:color w:val="000000" w:themeColor="text1"/>
                <w:szCs w:val="20"/>
              </w:rPr>
              <w:t>superior to the other</w:t>
            </w:r>
            <w:r w:rsidR="001529BE" w:rsidRPr="00EC57FB">
              <w:rPr>
                <w:color w:val="000000" w:themeColor="text1"/>
                <w:szCs w:val="20"/>
              </w:rPr>
              <w:t>.</w:t>
            </w:r>
          </w:p>
        </w:tc>
      </w:tr>
      <w:tr w:rsidR="0060767B" w:rsidRPr="00EC57FB" w14:paraId="7A203E07" w14:textId="77777777" w:rsidTr="009A26E7">
        <w:trPr>
          <w:trHeight w:val="20"/>
        </w:trPr>
        <w:tc>
          <w:tcPr>
            <w:tcW w:w="2403" w:type="dxa"/>
            <w:vAlign w:val="center"/>
          </w:tcPr>
          <w:p w14:paraId="024E481D" w14:textId="4643435D" w:rsidR="0060767B" w:rsidRPr="00EC57FB" w:rsidRDefault="0060767B" w:rsidP="00380979">
            <w:pPr>
              <w:jc w:val="left"/>
              <w:rPr>
                <w:rFonts w:ascii="Arial Narrow" w:hAnsi="Arial Narrow"/>
                <w:color w:val="000000" w:themeColor="text1"/>
                <w:sz w:val="20"/>
                <w:szCs w:val="20"/>
              </w:rPr>
            </w:pPr>
            <w:r w:rsidRPr="00EC57FB">
              <w:rPr>
                <w:rFonts w:ascii="Arial Narrow" w:hAnsi="Arial Narrow"/>
                <w:b/>
                <w:color w:val="000000" w:themeColor="text1"/>
                <w:sz w:val="20"/>
                <w:szCs w:val="20"/>
              </w:rPr>
              <w:lastRenderedPageBreak/>
              <w:t xml:space="preserve">Population </w:t>
            </w:r>
            <w:r w:rsidR="008A3568" w:rsidRPr="00EC57FB">
              <w:rPr>
                <w:rFonts w:ascii="Arial Narrow" w:hAnsi="Arial Narrow"/>
                <w:b/>
                <w:color w:val="000000" w:themeColor="text1"/>
                <w:sz w:val="20"/>
                <w:szCs w:val="20"/>
              </w:rPr>
              <w:t>C(</w:t>
            </w:r>
            <w:r w:rsidRPr="00EC57FB">
              <w:rPr>
                <w:rFonts w:ascii="Arial Narrow" w:hAnsi="Arial Narrow"/>
                <w:b/>
                <w:color w:val="000000" w:themeColor="text1"/>
                <w:sz w:val="20"/>
                <w:szCs w:val="20"/>
              </w:rPr>
              <w:t>b</w:t>
            </w:r>
            <w:r w:rsidR="008A3568" w:rsidRPr="00EC57FB">
              <w:rPr>
                <w:rFonts w:ascii="Arial Narrow" w:hAnsi="Arial Narrow"/>
                <w:b/>
                <w:color w:val="000000" w:themeColor="text1"/>
                <w:sz w:val="20"/>
                <w:szCs w:val="20"/>
              </w:rPr>
              <w:t>)</w:t>
            </w:r>
            <w:r w:rsidRPr="00EC57FB">
              <w:rPr>
                <w:rFonts w:ascii="Arial Narrow" w:hAnsi="Arial Narrow"/>
                <w:b/>
                <w:color w:val="000000" w:themeColor="text1"/>
                <w:sz w:val="20"/>
                <w:szCs w:val="20"/>
              </w:rPr>
              <w:t xml:space="preserve">: </w:t>
            </w:r>
            <w:r w:rsidRPr="00EC57FB">
              <w:rPr>
                <w:rFonts w:ascii="Arial Narrow" w:hAnsi="Arial Narrow"/>
                <w:color w:val="000000" w:themeColor="text1"/>
                <w:sz w:val="20"/>
                <w:szCs w:val="20"/>
              </w:rPr>
              <w:t xml:space="preserve">infants with risk conditions entering their first season of possible exposure to RSV where the mother did receive </w:t>
            </w:r>
            <w:r w:rsidR="00485EA7" w:rsidRPr="00EC57FB">
              <w:rPr>
                <w:rFonts w:ascii="Arial Narrow" w:hAnsi="Arial Narrow"/>
                <w:color w:val="000000" w:themeColor="text1"/>
                <w:sz w:val="20"/>
                <w:szCs w:val="20"/>
              </w:rPr>
              <w:t xml:space="preserve">RSVpreF </w:t>
            </w:r>
          </w:p>
        </w:tc>
        <w:tc>
          <w:tcPr>
            <w:tcW w:w="6524" w:type="dxa"/>
            <w:vAlign w:val="center"/>
          </w:tcPr>
          <w:p w14:paraId="103134D7" w14:textId="35C349A0" w:rsidR="0060767B" w:rsidRPr="00EC57FB" w:rsidRDefault="00E46CCC" w:rsidP="00380979">
            <w:pPr>
              <w:pStyle w:val="TableText0"/>
              <w:keepNext w:val="0"/>
              <w:keepLines w:val="0"/>
              <w:rPr>
                <w:color w:val="000000" w:themeColor="text1"/>
                <w:szCs w:val="20"/>
              </w:rPr>
            </w:pPr>
            <w:bookmarkStart w:id="66" w:name="_Hlk186132958"/>
            <w:r w:rsidRPr="00EC57FB">
              <w:rPr>
                <w:color w:val="000000" w:themeColor="text1"/>
              </w:rPr>
              <w:t xml:space="preserve">No data </w:t>
            </w:r>
            <w:r w:rsidR="00D26E31" w:rsidRPr="00EC57FB">
              <w:rPr>
                <w:color w:val="000000" w:themeColor="text1"/>
              </w:rPr>
              <w:t xml:space="preserve">were </w:t>
            </w:r>
            <w:r w:rsidRPr="00EC57FB">
              <w:rPr>
                <w:color w:val="000000" w:themeColor="text1"/>
              </w:rPr>
              <w:t xml:space="preserve">presented in the resubmission to inform a comparison of </w:t>
            </w:r>
            <w:r w:rsidRPr="00EC57FB">
              <w:rPr>
                <w:color w:val="000000" w:themeColor="text1"/>
                <w:szCs w:val="20"/>
              </w:rPr>
              <w:t xml:space="preserve">nirsevimab + </w:t>
            </w:r>
            <w:r w:rsidR="00485EA7" w:rsidRPr="00EC57FB">
              <w:rPr>
                <w:color w:val="000000" w:themeColor="text1"/>
                <w:szCs w:val="20"/>
              </w:rPr>
              <w:t>RSVpreF maternal</w:t>
            </w:r>
            <w:r w:rsidRPr="00EC57FB">
              <w:rPr>
                <w:color w:val="000000" w:themeColor="text1"/>
                <w:szCs w:val="20"/>
              </w:rPr>
              <w:t xml:space="preserve"> vaccination versus </w:t>
            </w:r>
            <w:r w:rsidR="00485EA7" w:rsidRPr="00EC57FB">
              <w:rPr>
                <w:color w:val="000000" w:themeColor="text1"/>
                <w:szCs w:val="20"/>
              </w:rPr>
              <w:t>RSVpreF maternal</w:t>
            </w:r>
            <w:r w:rsidRPr="00EC57FB">
              <w:rPr>
                <w:color w:val="000000" w:themeColor="text1"/>
                <w:szCs w:val="20"/>
              </w:rPr>
              <w:t xml:space="preserve"> vaccination alone in infants</w:t>
            </w:r>
            <w:r w:rsidR="00046634" w:rsidRPr="00EC57FB">
              <w:rPr>
                <w:color w:val="000000" w:themeColor="text1"/>
                <w:szCs w:val="20"/>
              </w:rPr>
              <w:t xml:space="preserve"> with risk conditions. A pragmatic </w:t>
            </w:r>
            <w:r w:rsidR="00647BEB" w:rsidRPr="00EC57FB">
              <w:rPr>
                <w:color w:val="000000" w:themeColor="text1"/>
                <w:szCs w:val="20"/>
              </w:rPr>
              <w:t xml:space="preserve">(not systematic) </w:t>
            </w:r>
            <w:r w:rsidR="00046634" w:rsidRPr="00EC57FB">
              <w:rPr>
                <w:color w:val="000000" w:themeColor="text1"/>
                <w:szCs w:val="20"/>
              </w:rPr>
              <w:t xml:space="preserve">search of the literature </w:t>
            </w:r>
            <w:r w:rsidR="00647BEB" w:rsidRPr="00EC57FB">
              <w:rPr>
                <w:color w:val="000000" w:themeColor="text1"/>
                <w:szCs w:val="20"/>
              </w:rPr>
              <w:t xml:space="preserve">conducted during the evaluation </w:t>
            </w:r>
            <w:r w:rsidR="00046634" w:rsidRPr="00EC57FB">
              <w:rPr>
                <w:color w:val="000000" w:themeColor="text1"/>
                <w:szCs w:val="20"/>
              </w:rPr>
              <w:t>did not identify any relevant studies</w:t>
            </w:r>
            <w:r w:rsidR="00197539" w:rsidRPr="00EC57FB">
              <w:rPr>
                <w:color w:val="000000" w:themeColor="text1"/>
                <w:szCs w:val="20"/>
              </w:rPr>
              <w:t xml:space="preserve"> examining the use of nirsevimab following RSVpreF</w:t>
            </w:r>
            <w:r w:rsidR="00046634" w:rsidRPr="00EC57FB">
              <w:rPr>
                <w:color w:val="000000" w:themeColor="text1"/>
                <w:szCs w:val="20"/>
              </w:rPr>
              <w:t xml:space="preserve"> t</w:t>
            </w:r>
            <w:r w:rsidR="00197539" w:rsidRPr="00EC57FB">
              <w:rPr>
                <w:color w:val="000000" w:themeColor="text1"/>
                <w:szCs w:val="20"/>
              </w:rPr>
              <w:t>hat would</w:t>
            </w:r>
            <w:r w:rsidR="00046634" w:rsidRPr="00EC57FB">
              <w:rPr>
                <w:color w:val="000000" w:themeColor="text1"/>
                <w:szCs w:val="20"/>
              </w:rPr>
              <w:t xml:space="preserve"> inform such a comparison.</w:t>
            </w:r>
            <w:r w:rsidR="00CF5C38" w:rsidRPr="00EC57FB">
              <w:rPr>
                <w:color w:val="000000" w:themeColor="text1"/>
                <w:szCs w:val="20"/>
              </w:rPr>
              <w:t xml:space="preserve"> There is thus no evidence indicating that </w:t>
            </w:r>
            <w:r w:rsidR="00811776" w:rsidRPr="00EC57FB">
              <w:rPr>
                <w:color w:val="000000" w:themeColor="text1"/>
                <w:szCs w:val="20"/>
              </w:rPr>
              <w:t xml:space="preserve">nirsevimab + </w:t>
            </w:r>
            <w:r w:rsidR="00485EA7" w:rsidRPr="00EC57FB">
              <w:rPr>
                <w:color w:val="000000" w:themeColor="text1"/>
                <w:szCs w:val="20"/>
              </w:rPr>
              <w:t>RSVpreF maternal</w:t>
            </w:r>
            <w:r w:rsidR="00811776" w:rsidRPr="00EC57FB">
              <w:rPr>
                <w:color w:val="000000" w:themeColor="text1"/>
                <w:szCs w:val="20"/>
              </w:rPr>
              <w:t xml:space="preserve"> vaccination confers greater protection </w:t>
            </w:r>
            <w:r w:rsidR="00931CEB" w:rsidRPr="00EC57FB">
              <w:rPr>
                <w:color w:val="000000" w:themeColor="text1"/>
                <w:szCs w:val="20"/>
              </w:rPr>
              <w:t>against RSV</w:t>
            </w:r>
            <w:r w:rsidR="00AB17AA" w:rsidRPr="00EC57FB">
              <w:rPr>
                <w:color w:val="000000" w:themeColor="text1"/>
                <w:szCs w:val="20"/>
              </w:rPr>
              <w:t xml:space="preserve">-related illness compared </w:t>
            </w:r>
            <w:r w:rsidR="00811776" w:rsidRPr="00EC57FB">
              <w:rPr>
                <w:color w:val="000000" w:themeColor="text1"/>
                <w:szCs w:val="20"/>
              </w:rPr>
              <w:t>to</w:t>
            </w:r>
            <w:r w:rsidR="00DF3E75" w:rsidRPr="00EC57FB">
              <w:rPr>
                <w:color w:val="000000" w:themeColor="text1"/>
                <w:szCs w:val="20"/>
              </w:rPr>
              <w:t xml:space="preserve"> either</w:t>
            </w:r>
            <w:r w:rsidR="00811776" w:rsidRPr="00EC57FB">
              <w:rPr>
                <w:color w:val="000000" w:themeColor="text1"/>
                <w:szCs w:val="20"/>
              </w:rPr>
              <w:t xml:space="preserve"> maternal RSVpreF vaccination </w:t>
            </w:r>
            <w:r w:rsidR="00DF3E75" w:rsidRPr="00EC57FB">
              <w:rPr>
                <w:color w:val="000000" w:themeColor="text1"/>
                <w:szCs w:val="20"/>
              </w:rPr>
              <w:t xml:space="preserve">or nirsevimab </w:t>
            </w:r>
            <w:r w:rsidR="00811776" w:rsidRPr="00EC57FB">
              <w:rPr>
                <w:color w:val="000000" w:themeColor="text1"/>
                <w:szCs w:val="20"/>
              </w:rPr>
              <w:t>alone</w:t>
            </w:r>
            <w:r w:rsidR="00960A8F" w:rsidRPr="00EC57FB">
              <w:rPr>
                <w:color w:val="000000" w:themeColor="text1"/>
                <w:szCs w:val="20"/>
              </w:rPr>
              <w:t xml:space="preserve"> for infants with risk conditions.</w:t>
            </w:r>
            <w:bookmarkEnd w:id="66"/>
          </w:p>
        </w:tc>
      </w:tr>
      <w:tr w:rsidR="0060767B" w:rsidRPr="00EC57FB" w14:paraId="5C0AD10E" w14:textId="77777777" w:rsidTr="009A26E7">
        <w:trPr>
          <w:trHeight w:val="20"/>
        </w:trPr>
        <w:tc>
          <w:tcPr>
            <w:tcW w:w="2403" w:type="dxa"/>
            <w:vAlign w:val="center"/>
          </w:tcPr>
          <w:p w14:paraId="3DC5E873" w14:textId="7F5904FC" w:rsidR="0060767B" w:rsidRPr="00EC57FB" w:rsidRDefault="0060767B" w:rsidP="00380979">
            <w:pPr>
              <w:jc w:val="left"/>
              <w:rPr>
                <w:rFonts w:ascii="Arial Narrow" w:hAnsi="Arial Narrow"/>
                <w:color w:val="000000" w:themeColor="text1"/>
                <w:sz w:val="20"/>
                <w:szCs w:val="20"/>
              </w:rPr>
            </w:pPr>
            <w:r w:rsidRPr="00EC57FB">
              <w:rPr>
                <w:rFonts w:ascii="Arial Narrow" w:hAnsi="Arial Narrow"/>
                <w:b/>
                <w:color w:val="000000" w:themeColor="text1"/>
                <w:sz w:val="20"/>
                <w:szCs w:val="20"/>
              </w:rPr>
              <w:t xml:space="preserve">Population </w:t>
            </w:r>
            <w:r w:rsidR="008A3568" w:rsidRPr="00EC57FB">
              <w:rPr>
                <w:rFonts w:ascii="Arial Narrow" w:hAnsi="Arial Narrow"/>
                <w:b/>
                <w:color w:val="000000" w:themeColor="text1"/>
                <w:sz w:val="20"/>
                <w:szCs w:val="20"/>
              </w:rPr>
              <w:t>D</w:t>
            </w:r>
            <w:r w:rsidRPr="00EC57FB">
              <w:rPr>
                <w:rFonts w:ascii="Arial Narrow" w:hAnsi="Arial Narrow"/>
                <w:b/>
                <w:color w:val="000000" w:themeColor="text1"/>
                <w:sz w:val="20"/>
                <w:szCs w:val="20"/>
              </w:rPr>
              <w:t xml:space="preserve">: </w:t>
            </w:r>
            <w:r w:rsidRPr="00EC57FB">
              <w:rPr>
                <w:rFonts w:ascii="Arial Narrow" w:hAnsi="Arial Narrow"/>
                <w:color w:val="000000" w:themeColor="text1"/>
                <w:sz w:val="20"/>
                <w:szCs w:val="20"/>
              </w:rPr>
              <w:t xml:space="preserve">infants with risk conditions entering their second season of possible exposure to RSV (regardless of whether the mother did or did not receive </w:t>
            </w:r>
            <w:r w:rsidR="00485EA7" w:rsidRPr="00EC57FB">
              <w:rPr>
                <w:rFonts w:ascii="Arial Narrow" w:hAnsi="Arial Narrow"/>
                <w:color w:val="000000" w:themeColor="text1"/>
                <w:sz w:val="20"/>
                <w:szCs w:val="20"/>
              </w:rPr>
              <w:t>RSVpreF</w:t>
            </w:r>
            <w:r w:rsidRPr="00EC57FB">
              <w:rPr>
                <w:rFonts w:ascii="Arial Narrow" w:hAnsi="Arial Narrow"/>
                <w:color w:val="000000" w:themeColor="text1"/>
                <w:sz w:val="20"/>
                <w:szCs w:val="20"/>
              </w:rPr>
              <w:t>)</w:t>
            </w:r>
          </w:p>
        </w:tc>
        <w:tc>
          <w:tcPr>
            <w:tcW w:w="6524" w:type="dxa"/>
            <w:vAlign w:val="center"/>
          </w:tcPr>
          <w:p w14:paraId="5F493678" w14:textId="02C6D097" w:rsidR="006A40EF" w:rsidRPr="00EC57FB" w:rsidRDefault="0060767B" w:rsidP="00380979">
            <w:pPr>
              <w:pStyle w:val="TableText0"/>
              <w:keepNext w:val="0"/>
              <w:keepLines w:val="0"/>
              <w:rPr>
                <w:color w:val="000000" w:themeColor="text1"/>
              </w:rPr>
            </w:pPr>
            <w:r w:rsidRPr="00EC57FB">
              <w:rPr>
                <w:color w:val="000000" w:themeColor="text1"/>
              </w:rPr>
              <w:t xml:space="preserve">Given that palivizumab is not funded under any federal program (e.g., NIP or PBS), no immunisation is the appropriate comparator and </w:t>
            </w:r>
            <w:r w:rsidR="002C1ADA" w:rsidRPr="00EC57FB">
              <w:rPr>
                <w:color w:val="000000" w:themeColor="text1"/>
              </w:rPr>
              <w:t>the</w:t>
            </w:r>
            <w:r w:rsidRPr="00EC57FB">
              <w:rPr>
                <w:color w:val="000000" w:themeColor="text1"/>
              </w:rPr>
              <w:t xml:space="preserve"> nomination </w:t>
            </w:r>
            <w:r w:rsidR="002C1ADA" w:rsidRPr="00EC57FB">
              <w:rPr>
                <w:color w:val="000000" w:themeColor="text1"/>
              </w:rPr>
              <w:t xml:space="preserve">of no immunisation </w:t>
            </w:r>
            <w:r w:rsidRPr="00EC57FB">
              <w:rPr>
                <w:color w:val="000000" w:themeColor="text1"/>
              </w:rPr>
              <w:t>as the main comparator is consistent with the PBAC’s determinations in July 2024.</w:t>
            </w:r>
          </w:p>
          <w:p w14:paraId="3CBF36F3" w14:textId="77777777" w:rsidR="001C1547" w:rsidRPr="00EC57FB" w:rsidRDefault="001C1547" w:rsidP="00380979">
            <w:pPr>
              <w:pStyle w:val="TableText0"/>
              <w:keepNext w:val="0"/>
              <w:keepLines w:val="0"/>
              <w:rPr>
                <w:color w:val="000000" w:themeColor="text1"/>
              </w:rPr>
            </w:pPr>
          </w:p>
          <w:p w14:paraId="52FCDBAE" w14:textId="018FF007" w:rsidR="00430D2C" w:rsidRPr="00EC57FB" w:rsidRDefault="001C1547" w:rsidP="00380979">
            <w:pPr>
              <w:pStyle w:val="TableText0"/>
              <w:keepNext w:val="0"/>
              <w:keepLines w:val="0"/>
              <w:rPr>
                <w:color w:val="000000" w:themeColor="text1"/>
              </w:rPr>
            </w:pPr>
            <w:r w:rsidRPr="00EC57FB">
              <w:rPr>
                <w:color w:val="000000" w:themeColor="text1"/>
              </w:rPr>
              <w:t xml:space="preserve">The only trial evidence available for nirsevimab for children with risk conditions entering their second RSV season is for children with CLD/CHD in the MEDLEY trial versus palivizumab. </w:t>
            </w:r>
            <w:r w:rsidR="00AD0C25" w:rsidRPr="00EC57FB">
              <w:rPr>
                <w:color w:val="000000" w:themeColor="text1"/>
              </w:rPr>
              <w:t xml:space="preserve">The potential for </w:t>
            </w:r>
            <w:r w:rsidR="00486DF3" w:rsidRPr="00EC57FB">
              <w:rPr>
                <w:color w:val="000000" w:themeColor="text1"/>
              </w:rPr>
              <w:t xml:space="preserve">conducting an </w:t>
            </w:r>
            <w:r w:rsidR="00251D00" w:rsidRPr="00EC57FB">
              <w:rPr>
                <w:color w:val="000000" w:themeColor="text1"/>
              </w:rPr>
              <w:t>ITC</w:t>
            </w:r>
            <w:r w:rsidR="00486DF3" w:rsidRPr="00EC57FB">
              <w:rPr>
                <w:color w:val="000000" w:themeColor="text1"/>
              </w:rPr>
              <w:t xml:space="preserve"> to </w:t>
            </w:r>
            <w:r w:rsidR="00AD0C25" w:rsidRPr="00EC57FB">
              <w:rPr>
                <w:color w:val="000000" w:themeColor="text1"/>
              </w:rPr>
              <w:t>placebo (</w:t>
            </w:r>
            <w:r w:rsidR="00486DF3" w:rsidRPr="00EC57FB">
              <w:rPr>
                <w:color w:val="000000" w:themeColor="text1"/>
              </w:rPr>
              <w:t>as a proxy for</w:t>
            </w:r>
            <w:r w:rsidR="00AD0C25" w:rsidRPr="00EC57FB">
              <w:rPr>
                <w:color w:val="000000" w:themeColor="text1"/>
              </w:rPr>
              <w:t xml:space="preserve"> no immunisation), using palivizumab as the common reference, was not investigated in the resubmission. However, a pragmatic search of the literature during the evaluation did not identify any trials comparing palivizumab and placebo (for no immunisation) in children with risk conditions entering their second RSV season.</w:t>
            </w:r>
          </w:p>
          <w:p w14:paraId="5F07DD3D" w14:textId="77777777" w:rsidR="00AD0C25" w:rsidRPr="00EC57FB" w:rsidRDefault="00AD0C25" w:rsidP="00380979">
            <w:pPr>
              <w:pStyle w:val="TableText0"/>
              <w:keepNext w:val="0"/>
              <w:keepLines w:val="0"/>
              <w:rPr>
                <w:iCs/>
                <w:color w:val="000000" w:themeColor="text1"/>
              </w:rPr>
            </w:pPr>
          </w:p>
          <w:p w14:paraId="6C73693A" w14:textId="34E01BAD" w:rsidR="00600E99" w:rsidRPr="00EC57FB" w:rsidRDefault="00862867" w:rsidP="00676461">
            <w:pPr>
              <w:pStyle w:val="TableText0"/>
              <w:rPr>
                <w:color w:val="000000" w:themeColor="text1"/>
                <w:szCs w:val="20"/>
              </w:rPr>
            </w:pPr>
            <w:r w:rsidRPr="00EC57FB">
              <w:rPr>
                <w:color w:val="000000" w:themeColor="text1"/>
              </w:rPr>
              <w:t xml:space="preserve">The primary source of evidence presented in the resubmission to support use of nirsevimab in children with risk conditions experiencing their second season of RSV was preliminary data from state programs in Western Australia and </w:t>
            </w:r>
            <w:r w:rsidR="00B94B2F" w:rsidRPr="00EC57FB">
              <w:rPr>
                <w:color w:val="000000" w:themeColor="text1"/>
              </w:rPr>
              <w:t>NSW</w:t>
            </w:r>
            <w:r w:rsidRPr="00EC57FB">
              <w:rPr>
                <w:color w:val="000000" w:themeColor="text1"/>
              </w:rPr>
              <w:t xml:space="preserve">. </w:t>
            </w:r>
            <w:r w:rsidR="00674505" w:rsidRPr="00EC57FB">
              <w:rPr>
                <w:color w:val="000000" w:themeColor="text1"/>
              </w:rPr>
              <w:t>However, a</w:t>
            </w:r>
            <w:r w:rsidR="00B94B2F" w:rsidRPr="00EC57FB">
              <w:rPr>
                <w:color w:val="000000" w:themeColor="text1"/>
                <w:szCs w:val="20"/>
              </w:rPr>
              <w:t xml:space="preserve">s noted for Population </w:t>
            </w:r>
            <w:r w:rsidR="00F6046B" w:rsidRPr="00EC57FB">
              <w:rPr>
                <w:color w:val="000000" w:themeColor="text1"/>
                <w:szCs w:val="20"/>
              </w:rPr>
              <w:t>C(</w:t>
            </w:r>
            <w:r w:rsidR="00B94B2F" w:rsidRPr="00EC57FB">
              <w:rPr>
                <w:color w:val="000000" w:themeColor="text1"/>
                <w:szCs w:val="20"/>
              </w:rPr>
              <w:t>a</w:t>
            </w:r>
            <w:r w:rsidR="00F6046B" w:rsidRPr="00EC57FB">
              <w:rPr>
                <w:color w:val="000000" w:themeColor="text1"/>
                <w:szCs w:val="20"/>
              </w:rPr>
              <w:t>)</w:t>
            </w:r>
            <w:r w:rsidR="00B94B2F" w:rsidRPr="00EC57FB">
              <w:rPr>
                <w:color w:val="000000" w:themeColor="text1"/>
                <w:szCs w:val="20"/>
              </w:rPr>
              <w:t xml:space="preserve">, the analyses of data </w:t>
            </w:r>
            <w:r w:rsidR="00450730" w:rsidRPr="00EC57FB">
              <w:rPr>
                <w:color w:val="000000" w:themeColor="text1"/>
                <w:szCs w:val="20"/>
              </w:rPr>
              <w:t xml:space="preserve">from NSW </w:t>
            </w:r>
            <w:r w:rsidR="00B94B2F" w:rsidRPr="00EC57FB">
              <w:rPr>
                <w:color w:val="000000" w:themeColor="text1"/>
                <w:szCs w:val="20"/>
              </w:rPr>
              <w:t>are limited to a comparison of rates of RSV disease in 2023 (before the introduction of the programs) with those in 2024 after the introduction of the programs. The potential for confounded results (e.g., due to greater or lesser circulating levels of RSV in the community) is high.</w:t>
            </w:r>
          </w:p>
        </w:tc>
      </w:tr>
    </w:tbl>
    <w:p w14:paraId="12C51B68" w14:textId="7A37C8D1" w:rsidR="00390D84" w:rsidRPr="00EC57FB" w:rsidRDefault="0028503A" w:rsidP="004B0EF4">
      <w:pPr>
        <w:pStyle w:val="TableFigureFooter"/>
        <w:spacing w:after="120"/>
      </w:pPr>
      <w:bookmarkStart w:id="67" w:name="_Toc22897641"/>
      <w:r w:rsidRPr="00EC57FB">
        <w:t>AIHW</w:t>
      </w:r>
      <w:r w:rsidR="00CA359F" w:rsidRPr="00EC57FB">
        <w:t xml:space="preserve"> = Australian Institute of Health and Welfare;</w:t>
      </w:r>
      <w:r w:rsidRPr="00EC57FB">
        <w:t xml:space="preserve"> </w:t>
      </w:r>
      <w:r w:rsidR="006061DE" w:rsidRPr="00EC57FB">
        <w:t>CLD = chronic lung disease;</w:t>
      </w:r>
      <w:r w:rsidR="003067A4" w:rsidRPr="00EC57FB">
        <w:t xml:space="preserve"> CHD = congenital heart disease;</w:t>
      </w:r>
      <w:r w:rsidR="00037994" w:rsidRPr="00EC57FB">
        <w:t xml:space="preserve"> ITC</w:t>
      </w:r>
      <w:r w:rsidR="003067A4" w:rsidRPr="00EC57FB">
        <w:t xml:space="preserve"> = indirect treatment comparison;</w:t>
      </w:r>
      <w:r w:rsidR="00037994" w:rsidRPr="00EC57FB">
        <w:t xml:space="preserve"> NIP</w:t>
      </w:r>
      <w:r w:rsidR="003067A4" w:rsidRPr="00EC57FB">
        <w:t xml:space="preserve"> = National </w:t>
      </w:r>
      <w:r w:rsidR="005F13B7" w:rsidRPr="00EC57FB">
        <w:t>Immunisation Program;</w:t>
      </w:r>
      <w:r w:rsidR="00037994" w:rsidRPr="00EC57FB">
        <w:t xml:space="preserve"> RSV</w:t>
      </w:r>
      <w:r w:rsidR="005F13B7" w:rsidRPr="00EC57FB">
        <w:t xml:space="preserve"> = respiratory syncytial virus.</w:t>
      </w:r>
    </w:p>
    <w:p w14:paraId="4A4FE085" w14:textId="1C5613CC" w:rsidR="00B60939" w:rsidRPr="00EC57FB" w:rsidRDefault="00B60939" w:rsidP="00EC5836">
      <w:pPr>
        <w:pStyle w:val="4-SubsectionHeading"/>
      </w:pPr>
      <w:bookmarkStart w:id="68" w:name="_Toc188619261"/>
      <w:r w:rsidRPr="00EC57FB">
        <w:t>Comparative effectiveness</w:t>
      </w:r>
      <w:bookmarkEnd w:id="67"/>
      <w:bookmarkEnd w:id="68"/>
    </w:p>
    <w:p w14:paraId="39C38212" w14:textId="0BCD96A8" w:rsidR="00473284" w:rsidRPr="00EC57FB" w:rsidRDefault="00641554" w:rsidP="004B0EF4">
      <w:pPr>
        <w:spacing w:after="120"/>
        <w:rPr>
          <w:b/>
          <w:bCs/>
        </w:rPr>
      </w:pPr>
      <w:r w:rsidRPr="00EC57FB">
        <w:rPr>
          <w:b/>
          <w:bCs/>
        </w:rPr>
        <w:t xml:space="preserve">Evidence for </w:t>
      </w:r>
      <w:bookmarkStart w:id="69" w:name="_Hlk187070453"/>
      <w:r w:rsidR="00732B49" w:rsidRPr="00EC57FB">
        <w:rPr>
          <w:b/>
          <w:bCs/>
        </w:rPr>
        <w:t xml:space="preserve">nirsevimab </w:t>
      </w:r>
      <w:r w:rsidR="00941FAC" w:rsidRPr="00EC57FB">
        <w:rPr>
          <w:b/>
          <w:bCs/>
        </w:rPr>
        <w:t>versus no immunisation</w:t>
      </w:r>
      <w:r w:rsidRPr="00EC57FB">
        <w:rPr>
          <w:b/>
          <w:bCs/>
        </w:rPr>
        <w:t xml:space="preserve"> </w:t>
      </w:r>
      <w:bookmarkStart w:id="70" w:name="_Hlk185857204"/>
      <w:r w:rsidR="00F30635" w:rsidRPr="00EC57FB">
        <w:rPr>
          <w:b/>
          <w:bCs/>
        </w:rPr>
        <w:t xml:space="preserve">in Population </w:t>
      </w:r>
      <w:r w:rsidR="00AC292F" w:rsidRPr="00EC57FB">
        <w:rPr>
          <w:b/>
          <w:bCs/>
        </w:rPr>
        <w:t>A</w:t>
      </w:r>
      <w:r w:rsidR="00F30635" w:rsidRPr="00EC57FB">
        <w:rPr>
          <w:b/>
          <w:bCs/>
        </w:rPr>
        <w:t xml:space="preserve"> </w:t>
      </w:r>
      <w:r w:rsidR="00A175BB" w:rsidRPr="00EC57FB">
        <w:rPr>
          <w:b/>
          <w:bCs/>
        </w:rPr>
        <w:t xml:space="preserve">- </w:t>
      </w:r>
      <w:r w:rsidR="001A300F" w:rsidRPr="00EC57FB">
        <w:rPr>
          <w:b/>
          <w:bCs/>
        </w:rPr>
        <w:t xml:space="preserve">infants </w:t>
      </w:r>
      <w:r w:rsidR="0071788A" w:rsidRPr="00EC57FB">
        <w:rPr>
          <w:b/>
          <w:bCs/>
        </w:rPr>
        <w:t>born during or entering</w:t>
      </w:r>
      <w:r w:rsidR="001A300F" w:rsidRPr="00EC57FB">
        <w:rPr>
          <w:b/>
          <w:bCs/>
        </w:rPr>
        <w:t xml:space="preserve"> their first RSV</w:t>
      </w:r>
      <w:r w:rsidR="000D4ABC" w:rsidRPr="00EC57FB">
        <w:rPr>
          <w:b/>
          <w:bCs/>
        </w:rPr>
        <w:t xml:space="preserve"> season</w:t>
      </w:r>
      <w:r w:rsidR="001A300F" w:rsidRPr="00EC57FB">
        <w:rPr>
          <w:b/>
          <w:bCs/>
        </w:rPr>
        <w:t xml:space="preserve"> where the mother did not receive </w:t>
      </w:r>
      <w:r w:rsidR="00485EA7" w:rsidRPr="00EC57FB">
        <w:rPr>
          <w:b/>
          <w:bCs/>
        </w:rPr>
        <w:t xml:space="preserve">RSVpreF </w:t>
      </w:r>
      <w:r w:rsidR="001A300F" w:rsidRPr="00EC57FB">
        <w:rPr>
          <w:b/>
          <w:bCs/>
        </w:rPr>
        <w:t>and where the infant does not have a risk condition</w:t>
      </w:r>
      <w:bookmarkEnd w:id="69"/>
      <w:bookmarkEnd w:id="70"/>
    </w:p>
    <w:p w14:paraId="311E9CB9" w14:textId="1FEC46FC" w:rsidR="00B26070" w:rsidRPr="00EC57FB" w:rsidRDefault="00B26070" w:rsidP="004B0EF4">
      <w:pPr>
        <w:pStyle w:val="6-subsection"/>
        <w:spacing w:after="120"/>
      </w:pPr>
      <w:r w:rsidRPr="00EC57FB">
        <w:t xml:space="preserve">Phase 2b </w:t>
      </w:r>
      <w:r w:rsidR="00F72FD7" w:rsidRPr="00EC57FB">
        <w:t xml:space="preserve">trial - </w:t>
      </w:r>
      <w:r w:rsidRPr="00EC57FB">
        <w:t>nirsevimab vs placebo in infants with gestational age between 29 and 35 weeks</w:t>
      </w:r>
    </w:p>
    <w:p w14:paraId="7E6F3A8C" w14:textId="0D39483B" w:rsidR="00B26070" w:rsidRPr="00EC57FB" w:rsidRDefault="00451CD2" w:rsidP="00B26070">
      <w:pPr>
        <w:pStyle w:val="3-BodyText"/>
        <w:rPr>
          <w:iCs/>
        </w:rPr>
      </w:pPr>
      <w:r w:rsidRPr="00EC57FB">
        <w:t>T</w:t>
      </w:r>
      <w:r w:rsidR="00B26070" w:rsidRPr="00EC57FB">
        <w:t xml:space="preserve">he Phase 2b trial (reported by Griffin 2020) limited recruitment to preterm infants born with gestational age between 29 weeks and &lt; 35 weeks. Approximately 35% of infants recruited to this trial were born with a gestational age </w:t>
      </w:r>
      <w:r w:rsidR="00B26070" w:rsidRPr="00EC57FB">
        <w:rPr>
          <w:rFonts w:cstheme="minorHAnsi"/>
        </w:rPr>
        <w:t>≤</w:t>
      </w:r>
      <w:r w:rsidR="00B26070" w:rsidRPr="00EC57FB">
        <w:t xml:space="preserve"> 32 weeks and would be classified as infants with a risk condition according to the AIH.</w:t>
      </w:r>
    </w:p>
    <w:p w14:paraId="0C2608CB" w14:textId="65D2AB62" w:rsidR="00B26070" w:rsidRPr="00EC57FB" w:rsidRDefault="00B26070" w:rsidP="00B26070">
      <w:pPr>
        <w:pStyle w:val="3-BodyText"/>
      </w:pPr>
      <w:r w:rsidRPr="00EC57FB">
        <w:lastRenderedPageBreak/>
        <w:t xml:space="preserve">As detailed in </w:t>
      </w:r>
      <w:r w:rsidRPr="00EC57FB">
        <w:fldChar w:fldCharType="begin"/>
      </w:r>
      <w:r w:rsidRPr="00EC57FB">
        <w:instrText xml:space="preserve"> REF _Ref164031592 \h </w:instrText>
      </w:r>
      <w:r w:rsidRPr="00EC57FB">
        <w:fldChar w:fldCharType="separate"/>
      </w:r>
      <w:r w:rsidR="00502C25" w:rsidRPr="00EC57FB">
        <w:t xml:space="preserve">Table </w:t>
      </w:r>
      <w:r w:rsidR="00502C25">
        <w:rPr>
          <w:noProof/>
        </w:rPr>
        <w:t>10</w:t>
      </w:r>
      <w:r w:rsidRPr="00EC57FB">
        <w:fldChar w:fldCharType="end"/>
      </w:r>
      <w:r w:rsidRPr="00EC57FB">
        <w:t xml:space="preserve">, 25/969 (2.6%) infants in the nirsevimab group and 40/484 (9.5%) infants in the placebo group of the Phase 2b trial required medical attendance for RSV LRTI. Efficacy of nirsevimab in preventing MA RSV LRTI was thus estimated at 70.1% (95% CI: 52.3% - 81.2%). </w:t>
      </w:r>
    </w:p>
    <w:p w14:paraId="2A2C1802" w14:textId="713B55A4" w:rsidR="00B26070" w:rsidRPr="00EC57FB" w:rsidRDefault="00B26070" w:rsidP="00B26070">
      <w:pPr>
        <w:pStyle w:val="3-BodyText"/>
      </w:pPr>
      <w:r w:rsidRPr="00EC57FB">
        <w:t xml:space="preserve">As detailed in </w:t>
      </w:r>
      <w:r w:rsidRPr="00EC57FB">
        <w:fldChar w:fldCharType="begin"/>
      </w:r>
      <w:r w:rsidRPr="00EC57FB">
        <w:instrText xml:space="preserve"> REF _Ref164031592 \h </w:instrText>
      </w:r>
      <w:r w:rsidRPr="00EC57FB">
        <w:fldChar w:fldCharType="separate"/>
      </w:r>
      <w:r w:rsidR="00502C25" w:rsidRPr="00EC57FB">
        <w:t xml:space="preserve">Table </w:t>
      </w:r>
      <w:r w:rsidR="00502C25">
        <w:rPr>
          <w:noProof/>
        </w:rPr>
        <w:t>10</w:t>
      </w:r>
      <w:r w:rsidRPr="00EC57FB">
        <w:fldChar w:fldCharType="end"/>
      </w:r>
      <w:r w:rsidRPr="00EC57FB">
        <w:t>, 8/969 (0.8%) infants in the nirsevimab group and 20/484 (4.1%) infants in the placebo group required hospitalisation for RSV-associated LRTI. Efficacy of nirsevimab in preventing RSV-associated hospitalisations was estimated at 78.4% (95% CI: 51.9% - 90.3%).</w:t>
      </w:r>
    </w:p>
    <w:p w14:paraId="78A1CA68" w14:textId="2D3826CF" w:rsidR="00B26070" w:rsidRPr="00EC57FB" w:rsidRDefault="00B26070" w:rsidP="00B26070">
      <w:pPr>
        <w:pStyle w:val="Caption"/>
      </w:pPr>
      <w:bookmarkStart w:id="71" w:name="_Ref164031592"/>
      <w:r w:rsidRPr="00EC57FB">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10</w:t>
      </w:r>
      <w:r w:rsidR="00C51E7C" w:rsidRPr="00EC57FB">
        <w:fldChar w:fldCharType="end"/>
      </w:r>
      <w:bookmarkEnd w:id="71"/>
      <w:r w:rsidRPr="00EC57FB">
        <w:t>: Outcomes from the Phase 2b trial through to 150 days post-dose</w:t>
      </w:r>
    </w:p>
    <w:tbl>
      <w:tblPr>
        <w:tblStyle w:val="TableGrid"/>
        <w:tblW w:w="5000" w:type="pct"/>
        <w:tblInd w:w="-5" w:type="dxa"/>
        <w:tblLook w:val="04A0" w:firstRow="1" w:lastRow="0" w:firstColumn="1" w:lastColumn="0" w:noHBand="0" w:noVBand="1"/>
      </w:tblPr>
      <w:tblGrid>
        <w:gridCol w:w="2747"/>
        <w:gridCol w:w="1680"/>
        <w:gridCol w:w="1680"/>
        <w:gridCol w:w="1814"/>
        <w:gridCol w:w="1096"/>
      </w:tblGrid>
      <w:tr w:rsidR="00AD4C11" w:rsidRPr="00EC57FB" w14:paraId="0F77AAAC" w14:textId="77777777">
        <w:tc>
          <w:tcPr>
            <w:tcW w:w="0" w:type="auto"/>
            <w:vAlign w:val="center"/>
          </w:tcPr>
          <w:p w14:paraId="71DEF522" w14:textId="77777777" w:rsidR="00B26070" w:rsidRPr="00EC57FB" w:rsidRDefault="00B26070" w:rsidP="00F33F05">
            <w:pPr>
              <w:pStyle w:val="BodyText"/>
              <w:keepNext/>
              <w:rPr>
                <w:rFonts w:ascii="Arial Narrow" w:hAnsi="Arial Narrow" w:cstheme="minorHAnsi"/>
                <w:b/>
                <w:bCs/>
                <w:sz w:val="20"/>
                <w:szCs w:val="20"/>
              </w:rPr>
            </w:pPr>
            <w:r w:rsidRPr="00EC57FB">
              <w:rPr>
                <w:rFonts w:ascii="Arial Narrow" w:hAnsi="Arial Narrow" w:cstheme="minorHAnsi"/>
                <w:b/>
                <w:bCs/>
                <w:sz w:val="20"/>
                <w:szCs w:val="20"/>
              </w:rPr>
              <w:t>End Point and Analysis</w:t>
            </w:r>
          </w:p>
        </w:tc>
        <w:tc>
          <w:tcPr>
            <w:tcW w:w="0" w:type="auto"/>
            <w:vAlign w:val="center"/>
          </w:tcPr>
          <w:p w14:paraId="116F1536" w14:textId="77777777" w:rsidR="00B26070" w:rsidRPr="00EC57FB" w:rsidRDefault="00B26070" w:rsidP="00F33F05">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Nirsevimab</w:t>
            </w:r>
          </w:p>
          <w:p w14:paraId="6D8D75D5" w14:textId="77777777" w:rsidR="00B26070" w:rsidRPr="00EC57FB" w:rsidRDefault="00B26070" w:rsidP="00F33F05">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n/N (%)</w:t>
            </w:r>
          </w:p>
        </w:tc>
        <w:tc>
          <w:tcPr>
            <w:tcW w:w="0" w:type="auto"/>
            <w:vAlign w:val="center"/>
          </w:tcPr>
          <w:p w14:paraId="66EE5594" w14:textId="77777777" w:rsidR="00B26070" w:rsidRPr="00EC57FB" w:rsidRDefault="00B26070" w:rsidP="00F33F05">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Placebo</w:t>
            </w:r>
          </w:p>
          <w:p w14:paraId="6055E981" w14:textId="77777777" w:rsidR="00B26070" w:rsidRPr="00EC57FB" w:rsidRDefault="00B26070" w:rsidP="00F33F05">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n/N (%)</w:t>
            </w:r>
          </w:p>
        </w:tc>
        <w:tc>
          <w:tcPr>
            <w:tcW w:w="0" w:type="auto"/>
            <w:vAlign w:val="center"/>
          </w:tcPr>
          <w:p w14:paraId="725AB61D" w14:textId="77777777" w:rsidR="00AD379D" w:rsidRPr="00EC57FB" w:rsidRDefault="00B26070" w:rsidP="00F33F05">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 xml:space="preserve">Efficacy </w:t>
            </w:r>
          </w:p>
          <w:p w14:paraId="23F49443" w14:textId="28A5F9AE" w:rsidR="00B26070" w:rsidRPr="00EC57FB" w:rsidRDefault="00B26070" w:rsidP="00AD379D">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RRR</w:t>
            </w:r>
            <w:r w:rsidR="00AD379D" w:rsidRPr="00EC57FB">
              <w:rPr>
                <w:rFonts w:ascii="Arial Narrow" w:hAnsi="Arial Narrow" w:cstheme="minorHAnsi"/>
                <w:b/>
                <w:bCs/>
                <w:sz w:val="20"/>
                <w:szCs w:val="20"/>
              </w:rPr>
              <w:t xml:space="preserve"> </w:t>
            </w:r>
            <w:r w:rsidRPr="00EC57FB">
              <w:rPr>
                <w:rFonts w:ascii="Arial Narrow" w:hAnsi="Arial Narrow" w:cstheme="minorHAnsi"/>
                <w:b/>
                <w:bCs/>
                <w:sz w:val="20"/>
                <w:szCs w:val="20"/>
              </w:rPr>
              <w:t>(95% CI)</w:t>
            </w:r>
            <w:r w:rsidRPr="00EC57FB">
              <w:rPr>
                <w:rFonts w:ascii="Arial Narrow" w:hAnsi="Arial Narrow" w:cstheme="minorHAnsi"/>
                <w:b/>
                <w:bCs/>
                <w:sz w:val="20"/>
                <w:szCs w:val="20"/>
                <w:vertAlign w:val="superscript"/>
              </w:rPr>
              <w:t>a</w:t>
            </w:r>
          </w:p>
        </w:tc>
        <w:tc>
          <w:tcPr>
            <w:tcW w:w="0" w:type="auto"/>
            <w:vAlign w:val="center"/>
          </w:tcPr>
          <w:p w14:paraId="78E8A10F" w14:textId="77777777" w:rsidR="00B26070" w:rsidRPr="00EC57FB" w:rsidRDefault="00B26070" w:rsidP="00F33F05">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P Value</w:t>
            </w:r>
          </w:p>
        </w:tc>
      </w:tr>
      <w:tr w:rsidR="00F87965" w:rsidRPr="00EC57FB" w14:paraId="02B7911C" w14:textId="77777777">
        <w:tc>
          <w:tcPr>
            <w:tcW w:w="0" w:type="auto"/>
            <w:gridSpan w:val="5"/>
            <w:vAlign w:val="center"/>
          </w:tcPr>
          <w:p w14:paraId="7CDB4373" w14:textId="77777777" w:rsidR="00B26070" w:rsidRPr="00EC57FB" w:rsidRDefault="00B26070" w:rsidP="00F33F05">
            <w:pPr>
              <w:pStyle w:val="BodyText"/>
              <w:keepNext/>
              <w:rPr>
                <w:rFonts w:ascii="Arial Narrow" w:hAnsi="Arial Narrow" w:cstheme="minorHAnsi"/>
                <w:b/>
                <w:bCs/>
                <w:sz w:val="20"/>
                <w:szCs w:val="20"/>
              </w:rPr>
            </w:pPr>
            <w:r w:rsidRPr="00EC57FB">
              <w:rPr>
                <w:rFonts w:ascii="Arial Narrow" w:hAnsi="Arial Narrow" w:cstheme="minorHAnsi"/>
                <w:b/>
                <w:bCs/>
                <w:sz w:val="20"/>
                <w:szCs w:val="20"/>
              </w:rPr>
              <w:t>MA RSV LRTI</w:t>
            </w:r>
          </w:p>
        </w:tc>
      </w:tr>
      <w:tr w:rsidR="00C62008" w:rsidRPr="00EC57FB" w14:paraId="7E64543F" w14:textId="77777777" w:rsidTr="002206FB">
        <w:tc>
          <w:tcPr>
            <w:tcW w:w="0" w:type="auto"/>
            <w:shd w:val="clear" w:color="auto" w:fill="B8CCE4"/>
            <w:vAlign w:val="center"/>
          </w:tcPr>
          <w:p w14:paraId="57469C3D" w14:textId="77777777" w:rsidR="00B26070" w:rsidRPr="00EC57FB" w:rsidRDefault="00B26070" w:rsidP="00F33F05">
            <w:pPr>
              <w:pStyle w:val="BodyText"/>
              <w:keepNext/>
              <w:rPr>
                <w:rFonts w:ascii="Arial Narrow" w:hAnsi="Arial Narrow" w:cstheme="minorHAnsi"/>
                <w:sz w:val="20"/>
                <w:szCs w:val="20"/>
              </w:rPr>
            </w:pPr>
            <w:r w:rsidRPr="00EC57FB">
              <w:rPr>
                <w:rFonts w:ascii="Arial Narrow" w:hAnsi="Arial Narrow" w:cstheme="minorHAnsi"/>
                <w:sz w:val="20"/>
                <w:szCs w:val="20"/>
              </w:rPr>
              <w:t>Observed events</w:t>
            </w:r>
          </w:p>
        </w:tc>
        <w:tc>
          <w:tcPr>
            <w:tcW w:w="0" w:type="auto"/>
            <w:shd w:val="clear" w:color="auto" w:fill="B8CCE4"/>
            <w:vAlign w:val="center"/>
          </w:tcPr>
          <w:p w14:paraId="4AE4AB6D" w14:textId="77777777" w:rsidR="00B26070" w:rsidRPr="00EC57FB" w:rsidRDefault="00B26070" w:rsidP="00F33F05">
            <w:pPr>
              <w:pStyle w:val="BodyText"/>
              <w:keepNext/>
              <w:jc w:val="center"/>
              <w:rPr>
                <w:rFonts w:ascii="Arial Narrow" w:hAnsi="Arial Narrow" w:cstheme="minorHAnsi"/>
                <w:sz w:val="20"/>
                <w:szCs w:val="20"/>
              </w:rPr>
            </w:pPr>
            <w:r w:rsidRPr="00EC57FB">
              <w:rPr>
                <w:rFonts w:ascii="Arial Narrow" w:hAnsi="Arial Narrow" w:cstheme="minorHAnsi"/>
                <w:sz w:val="20"/>
                <w:szCs w:val="20"/>
              </w:rPr>
              <w:t>25/969 (2.6%)</w:t>
            </w:r>
          </w:p>
        </w:tc>
        <w:tc>
          <w:tcPr>
            <w:tcW w:w="0" w:type="auto"/>
            <w:shd w:val="clear" w:color="auto" w:fill="B8CCE4"/>
            <w:vAlign w:val="center"/>
          </w:tcPr>
          <w:p w14:paraId="41914838" w14:textId="77777777" w:rsidR="00B26070" w:rsidRPr="00EC57FB" w:rsidRDefault="00B26070" w:rsidP="00F33F05">
            <w:pPr>
              <w:pStyle w:val="BodyText"/>
              <w:keepNext/>
              <w:jc w:val="center"/>
              <w:rPr>
                <w:rFonts w:ascii="Arial Narrow" w:hAnsi="Arial Narrow" w:cstheme="minorHAnsi"/>
                <w:sz w:val="20"/>
                <w:szCs w:val="20"/>
              </w:rPr>
            </w:pPr>
            <w:r w:rsidRPr="00EC57FB">
              <w:rPr>
                <w:rFonts w:ascii="Arial Narrow" w:hAnsi="Arial Narrow" w:cstheme="minorHAnsi"/>
                <w:sz w:val="20"/>
                <w:szCs w:val="20"/>
              </w:rPr>
              <w:t>46/484 (9.5%)</w:t>
            </w:r>
          </w:p>
        </w:tc>
        <w:tc>
          <w:tcPr>
            <w:tcW w:w="0" w:type="auto"/>
            <w:shd w:val="clear" w:color="auto" w:fill="B8CCE4"/>
            <w:vAlign w:val="center"/>
          </w:tcPr>
          <w:p w14:paraId="7D8C5B17" w14:textId="77777777" w:rsidR="00B26070" w:rsidRPr="00EC57FB" w:rsidRDefault="00B26070" w:rsidP="00F33F05">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 xml:space="preserve">70.1% </w:t>
            </w:r>
          </w:p>
          <w:p w14:paraId="0C8F7DE4" w14:textId="77777777" w:rsidR="00B26070" w:rsidRPr="00EC57FB" w:rsidRDefault="00B26070" w:rsidP="00F33F05">
            <w:pPr>
              <w:pStyle w:val="BodyText"/>
              <w:keepNext/>
              <w:jc w:val="center"/>
              <w:rPr>
                <w:rFonts w:ascii="Arial Narrow" w:hAnsi="Arial Narrow" w:cstheme="minorHAnsi"/>
                <w:sz w:val="20"/>
                <w:szCs w:val="20"/>
              </w:rPr>
            </w:pPr>
            <w:r w:rsidRPr="00EC57FB">
              <w:rPr>
                <w:rFonts w:ascii="Arial Narrow" w:hAnsi="Arial Narrow" w:cstheme="minorHAnsi"/>
                <w:b/>
                <w:bCs/>
                <w:sz w:val="20"/>
                <w:szCs w:val="20"/>
              </w:rPr>
              <w:t>(52.3%, 81.2%)</w:t>
            </w:r>
          </w:p>
        </w:tc>
        <w:tc>
          <w:tcPr>
            <w:tcW w:w="0" w:type="auto"/>
            <w:shd w:val="clear" w:color="auto" w:fill="B8CCE4"/>
            <w:vAlign w:val="center"/>
          </w:tcPr>
          <w:p w14:paraId="77DD431B" w14:textId="77777777" w:rsidR="00B26070" w:rsidRPr="00EC57FB" w:rsidRDefault="00B26070" w:rsidP="00F33F05">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&lt;0.0001</w:t>
            </w:r>
          </w:p>
        </w:tc>
      </w:tr>
      <w:tr w:rsidR="00F87965" w:rsidRPr="00EC57FB" w14:paraId="41D2C496" w14:textId="77777777">
        <w:tc>
          <w:tcPr>
            <w:tcW w:w="0" w:type="auto"/>
            <w:gridSpan w:val="5"/>
            <w:vAlign w:val="center"/>
          </w:tcPr>
          <w:p w14:paraId="6A00F563" w14:textId="77777777" w:rsidR="00B26070" w:rsidRPr="00EC57FB" w:rsidRDefault="00B26070" w:rsidP="00F33F05">
            <w:pPr>
              <w:pStyle w:val="BodyText"/>
              <w:keepNext/>
              <w:rPr>
                <w:rFonts w:ascii="Arial Narrow" w:hAnsi="Arial Narrow" w:cstheme="minorHAnsi"/>
                <w:b/>
                <w:bCs/>
                <w:sz w:val="20"/>
                <w:szCs w:val="20"/>
              </w:rPr>
            </w:pPr>
            <w:r w:rsidRPr="00EC57FB">
              <w:rPr>
                <w:rFonts w:ascii="Arial Narrow" w:hAnsi="Arial Narrow" w:cstheme="minorHAnsi"/>
                <w:b/>
                <w:bCs/>
                <w:sz w:val="20"/>
                <w:szCs w:val="20"/>
              </w:rPr>
              <w:t>Hospitalisation for RSV LRTI</w:t>
            </w:r>
          </w:p>
        </w:tc>
      </w:tr>
      <w:tr w:rsidR="00C62008" w:rsidRPr="00EC57FB" w14:paraId="15650C4E" w14:textId="77777777" w:rsidTr="002206FB">
        <w:tc>
          <w:tcPr>
            <w:tcW w:w="0" w:type="auto"/>
            <w:shd w:val="clear" w:color="auto" w:fill="B8CCE4"/>
            <w:vAlign w:val="center"/>
          </w:tcPr>
          <w:p w14:paraId="4DCC7E5D" w14:textId="77777777" w:rsidR="00B26070" w:rsidRPr="00EC57FB" w:rsidRDefault="00B26070" w:rsidP="00F33F05">
            <w:pPr>
              <w:pStyle w:val="BodyText"/>
              <w:keepNext/>
              <w:rPr>
                <w:rFonts w:ascii="Arial Narrow" w:hAnsi="Arial Narrow" w:cstheme="minorHAnsi"/>
                <w:sz w:val="20"/>
                <w:szCs w:val="20"/>
              </w:rPr>
            </w:pPr>
            <w:r w:rsidRPr="00EC57FB">
              <w:rPr>
                <w:rFonts w:ascii="Arial Narrow" w:hAnsi="Arial Narrow" w:cstheme="minorHAnsi"/>
                <w:sz w:val="20"/>
                <w:szCs w:val="20"/>
              </w:rPr>
              <w:t>Observed events</w:t>
            </w:r>
          </w:p>
        </w:tc>
        <w:tc>
          <w:tcPr>
            <w:tcW w:w="0" w:type="auto"/>
            <w:shd w:val="clear" w:color="auto" w:fill="B8CCE4"/>
            <w:vAlign w:val="center"/>
          </w:tcPr>
          <w:p w14:paraId="3918A7C0" w14:textId="77777777" w:rsidR="00B26070" w:rsidRPr="00EC57FB" w:rsidRDefault="00B26070" w:rsidP="00F33F05">
            <w:pPr>
              <w:pStyle w:val="BodyText"/>
              <w:keepNext/>
              <w:jc w:val="center"/>
              <w:rPr>
                <w:rFonts w:ascii="Arial Narrow" w:hAnsi="Arial Narrow" w:cstheme="minorHAnsi"/>
                <w:sz w:val="20"/>
                <w:szCs w:val="20"/>
              </w:rPr>
            </w:pPr>
            <w:r w:rsidRPr="00EC57FB">
              <w:rPr>
                <w:rFonts w:ascii="Arial Narrow" w:hAnsi="Arial Narrow" w:cstheme="minorHAnsi"/>
                <w:sz w:val="20"/>
                <w:szCs w:val="20"/>
              </w:rPr>
              <w:t>8/969 (0.8%)</w:t>
            </w:r>
          </w:p>
        </w:tc>
        <w:tc>
          <w:tcPr>
            <w:tcW w:w="0" w:type="auto"/>
            <w:shd w:val="clear" w:color="auto" w:fill="B8CCE4"/>
            <w:vAlign w:val="center"/>
          </w:tcPr>
          <w:p w14:paraId="01E85528" w14:textId="77777777" w:rsidR="00B26070" w:rsidRPr="00EC57FB" w:rsidRDefault="00B26070" w:rsidP="00F33F05">
            <w:pPr>
              <w:pStyle w:val="BodyText"/>
              <w:keepNext/>
              <w:jc w:val="center"/>
              <w:rPr>
                <w:rFonts w:ascii="Arial Narrow" w:hAnsi="Arial Narrow" w:cstheme="minorHAnsi"/>
                <w:sz w:val="20"/>
                <w:szCs w:val="20"/>
              </w:rPr>
            </w:pPr>
            <w:r w:rsidRPr="00EC57FB">
              <w:rPr>
                <w:rFonts w:ascii="Arial Narrow" w:hAnsi="Arial Narrow" w:cstheme="minorHAnsi"/>
                <w:sz w:val="20"/>
                <w:szCs w:val="20"/>
              </w:rPr>
              <w:t>20/484 (4.1%)</w:t>
            </w:r>
          </w:p>
        </w:tc>
        <w:tc>
          <w:tcPr>
            <w:tcW w:w="0" w:type="auto"/>
            <w:shd w:val="clear" w:color="auto" w:fill="B8CCE4"/>
            <w:vAlign w:val="center"/>
          </w:tcPr>
          <w:p w14:paraId="4917A24B" w14:textId="77777777" w:rsidR="00B26070" w:rsidRPr="00EC57FB" w:rsidRDefault="00B26070" w:rsidP="00F33F05">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 xml:space="preserve">78.4% </w:t>
            </w:r>
          </w:p>
          <w:p w14:paraId="2AB9EB05" w14:textId="77777777" w:rsidR="00B26070" w:rsidRPr="00EC57FB" w:rsidRDefault="00B26070" w:rsidP="00F33F05">
            <w:pPr>
              <w:pStyle w:val="BodyText"/>
              <w:keepNext/>
              <w:jc w:val="center"/>
              <w:rPr>
                <w:rFonts w:ascii="Arial Narrow" w:hAnsi="Arial Narrow" w:cstheme="minorHAnsi"/>
                <w:sz w:val="20"/>
                <w:szCs w:val="20"/>
              </w:rPr>
            </w:pPr>
            <w:r w:rsidRPr="00EC57FB">
              <w:rPr>
                <w:rFonts w:ascii="Arial Narrow" w:hAnsi="Arial Narrow" w:cstheme="minorHAnsi"/>
                <w:b/>
                <w:bCs/>
                <w:sz w:val="20"/>
                <w:szCs w:val="20"/>
              </w:rPr>
              <w:t>(51.9%, 90.3%)</w:t>
            </w:r>
          </w:p>
        </w:tc>
        <w:tc>
          <w:tcPr>
            <w:tcW w:w="0" w:type="auto"/>
            <w:shd w:val="clear" w:color="auto" w:fill="B8CCE4"/>
            <w:vAlign w:val="center"/>
          </w:tcPr>
          <w:p w14:paraId="3979EC25" w14:textId="77777777" w:rsidR="00B26070" w:rsidRPr="00EC57FB" w:rsidRDefault="00B26070" w:rsidP="00F33F05">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0.0002</w:t>
            </w:r>
          </w:p>
        </w:tc>
      </w:tr>
    </w:tbl>
    <w:p w14:paraId="6095BD0A" w14:textId="77777777" w:rsidR="00B26070" w:rsidRPr="00EC57FB" w:rsidRDefault="00B26070" w:rsidP="00B309F2">
      <w:pPr>
        <w:keepNext/>
        <w:keepLines/>
        <w:rPr>
          <w:rFonts w:ascii="Arial Narrow" w:hAnsi="Arial Narrow"/>
          <w:sz w:val="18"/>
          <w:szCs w:val="18"/>
        </w:rPr>
      </w:pPr>
      <w:r w:rsidRPr="00EC57FB">
        <w:rPr>
          <w:rFonts w:ascii="Arial Narrow" w:hAnsi="Arial Narrow"/>
          <w:sz w:val="18"/>
          <w:szCs w:val="18"/>
        </w:rPr>
        <w:t>Source: Table 2.5.4, p105 of the submission.</w:t>
      </w:r>
    </w:p>
    <w:p w14:paraId="697F4362" w14:textId="115AA807" w:rsidR="00067A27" w:rsidRPr="00EC57FB" w:rsidRDefault="00067A27" w:rsidP="00B309F2">
      <w:pPr>
        <w:keepNext/>
        <w:keepLines/>
        <w:rPr>
          <w:rFonts w:ascii="Arial Narrow" w:hAnsi="Arial Narrow"/>
          <w:sz w:val="18"/>
          <w:szCs w:val="18"/>
        </w:rPr>
      </w:pPr>
      <w:r w:rsidRPr="00EC57FB">
        <w:rPr>
          <w:rFonts w:ascii="Arial Narrow" w:hAnsi="Arial Narrow"/>
          <w:sz w:val="18"/>
          <w:szCs w:val="18"/>
        </w:rPr>
        <w:t>Blue shading is indicative of information previously considered by the PBAC.</w:t>
      </w:r>
    </w:p>
    <w:p w14:paraId="205DE7F0" w14:textId="2F58230C" w:rsidR="00342D3C" w:rsidRPr="00EC57FB" w:rsidRDefault="00342D3C" w:rsidP="00342D3C">
      <w:pPr>
        <w:pStyle w:val="FooterTableFigure"/>
        <w:keepNext/>
        <w:rPr>
          <w:szCs w:val="18"/>
        </w:rPr>
      </w:pPr>
      <w:r w:rsidRPr="00EC57FB">
        <w:rPr>
          <w:szCs w:val="18"/>
        </w:rPr>
        <w:t xml:space="preserve">CI = confidence interval; MA RSV LRTI = medically attended RSV associated lower respiratory tract infection; N = number of participants; </w:t>
      </w:r>
      <w:r w:rsidR="00EB2B25" w:rsidRPr="00EC57FB">
        <w:rPr>
          <w:szCs w:val="18"/>
        </w:rPr>
        <w:t xml:space="preserve">RRR = relative risk reduction; </w:t>
      </w:r>
      <w:r w:rsidRPr="00EC57FB">
        <w:rPr>
          <w:szCs w:val="18"/>
        </w:rPr>
        <w:t>RSV = respiratory syncytial virus.</w:t>
      </w:r>
    </w:p>
    <w:p w14:paraId="056E52F9" w14:textId="271918E4" w:rsidR="00342D3C" w:rsidRPr="00EC57FB" w:rsidRDefault="00342D3C" w:rsidP="00342D3C">
      <w:pPr>
        <w:pStyle w:val="FooterTableFigure"/>
        <w:keepNext/>
        <w:rPr>
          <w:rFonts w:cstheme="minorHAnsi"/>
          <w:szCs w:val="18"/>
        </w:rPr>
      </w:pPr>
      <w:r w:rsidRPr="00EC57FB">
        <w:rPr>
          <w:szCs w:val="18"/>
          <w:vertAlign w:val="superscript"/>
        </w:rPr>
        <w:t>a</w:t>
      </w:r>
      <w:r w:rsidRPr="00EC57FB">
        <w:rPr>
          <w:szCs w:val="18"/>
        </w:rPr>
        <w:t xml:space="preserve"> Efficacy defined as the relative risk reduction (calculated as 1 minus the RR, where the RR was estimated with the use of a Poisson regression model with robust variance) </w:t>
      </w:r>
      <w:r w:rsidRPr="00EC57FB">
        <w:rPr>
          <w:rFonts w:cstheme="minorHAnsi"/>
          <w:szCs w:val="18"/>
        </w:rPr>
        <w:t>in the nirsevimab group compared with the placebo group (observed data) and is expressed as a percentage.</w:t>
      </w:r>
    </w:p>
    <w:p w14:paraId="1056C607" w14:textId="5ADAECCA" w:rsidR="007C2116" w:rsidRPr="00EC57FB" w:rsidRDefault="007C2116" w:rsidP="004B0EF4">
      <w:pPr>
        <w:pStyle w:val="FooterTableFigure"/>
        <w:rPr>
          <w:szCs w:val="18"/>
        </w:rPr>
      </w:pPr>
      <w:r w:rsidRPr="00EC57FB">
        <w:rPr>
          <w:rFonts w:cstheme="minorHAnsi"/>
          <w:szCs w:val="18"/>
        </w:rPr>
        <w:t xml:space="preserve">Note: </w:t>
      </w:r>
      <w:r w:rsidRPr="00EC57FB">
        <w:rPr>
          <w:rFonts w:cstheme="minorHAnsi"/>
          <w:b/>
          <w:bCs/>
          <w:szCs w:val="18"/>
        </w:rPr>
        <w:t>Bold text</w:t>
      </w:r>
      <w:r w:rsidRPr="00EC57FB">
        <w:rPr>
          <w:rFonts w:cstheme="minorHAnsi"/>
          <w:szCs w:val="18"/>
        </w:rPr>
        <w:t xml:space="preserve"> indicates</w:t>
      </w:r>
      <w:r w:rsidR="00D671A8" w:rsidRPr="00EC57FB">
        <w:rPr>
          <w:rFonts w:cstheme="minorHAnsi"/>
          <w:szCs w:val="18"/>
        </w:rPr>
        <w:t xml:space="preserve"> a</w:t>
      </w:r>
      <w:r w:rsidRPr="00EC57FB">
        <w:rPr>
          <w:rFonts w:cstheme="minorHAnsi"/>
          <w:szCs w:val="18"/>
        </w:rPr>
        <w:t xml:space="preserve"> statistical difference between arms.</w:t>
      </w:r>
    </w:p>
    <w:p w14:paraId="01F62258" w14:textId="4248C914" w:rsidR="001A300F" w:rsidRPr="00EC57FB" w:rsidRDefault="001004CA" w:rsidP="004B0EF4">
      <w:pPr>
        <w:pStyle w:val="6-subsection"/>
        <w:spacing w:after="120"/>
      </w:pPr>
      <w:r w:rsidRPr="00EC57FB">
        <w:t>MELODY</w:t>
      </w:r>
      <w:r w:rsidR="00E62EE3" w:rsidRPr="00EC57FB">
        <w:t xml:space="preserve"> – nirsevimab vs placebo in</w:t>
      </w:r>
      <w:r w:rsidR="00B26070" w:rsidRPr="00EC57FB">
        <w:t xml:space="preserve"> healthy infant</w:t>
      </w:r>
      <w:r w:rsidR="00DE4A73" w:rsidRPr="00EC57FB">
        <w:t>s</w:t>
      </w:r>
    </w:p>
    <w:p w14:paraId="25FA8329" w14:textId="2B901E97" w:rsidR="001004CA" w:rsidRPr="00EC57FB" w:rsidRDefault="00390575" w:rsidP="00473284">
      <w:pPr>
        <w:pStyle w:val="3-BodyText"/>
      </w:pPr>
      <w:r w:rsidRPr="00EC57FB">
        <w:t>T</w:t>
      </w:r>
      <w:r w:rsidR="00815C26" w:rsidRPr="00EC57FB">
        <w:t xml:space="preserve">he MELODY trial </w:t>
      </w:r>
      <w:r w:rsidR="00414095" w:rsidRPr="00EC57FB">
        <w:t xml:space="preserve">(reported by Hammitt 2022) </w:t>
      </w:r>
      <w:r w:rsidR="00815C26" w:rsidRPr="00EC57FB">
        <w:t xml:space="preserve">recruited healthy infants born with gestational age ≥ 35 weeks who were entering their first RSV season. </w:t>
      </w:r>
    </w:p>
    <w:p w14:paraId="1C61C81B" w14:textId="2B353E22" w:rsidR="00473284" w:rsidRPr="00EC57FB" w:rsidRDefault="00EC2F44" w:rsidP="00473284">
      <w:pPr>
        <w:pStyle w:val="3-BodyText"/>
      </w:pPr>
      <w:r w:rsidRPr="00EC57FB">
        <w:t xml:space="preserve">As detailed in </w:t>
      </w:r>
      <w:r w:rsidRPr="00EC57FB">
        <w:fldChar w:fldCharType="begin"/>
      </w:r>
      <w:r w:rsidRPr="00EC57FB">
        <w:instrText xml:space="preserve"> REF _Ref164029567 \h </w:instrText>
      </w:r>
      <w:r w:rsidRPr="00EC57FB">
        <w:fldChar w:fldCharType="separate"/>
      </w:r>
      <w:r w:rsidR="00502C25" w:rsidRPr="00EC57FB">
        <w:t xml:space="preserve">Table </w:t>
      </w:r>
      <w:r w:rsidR="00502C25">
        <w:rPr>
          <w:noProof/>
        </w:rPr>
        <w:t>11</w:t>
      </w:r>
      <w:r w:rsidRPr="00EC57FB">
        <w:fldChar w:fldCharType="end"/>
      </w:r>
      <w:r w:rsidRPr="00EC57FB">
        <w:t xml:space="preserve">, </w:t>
      </w:r>
      <w:r w:rsidR="00473284" w:rsidRPr="00EC57FB">
        <w:t>12</w:t>
      </w:r>
      <w:r w:rsidR="00495B6E" w:rsidRPr="00EC57FB">
        <w:t>/994</w:t>
      </w:r>
      <w:r w:rsidR="001E7EC6" w:rsidRPr="00EC57FB">
        <w:t xml:space="preserve"> (1.2%) </w:t>
      </w:r>
      <w:r w:rsidR="00473284" w:rsidRPr="00EC57FB">
        <w:t>infants in the nirsevimab group and 25</w:t>
      </w:r>
      <w:r w:rsidR="0093492E" w:rsidRPr="00EC57FB">
        <w:t>/496</w:t>
      </w:r>
      <w:r w:rsidR="00473284" w:rsidRPr="00EC57FB">
        <w:t xml:space="preserve"> </w:t>
      </w:r>
      <w:r w:rsidR="00FF56A7" w:rsidRPr="00EC57FB">
        <w:t xml:space="preserve">(5.0%) </w:t>
      </w:r>
      <w:r w:rsidR="00473284" w:rsidRPr="00EC57FB">
        <w:t>infants in the placebo group</w:t>
      </w:r>
      <w:r w:rsidRPr="00EC57FB">
        <w:t xml:space="preserve"> of the MELODY trial</w:t>
      </w:r>
      <w:r w:rsidR="00124335" w:rsidRPr="00EC57FB">
        <w:t xml:space="preserve"> required medical attendance</w:t>
      </w:r>
      <w:r w:rsidR="0079054D" w:rsidRPr="00EC57FB">
        <w:t xml:space="preserve"> for RSV LRTI</w:t>
      </w:r>
      <w:r w:rsidR="00B03D88" w:rsidRPr="00EC57FB">
        <w:t xml:space="preserve">. Efficacy of nirsevimab </w:t>
      </w:r>
      <w:r w:rsidR="00473284" w:rsidRPr="00EC57FB">
        <w:t xml:space="preserve">in preventing MA RSV LRTI </w:t>
      </w:r>
      <w:r w:rsidRPr="00EC57FB">
        <w:t>was</w:t>
      </w:r>
      <w:r w:rsidR="00B03D88" w:rsidRPr="00EC57FB">
        <w:t xml:space="preserve"> thus estimated at</w:t>
      </w:r>
      <w:r w:rsidR="00473284" w:rsidRPr="00EC57FB">
        <w:t xml:space="preserve"> 74.5% (95% CI</w:t>
      </w:r>
      <w:r w:rsidR="006E2201" w:rsidRPr="00EC57FB">
        <w:t>:</w:t>
      </w:r>
      <w:r w:rsidR="00473284" w:rsidRPr="00EC57FB">
        <w:t xml:space="preserve"> 49.6%</w:t>
      </w:r>
      <w:r w:rsidR="006E2201" w:rsidRPr="00EC57FB">
        <w:t xml:space="preserve"> -</w:t>
      </w:r>
      <w:r w:rsidR="00473284" w:rsidRPr="00EC57FB">
        <w:t xml:space="preserve"> 87.1%)</w:t>
      </w:r>
      <w:r w:rsidR="00E35B82" w:rsidRPr="00EC57FB">
        <w:t>.</w:t>
      </w:r>
      <w:r w:rsidR="00473284" w:rsidRPr="00EC57FB">
        <w:t xml:space="preserve"> </w:t>
      </w:r>
    </w:p>
    <w:p w14:paraId="1DC16F86" w14:textId="569A4E16" w:rsidR="00473284" w:rsidRPr="00EC57FB" w:rsidRDefault="00720327" w:rsidP="00473284">
      <w:pPr>
        <w:pStyle w:val="3-BodyText"/>
      </w:pPr>
      <w:r w:rsidRPr="00EC57FB">
        <w:t xml:space="preserve">As detailed in </w:t>
      </w:r>
      <w:r w:rsidRPr="00EC57FB">
        <w:fldChar w:fldCharType="begin"/>
      </w:r>
      <w:r w:rsidRPr="00EC57FB">
        <w:instrText xml:space="preserve"> REF _Ref164029567 \h </w:instrText>
      </w:r>
      <w:r w:rsidRPr="00EC57FB">
        <w:fldChar w:fldCharType="separate"/>
      </w:r>
      <w:r w:rsidR="00502C25" w:rsidRPr="00EC57FB">
        <w:t xml:space="preserve">Table </w:t>
      </w:r>
      <w:r w:rsidR="00502C25">
        <w:rPr>
          <w:noProof/>
        </w:rPr>
        <w:t>11</w:t>
      </w:r>
      <w:r w:rsidRPr="00EC57FB">
        <w:fldChar w:fldCharType="end"/>
      </w:r>
      <w:r w:rsidRPr="00EC57FB">
        <w:t xml:space="preserve">, 6/994 (0.6%) infants in the nirsevimab group and 8/496 (1.6%) infants in the placebo group </w:t>
      </w:r>
      <w:r w:rsidR="008B0984" w:rsidRPr="00EC57FB">
        <w:t>required h</w:t>
      </w:r>
      <w:r w:rsidR="00473284" w:rsidRPr="00EC57FB">
        <w:t>ospitalisation for RSV-associated LRTI</w:t>
      </w:r>
      <w:r w:rsidR="00660B6F" w:rsidRPr="00EC57FB">
        <w:t>.</w:t>
      </w:r>
      <w:r w:rsidR="00577C66">
        <w:t xml:space="preserve"> </w:t>
      </w:r>
      <w:r w:rsidR="009458F6" w:rsidRPr="00EC57FB">
        <w:t>E</w:t>
      </w:r>
      <w:r w:rsidR="00473284" w:rsidRPr="00EC57FB">
        <w:t>fficacy</w:t>
      </w:r>
      <w:r w:rsidR="009458F6" w:rsidRPr="00EC57FB">
        <w:t xml:space="preserve"> of nirsevimab in preventing RSV-associate</w:t>
      </w:r>
      <w:r w:rsidR="00BF0B17" w:rsidRPr="00EC57FB">
        <w:t>d hospitalisations was thus not significant and estimated at</w:t>
      </w:r>
      <w:r w:rsidR="00473284" w:rsidRPr="00EC57FB">
        <w:t xml:space="preserve"> 62.1%</w:t>
      </w:r>
      <w:r w:rsidR="005520B4" w:rsidRPr="00EC57FB">
        <w:t xml:space="preserve"> (</w:t>
      </w:r>
      <w:r w:rsidR="00473284" w:rsidRPr="00EC57FB">
        <w:t>95% CI</w:t>
      </w:r>
      <w:r w:rsidR="0004152B" w:rsidRPr="00EC57FB">
        <w:t>:</w:t>
      </w:r>
      <w:r w:rsidR="00473284" w:rsidRPr="00EC57FB">
        <w:t xml:space="preserve"> −8.6%</w:t>
      </w:r>
      <w:r w:rsidR="0004152B" w:rsidRPr="00EC57FB">
        <w:t xml:space="preserve"> </w:t>
      </w:r>
      <w:r w:rsidR="00200E2C" w:rsidRPr="00EC57FB">
        <w:t>-</w:t>
      </w:r>
      <w:r w:rsidR="00473284" w:rsidRPr="00EC57FB">
        <w:t xml:space="preserve"> 86.8%).</w:t>
      </w:r>
    </w:p>
    <w:p w14:paraId="34275876" w14:textId="0796D207" w:rsidR="006E09B7" w:rsidRPr="00EC57FB" w:rsidRDefault="006E09B7">
      <w:pPr>
        <w:pStyle w:val="3-BodyText"/>
      </w:pPr>
      <w:bookmarkStart w:id="72" w:name="_Ref187163631"/>
      <w:r w:rsidRPr="00EC57FB">
        <w:t xml:space="preserve">Updated results, as reported by Muller </w:t>
      </w:r>
      <w:r w:rsidR="00DF25A2" w:rsidRPr="00EC57FB">
        <w:t>2023</w:t>
      </w:r>
      <w:r w:rsidR="0045105B" w:rsidRPr="00EC57FB">
        <w:t xml:space="preserve"> but not included in the resubmission </w:t>
      </w:r>
      <w:r w:rsidR="005746C3" w:rsidRPr="00EC57FB">
        <w:t xml:space="preserve">have also been </w:t>
      </w:r>
      <w:r w:rsidR="0045105B" w:rsidRPr="00EC57FB">
        <w:t xml:space="preserve">provided in </w:t>
      </w:r>
      <w:r w:rsidR="005746C3" w:rsidRPr="00EC57FB">
        <w:fldChar w:fldCharType="begin"/>
      </w:r>
      <w:r w:rsidR="005746C3" w:rsidRPr="00EC57FB">
        <w:instrText xml:space="preserve"> REF _Ref164029567 \h  \* MERGEFORMAT </w:instrText>
      </w:r>
      <w:r w:rsidR="005746C3" w:rsidRPr="00EC57FB">
        <w:fldChar w:fldCharType="separate"/>
      </w:r>
      <w:r w:rsidR="00502C25" w:rsidRPr="00EC57FB">
        <w:t xml:space="preserve">Table </w:t>
      </w:r>
      <w:r w:rsidR="00502C25">
        <w:t>11</w:t>
      </w:r>
      <w:r w:rsidR="005746C3" w:rsidRPr="00EC57FB">
        <w:fldChar w:fldCharType="end"/>
      </w:r>
      <w:r w:rsidR="007E740D" w:rsidRPr="00EC57FB">
        <w:t>.</w:t>
      </w:r>
      <w:bookmarkEnd w:id="72"/>
      <w:r w:rsidR="000E4C76" w:rsidRPr="00EC57FB">
        <w:t xml:space="preserve"> </w:t>
      </w:r>
      <w:r w:rsidR="00021637" w:rsidRPr="00EC57FB">
        <w:t xml:space="preserve">The PBAC has not previously </w:t>
      </w:r>
      <w:r w:rsidR="005B4E9C" w:rsidRPr="00EC57FB">
        <w:t>considered</w:t>
      </w:r>
      <w:r w:rsidR="00021637" w:rsidRPr="00EC57FB">
        <w:t xml:space="preserve"> the</w:t>
      </w:r>
      <w:r w:rsidR="005746C3" w:rsidRPr="00EC57FB">
        <w:t>se</w:t>
      </w:r>
      <w:r w:rsidR="00021637" w:rsidRPr="00EC57FB">
        <w:t xml:space="preserve"> results.</w:t>
      </w:r>
    </w:p>
    <w:p w14:paraId="20E01829" w14:textId="09AC5299" w:rsidR="00473284" w:rsidRPr="00EC57FB" w:rsidRDefault="00473284" w:rsidP="00011E21">
      <w:pPr>
        <w:pStyle w:val="TableFigureHeading"/>
        <w:keepLines/>
      </w:pPr>
      <w:bookmarkStart w:id="73" w:name="_Ref164029567"/>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11</w:t>
      </w:r>
      <w:r w:rsidR="00C51E7C" w:rsidRPr="00EC57FB">
        <w:fldChar w:fldCharType="end"/>
      </w:r>
      <w:bookmarkEnd w:id="73"/>
      <w:r w:rsidRPr="00EC57FB">
        <w:t>:</w:t>
      </w:r>
      <w:r w:rsidRPr="00EC57FB">
        <w:rPr>
          <w:rStyle w:val="CommentReference"/>
          <w:b/>
          <w:szCs w:val="24"/>
        </w:rPr>
        <w:t xml:space="preserve"> </w:t>
      </w:r>
      <w:r w:rsidR="00586AB1" w:rsidRPr="00EC57FB">
        <w:rPr>
          <w:rStyle w:val="CommentReference"/>
          <w:b/>
          <w:szCs w:val="24"/>
        </w:rPr>
        <w:t>Outcomes from the MELODY trial</w:t>
      </w:r>
      <w:r w:rsidRPr="00EC57FB">
        <w:rPr>
          <w:rStyle w:val="CommentReference"/>
          <w:b/>
          <w:szCs w:val="24"/>
        </w:rPr>
        <w:t xml:space="preserve"> through </w:t>
      </w:r>
      <w:r w:rsidR="00586AB1" w:rsidRPr="00EC57FB">
        <w:rPr>
          <w:rStyle w:val="CommentReference"/>
          <w:b/>
          <w:szCs w:val="24"/>
        </w:rPr>
        <w:t xml:space="preserve">to </w:t>
      </w:r>
      <w:r w:rsidRPr="00EC57FB">
        <w:rPr>
          <w:rStyle w:val="CommentReference"/>
          <w:b/>
          <w:szCs w:val="24"/>
        </w:rPr>
        <w:t xml:space="preserve">150 days </w:t>
      </w:r>
      <w:r w:rsidR="00586AB1" w:rsidRPr="00EC57FB">
        <w:rPr>
          <w:rStyle w:val="CommentReference"/>
          <w:b/>
          <w:szCs w:val="24"/>
        </w:rPr>
        <w:t>post-dose</w:t>
      </w:r>
    </w:p>
    <w:tbl>
      <w:tblPr>
        <w:tblStyle w:val="TableGrid"/>
        <w:tblW w:w="5000" w:type="pct"/>
        <w:tblInd w:w="-5" w:type="dxa"/>
        <w:tblLook w:val="04A0" w:firstRow="1" w:lastRow="0" w:firstColumn="1" w:lastColumn="0" w:noHBand="0" w:noVBand="1"/>
      </w:tblPr>
      <w:tblGrid>
        <w:gridCol w:w="2640"/>
        <w:gridCol w:w="2058"/>
        <w:gridCol w:w="1953"/>
        <w:gridCol w:w="1506"/>
        <w:gridCol w:w="860"/>
      </w:tblGrid>
      <w:tr w:rsidR="001542C2" w:rsidRPr="00EC57FB" w14:paraId="1DA7ED56" w14:textId="77777777">
        <w:tc>
          <w:tcPr>
            <w:tcW w:w="0" w:type="auto"/>
            <w:vAlign w:val="center"/>
          </w:tcPr>
          <w:p w14:paraId="500BA460" w14:textId="77777777" w:rsidR="00473284" w:rsidRPr="00EC57FB" w:rsidRDefault="00473284" w:rsidP="00011E21">
            <w:pPr>
              <w:pStyle w:val="BodyText"/>
              <w:keepNext/>
              <w:keepLines/>
              <w:rPr>
                <w:rFonts w:ascii="Arial Narrow" w:hAnsi="Arial Narrow" w:cstheme="minorHAnsi"/>
                <w:b/>
                <w:bCs/>
                <w:sz w:val="20"/>
                <w:szCs w:val="20"/>
              </w:rPr>
            </w:pPr>
            <w:r w:rsidRPr="00EC57FB">
              <w:rPr>
                <w:rFonts w:ascii="Arial Narrow" w:hAnsi="Arial Narrow" w:cstheme="minorHAnsi"/>
                <w:b/>
                <w:bCs/>
                <w:sz w:val="20"/>
                <w:szCs w:val="20"/>
              </w:rPr>
              <w:t>End Point and Analysis</w:t>
            </w:r>
          </w:p>
        </w:tc>
        <w:tc>
          <w:tcPr>
            <w:tcW w:w="0" w:type="auto"/>
            <w:vAlign w:val="center"/>
          </w:tcPr>
          <w:p w14:paraId="69ADDBA7" w14:textId="77777777" w:rsidR="00473284" w:rsidRPr="00EC57FB" w:rsidRDefault="00473284" w:rsidP="00011E21">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Nirsevimab</w:t>
            </w:r>
          </w:p>
          <w:p w14:paraId="5215EB98" w14:textId="16FEF814" w:rsidR="00473284" w:rsidRPr="00EC57FB" w:rsidRDefault="00FE322F" w:rsidP="00011E21">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n</w:t>
            </w:r>
            <w:r w:rsidR="00BF6ACD" w:rsidRPr="00EC57FB">
              <w:rPr>
                <w:rFonts w:ascii="Arial Narrow" w:hAnsi="Arial Narrow" w:cstheme="minorHAnsi"/>
                <w:b/>
                <w:bCs/>
                <w:sz w:val="20"/>
                <w:szCs w:val="20"/>
              </w:rPr>
              <w:t>/N</w:t>
            </w:r>
            <w:r w:rsidR="00473284" w:rsidRPr="00EC57FB">
              <w:rPr>
                <w:rFonts w:ascii="Arial Narrow" w:hAnsi="Arial Narrow" w:cstheme="minorHAnsi"/>
                <w:b/>
                <w:bCs/>
                <w:sz w:val="20"/>
                <w:szCs w:val="20"/>
              </w:rPr>
              <w:t xml:space="preserve"> (%)</w:t>
            </w:r>
          </w:p>
        </w:tc>
        <w:tc>
          <w:tcPr>
            <w:tcW w:w="0" w:type="auto"/>
            <w:vAlign w:val="center"/>
          </w:tcPr>
          <w:p w14:paraId="2DFC04C8" w14:textId="77777777" w:rsidR="00473284" w:rsidRPr="00EC57FB" w:rsidRDefault="00473284" w:rsidP="00011E21">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Placebo</w:t>
            </w:r>
          </w:p>
          <w:p w14:paraId="7640BAC3" w14:textId="1707B2E8" w:rsidR="00473284" w:rsidRPr="00EC57FB" w:rsidRDefault="00FE322F" w:rsidP="00011E21">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n</w:t>
            </w:r>
            <w:r w:rsidR="00BF6ACD" w:rsidRPr="00EC57FB">
              <w:rPr>
                <w:rFonts w:ascii="Arial Narrow" w:hAnsi="Arial Narrow" w:cstheme="minorHAnsi"/>
                <w:b/>
                <w:bCs/>
                <w:sz w:val="20"/>
                <w:szCs w:val="20"/>
              </w:rPr>
              <w:t>/N</w:t>
            </w:r>
            <w:r w:rsidR="00473284" w:rsidRPr="00EC57FB">
              <w:rPr>
                <w:rFonts w:ascii="Arial Narrow" w:hAnsi="Arial Narrow" w:cstheme="minorHAnsi"/>
                <w:b/>
                <w:bCs/>
                <w:sz w:val="20"/>
                <w:szCs w:val="20"/>
              </w:rPr>
              <w:t xml:space="preserve"> (%)</w:t>
            </w:r>
          </w:p>
        </w:tc>
        <w:tc>
          <w:tcPr>
            <w:tcW w:w="0" w:type="auto"/>
            <w:vAlign w:val="center"/>
          </w:tcPr>
          <w:p w14:paraId="13D0065D" w14:textId="77777777" w:rsidR="00182BAA" w:rsidRPr="00EC57FB" w:rsidRDefault="00473284" w:rsidP="00011E21">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Efficacy</w:t>
            </w:r>
            <w:r w:rsidR="001946EA" w:rsidRPr="00EC57FB">
              <w:rPr>
                <w:rFonts w:ascii="Arial Narrow" w:hAnsi="Arial Narrow" w:cstheme="minorHAnsi"/>
                <w:b/>
                <w:bCs/>
                <w:sz w:val="20"/>
                <w:szCs w:val="20"/>
              </w:rPr>
              <w:t xml:space="preserve"> </w:t>
            </w:r>
          </w:p>
          <w:p w14:paraId="220B6445" w14:textId="6F97B824" w:rsidR="00473284" w:rsidRPr="00EC57FB" w:rsidRDefault="001946EA" w:rsidP="00182BAA">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RRR</w:t>
            </w:r>
            <w:r w:rsidR="00182BAA" w:rsidRPr="00EC57FB">
              <w:rPr>
                <w:rFonts w:ascii="Arial Narrow" w:hAnsi="Arial Narrow" w:cstheme="minorHAnsi"/>
                <w:b/>
                <w:bCs/>
                <w:sz w:val="20"/>
                <w:szCs w:val="20"/>
              </w:rPr>
              <w:t xml:space="preserve"> </w:t>
            </w:r>
            <w:r w:rsidR="00473284" w:rsidRPr="00EC57FB">
              <w:rPr>
                <w:rFonts w:ascii="Arial Narrow" w:hAnsi="Arial Narrow" w:cstheme="minorHAnsi"/>
                <w:b/>
                <w:bCs/>
                <w:sz w:val="20"/>
                <w:szCs w:val="20"/>
              </w:rPr>
              <w:t>(95% CI)</w:t>
            </w:r>
            <w:r w:rsidR="00473284" w:rsidRPr="00EC57FB">
              <w:rPr>
                <w:rFonts w:ascii="Arial Narrow" w:hAnsi="Arial Narrow" w:cstheme="minorHAnsi"/>
                <w:b/>
                <w:bCs/>
                <w:sz w:val="20"/>
                <w:szCs w:val="20"/>
                <w:vertAlign w:val="superscript"/>
              </w:rPr>
              <w:t>a</w:t>
            </w:r>
          </w:p>
        </w:tc>
        <w:tc>
          <w:tcPr>
            <w:tcW w:w="0" w:type="auto"/>
            <w:vAlign w:val="center"/>
          </w:tcPr>
          <w:p w14:paraId="2A125DDF" w14:textId="378B1C71" w:rsidR="00473284" w:rsidRPr="00EC57FB" w:rsidRDefault="00473284" w:rsidP="00011E21">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P</w:t>
            </w:r>
            <w:r w:rsidR="00FE322F" w:rsidRPr="00EC57FB">
              <w:rPr>
                <w:rFonts w:ascii="Arial Narrow" w:hAnsi="Arial Narrow" w:cstheme="minorHAnsi"/>
                <w:b/>
                <w:bCs/>
                <w:sz w:val="20"/>
                <w:szCs w:val="20"/>
              </w:rPr>
              <w:t>-v</w:t>
            </w:r>
            <w:r w:rsidRPr="00EC57FB">
              <w:rPr>
                <w:rFonts w:ascii="Arial Narrow" w:hAnsi="Arial Narrow" w:cstheme="minorHAnsi"/>
                <w:b/>
                <w:bCs/>
                <w:sz w:val="20"/>
                <w:szCs w:val="20"/>
              </w:rPr>
              <w:t>alue</w:t>
            </w:r>
          </w:p>
        </w:tc>
      </w:tr>
      <w:tr w:rsidR="006A7BEE" w:rsidRPr="00EC57FB" w14:paraId="5547DA7D" w14:textId="77777777">
        <w:tc>
          <w:tcPr>
            <w:tcW w:w="0" w:type="auto"/>
            <w:gridSpan w:val="5"/>
            <w:vAlign w:val="center"/>
          </w:tcPr>
          <w:p w14:paraId="4E48ADFE" w14:textId="37EE55D7" w:rsidR="00473284" w:rsidRPr="00EC57FB" w:rsidRDefault="00473284" w:rsidP="00011E21">
            <w:pPr>
              <w:pStyle w:val="BodyText"/>
              <w:keepNext/>
              <w:keepLines/>
              <w:rPr>
                <w:rFonts w:ascii="Arial Narrow" w:hAnsi="Arial Narrow" w:cstheme="minorHAnsi"/>
                <w:b/>
                <w:bCs/>
                <w:sz w:val="20"/>
                <w:szCs w:val="20"/>
              </w:rPr>
            </w:pPr>
            <w:r w:rsidRPr="00EC57FB">
              <w:rPr>
                <w:rStyle w:val="CommentReference"/>
                <w:szCs w:val="24"/>
              </w:rPr>
              <w:t>MA RSV LRTI</w:t>
            </w:r>
          </w:p>
        </w:tc>
      </w:tr>
      <w:tr w:rsidR="00C62008" w:rsidRPr="00EC57FB" w14:paraId="2CA3E1CB" w14:textId="77777777" w:rsidTr="003756C4">
        <w:tc>
          <w:tcPr>
            <w:tcW w:w="0" w:type="auto"/>
            <w:shd w:val="clear" w:color="auto" w:fill="B8CCE4"/>
            <w:vAlign w:val="center"/>
          </w:tcPr>
          <w:p w14:paraId="4095D8DC" w14:textId="6FBBA233" w:rsidR="00473284" w:rsidRPr="00EC57FB" w:rsidRDefault="00473284" w:rsidP="00011E21">
            <w:pPr>
              <w:pStyle w:val="BodyText"/>
              <w:keepNext/>
              <w:keepLines/>
              <w:rPr>
                <w:rFonts w:ascii="Arial Narrow" w:hAnsi="Arial Narrow" w:cstheme="minorHAnsi"/>
                <w:sz w:val="20"/>
                <w:szCs w:val="20"/>
              </w:rPr>
            </w:pPr>
            <w:r w:rsidRPr="00EC57FB">
              <w:rPr>
                <w:rFonts w:ascii="Arial Narrow" w:hAnsi="Arial Narrow" w:cstheme="minorHAnsi"/>
                <w:sz w:val="20"/>
                <w:szCs w:val="20"/>
              </w:rPr>
              <w:t>Observed events</w:t>
            </w:r>
            <w:r w:rsidR="0092087A" w:rsidRPr="00EC57FB">
              <w:rPr>
                <w:rFonts w:ascii="Arial Narrow" w:hAnsi="Arial Narrow" w:cstheme="minorHAnsi"/>
                <w:sz w:val="20"/>
                <w:szCs w:val="20"/>
              </w:rPr>
              <w:t xml:space="preserve"> </w:t>
            </w:r>
            <w:r w:rsidR="00060F36" w:rsidRPr="00EC57FB">
              <w:rPr>
                <w:rFonts w:ascii="Arial Narrow" w:hAnsi="Arial Narrow" w:cstheme="minorHAnsi"/>
                <w:sz w:val="20"/>
                <w:szCs w:val="20"/>
              </w:rPr>
              <w:t>(i</w:t>
            </w:r>
            <w:r w:rsidR="0092087A" w:rsidRPr="00EC57FB">
              <w:rPr>
                <w:rFonts w:ascii="Arial Narrow" w:hAnsi="Arial Narrow" w:cstheme="minorHAnsi"/>
                <w:sz w:val="20"/>
                <w:szCs w:val="20"/>
              </w:rPr>
              <w:t>nterim analysis)</w:t>
            </w:r>
          </w:p>
        </w:tc>
        <w:tc>
          <w:tcPr>
            <w:tcW w:w="0" w:type="auto"/>
            <w:shd w:val="clear" w:color="auto" w:fill="B8CCE4"/>
            <w:vAlign w:val="center"/>
          </w:tcPr>
          <w:p w14:paraId="4FAD3588" w14:textId="28B9F18E" w:rsidR="00473284" w:rsidRPr="00EC57FB" w:rsidRDefault="00473284" w:rsidP="00011E21">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12</w:t>
            </w:r>
            <w:r w:rsidR="00F96AAF" w:rsidRPr="00EC57FB">
              <w:rPr>
                <w:rFonts w:ascii="Arial Narrow" w:hAnsi="Arial Narrow" w:cstheme="minorHAnsi"/>
                <w:sz w:val="20"/>
                <w:szCs w:val="20"/>
              </w:rPr>
              <w:t>/994</w:t>
            </w:r>
            <w:r w:rsidRPr="00EC57FB">
              <w:rPr>
                <w:rFonts w:ascii="Arial Narrow" w:hAnsi="Arial Narrow" w:cstheme="minorHAnsi"/>
                <w:sz w:val="20"/>
                <w:szCs w:val="20"/>
              </w:rPr>
              <w:t xml:space="preserve"> (1.2</w:t>
            </w:r>
            <w:r w:rsidR="0093774A" w:rsidRPr="00EC57FB">
              <w:rPr>
                <w:rFonts w:ascii="Arial Narrow" w:hAnsi="Arial Narrow" w:cstheme="minorHAnsi"/>
                <w:sz w:val="20"/>
                <w:szCs w:val="20"/>
              </w:rPr>
              <w:t>%</w:t>
            </w:r>
            <w:r w:rsidRPr="00EC57FB">
              <w:rPr>
                <w:rFonts w:ascii="Arial Narrow" w:hAnsi="Arial Narrow" w:cstheme="minorHAnsi"/>
                <w:sz w:val="20"/>
                <w:szCs w:val="20"/>
              </w:rPr>
              <w:t>)</w:t>
            </w:r>
          </w:p>
        </w:tc>
        <w:tc>
          <w:tcPr>
            <w:tcW w:w="0" w:type="auto"/>
            <w:shd w:val="clear" w:color="auto" w:fill="B8CCE4"/>
            <w:vAlign w:val="center"/>
          </w:tcPr>
          <w:p w14:paraId="42EB726E" w14:textId="0074A67D" w:rsidR="00473284" w:rsidRPr="00EC57FB" w:rsidRDefault="00473284" w:rsidP="00011E21">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25</w:t>
            </w:r>
            <w:r w:rsidR="00BF6ACD" w:rsidRPr="00EC57FB">
              <w:rPr>
                <w:rFonts w:ascii="Arial Narrow" w:hAnsi="Arial Narrow" w:cstheme="minorHAnsi"/>
                <w:sz w:val="20"/>
                <w:szCs w:val="20"/>
              </w:rPr>
              <w:t>/496</w:t>
            </w:r>
            <w:r w:rsidRPr="00EC57FB">
              <w:rPr>
                <w:rFonts w:ascii="Arial Narrow" w:hAnsi="Arial Narrow" w:cstheme="minorHAnsi"/>
                <w:sz w:val="20"/>
                <w:szCs w:val="20"/>
              </w:rPr>
              <w:t xml:space="preserve"> (5.0</w:t>
            </w:r>
            <w:r w:rsidR="0093774A" w:rsidRPr="00EC57FB">
              <w:rPr>
                <w:rFonts w:ascii="Arial Narrow" w:hAnsi="Arial Narrow" w:cstheme="minorHAnsi"/>
                <w:sz w:val="20"/>
                <w:szCs w:val="20"/>
              </w:rPr>
              <w:t>%</w:t>
            </w:r>
            <w:r w:rsidRPr="00EC57FB">
              <w:rPr>
                <w:rFonts w:ascii="Arial Narrow" w:hAnsi="Arial Narrow" w:cstheme="minorHAnsi"/>
                <w:sz w:val="20"/>
                <w:szCs w:val="20"/>
              </w:rPr>
              <w:t>)</w:t>
            </w:r>
          </w:p>
        </w:tc>
        <w:tc>
          <w:tcPr>
            <w:tcW w:w="0" w:type="auto"/>
            <w:shd w:val="clear" w:color="auto" w:fill="B8CCE4"/>
            <w:vAlign w:val="center"/>
          </w:tcPr>
          <w:p w14:paraId="5D91BF80" w14:textId="59198E80" w:rsidR="00473284" w:rsidRPr="00EC57FB" w:rsidRDefault="00473284" w:rsidP="00011E21">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74.5</w:t>
            </w:r>
            <w:r w:rsidR="00215A15" w:rsidRPr="00EC57FB">
              <w:rPr>
                <w:rFonts w:ascii="Arial Narrow" w:hAnsi="Arial Narrow" w:cstheme="minorHAnsi"/>
                <w:b/>
                <w:bCs/>
                <w:sz w:val="20"/>
                <w:szCs w:val="20"/>
              </w:rPr>
              <w:t>%</w:t>
            </w:r>
          </w:p>
          <w:p w14:paraId="3B6C6DAA" w14:textId="7E2366A2" w:rsidR="00473284" w:rsidRPr="00EC57FB" w:rsidRDefault="00473284" w:rsidP="00011E21">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(49.6</w:t>
            </w:r>
            <w:r w:rsidR="00215A15" w:rsidRPr="00EC57FB">
              <w:rPr>
                <w:rFonts w:ascii="Arial Narrow" w:hAnsi="Arial Narrow" w:cstheme="minorHAnsi"/>
                <w:b/>
                <w:bCs/>
                <w:sz w:val="20"/>
                <w:szCs w:val="20"/>
              </w:rPr>
              <w:t>%</w:t>
            </w:r>
            <w:r w:rsidRPr="00EC57FB">
              <w:rPr>
                <w:rFonts w:ascii="Arial Narrow" w:hAnsi="Arial Narrow" w:cstheme="minorHAnsi"/>
                <w:b/>
                <w:bCs/>
                <w:sz w:val="20"/>
                <w:szCs w:val="20"/>
              </w:rPr>
              <w:t>, 87.1</w:t>
            </w:r>
            <w:r w:rsidR="00215A15" w:rsidRPr="00EC57FB">
              <w:rPr>
                <w:rFonts w:ascii="Arial Narrow" w:hAnsi="Arial Narrow" w:cstheme="minorHAnsi"/>
                <w:b/>
                <w:bCs/>
                <w:sz w:val="20"/>
                <w:szCs w:val="20"/>
              </w:rPr>
              <w:t>%</w:t>
            </w:r>
            <w:r w:rsidRPr="00EC57FB">
              <w:rPr>
                <w:rFonts w:ascii="Arial Narrow" w:hAnsi="Arial Narrow" w:cstheme="minorHAnsi"/>
                <w:b/>
                <w:bCs/>
                <w:sz w:val="20"/>
                <w:szCs w:val="20"/>
              </w:rPr>
              <w:t>)</w:t>
            </w:r>
          </w:p>
        </w:tc>
        <w:tc>
          <w:tcPr>
            <w:tcW w:w="0" w:type="auto"/>
            <w:shd w:val="clear" w:color="auto" w:fill="B8CCE4"/>
            <w:vAlign w:val="center"/>
          </w:tcPr>
          <w:p w14:paraId="49B7D645" w14:textId="77777777" w:rsidR="00473284" w:rsidRPr="00EC57FB" w:rsidRDefault="00473284" w:rsidP="00011E21">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&lt;0.001</w:t>
            </w:r>
          </w:p>
        </w:tc>
      </w:tr>
      <w:tr w:rsidR="0054253E" w:rsidRPr="00EC57FB" w14:paraId="7B23EAB4" w14:textId="77777777" w:rsidTr="00F930CA">
        <w:tc>
          <w:tcPr>
            <w:tcW w:w="1464" w:type="pct"/>
            <w:vAlign w:val="center"/>
          </w:tcPr>
          <w:p w14:paraId="117495BB" w14:textId="3C754FE2" w:rsidR="0092087A" w:rsidRPr="00EC57FB" w:rsidRDefault="0092087A" w:rsidP="00011E21">
            <w:pPr>
              <w:pStyle w:val="BodyText"/>
              <w:keepNext/>
              <w:keepLines/>
              <w:rPr>
                <w:rFonts w:ascii="Arial Narrow" w:hAnsi="Arial Narrow" w:cstheme="minorHAnsi"/>
                <w:sz w:val="20"/>
                <w:szCs w:val="20"/>
              </w:rPr>
            </w:pPr>
            <w:r w:rsidRPr="00EC57FB">
              <w:rPr>
                <w:rFonts w:ascii="Arial Narrow" w:hAnsi="Arial Narrow" w:cstheme="minorHAnsi"/>
                <w:sz w:val="20"/>
                <w:szCs w:val="20"/>
              </w:rPr>
              <w:t>Observed events (final analysis)</w:t>
            </w:r>
          </w:p>
        </w:tc>
        <w:tc>
          <w:tcPr>
            <w:tcW w:w="1141" w:type="pct"/>
            <w:vAlign w:val="center"/>
          </w:tcPr>
          <w:p w14:paraId="40A0DD1B" w14:textId="7D521327" w:rsidR="0092087A" w:rsidRPr="00EC57FB" w:rsidRDefault="001E43C5" w:rsidP="00011E21">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2</w:t>
            </w:r>
            <w:r w:rsidR="000F6CD5" w:rsidRPr="00EC57FB">
              <w:rPr>
                <w:rFonts w:ascii="Arial Narrow" w:hAnsi="Arial Narrow" w:cstheme="minorHAnsi"/>
                <w:sz w:val="20"/>
                <w:szCs w:val="20"/>
              </w:rPr>
              <w:t>4/2009 (1.2%)</w:t>
            </w:r>
          </w:p>
        </w:tc>
        <w:tc>
          <w:tcPr>
            <w:tcW w:w="1083" w:type="pct"/>
            <w:vAlign w:val="center"/>
          </w:tcPr>
          <w:p w14:paraId="764F3B28" w14:textId="2EECA00F" w:rsidR="0092087A" w:rsidRPr="00EC57FB" w:rsidRDefault="00060F36" w:rsidP="00011E21">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54/1003 (5.4%)</w:t>
            </w:r>
          </w:p>
        </w:tc>
        <w:tc>
          <w:tcPr>
            <w:tcW w:w="0" w:type="auto"/>
            <w:vAlign w:val="center"/>
          </w:tcPr>
          <w:p w14:paraId="112DD408" w14:textId="77777777" w:rsidR="0092087A" w:rsidRPr="00EC57FB" w:rsidRDefault="000F6CD5" w:rsidP="00011E21">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76.4%</w:t>
            </w:r>
          </w:p>
          <w:p w14:paraId="589D7261" w14:textId="05276094" w:rsidR="000F6CD5" w:rsidRPr="00EC57FB" w:rsidRDefault="000F6CD5" w:rsidP="00011E21">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(62.3%, 85.2%)</w:t>
            </w:r>
          </w:p>
        </w:tc>
        <w:tc>
          <w:tcPr>
            <w:tcW w:w="0" w:type="auto"/>
            <w:vAlign w:val="center"/>
          </w:tcPr>
          <w:p w14:paraId="2B39CF07" w14:textId="5AA62F86" w:rsidR="0092087A" w:rsidRPr="00EC57FB" w:rsidRDefault="000F6CD5" w:rsidP="00011E21">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NR</w:t>
            </w:r>
          </w:p>
        </w:tc>
      </w:tr>
      <w:tr w:rsidR="006A7BEE" w:rsidRPr="00EC57FB" w14:paraId="51DEADB6" w14:textId="77777777">
        <w:tc>
          <w:tcPr>
            <w:tcW w:w="0" w:type="auto"/>
            <w:gridSpan w:val="5"/>
            <w:vAlign w:val="center"/>
          </w:tcPr>
          <w:p w14:paraId="666528E4" w14:textId="77777777" w:rsidR="00473284" w:rsidRPr="00EC57FB" w:rsidRDefault="00473284" w:rsidP="00011E21">
            <w:pPr>
              <w:pStyle w:val="BodyText"/>
              <w:keepNext/>
              <w:keepLines/>
              <w:rPr>
                <w:rFonts w:ascii="Arial Narrow" w:hAnsi="Arial Narrow" w:cstheme="minorHAnsi"/>
                <w:b/>
                <w:bCs/>
                <w:sz w:val="20"/>
                <w:szCs w:val="20"/>
              </w:rPr>
            </w:pPr>
            <w:r w:rsidRPr="00EC57FB">
              <w:rPr>
                <w:rFonts w:ascii="Arial Narrow" w:hAnsi="Arial Narrow" w:cstheme="minorHAnsi"/>
                <w:b/>
                <w:bCs/>
                <w:sz w:val="20"/>
                <w:szCs w:val="20"/>
              </w:rPr>
              <w:t xml:space="preserve">Hospitalisation for </w:t>
            </w:r>
            <w:r w:rsidRPr="00EC57FB">
              <w:rPr>
                <w:rStyle w:val="CommentReference"/>
                <w:szCs w:val="24"/>
              </w:rPr>
              <w:t>RSV LRTI</w:t>
            </w:r>
          </w:p>
        </w:tc>
      </w:tr>
      <w:tr w:rsidR="00C62008" w:rsidRPr="00EC57FB" w14:paraId="451B5F86" w14:textId="77777777" w:rsidTr="003756C4">
        <w:tc>
          <w:tcPr>
            <w:tcW w:w="0" w:type="auto"/>
            <w:shd w:val="clear" w:color="auto" w:fill="B8CCE4"/>
            <w:vAlign w:val="center"/>
          </w:tcPr>
          <w:p w14:paraId="66BAF4C2" w14:textId="12DF47DA" w:rsidR="00473284" w:rsidRPr="00EC57FB" w:rsidRDefault="00473284" w:rsidP="00011E21">
            <w:pPr>
              <w:pStyle w:val="BodyText"/>
              <w:keepNext/>
              <w:keepLines/>
              <w:rPr>
                <w:rFonts w:ascii="Arial Narrow" w:hAnsi="Arial Narrow" w:cstheme="minorHAnsi"/>
                <w:sz w:val="20"/>
                <w:szCs w:val="20"/>
              </w:rPr>
            </w:pPr>
            <w:r w:rsidRPr="00EC57FB">
              <w:rPr>
                <w:rFonts w:ascii="Arial Narrow" w:hAnsi="Arial Narrow" w:cstheme="minorHAnsi"/>
                <w:sz w:val="20"/>
                <w:szCs w:val="20"/>
              </w:rPr>
              <w:t>Observed events</w:t>
            </w:r>
            <w:r w:rsidR="008E32B0" w:rsidRPr="00EC57FB">
              <w:rPr>
                <w:rFonts w:ascii="Arial Narrow" w:hAnsi="Arial Narrow" w:cstheme="minorHAnsi"/>
                <w:sz w:val="20"/>
                <w:szCs w:val="20"/>
              </w:rPr>
              <w:t xml:space="preserve"> (interim analysis)</w:t>
            </w:r>
          </w:p>
        </w:tc>
        <w:tc>
          <w:tcPr>
            <w:tcW w:w="0" w:type="auto"/>
            <w:shd w:val="clear" w:color="auto" w:fill="B8CCE4"/>
            <w:vAlign w:val="center"/>
          </w:tcPr>
          <w:p w14:paraId="2D4CA7EB" w14:textId="7CAB7C79" w:rsidR="00473284" w:rsidRPr="00EC57FB" w:rsidRDefault="00473284" w:rsidP="00011E21">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6</w:t>
            </w:r>
            <w:r w:rsidR="00BF6ACD" w:rsidRPr="00EC57FB">
              <w:rPr>
                <w:rFonts w:ascii="Arial Narrow" w:hAnsi="Arial Narrow" w:cstheme="minorHAnsi"/>
                <w:sz w:val="20"/>
                <w:szCs w:val="20"/>
              </w:rPr>
              <w:t>/994</w:t>
            </w:r>
            <w:r w:rsidRPr="00EC57FB">
              <w:rPr>
                <w:rFonts w:ascii="Arial Narrow" w:hAnsi="Arial Narrow" w:cstheme="minorHAnsi"/>
                <w:sz w:val="20"/>
                <w:szCs w:val="20"/>
              </w:rPr>
              <w:t xml:space="preserve"> (0.6</w:t>
            </w:r>
            <w:r w:rsidR="001F1512" w:rsidRPr="00EC57FB">
              <w:rPr>
                <w:rFonts w:ascii="Arial Narrow" w:hAnsi="Arial Narrow" w:cstheme="minorHAnsi"/>
                <w:sz w:val="20"/>
                <w:szCs w:val="20"/>
              </w:rPr>
              <w:t>%</w:t>
            </w:r>
            <w:r w:rsidRPr="00EC57FB">
              <w:rPr>
                <w:rFonts w:ascii="Arial Narrow" w:hAnsi="Arial Narrow" w:cstheme="minorHAnsi"/>
                <w:sz w:val="20"/>
                <w:szCs w:val="20"/>
              </w:rPr>
              <w:t>)</w:t>
            </w:r>
          </w:p>
        </w:tc>
        <w:tc>
          <w:tcPr>
            <w:tcW w:w="0" w:type="auto"/>
            <w:shd w:val="clear" w:color="auto" w:fill="B8CCE4"/>
            <w:vAlign w:val="center"/>
          </w:tcPr>
          <w:p w14:paraId="70D2BC5B" w14:textId="59D3185B" w:rsidR="00473284" w:rsidRPr="00EC57FB" w:rsidRDefault="00473284" w:rsidP="00011E21">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8</w:t>
            </w:r>
            <w:r w:rsidR="00BF6ACD" w:rsidRPr="00EC57FB">
              <w:rPr>
                <w:rFonts w:ascii="Arial Narrow" w:hAnsi="Arial Narrow" w:cstheme="minorHAnsi"/>
                <w:sz w:val="20"/>
                <w:szCs w:val="20"/>
              </w:rPr>
              <w:t>/496</w:t>
            </w:r>
            <w:r w:rsidRPr="00EC57FB">
              <w:rPr>
                <w:rFonts w:ascii="Arial Narrow" w:hAnsi="Arial Narrow" w:cstheme="minorHAnsi"/>
                <w:sz w:val="20"/>
                <w:szCs w:val="20"/>
              </w:rPr>
              <w:t xml:space="preserve"> (1.6</w:t>
            </w:r>
            <w:r w:rsidR="001F1512" w:rsidRPr="00EC57FB">
              <w:rPr>
                <w:rFonts w:ascii="Arial Narrow" w:hAnsi="Arial Narrow" w:cstheme="minorHAnsi"/>
                <w:sz w:val="20"/>
                <w:szCs w:val="20"/>
              </w:rPr>
              <w:t>%</w:t>
            </w:r>
            <w:r w:rsidRPr="00EC57FB">
              <w:rPr>
                <w:rFonts w:ascii="Arial Narrow" w:hAnsi="Arial Narrow" w:cstheme="minorHAnsi"/>
                <w:sz w:val="20"/>
                <w:szCs w:val="20"/>
              </w:rPr>
              <w:t>)</w:t>
            </w:r>
          </w:p>
        </w:tc>
        <w:tc>
          <w:tcPr>
            <w:tcW w:w="0" w:type="auto"/>
            <w:shd w:val="clear" w:color="auto" w:fill="B8CCE4"/>
            <w:vAlign w:val="center"/>
          </w:tcPr>
          <w:p w14:paraId="5F90F507" w14:textId="2F254FA9" w:rsidR="00473284" w:rsidRPr="00EC57FB" w:rsidRDefault="00473284" w:rsidP="00011E21">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62.1</w:t>
            </w:r>
            <w:r w:rsidR="00215A15" w:rsidRPr="00EC57FB">
              <w:rPr>
                <w:rFonts w:ascii="Arial Narrow" w:hAnsi="Arial Narrow" w:cstheme="minorHAnsi"/>
                <w:sz w:val="20"/>
                <w:szCs w:val="20"/>
              </w:rPr>
              <w:t>%</w:t>
            </w:r>
            <w:r w:rsidRPr="00EC57FB">
              <w:rPr>
                <w:rFonts w:ascii="Arial Narrow" w:hAnsi="Arial Narrow" w:cstheme="minorHAnsi"/>
                <w:sz w:val="20"/>
                <w:szCs w:val="20"/>
              </w:rPr>
              <w:t xml:space="preserve"> </w:t>
            </w:r>
          </w:p>
          <w:p w14:paraId="5715050D" w14:textId="2196C29C" w:rsidR="00473284" w:rsidRPr="00EC57FB" w:rsidRDefault="00473284" w:rsidP="00011E21">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(−8.6</w:t>
            </w:r>
            <w:r w:rsidR="00215A15" w:rsidRPr="00EC57FB">
              <w:rPr>
                <w:rFonts w:ascii="Arial Narrow" w:hAnsi="Arial Narrow" w:cstheme="minorHAnsi"/>
                <w:sz w:val="20"/>
                <w:szCs w:val="20"/>
              </w:rPr>
              <w:t>%</w:t>
            </w:r>
            <w:r w:rsidRPr="00EC57FB">
              <w:rPr>
                <w:rFonts w:ascii="Arial Narrow" w:hAnsi="Arial Narrow" w:cstheme="minorHAnsi"/>
                <w:sz w:val="20"/>
                <w:szCs w:val="20"/>
              </w:rPr>
              <w:t>, 86.8</w:t>
            </w:r>
            <w:r w:rsidR="00215A15" w:rsidRPr="00EC57FB">
              <w:rPr>
                <w:rFonts w:ascii="Arial Narrow" w:hAnsi="Arial Narrow" w:cstheme="minorHAnsi"/>
                <w:sz w:val="20"/>
                <w:szCs w:val="20"/>
              </w:rPr>
              <w:t>%</w:t>
            </w:r>
            <w:r w:rsidRPr="00EC57FB">
              <w:rPr>
                <w:rFonts w:ascii="Arial Narrow" w:hAnsi="Arial Narrow" w:cstheme="minorHAnsi"/>
                <w:sz w:val="20"/>
                <w:szCs w:val="20"/>
              </w:rPr>
              <w:t>)</w:t>
            </w:r>
          </w:p>
        </w:tc>
        <w:tc>
          <w:tcPr>
            <w:tcW w:w="0" w:type="auto"/>
            <w:shd w:val="clear" w:color="auto" w:fill="B8CCE4"/>
            <w:vAlign w:val="center"/>
          </w:tcPr>
          <w:p w14:paraId="5C6FB90F" w14:textId="77777777" w:rsidR="00473284" w:rsidRPr="00EC57FB" w:rsidRDefault="00473284" w:rsidP="00011E21">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0.07</w:t>
            </w:r>
          </w:p>
        </w:tc>
      </w:tr>
      <w:tr w:rsidR="00C745BF" w:rsidRPr="00EC57FB" w14:paraId="558E8519" w14:textId="77777777" w:rsidTr="008E32B0">
        <w:tc>
          <w:tcPr>
            <w:tcW w:w="0" w:type="auto"/>
            <w:vAlign w:val="center"/>
          </w:tcPr>
          <w:p w14:paraId="0D78F041" w14:textId="68F66372" w:rsidR="008E32B0" w:rsidRPr="00EC57FB" w:rsidRDefault="008E32B0" w:rsidP="008E32B0">
            <w:pPr>
              <w:pStyle w:val="BodyText"/>
              <w:keepNext/>
              <w:keepLines/>
              <w:rPr>
                <w:rFonts w:ascii="Arial Narrow" w:hAnsi="Arial Narrow" w:cstheme="minorHAnsi"/>
                <w:sz w:val="20"/>
                <w:szCs w:val="20"/>
              </w:rPr>
            </w:pPr>
            <w:r w:rsidRPr="00EC57FB">
              <w:rPr>
                <w:rFonts w:ascii="Arial Narrow" w:hAnsi="Arial Narrow" w:cstheme="minorHAnsi"/>
                <w:sz w:val="20"/>
                <w:szCs w:val="20"/>
              </w:rPr>
              <w:t>Observed events (final analysis)</w:t>
            </w:r>
          </w:p>
        </w:tc>
        <w:tc>
          <w:tcPr>
            <w:tcW w:w="0" w:type="auto"/>
            <w:vAlign w:val="center"/>
          </w:tcPr>
          <w:p w14:paraId="73A59985" w14:textId="686F0A16" w:rsidR="008E32B0" w:rsidRPr="00EC57FB" w:rsidRDefault="001E43C5" w:rsidP="008E32B0">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9</w:t>
            </w:r>
            <w:r w:rsidR="008E32B0" w:rsidRPr="00EC57FB">
              <w:rPr>
                <w:rFonts w:ascii="Arial Narrow" w:hAnsi="Arial Narrow" w:cstheme="minorHAnsi"/>
                <w:sz w:val="20"/>
                <w:szCs w:val="20"/>
              </w:rPr>
              <w:t>/2009 (</w:t>
            </w:r>
            <w:r w:rsidR="004B5C7F" w:rsidRPr="00EC57FB">
              <w:rPr>
                <w:rFonts w:ascii="Arial Narrow" w:hAnsi="Arial Narrow" w:cstheme="minorHAnsi"/>
                <w:sz w:val="20"/>
                <w:szCs w:val="20"/>
              </w:rPr>
              <w:t>0.4</w:t>
            </w:r>
            <w:r w:rsidR="008E32B0" w:rsidRPr="00EC57FB">
              <w:rPr>
                <w:rFonts w:ascii="Arial Narrow" w:hAnsi="Arial Narrow" w:cstheme="minorHAnsi"/>
                <w:sz w:val="20"/>
                <w:szCs w:val="20"/>
              </w:rPr>
              <w:t>%)</w:t>
            </w:r>
          </w:p>
        </w:tc>
        <w:tc>
          <w:tcPr>
            <w:tcW w:w="0" w:type="auto"/>
            <w:vAlign w:val="center"/>
          </w:tcPr>
          <w:p w14:paraId="32FF6E17" w14:textId="45F662E3" w:rsidR="008E32B0" w:rsidRPr="00EC57FB" w:rsidRDefault="00F8239C" w:rsidP="008E32B0">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20</w:t>
            </w:r>
            <w:r w:rsidR="008E32B0" w:rsidRPr="00EC57FB">
              <w:rPr>
                <w:rFonts w:ascii="Arial Narrow" w:hAnsi="Arial Narrow" w:cstheme="minorHAnsi"/>
                <w:sz w:val="20"/>
                <w:szCs w:val="20"/>
              </w:rPr>
              <w:t>/1003 (</w:t>
            </w:r>
            <w:r w:rsidR="004B5C7F" w:rsidRPr="00EC57FB">
              <w:rPr>
                <w:rFonts w:ascii="Arial Narrow" w:hAnsi="Arial Narrow" w:cstheme="minorHAnsi"/>
                <w:sz w:val="20"/>
                <w:szCs w:val="20"/>
              </w:rPr>
              <w:t>2.0</w:t>
            </w:r>
            <w:r w:rsidR="008E32B0" w:rsidRPr="00EC57FB">
              <w:rPr>
                <w:rFonts w:ascii="Arial Narrow" w:hAnsi="Arial Narrow" w:cstheme="minorHAnsi"/>
                <w:sz w:val="20"/>
                <w:szCs w:val="20"/>
              </w:rPr>
              <w:t>%)</w:t>
            </w:r>
          </w:p>
        </w:tc>
        <w:tc>
          <w:tcPr>
            <w:tcW w:w="0" w:type="auto"/>
            <w:vAlign w:val="center"/>
          </w:tcPr>
          <w:p w14:paraId="5E428737" w14:textId="72FAC24B" w:rsidR="008E32B0" w:rsidRPr="00EC57FB" w:rsidRDefault="008E32B0" w:rsidP="008E32B0">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76.</w:t>
            </w:r>
            <w:r w:rsidR="00F8239C" w:rsidRPr="00EC57FB">
              <w:rPr>
                <w:rFonts w:ascii="Arial Narrow" w:hAnsi="Arial Narrow" w:cstheme="minorHAnsi"/>
                <w:b/>
                <w:bCs/>
                <w:sz w:val="20"/>
                <w:szCs w:val="20"/>
              </w:rPr>
              <w:t>8</w:t>
            </w:r>
            <w:r w:rsidRPr="00EC57FB">
              <w:rPr>
                <w:rFonts w:ascii="Arial Narrow" w:hAnsi="Arial Narrow" w:cstheme="minorHAnsi"/>
                <w:b/>
                <w:bCs/>
                <w:sz w:val="20"/>
                <w:szCs w:val="20"/>
              </w:rPr>
              <w:t>%</w:t>
            </w:r>
          </w:p>
          <w:p w14:paraId="0C2F3C0E" w14:textId="01D5D5B0" w:rsidR="008E32B0" w:rsidRPr="00EC57FB" w:rsidRDefault="008E32B0" w:rsidP="008E32B0">
            <w:pPr>
              <w:pStyle w:val="BodyText"/>
              <w:keepNext/>
              <w:keepLines/>
              <w:jc w:val="center"/>
              <w:rPr>
                <w:rFonts w:ascii="Arial Narrow" w:hAnsi="Arial Narrow" w:cstheme="minorHAnsi"/>
                <w:sz w:val="20"/>
                <w:szCs w:val="20"/>
              </w:rPr>
            </w:pPr>
            <w:r w:rsidRPr="00EC57FB">
              <w:rPr>
                <w:rFonts w:ascii="Arial Narrow" w:hAnsi="Arial Narrow" w:cstheme="minorHAnsi"/>
                <w:b/>
                <w:bCs/>
                <w:sz w:val="20"/>
                <w:szCs w:val="20"/>
              </w:rPr>
              <w:t>(</w:t>
            </w:r>
            <w:r w:rsidR="00F8239C" w:rsidRPr="00EC57FB">
              <w:rPr>
                <w:rFonts w:ascii="Arial Narrow" w:hAnsi="Arial Narrow" w:cstheme="minorHAnsi"/>
                <w:b/>
                <w:bCs/>
                <w:sz w:val="20"/>
                <w:szCs w:val="20"/>
              </w:rPr>
              <w:t>49.4</w:t>
            </w:r>
            <w:r w:rsidRPr="00EC57FB">
              <w:rPr>
                <w:rFonts w:ascii="Arial Narrow" w:hAnsi="Arial Narrow" w:cstheme="minorHAnsi"/>
                <w:b/>
                <w:bCs/>
                <w:sz w:val="20"/>
                <w:szCs w:val="20"/>
              </w:rPr>
              <w:t>%, 8</w:t>
            </w:r>
            <w:r w:rsidR="00F8239C" w:rsidRPr="00EC57FB">
              <w:rPr>
                <w:rFonts w:ascii="Arial Narrow" w:hAnsi="Arial Narrow" w:cstheme="minorHAnsi"/>
                <w:b/>
                <w:bCs/>
                <w:sz w:val="20"/>
                <w:szCs w:val="20"/>
              </w:rPr>
              <w:t>9.4</w:t>
            </w:r>
            <w:r w:rsidRPr="00EC57FB">
              <w:rPr>
                <w:rFonts w:ascii="Arial Narrow" w:hAnsi="Arial Narrow" w:cstheme="minorHAnsi"/>
                <w:b/>
                <w:bCs/>
                <w:sz w:val="20"/>
                <w:szCs w:val="20"/>
              </w:rPr>
              <w:t>%)</w:t>
            </w:r>
          </w:p>
        </w:tc>
        <w:tc>
          <w:tcPr>
            <w:tcW w:w="0" w:type="auto"/>
            <w:vAlign w:val="center"/>
          </w:tcPr>
          <w:p w14:paraId="0B1F9472" w14:textId="6C1B247A" w:rsidR="008E32B0" w:rsidRPr="00EC57FB" w:rsidRDefault="008E32B0" w:rsidP="008E32B0">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NR</w:t>
            </w:r>
          </w:p>
        </w:tc>
      </w:tr>
      <w:tr w:rsidR="003D58BF" w:rsidRPr="00EC57FB" w14:paraId="1BDADE04" w14:textId="77777777">
        <w:tc>
          <w:tcPr>
            <w:tcW w:w="0" w:type="auto"/>
            <w:gridSpan w:val="5"/>
            <w:vAlign w:val="center"/>
          </w:tcPr>
          <w:p w14:paraId="00536F20" w14:textId="0AC6B1F8" w:rsidR="00A24635" w:rsidRPr="00EC57FB" w:rsidRDefault="000A238C">
            <w:pPr>
              <w:pStyle w:val="BodyText"/>
              <w:keepNext/>
              <w:keepLines/>
              <w:rPr>
                <w:rFonts w:ascii="Arial Narrow" w:hAnsi="Arial Narrow" w:cstheme="minorHAnsi"/>
                <w:b/>
                <w:bCs/>
                <w:sz w:val="20"/>
                <w:szCs w:val="20"/>
              </w:rPr>
            </w:pPr>
            <w:r w:rsidRPr="00EC57FB">
              <w:rPr>
                <w:rFonts w:ascii="Arial Narrow" w:hAnsi="Arial Narrow" w:cstheme="minorHAnsi"/>
                <w:b/>
                <w:bCs/>
                <w:sz w:val="20"/>
                <w:szCs w:val="20"/>
              </w:rPr>
              <w:t>Very severe medically attended</w:t>
            </w:r>
            <w:r w:rsidR="00A24635" w:rsidRPr="00EC57FB">
              <w:rPr>
                <w:rFonts w:ascii="Arial Narrow" w:hAnsi="Arial Narrow" w:cstheme="minorHAnsi"/>
                <w:b/>
                <w:bCs/>
                <w:sz w:val="20"/>
                <w:szCs w:val="20"/>
              </w:rPr>
              <w:t xml:space="preserve"> </w:t>
            </w:r>
            <w:r w:rsidR="00A24635" w:rsidRPr="00EC57FB">
              <w:rPr>
                <w:rStyle w:val="CommentReference"/>
                <w:szCs w:val="24"/>
              </w:rPr>
              <w:t>RSV LRTI</w:t>
            </w:r>
            <w:r w:rsidR="006C1928" w:rsidRPr="00EC57FB">
              <w:rPr>
                <w:rStyle w:val="CommentReference"/>
                <w:szCs w:val="24"/>
                <w:vertAlign w:val="superscript"/>
              </w:rPr>
              <w:t>b</w:t>
            </w:r>
          </w:p>
        </w:tc>
      </w:tr>
      <w:tr w:rsidR="00C745BF" w:rsidRPr="00EC57FB" w14:paraId="52FF045E" w14:textId="77777777" w:rsidTr="00055888">
        <w:tc>
          <w:tcPr>
            <w:tcW w:w="0" w:type="auto"/>
            <w:vAlign w:val="center"/>
          </w:tcPr>
          <w:p w14:paraId="36840C8F" w14:textId="77777777" w:rsidR="00A24635" w:rsidRPr="00EC57FB" w:rsidRDefault="00A24635">
            <w:pPr>
              <w:pStyle w:val="BodyText"/>
              <w:keepNext/>
              <w:keepLines/>
              <w:rPr>
                <w:rFonts w:ascii="Arial Narrow" w:hAnsi="Arial Narrow" w:cstheme="minorHAnsi"/>
                <w:sz w:val="20"/>
                <w:szCs w:val="20"/>
              </w:rPr>
            </w:pPr>
            <w:r w:rsidRPr="00EC57FB">
              <w:rPr>
                <w:rFonts w:ascii="Arial Narrow" w:hAnsi="Arial Narrow" w:cstheme="minorHAnsi"/>
                <w:sz w:val="20"/>
                <w:szCs w:val="20"/>
              </w:rPr>
              <w:t>Observed events (interim analysis)</w:t>
            </w:r>
          </w:p>
        </w:tc>
        <w:tc>
          <w:tcPr>
            <w:tcW w:w="0" w:type="auto"/>
            <w:vAlign w:val="center"/>
          </w:tcPr>
          <w:p w14:paraId="02E2884B" w14:textId="1CF7F540" w:rsidR="00A24635" w:rsidRPr="00EC57FB" w:rsidRDefault="007878A2">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5/</w:t>
            </w:r>
            <w:r w:rsidR="00697C50" w:rsidRPr="00EC57FB">
              <w:rPr>
                <w:rFonts w:ascii="Arial Narrow" w:hAnsi="Arial Narrow" w:cstheme="minorHAnsi"/>
                <w:sz w:val="20"/>
                <w:szCs w:val="20"/>
              </w:rPr>
              <w:t>994</w:t>
            </w:r>
            <w:r w:rsidR="00FF420A" w:rsidRPr="00EC57FB">
              <w:rPr>
                <w:rFonts w:ascii="Arial Narrow" w:hAnsi="Arial Narrow" w:cstheme="minorHAnsi"/>
                <w:sz w:val="20"/>
                <w:szCs w:val="20"/>
              </w:rPr>
              <w:t xml:space="preserve"> (</w:t>
            </w:r>
            <w:r w:rsidR="00870B8B" w:rsidRPr="00EC57FB">
              <w:rPr>
                <w:rFonts w:ascii="Arial Narrow" w:hAnsi="Arial Narrow" w:cstheme="minorHAnsi"/>
                <w:sz w:val="20"/>
                <w:szCs w:val="20"/>
              </w:rPr>
              <w:t>0.5%)</w:t>
            </w:r>
          </w:p>
        </w:tc>
        <w:tc>
          <w:tcPr>
            <w:tcW w:w="0" w:type="auto"/>
            <w:vAlign w:val="center"/>
          </w:tcPr>
          <w:p w14:paraId="47935D84" w14:textId="4AF4FCFB" w:rsidR="00A24635" w:rsidRPr="00EC57FB" w:rsidRDefault="001A35C4">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7/496</w:t>
            </w:r>
            <w:r w:rsidR="00870B8B" w:rsidRPr="00EC57FB">
              <w:rPr>
                <w:rFonts w:ascii="Arial Narrow" w:hAnsi="Arial Narrow" w:cstheme="minorHAnsi"/>
                <w:sz w:val="20"/>
                <w:szCs w:val="20"/>
              </w:rPr>
              <w:t xml:space="preserve"> (1.4%)</w:t>
            </w:r>
          </w:p>
        </w:tc>
        <w:tc>
          <w:tcPr>
            <w:tcW w:w="0" w:type="auto"/>
            <w:vAlign w:val="center"/>
          </w:tcPr>
          <w:p w14:paraId="4E4B461F" w14:textId="77777777" w:rsidR="00A24635" w:rsidRPr="00EC57FB" w:rsidRDefault="00697C50">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64.3%</w:t>
            </w:r>
          </w:p>
          <w:p w14:paraId="31A75B22" w14:textId="578D46DB" w:rsidR="00697C50" w:rsidRPr="00EC57FB" w:rsidRDefault="00697C50">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 xml:space="preserve">(-12.0%, </w:t>
            </w:r>
            <w:r w:rsidR="000729CD" w:rsidRPr="00EC57FB">
              <w:rPr>
                <w:rFonts w:ascii="Arial Narrow" w:hAnsi="Arial Narrow" w:cstheme="minorHAnsi"/>
                <w:sz w:val="20"/>
                <w:szCs w:val="20"/>
              </w:rPr>
              <w:t>88.6%)</w:t>
            </w:r>
          </w:p>
        </w:tc>
        <w:tc>
          <w:tcPr>
            <w:tcW w:w="0" w:type="auto"/>
            <w:vAlign w:val="center"/>
          </w:tcPr>
          <w:p w14:paraId="7C60047C" w14:textId="3E6B99BF" w:rsidR="00A24635" w:rsidRPr="00EC57FB" w:rsidRDefault="000729CD">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0.07</w:t>
            </w:r>
          </w:p>
        </w:tc>
      </w:tr>
      <w:tr w:rsidR="00C745BF" w:rsidRPr="00EC57FB" w14:paraId="2696DBA8" w14:textId="77777777">
        <w:tc>
          <w:tcPr>
            <w:tcW w:w="0" w:type="auto"/>
            <w:vAlign w:val="center"/>
          </w:tcPr>
          <w:p w14:paraId="2ABFDCB0" w14:textId="77777777" w:rsidR="00A24635" w:rsidRPr="00EC57FB" w:rsidRDefault="00A24635">
            <w:pPr>
              <w:pStyle w:val="BodyText"/>
              <w:keepNext/>
              <w:keepLines/>
              <w:rPr>
                <w:rFonts w:ascii="Arial Narrow" w:hAnsi="Arial Narrow" w:cstheme="minorHAnsi"/>
                <w:sz w:val="20"/>
                <w:szCs w:val="20"/>
              </w:rPr>
            </w:pPr>
            <w:r w:rsidRPr="00EC57FB">
              <w:rPr>
                <w:rFonts w:ascii="Arial Narrow" w:hAnsi="Arial Narrow" w:cstheme="minorHAnsi"/>
                <w:sz w:val="20"/>
                <w:szCs w:val="20"/>
              </w:rPr>
              <w:t>Observed events (final analysis)</w:t>
            </w:r>
          </w:p>
        </w:tc>
        <w:tc>
          <w:tcPr>
            <w:tcW w:w="0" w:type="auto"/>
            <w:vAlign w:val="center"/>
          </w:tcPr>
          <w:p w14:paraId="1D821239" w14:textId="4CE0801B" w:rsidR="00A24635" w:rsidRPr="00EC57FB" w:rsidRDefault="001E43C5">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7</w:t>
            </w:r>
            <w:r w:rsidR="00A24635" w:rsidRPr="00EC57FB">
              <w:rPr>
                <w:rFonts w:ascii="Arial Narrow" w:hAnsi="Arial Narrow" w:cstheme="minorHAnsi"/>
                <w:sz w:val="20"/>
                <w:szCs w:val="20"/>
              </w:rPr>
              <w:t>/2009 (</w:t>
            </w:r>
            <w:r w:rsidR="00A86F83" w:rsidRPr="00EC57FB">
              <w:rPr>
                <w:rFonts w:ascii="Arial Narrow" w:hAnsi="Arial Narrow" w:cstheme="minorHAnsi"/>
                <w:sz w:val="20"/>
                <w:szCs w:val="20"/>
              </w:rPr>
              <w:t>0.3</w:t>
            </w:r>
            <w:r w:rsidR="00A24635" w:rsidRPr="00EC57FB">
              <w:rPr>
                <w:rFonts w:ascii="Arial Narrow" w:hAnsi="Arial Narrow" w:cstheme="minorHAnsi"/>
                <w:sz w:val="20"/>
                <w:szCs w:val="20"/>
              </w:rPr>
              <w:t>%)</w:t>
            </w:r>
          </w:p>
        </w:tc>
        <w:tc>
          <w:tcPr>
            <w:tcW w:w="0" w:type="auto"/>
            <w:vAlign w:val="center"/>
          </w:tcPr>
          <w:p w14:paraId="2201D6B9" w14:textId="7FDE5135" w:rsidR="00A24635" w:rsidRPr="00EC57FB" w:rsidRDefault="00F8239C">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17</w:t>
            </w:r>
            <w:r w:rsidR="00A24635" w:rsidRPr="00EC57FB">
              <w:rPr>
                <w:rFonts w:ascii="Arial Narrow" w:hAnsi="Arial Narrow" w:cstheme="minorHAnsi"/>
                <w:sz w:val="20"/>
                <w:szCs w:val="20"/>
              </w:rPr>
              <w:t>/1003 (</w:t>
            </w:r>
            <w:r w:rsidR="00C83260" w:rsidRPr="00EC57FB">
              <w:rPr>
                <w:rFonts w:ascii="Arial Narrow" w:hAnsi="Arial Narrow" w:cstheme="minorHAnsi"/>
                <w:sz w:val="20"/>
                <w:szCs w:val="20"/>
              </w:rPr>
              <w:t>1.7</w:t>
            </w:r>
            <w:r w:rsidR="00A24635" w:rsidRPr="00EC57FB">
              <w:rPr>
                <w:rFonts w:ascii="Arial Narrow" w:hAnsi="Arial Narrow" w:cstheme="minorHAnsi"/>
                <w:sz w:val="20"/>
                <w:szCs w:val="20"/>
              </w:rPr>
              <w:t>%)</w:t>
            </w:r>
          </w:p>
        </w:tc>
        <w:tc>
          <w:tcPr>
            <w:tcW w:w="0" w:type="auto"/>
            <w:vAlign w:val="center"/>
          </w:tcPr>
          <w:p w14:paraId="3B972BA8" w14:textId="3EAE8452" w:rsidR="00A24635" w:rsidRPr="00EC57FB" w:rsidRDefault="00A24635">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7</w:t>
            </w:r>
            <w:r w:rsidR="00C83260" w:rsidRPr="00EC57FB">
              <w:rPr>
                <w:rFonts w:ascii="Arial Narrow" w:hAnsi="Arial Narrow" w:cstheme="minorHAnsi"/>
                <w:b/>
                <w:bCs/>
                <w:sz w:val="20"/>
                <w:szCs w:val="20"/>
              </w:rPr>
              <w:t>5</w:t>
            </w:r>
            <w:r w:rsidR="00F8239C" w:rsidRPr="00EC57FB">
              <w:rPr>
                <w:rFonts w:ascii="Arial Narrow" w:hAnsi="Arial Narrow" w:cstheme="minorHAnsi"/>
                <w:b/>
                <w:bCs/>
                <w:sz w:val="20"/>
                <w:szCs w:val="20"/>
              </w:rPr>
              <w:t>.6</w:t>
            </w:r>
            <w:r w:rsidRPr="00EC57FB">
              <w:rPr>
                <w:rFonts w:ascii="Arial Narrow" w:hAnsi="Arial Narrow" w:cstheme="minorHAnsi"/>
                <w:b/>
                <w:bCs/>
                <w:sz w:val="20"/>
                <w:szCs w:val="20"/>
              </w:rPr>
              <w:t>%</w:t>
            </w:r>
          </w:p>
          <w:p w14:paraId="3172AB91" w14:textId="131C8EE9" w:rsidR="00A24635" w:rsidRPr="00EC57FB" w:rsidRDefault="00A24635">
            <w:pPr>
              <w:pStyle w:val="BodyText"/>
              <w:keepNext/>
              <w:keepLines/>
              <w:jc w:val="center"/>
              <w:rPr>
                <w:rFonts w:ascii="Arial Narrow" w:hAnsi="Arial Narrow" w:cstheme="minorHAnsi"/>
                <w:sz w:val="20"/>
                <w:szCs w:val="20"/>
              </w:rPr>
            </w:pPr>
            <w:r w:rsidRPr="00EC57FB">
              <w:rPr>
                <w:rFonts w:ascii="Arial Narrow" w:hAnsi="Arial Narrow" w:cstheme="minorHAnsi"/>
                <w:b/>
                <w:bCs/>
                <w:sz w:val="20"/>
                <w:szCs w:val="20"/>
              </w:rPr>
              <w:t>(</w:t>
            </w:r>
            <w:r w:rsidR="00F8239C" w:rsidRPr="00EC57FB">
              <w:rPr>
                <w:rFonts w:ascii="Arial Narrow" w:hAnsi="Arial Narrow" w:cstheme="minorHAnsi"/>
                <w:b/>
                <w:bCs/>
                <w:sz w:val="20"/>
                <w:szCs w:val="20"/>
              </w:rPr>
              <w:t>48.8</w:t>
            </w:r>
            <w:r w:rsidRPr="00EC57FB">
              <w:rPr>
                <w:rFonts w:ascii="Arial Narrow" w:hAnsi="Arial Narrow" w:cstheme="minorHAnsi"/>
                <w:b/>
                <w:bCs/>
                <w:sz w:val="20"/>
                <w:szCs w:val="20"/>
              </w:rPr>
              <w:t xml:space="preserve">%, </w:t>
            </w:r>
            <w:r w:rsidR="00F8239C" w:rsidRPr="00EC57FB">
              <w:rPr>
                <w:rFonts w:ascii="Arial Narrow" w:hAnsi="Arial Narrow" w:cstheme="minorHAnsi"/>
                <w:b/>
                <w:bCs/>
                <w:sz w:val="20"/>
                <w:szCs w:val="20"/>
              </w:rPr>
              <w:t>91.0</w:t>
            </w:r>
            <w:r w:rsidRPr="00EC57FB">
              <w:rPr>
                <w:rFonts w:ascii="Arial Narrow" w:hAnsi="Arial Narrow" w:cstheme="minorHAnsi"/>
                <w:b/>
                <w:bCs/>
                <w:sz w:val="20"/>
                <w:szCs w:val="20"/>
              </w:rPr>
              <w:t>%)</w:t>
            </w:r>
          </w:p>
        </w:tc>
        <w:tc>
          <w:tcPr>
            <w:tcW w:w="0" w:type="auto"/>
            <w:vAlign w:val="center"/>
          </w:tcPr>
          <w:p w14:paraId="172CA3DC" w14:textId="77777777" w:rsidR="00A24635" w:rsidRPr="00EC57FB" w:rsidRDefault="00A24635">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NR</w:t>
            </w:r>
          </w:p>
        </w:tc>
      </w:tr>
    </w:tbl>
    <w:p w14:paraId="4FB235AE" w14:textId="0F011B32" w:rsidR="00473284" w:rsidRPr="00EC57FB" w:rsidRDefault="00473284" w:rsidP="00011E21">
      <w:pPr>
        <w:pStyle w:val="FooterTableFigure"/>
        <w:keepNext/>
        <w:keepLines/>
      </w:pPr>
      <w:r w:rsidRPr="00EC57FB">
        <w:t>Source: Table 2.5.1, p</w:t>
      </w:r>
      <w:r w:rsidR="00144E3C" w:rsidRPr="00EC57FB">
        <w:t>78</w:t>
      </w:r>
      <w:r w:rsidRPr="00EC57FB">
        <w:t xml:space="preserve"> of the </w:t>
      </w:r>
      <w:r w:rsidR="00144E3C" w:rsidRPr="00EC57FB">
        <w:t>re</w:t>
      </w:r>
      <w:r w:rsidRPr="00EC57FB">
        <w:t>submission</w:t>
      </w:r>
      <w:r w:rsidR="00F502BD" w:rsidRPr="00EC57FB">
        <w:t xml:space="preserve"> and Table 37 of the MELODY CSR</w:t>
      </w:r>
      <w:r w:rsidR="008E32B0" w:rsidRPr="00EC57FB">
        <w:t xml:space="preserve">, </w:t>
      </w:r>
      <w:r w:rsidR="00552652" w:rsidRPr="00EC57FB">
        <w:t xml:space="preserve">Table 26, </w:t>
      </w:r>
      <w:r w:rsidR="004B5C7F" w:rsidRPr="00EC57FB">
        <w:t>Table 30</w:t>
      </w:r>
      <w:r w:rsidR="00DD36EA" w:rsidRPr="00EC57FB">
        <w:t>, Table 37 and</w:t>
      </w:r>
      <w:r w:rsidR="004B5C7F" w:rsidRPr="00EC57FB">
        <w:t xml:space="preserve"> </w:t>
      </w:r>
      <w:r w:rsidR="000729CD" w:rsidRPr="00EC57FB">
        <w:t>Table 55</w:t>
      </w:r>
      <w:r w:rsidR="00964C30" w:rsidRPr="00EC57FB">
        <w:t xml:space="preserve"> of </w:t>
      </w:r>
      <w:r w:rsidR="009B0D0C" w:rsidRPr="00EC57FB">
        <w:t>the f</w:t>
      </w:r>
      <w:r w:rsidR="00964C30" w:rsidRPr="00EC57FB">
        <w:t>inal clinical study report for MELODY</w:t>
      </w:r>
    </w:p>
    <w:p w14:paraId="3DDF5670" w14:textId="1DE99ED5" w:rsidR="00067A27" w:rsidRPr="00EC57FB" w:rsidRDefault="00067A27" w:rsidP="00011E21">
      <w:pPr>
        <w:pStyle w:val="FooterTableFigure"/>
        <w:keepNext/>
        <w:keepLines/>
      </w:pPr>
      <w:r w:rsidRPr="00EC57FB">
        <w:t>Blue shading is indicative of information previously considered by the PBAC.</w:t>
      </w:r>
    </w:p>
    <w:p w14:paraId="02C236AC" w14:textId="39D8D8DE" w:rsidR="00473284" w:rsidRPr="00EC57FB" w:rsidRDefault="00473284" w:rsidP="00011E21">
      <w:pPr>
        <w:pStyle w:val="FooterTableFigure"/>
        <w:keepNext/>
        <w:keepLines/>
        <w:spacing w:after="0"/>
        <w:contextualSpacing w:val="0"/>
      </w:pPr>
      <w:r w:rsidRPr="00EC57FB">
        <w:t>CI = confidence interval; MA RSV LRTI = medically attended RSV</w:t>
      </w:r>
      <w:r w:rsidR="001A6447" w:rsidRPr="00EC57FB">
        <w:t>-</w:t>
      </w:r>
      <w:r w:rsidRPr="00EC57FB">
        <w:t>associated lower respiratory tract infection;</w:t>
      </w:r>
      <w:r w:rsidR="003074E1" w:rsidRPr="00EC57FB">
        <w:t xml:space="preserve"> </w:t>
      </w:r>
      <w:r w:rsidR="001946EA" w:rsidRPr="00EC57FB">
        <w:t>RRR = relative risk r</w:t>
      </w:r>
      <w:r w:rsidR="007920D7" w:rsidRPr="00EC57FB">
        <w:t xml:space="preserve">eduction; </w:t>
      </w:r>
      <w:r w:rsidRPr="00EC57FB">
        <w:t>RSV = respiratory syncytial virus.</w:t>
      </w:r>
    </w:p>
    <w:p w14:paraId="3B4E6A8C" w14:textId="3A9136E7" w:rsidR="00E53513" w:rsidRPr="00EC57FB" w:rsidRDefault="00473284" w:rsidP="00735BFD">
      <w:pPr>
        <w:pStyle w:val="TableFigureFooter"/>
        <w:spacing w:after="120"/>
      </w:pPr>
      <w:bookmarkStart w:id="74" w:name="_Hlk159580815"/>
      <w:r w:rsidRPr="00EC57FB">
        <w:rPr>
          <w:vertAlign w:val="superscript"/>
        </w:rPr>
        <w:t>a</w:t>
      </w:r>
      <w:r w:rsidRPr="00EC57FB">
        <w:t xml:space="preserve"> Efficacy was defined as the relative risk reduction (calculated as 1 minus the relative risk, where the relative risk was estimated with the use of a Poisson regression model with robust variance) in the nirsevimab group as compared with the placebo group and is expressed as a percentage.</w:t>
      </w:r>
      <w:bookmarkEnd w:id="74"/>
      <w:r w:rsidR="005746C3" w:rsidRPr="00EC57FB">
        <w:br/>
      </w:r>
      <w:r w:rsidR="005746C3" w:rsidRPr="00EC57FB">
        <w:rPr>
          <w:vertAlign w:val="superscript"/>
        </w:rPr>
        <w:t>b</w:t>
      </w:r>
      <w:r w:rsidR="005746C3" w:rsidRPr="00EC57FB">
        <w:t xml:space="preserve"> Very severe medically attended RSV-associated LRTI was defined as infection for which hospitalisation and supplemental oxygen or intravenous fluids were warranted.</w:t>
      </w:r>
      <w:r w:rsidR="004E4A71" w:rsidRPr="00EC57FB">
        <w:t xml:space="preserve"> Results for this exploratory endpoint were not reported in the clinical study report reporting outcomes of the interim analysis.</w:t>
      </w:r>
      <w:r w:rsidR="002039F1" w:rsidRPr="00EC57FB">
        <w:t xml:space="preserve"> </w:t>
      </w:r>
      <w:r w:rsidR="00F162D2" w:rsidRPr="00EC57FB">
        <w:t>The</w:t>
      </w:r>
      <w:r w:rsidR="00931992" w:rsidRPr="00EC57FB">
        <w:t xml:space="preserve"> results of the </w:t>
      </w:r>
      <w:r w:rsidR="00F162D2" w:rsidRPr="00EC57FB">
        <w:t xml:space="preserve">analyses </w:t>
      </w:r>
      <w:r w:rsidR="00931992" w:rsidRPr="00EC57FB">
        <w:t xml:space="preserve">for the cohort </w:t>
      </w:r>
      <w:r w:rsidR="00DF0245" w:rsidRPr="00EC57FB">
        <w:t xml:space="preserve">included in the interim </w:t>
      </w:r>
      <w:r w:rsidR="00931992" w:rsidRPr="00EC57FB">
        <w:t>MELODY</w:t>
      </w:r>
      <w:r w:rsidR="00580293" w:rsidRPr="00EC57FB">
        <w:t>, however, have been reported in</w:t>
      </w:r>
      <w:r w:rsidR="00593AE8" w:rsidRPr="00EC57FB">
        <w:t xml:space="preserve"> Table 55 of</w:t>
      </w:r>
      <w:r w:rsidR="00580293" w:rsidRPr="00EC57FB">
        <w:t xml:space="preserve"> the final clinical study report</w:t>
      </w:r>
      <w:r w:rsidR="002E5289" w:rsidRPr="00EC57FB">
        <w:t>.</w:t>
      </w:r>
      <w:r w:rsidR="004205EB" w:rsidRPr="00EC57FB">
        <w:rPr>
          <w:iCs/>
        </w:rPr>
        <w:br/>
      </w:r>
      <w:r w:rsidR="003756C4" w:rsidRPr="00EC57FB">
        <w:t xml:space="preserve">Note: </w:t>
      </w:r>
      <w:r w:rsidR="003756C4" w:rsidRPr="00EC57FB">
        <w:rPr>
          <w:b/>
          <w:bCs/>
        </w:rPr>
        <w:t>Bold text</w:t>
      </w:r>
      <w:r w:rsidR="003756C4" w:rsidRPr="00EC57FB">
        <w:t xml:space="preserve"> indicates a statistical difference between arms.</w:t>
      </w:r>
    </w:p>
    <w:p w14:paraId="69BDA1BC" w14:textId="348515CA" w:rsidR="0027185D" w:rsidRPr="00EC57FB" w:rsidRDefault="002A6F14" w:rsidP="004A5DD1">
      <w:pPr>
        <w:pStyle w:val="3-BodyText"/>
      </w:pPr>
      <w:bookmarkStart w:id="75" w:name="_Ref187070878"/>
      <w:bookmarkStart w:id="76" w:name="_Ref187082463"/>
      <w:r w:rsidRPr="00EC57FB">
        <w:t>In addition to updated outcomes</w:t>
      </w:r>
      <w:r w:rsidR="00FC1356" w:rsidRPr="00EC57FB">
        <w:t xml:space="preserve"> through to Day 150, </w:t>
      </w:r>
      <w:r w:rsidR="00A2560B" w:rsidRPr="00EC57FB">
        <w:t>outcomes in the periods from</w:t>
      </w:r>
      <w:r w:rsidR="003060DE" w:rsidRPr="00EC57FB">
        <w:t xml:space="preserve"> 152-361 days post-dose and outcomes in the second year following dosing were also available in the public domain </w:t>
      </w:r>
      <w:r w:rsidR="00FB00C4" w:rsidRPr="00EC57FB">
        <w:t xml:space="preserve">(published by Dagan 2024) </w:t>
      </w:r>
      <w:r w:rsidR="003060DE" w:rsidRPr="00EC57FB">
        <w:t xml:space="preserve">but were not presented in the </w:t>
      </w:r>
      <w:r w:rsidR="00342A7A" w:rsidRPr="00EC57FB">
        <w:t>re</w:t>
      </w:r>
      <w:r w:rsidR="003060DE" w:rsidRPr="00EC57FB">
        <w:t>submission.</w:t>
      </w:r>
      <w:r w:rsidR="000D6A4B" w:rsidRPr="00EC57FB">
        <w:t xml:space="preserve"> The </w:t>
      </w:r>
      <w:r w:rsidR="001B2476" w:rsidRPr="00EC57FB">
        <w:t xml:space="preserve">key </w:t>
      </w:r>
      <w:r w:rsidR="000D6A4B" w:rsidRPr="00EC57FB">
        <w:t>results</w:t>
      </w:r>
      <w:r w:rsidR="00E45A1F" w:rsidRPr="00EC57FB">
        <w:t>, summarised in</w:t>
      </w:r>
      <w:r w:rsidR="00BD205F" w:rsidRPr="00EC57FB">
        <w:t xml:space="preserve"> </w:t>
      </w:r>
      <w:r w:rsidR="00D87662" w:rsidRPr="00EC57FB">
        <w:fldChar w:fldCharType="begin"/>
      </w:r>
      <w:r w:rsidR="00D87662" w:rsidRPr="00EC57FB">
        <w:instrText xml:space="preserve"> REF _Ref186917124 \h </w:instrText>
      </w:r>
      <w:r w:rsidR="00C14609" w:rsidRPr="00EC57FB">
        <w:instrText xml:space="preserve"> \* MERGEFORMAT </w:instrText>
      </w:r>
      <w:r w:rsidR="00D87662" w:rsidRPr="00EC57FB">
        <w:fldChar w:fldCharType="separate"/>
      </w:r>
      <w:r w:rsidR="00502C25" w:rsidRPr="00EC57FB">
        <w:t xml:space="preserve">Table </w:t>
      </w:r>
      <w:r w:rsidR="00502C25">
        <w:t>12</w:t>
      </w:r>
      <w:r w:rsidR="00D87662" w:rsidRPr="00EC57FB">
        <w:fldChar w:fldCharType="end"/>
      </w:r>
      <w:r w:rsidR="00294814" w:rsidRPr="00EC57FB">
        <w:t>,</w:t>
      </w:r>
      <w:r w:rsidR="000D6A4B" w:rsidRPr="00EC57FB">
        <w:t xml:space="preserve"> indicate </w:t>
      </w:r>
      <w:r w:rsidR="00E65164" w:rsidRPr="00EC57FB">
        <w:t>that the</w:t>
      </w:r>
      <w:r w:rsidR="00294814" w:rsidRPr="00EC57FB">
        <w:t xml:space="preserve"> difference in the effectiveness of nirsevimab</w:t>
      </w:r>
      <w:r w:rsidR="00B35369" w:rsidRPr="00EC57FB">
        <w:t xml:space="preserve"> </w:t>
      </w:r>
      <w:r w:rsidR="00253B35" w:rsidRPr="00EC57FB">
        <w:t xml:space="preserve">versus placebo </w:t>
      </w:r>
      <w:r w:rsidR="00B35369" w:rsidRPr="00EC57FB">
        <w:t>beyond 150 days</w:t>
      </w:r>
      <w:r w:rsidR="0033133C" w:rsidRPr="00EC57FB">
        <w:t xml:space="preserve"> </w:t>
      </w:r>
      <w:r w:rsidR="00E65164" w:rsidRPr="00EC57FB">
        <w:t xml:space="preserve">is no longer significant. </w:t>
      </w:r>
      <w:r w:rsidR="000F199C" w:rsidRPr="00EC57FB">
        <w:t xml:space="preserve">The resubmission, appropriately, </w:t>
      </w:r>
      <w:r w:rsidR="00720B37" w:rsidRPr="00EC57FB">
        <w:t xml:space="preserve">made </w:t>
      </w:r>
      <w:r w:rsidR="000F199C" w:rsidRPr="00EC57FB">
        <w:t>no claim of effectiveness of nirsevimab beyond 150 days</w:t>
      </w:r>
      <w:r w:rsidR="00A67E06" w:rsidRPr="00EC57FB">
        <w:t xml:space="preserve">. </w:t>
      </w:r>
      <w:r w:rsidR="00E65164" w:rsidRPr="00EC57FB">
        <w:t>T</w:t>
      </w:r>
      <w:r w:rsidR="0033133C" w:rsidRPr="00EC57FB">
        <w:t>he</w:t>
      </w:r>
      <w:r w:rsidR="00EF58FE" w:rsidRPr="00EC57FB">
        <w:t xml:space="preserve"> results</w:t>
      </w:r>
      <w:r w:rsidR="0033133C" w:rsidRPr="00EC57FB">
        <w:t xml:space="preserve"> </w:t>
      </w:r>
      <w:r w:rsidR="00A67E06" w:rsidRPr="00EC57FB">
        <w:t xml:space="preserve">reported by Dagan 2024 </w:t>
      </w:r>
      <w:r w:rsidR="00EF58FE" w:rsidRPr="00EC57FB">
        <w:t xml:space="preserve">indicate </w:t>
      </w:r>
      <w:r w:rsidR="007C3EB4" w:rsidRPr="00EC57FB">
        <w:t xml:space="preserve">no </w:t>
      </w:r>
      <w:r w:rsidR="001B44CD" w:rsidRPr="00EC57FB">
        <w:t xml:space="preserve">antibody-dependent enhancement of infection </w:t>
      </w:r>
      <w:r w:rsidR="00342A7A" w:rsidRPr="00EC57FB">
        <w:t>during</w:t>
      </w:r>
      <w:r w:rsidR="00DC1F14" w:rsidRPr="00EC57FB">
        <w:t xml:space="preserve"> the second year after </w:t>
      </w:r>
      <w:r w:rsidR="00B84CBE" w:rsidRPr="00EC57FB">
        <w:t>nirsevimab administration</w:t>
      </w:r>
      <w:r w:rsidR="004101DF" w:rsidRPr="00EC57FB">
        <w:t>.</w:t>
      </w:r>
      <w:bookmarkEnd w:id="75"/>
      <w:r w:rsidR="001F0420" w:rsidRPr="00EC57FB">
        <w:t xml:space="preserve"> Th</w:t>
      </w:r>
      <w:r w:rsidR="00EE5BA0" w:rsidRPr="00EC57FB">
        <w:t xml:space="preserve">e </w:t>
      </w:r>
      <w:r w:rsidR="00F72FD7" w:rsidRPr="00EC57FB">
        <w:t xml:space="preserve">evaluation considered that the </w:t>
      </w:r>
      <w:r w:rsidR="00EE5BA0" w:rsidRPr="00EC57FB">
        <w:t xml:space="preserve">potential for </w:t>
      </w:r>
      <w:r w:rsidR="009361F8" w:rsidRPr="00EC57FB">
        <w:t>limited duration of protection</w:t>
      </w:r>
      <w:r w:rsidR="00124C6B" w:rsidRPr="00EC57FB">
        <w:t xml:space="preserve"> from MA RSV LRTI</w:t>
      </w:r>
      <w:r w:rsidR="009361F8" w:rsidRPr="00EC57FB">
        <w:t xml:space="preserve"> </w:t>
      </w:r>
      <w:r w:rsidR="00C94BCA" w:rsidRPr="00EC57FB">
        <w:t xml:space="preserve">with nirsevimab </w:t>
      </w:r>
      <w:r w:rsidR="001F0420" w:rsidRPr="00EC57FB">
        <w:t xml:space="preserve">could be an important consideration in determining the most appropriate </w:t>
      </w:r>
      <w:r w:rsidR="00D56358" w:rsidRPr="00EC57FB">
        <w:t xml:space="preserve">overall </w:t>
      </w:r>
      <w:r w:rsidR="001F0420" w:rsidRPr="00EC57FB">
        <w:t>RSV immunisation strategy</w:t>
      </w:r>
      <w:r w:rsidR="009361F8" w:rsidRPr="00EC57FB">
        <w:t xml:space="preserve"> and </w:t>
      </w:r>
      <w:r w:rsidR="001648A9" w:rsidRPr="00EC57FB">
        <w:t xml:space="preserve">for advising on the </w:t>
      </w:r>
      <w:r w:rsidR="009361F8" w:rsidRPr="00EC57FB">
        <w:t xml:space="preserve">timing of administration, </w:t>
      </w:r>
      <w:r w:rsidR="00F72FD7" w:rsidRPr="00EC57FB">
        <w:t xml:space="preserve">as </w:t>
      </w:r>
      <w:r w:rsidR="009361F8" w:rsidRPr="00EC57FB">
        <w:t xml:space="preserve">the risk of RSV </w:t>
      </w:r>
      <w:r w:rsidR="00D56358" w:rsidRPr="00EC57FB">
        <w:t xml:space="preserve">can </w:t>
      </w:r>
      <w:r w:rsidR="009361F8" w:rsidRPr="00EC57FB">
        <w:t>persist year-round</w:t>
      </w:r>
      <w:r w:rsidR="009361F8" w:rsidRPr="00EC57FB" w:rsidDel="009361F8">
        <w:t xml:space="preserve"> </w:t>
      </w:r>
      <w:r w:rsidR="009361F8" w:rsidRPr="00EC57FB">
        <w:t xml:space="preserve">in the </w:t>
      </w:r>
      <w:r w:rsidR="001F0420" w:rsidRPr="00EC57FB">
        <w:t>tropical and subtropical regions</w:t>
      </w:r>
      <w:r w:rsidR="00F72FD7" w:rsidRPr="00EC57FB">
        <w:t xml:space="preserve"> of Australia</w:t>
      </w:r>
      <w:r w:rsidR="001F0420" w:rsidRPr="00EC57FB">
        <w:t>.</w:t>
      </w:r>
      <w:bookmarkEnd w:id="76"/>
    </w:p>
    <w:p w14:paraId="27CF7A56" w14:textId="4A31073B" w:rsidR="0015558B" w:rsidRPr="00EC57FB" w:rsidRDefault="00D15E7E" w:rsidP="00D15E7E">
      <w:pPr>
        <w:pStyle w:val="Caption"/>
      </w:pPr>
      <w:bookmarkStart w:id="77" w:name="_Ref186917124"/>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12</w:t>
      </w:r>
      <w:r w:rsidR="00C51E7C" w:rsidRPr="00EC57FB">
        <w:fldChar w:fldCharType="end"/>
      </w:r>
      <w:bookmarkEnd w:id="77"/>
      <w:r w:rsidRPr="00EC57FB">
        <w:t>:</w:t>
      </w:r>
      <w:r w:rsidRPr="00EC57FB">
        <w:tab/>
        <w:t xml:space="preserve"> </w:t>
      </w:r>
      <w:r w:rsidR="005F519A" w:rsidRPr="00EC57FB">
        <w:t>Incidence of RSV-associated respiratory disease</w:t>
      </w:r>
      <w:r w:rsidR="00840C3B" w:rsidRPr="00EC57FB">
        <w:t xml:space="preserve"> 152–361 days post-dose</w:t>
      </w:r>
      <w:r w:rsidR="005F519A" w:rsidRPr="00EC57FB">
        <w:t xml:space="preserve"> in the MELODY trial</w:t>
      </w:r>
    </w:p>
    <w:tbl>
      <w:tblPr>
        <w:tblStyle w:val="TableGrid"/>
        <w:tblW w:w="0" w:type="auto"/>
        <w:tblLook w:val="04A0" w:firstRow="1" w:lastRow="0" w:firstColumn="1" w:lastColumn="0" w:noHBand="0" w:noVBand="1"/>
      </w:tblPr>
      <w:tblGrid>
        <w:gridCol w:w="3472"/>
        <w:gridCol w:w="1659"/>
        <w:gridCol w:w="1660"/>
        <w:gridCol w:w="2226"/>
      </w:tblGrid>
      <w:tr w:rsidR="00AE4F6D" w:rsidRPr="00EC57FB" w14:paraId="727F803A" w14:textId="77777777" w:rsidTr="00025750">
        <w:tc>
          <w:tcPr>
            <w:tcW w:w="3472" w:type="dxa"/>
            <w:vAlign w:val="center"/>
          </w:tcPr>
          <w:p w14:paraId="4621544D" w14:textId="76F4DB6D" w:rsidR="00AE4F6D" w:rsidRPr="00EC57FB" w:rsidRDefault="00AE4F6D" w:rsidP="00266177">
            <w:pPr>
              <w:pStyle w:val="TableText0"/>
              <w:rPr>
                <w:b/>
                <w:bCs w:val="0"/>
              </w:rPr>
            </w:pPr>
            <w:r w:rsidRPr="00EC57FB">
              <w:rPr>
                <w:b/>
                <w:bCs w:val="0"/>
              </w:rPr>
              <w:t>Event</w:t>
            </w:r>
          </w:p>
        </w:tc>
        <w:tc>
          <w:tcPr>
            <w:tcW w:w="1659" w:type="dxa"/>
            <w:vAlign w:val="center"/>
          </w:tcPr>
          <w:p w14:paraId="39A88161" w14:textId="77777777" w:rsidR="00AE4F6D" w:rsidRPr="00EC57FB" w:rsidRDefault="00AE4F6D" w:rsidP="00266177">
            <w:pPr>
              <w:pStyle w:val="TableText0"/>
              <w:jc w:val="center"/>
              <w:rPr>
                <w:b/>
                <w:bCs w:val="0"/>
              </w:rPr>
            </w:pPr>
            <w:r w:rsidRPr="00EC57FB">
              <w:rPr>
                <w:b/>
                <w:bCs w:val="0"/>
              </w:rPr>
              <w:t>Nirsevimab arm</w:t>
            </w:r>
          </w:p>
          <w:p w14:paraId="07ABE6EB" w14:textId="2A3E5645" w:rsidR="00AE4F6D" w:rsidRPr="00EC57FB" w:rsidRDefault="00AE4F6D" w:rsidP="00266177">
            <w:pPr>
              <w:pStyle w:val="TableText0"/>
              <w:jc w:val="center"/>
              <w:rPr>
                <w:b/>
                <w:bCs w:val="0"/>
              </w:rPr>
            </w:pPr>
            <w:r w:rsidRPr="00EC57FB">
              <w:rPr>
                <w:b/>
                <w:bCs w:val="0"/>
              </w:rPr>
              <w:t>n/N (%)</w:t>
            </w:r>
          </w:p>
        </w:tc>
        <w:tc>
          <w:tcPr>
            <w:tcW w:w="1660" w:type="dxa"/>
            <w:vAlign w:val="center"/>
          </w:tcPr>
          <w:p w14:paraId="2E876A7E" w14:textId="77777777" w:rsidR="00AE4F6D" w:rsidRPr="00EC57FB" w:rsidRDefault="00AE4F6D" w:rsidP="00266177">
            <w:pPr>
              <w:pStyle w:val="TableText0"/>
              <w:jc w:val="center"/>
              <w:rPr>
                <w:b/>
                <w:bCs w:val="0"/>
              </w:rPr>
            </w:pPr>
            <w:r w:rsidRPr="00EC57FB">
              <w:rPr>
                <w:b/>
                <w:bCs w:val="0"/>
              </w:rPr>
              <w:t>Placebo arm</w:t>
            </w:r>
          </w:p>
          <w:p w14:paraId="68C669C9" w14:textId="664A7782" w:rsidR="00AE4F6D" w:rsidRPr="00EC57FB" w:rsidRDefault="00AE4F6D" w:rsidP="00266177">
            <w:pPr>
              <w:pStyle w:val="TableText0"/>
              <w:jc w:val="center"/>
              <w:rPr>
                <w:b/>
                <w:bCs w:val="0"/>
              </w:rPr>
            </w:pPr>
            <w:r w:rsidRPr="00EC57FB">
              <w:rPr>
                <w:b/>
                <w:bCs w:val="0"/>
              </w:rPr>
              <w:t>n/N (%)</w:t>
            </w:r>
          </w:p>
        </w:tc>
        <w:tc>
          <w:tcPr>
            <w:tcW w:w="2226" w:type="dxa"/>
            <w:vAlign w:val="center"/>
          </w:tcPr>
          <w:p w14:paraId="1ED52880" w14:textId="00FA2C72" w:rsidR="00AE4F6D" w:rsidRPr="00EC57FB" w:rsidRDefault="00AE4F6D" w:rsidP="00266177">
            <w:pPr>
              <w:pStyle w:val="TableText0"/>
              <w:jc w:val="center"/>
              <w:rPr>
                <w:b/>
                <w:bCs w:val="0"/>
              </w:rPr>
            </w:pPr>
            <w:r w:rsidRPr="00EC57FB">
              <w:rPr>
                <w:b/>
                <w:bCs w:val="0"/>
              </w:rPr>
              <w:t>Unadjusted RR</w:t>
            </w:r>
            <w:r w:rsidR="001D4984" w:rsidRPr="00EC57FB">
              <w:rPr>
                <w:b/>
                <w:bCs w:val="0"/>
              </w:rPr>
              <w:t>R</w:t>
            </w:r>
            <w:r w:rsidR="0045295D" w:rsidRPr="00EC57FB">
              <w:rPr>
                <w:b/>
                <w:bCs w:val="0"/>
                <w:vertAlign w:val="superscript"/>
              </w:rPr>
              <w:t>a</w:t>
            </w:r>
            <w:r w:rsidR="009E65B8" w:rsidRPr="00EC57FB">
              <w:rPr>
                <w:b/>
                <w:bCs w:val="0"/>
              </w:rPr>
              <w:br/>
            </w:r>
            <w:r w:rsidRPr="00EC57FB">
              <w:rPr>
                <w:b/>
                <w:bCs w:val="0"/>
              </w:rPr>
              <w:t>(95% CI)</w:t>
            </w:r>
          </w:p>
        </w:tc>
      </w:tr>
      <w:tr w:rsidR="00AE4F6D" w:rsidRPr="00EC57FB" w14:paraId="730098DD" w14:textId="77777777" w:rsidTr="00025750">
        <w:tc>
          <w:tcPr>
            <w:tcW w:w="3472" w:type="dxa"/>
            <w:vAlign w:val="center"/>
          </w:tcPr>
          <w:p w14:paraId="20672716" w14:textId="6EBFD115" w:rsidR="00AE4F6D" w:rsidRPr="00EC57FB" w:rsidRDefault="00521EFD" w:rsidP="00266177">
            <w:pPr>
              <w:pStyle w:val="TableText0"/>
            </w:pPr>
            <w:r w:rsidRPr="00EC57FB">
              <w:t>Medically attended RSV LRTI (per-protocol definition)</w:t>
            </w:r>
          </w:p>
        </w:tc>
        <w:tc>
          <w:tcPr>
            <w:tcW w:w="1659" w:type="dxa"/>
            <w:vAlign w:val="center"/>
          </w:tcPr>
          <w:p w14:paraId="30532DC4" w14:textId="6BF3E705" w:rsidR="00AE4F6D" w:rsidRPr="00EC57FB" w:rsidRDefault="00B96090" w:rsidP="00521EFD">
            <w:pPr>
              <w:pStyle w:val="TableText0"/>
              <w:jc w:val="center"/>
            </w:pPr>
            <w:r w:rsidRPr="00EC57FB">
              <w:t>16/1977 (0.8%)</w:t>
            </w:r>
          </w:p>
        </w:tc>
        <w:tc>
          <w:tcPr>
            <w:tcW w:w="1660" w:type="dxa"/>
            <w:vAlign w:val="center"/>
          </w:tcPr>
          <w:p w14:paraId="020F8994" w14:textId="7DE44B31" w:rsidR="00AE4F6D" w:rsidRPr="00EC57FB" w:rsidRDefault="00B96090" w:rsidP="00521EFD">
            <w:pPr>
              <w:pStyle w:val="TableText0"/>
              <w:jc w:val="center"/>
            </w:pPr>
            <w:r w:rsidRPr="00EC57FB">
              <w:t>13/985 (1.3%)</w:t>
            </w:r>
          </w:p>
        </w:tc>
        <w:tc>
          <w:tcPr>
            <w:tcW w:w="2226" w:type="dxa"/>
            <w:vAlign w:val="center"/>
          </w:tcPr>
          <w:p w14:paraId="291DB049" w14:textId="54725FFB" w:rsidR="00AE4F6D" w:rsidRPr="00EC57FB" w:rsidRDefault="00231704" w:rsidP="00521EFD">
            <w:pPr>
              <w:pStyle w:val="TableText0"/>
              <w:jc w:val="center"/>
            </w:pPr>
            <w:r w:rsidRPr="00EC57FB">
              <w:t>39%</w:t>
            </w:r>
            <w:r w:rsidR="004D1943" w:rsidRPr="00EC57FB">
              <w:t xml:space="preserve"> (</w:t>
            </w:r>
            <w:r w:rsidR="005767A1" w:rsidRPr="00EC57FB">
              <w:t>-27</w:t>
            </w:r>
            <w:r w:rsidRPr="00EC57FB">
              <w:t>%</w:t>
            </w:r>
            <w:r w:rsidR="004D1943" w:rsidRPr="00EC57FB">
              <w:t xml:space="preserve">, </w:t>
            </w:r>
            <w:r w:rsidR="00B940B9" w:rsidRPr="00EC57FB">
              <w:t>70</w:t>
            </w:r>
            <w:r w:rsidRPr="00EC57FB">
              <w:t>%</w:t>
            </w:r>
            <w:r w:rsidR="004D1943" w:rsidRPr="00EC57FB">
              <w:t>)</w:t>
            </w:r>
          </w:p>
        </w:tc>
      </w:tr>
      <w:tr w:rsidR="00AE4F6D" w:rsidRPr="00EC57FB" w14:paraId="61A16972" w14:textId="77777777" w:rsidTr="00025750">
        <w:tc>
          <w:tcPr>
            <w:tcW w:w="3472" w:type="dxa"/>
            <w:vAlign w:val="center"/>
          </w:tcPr>
          <w:p w14:paraId="78F55DE7" w14:textId="0ADE0D67" w:rsidR="00AE4F6D" w:rsidRPr="00EC57FB" w:rsidRDefault="00E878CA" w:rsidP="00266177">
            <w:pPr>
              <w:pStyle w:val="TableText0"/>
              <w:rPr>
                <w:b/>
                <w:bCs w:val="0"/>
              </w:rPr>
            </w:pPr>
            <w:r w:rsidRPr="00EC57FB">
              <w:t>Medically attended RSV LRTI (per-protocol definition) with hospitalisation</w:t>
            </w:r>
          </w:p>
        </w:tc>
        <w:tc>
          <w:tcPr>
            <w:tcW w:w="1659" w:type="dxa"/>
            <w:vAlign w:val="center"/>
          </w:tcPr>
          <w:p w14:paraId="78205E6D" w14:textId="1E39D2E9" w:rsidR="00AE4F6D" w:rsidRPr="00EC57FB" w:rsidRDefault="00E878CA" w:rsidP="00521EFD">
            <w:pPr>
              <w:pStyle w:val="TableText0"/>
              <w:jc w:val="center"/>
            </w:pPr>
            <w:r w:rsidRPr="00EC57FB">
              <w:t>2/1977 (0.</w:t>
            </w:r>
            <w:r w:rsidR="004358EC" w:rsidRPr="00EC57FB">
              <w:t>1</w:t>
            </w:r>
            <w:r w:rsidRPr="00EC57FB">
              <w:t>%)</w:t>
            </w:r>
          </w:p>
        </w:tc>
        <w:tc>
          <w:tcPr>
            <w:tcW w:w="1660" w:type="dxa"/>
            <w:vAlign w:val="center"/>
          </w:tcPr>
          <w:p w14:paraId="0CD37104" w14:textId="0CACB6E2" w:rsidR="00AE4F6D" w:rsidRPr="00EC57FB" w:rsidRDefault="00E878CA" w:rsidP="00521EFD">
            <w:pPr>
              <w:pStyle w:val="TableText0"/>
              <w:jc w:val="center"/>
            </w:pPr>
            <w:r w:rsidRPr="00EC57FB">
              <w:t>2/</w:t>
            </w:r>
            <w:r w:rsidR="009E68D4" w:rsidRPr="00EC57FB">
              <w:t>985</w:t>
            </w:r>
            <w:r w:rsidRPr="00EC57FB">
              <w:t xml:space="preserve"> (0.2%)</w:t>
            </w:r>
          </w:p>
        </w:tc>
        <w:tc>
          <w:tcPr>
            <w:tcW w:w="2226" w:type="dxa"/>
            <w:vAlign w:val="center"/>
          </w:tcPr>
          <w:p w14:paraId="26A34BD8" w14:textId="2754645A" w:rsidR="00AE4F6D" w:rsidRPr="00EC57FB" w:rsidRDefault="00231704" w:rsidP="00521EFD">
            <w:pPr>
              <w:pStyle w:val="TableText0"/>
              <w:jc w:val="center"/>
            </w:pPr>
            <w:r w:rsidRPr="00EC57FB">
              <w:t>50%</w:t>
            </w:r>
            <w:r w:rsidR="004C6F44" w:rsidRPr="00EC57FB">
              <w:t xml:space="preserve"> (</w:t>
            </w:r>
            <w:r w:rsidR="00B97216" w:rsidRPr="00EC57FB">
              <w:t>-253</w:t>
            </w:r>
            <w:r w:rsidRPr="00EC57FB">
              <w:t>%</w:t>
            </w:r>
            <w:r w:rsidR="00B97216" w:rsidRPr="00EC57FB">
              <w:t xml:space="preserve">, </w:t>
            </w:r>
            <w:r w:rsidR="006205A9" w:rsidRPr="00EC57FB">
              <w:t>93</w:t>
            </w:r>
            <w:r w:rsidRPr="00EC57FB">
              <w:t>%</w:t>
            </w:r>
            <w:r w:rsidR="006205A9" w:rsidRPr="00EC57FB">
              <w:t>)</w:t>
            </w:r>
          </w:p>
        </w:tc>
      </w:tr>
      <w:tr w:rsidR="00846599" w:rsidRPr="00EC57FB" w14:paraId="28411374" w14:textId="77777777" w:rsidTr="00025750">
        <w:tc>
          <w:tcPr>
            <w:tcW w:w="3472" w:type="dxa"/>
            <w:vAlign w:val="center"/>
          </w:tcPr>
          <w:p w14:paraId="08571B4D" w14:textId="5EF4ADE3" w:rsidR="00846599" w:rsidRPr="00EC57FB" w:rsidRDefault="00846599" w:rsidP="00846599">
            <w:pPr>
              <w:pStyle w:val="TableText0"/>
            </w:pPr>
            <w:r w:rsidRPr="00EC57FB">
              <w:t>Medically attended RSV-associated LRTI (in investigator’s judgement) on any test result (central reference test for the trial or a local test performed in the context of clinical care)</w:t>
            </w:r>
          </w:p>
        </w:tc>
        <w:tc>
          <w:tcPr>
            <w:tcW w:w="1659" w:type="dxa"/>
            <w:vAlign w:val="center"/>
          </w:tcPr>
          <w:p w14:paraId="10BF0722" w14:textId="741B40C7" w:rsidR="00846599" w:rsidRPr="00EC57FB" w:rsidRDefault="00846599" w:rsidP="00846599">
            <w:pPr>
              <w:pStyle w:val="TableText0"/>
              <w:jc w:val="center"/>
            </w:pPr>
            <w:r w:rsidRPr="00EC57FB">
              <w:t>25/1977 (0.8%)</w:t>
            </w:r>
          </w:p>
        </w:tc>
        <w:tc>
          <w:tcPr>
            <w:tcW w:w="1660" w:type="dxa"/>
            <w:vAlign w:val="center"/>
          </w:tcPr>
          <w:p w14:paraId="0B8152A3" w14:textId="5738746D" w:rsidR="00846599" w:rsidRPr="00EC57FB" w:rsidRDefault="00155D21" w:rsidP="00846599">
            <w:pPr>
              <w:pStyle w:val="TableText0"/>
              <w:jc w:val="center"/>
            </w:pPr>
            <w:r w:rsidRPr="00EC57FB">
              <w:t>19</w:t>
            </w:r>
            <w:r w:rsidR="00846599" w:rsidRPr="00EC57FB">
              <w:t>/985 (1.3%)</w:t>
            </w:r>
          </w:p>
        </w:tc>
        <w:tc>
          <w:tcPr>
            <w:tcW w:w="2226" w:type="dxa"/>
            <w:vAlign w:val="center"/>
          </w:tcPr>
          <w:p w14:paraId="7B4BDBED" w14:textId="13200038" w:rsidR="00846599" w:rsidRPr="00EC57FB" w:rsidRDefault="006205A9" w:rsidP="00846599">
            <w:pPr>
              <w:pStyle w:val="TableText0"/>
              <w:jc w:val="center"/>
            </w:pPr>
            <w:r w:rsidRPr="00EC57FB">
              <w:t>34</w:t>
            </w:r>
            <w:r w:rsidR="00231704" w:rsidRPr="00EC57FB">
              <w:t>%</w:t>
            </w:r>
            <w:r w:rsidR="00846599" w:rsidRPr="00EC57FB">
              <w:t xml:space="preserve"> (</w:t>
            </w:r>
            <w:r w:rsidR="002B224F" w:rsidRPr="00EC57FB">
              <w:t>-18</w:t>
            </w:r>
            <w:r w:rsidR="00231704" w:rsidRPr="00EC57FB">
              <w:t>%</w:t>
            </w:r>
            <w:r w:rsidR="001F347C" w:rsidRPr="00EC57FB">
              <w:t xml:space="preserve">, </w:t>
            </w:r>
            <w:r w:rsidR="00B53BFE" w:rsidRPr="00EC57FB">
              <w:t>64</w:t>
            </w:r>
            <w:r w:rsidR="00231704" w:rsidRPr="00EC57FB">
              <w:t>%</w:t>
            </w:r>
            <w:r w:rsidR="00B53BFE" w:rsidRPr="00EC57FB">
              <w:t>)</w:t>
            </w:r>
          </w:p>
        </w:tc>
      </w:tr>
      <w:tr w:rsidR="00155D21" w:rsidRPr="00EC57FB" w14:paraId="159AD899" w14:textId="77777777" w:rsidTr="00025750">
        <w:tc>
          <w:tcPr>
            <w:tcW w:w="3472" w:type="dxa"/>
            <w:vAlign w:val="center"/>
          </w:tcPr>
          <w:p w14:paraId="4DCA09DA" w14:textId="409D04A9" w:rsidR="00155D21" w:rsidRPr="00EC57FB" w:rsidRDefault="00764093" w:rsidP="00764093">
            <w:pPr>
              <w:pStyle w:val="TableText0"/>
            </w:pPr>
            <w:r w:rsidRPr="00EC57FB">
              <w:t>Hospitalisation for any respiratory illness (including upper respiratory tract infection) due to RSV on any test result</w:t>
            </w:r>
          </w:p>
        </w:tc>
        <w:tc>
          <w:tcPr>
            <w:tcW w:w="1659" w:type="dxa"/>
            <w:vAlign w:val="center"/>
          </w:tcPr>
          <w:p w14:paraId="5AE8C52A" w14:textId="45050D64" w:rsidR="00155D21" w:rsidRPr="00EC57FB" w:rsidRDefault="00764093" w:rsidP="00846599">
            <w:pPr>
              <w:pStyle w:val="TableText0"/>
              <w:jc w:val="center"/>
            </w:pPr>
            <w:r w:rsidRPr="00EC57FB">
              <w:t>3</w:t>
            </w:r>
            <w:r w:rsidR="0039186F" w:rsidRPr="00EC57FB">
              <w:t>/1977</w:t>
            </w:r>
            <w:r w:rsidRPr="00EC57FB">
              <w:t xml:space="preserve"> (0.2</w:t>
            </w:r>
            <w:r w:rsidR="009F3EDD" w:rsidRPr="00EC57FB">
              <w:t>%</w:t>
            </w:r>
            <w:r w:rsidRPr="00EC57FB">
              <w:t>)</w:t>
            </w:r>
          </w:p>
        </w:tc>
        <w:tc>
          <w:tcPr>
            <w:tcW w:w="1660" w:type="dxa"/>
            <w:vAlign w:val="center"/>
          </w:tcPr>
          <w:p w14:paraId="2EE0B559" w14:textId="6DDF8ECA" w:rsidR="00155D21" w:rsidRPr="00EC57FB" w:rsidRDefault="00764093" w:rsidP="00846599">
            <w:pPr>
              <w:pStyle w:val="TableText0"/>
              <w:jc w:val="center"/>
            </w:pPr>
            <w:r w:rsidRPr="00EC57FB">
              <w:t>2</w:t>
            </w:r>
            <w:r w:rsidR="0039186F" w:rsidRPr="00EC57FB">
              <w:t>/985</w:t>
            </w:r>
            <w:r w:rsidRPr="00EC57FB">
              <w:t xml:space="preserve"> (0.2</w:t>
            </w:r>
            <w:r w:rsidR="009F3EDD" w:rsidRPr="00EC57FB">
              <w:t>%</w:t>
            </w:r>
            <w:r w:rsidR="0039186F" w:rsidRPr="00EC57FB">
              <w:t>)</w:t>
            </w:r>
          </w:p>
        </w:tc>
        <w:tc>
          <w:tcPr>
            <w:tcW w:w="2226" w:type="dxa"/>
            <w:vAlign w:val="center"/>
          </w:tcPr>
          <w:p w14:paraId="7D99F00B" w14:textId="0700C99E" w:rsidR="00155D21" w:rsidRPr="00EC57FB" w:rsidRDefault="00B53BFE" w:rsidP="00846599">
            <w:pPr>
              <w:pStyle w:val="TableText0"/>
              <w:jc w:val="center"/>
            </w:pPr>
            <w:r w:rsidRPr="00EC57FB">
              <w:t>25</w:t>
            </w:r>
            <w:r w:rsidR="00231704" w:rsidRPr="00EC57FB">
              <w:t>%</w:t>
            </w:r>
            <w:r w:rsidR="00BD205F" w:rsidRPr="00EC57FB">
              <w:t xml:space="preserve"> (</w:t>
            </w:r>
            <w:r w:rsidRPr="00EC57FB">
              <w:t>-347</w:t>
            </w:r>
            <w:r w:rsidR="00231704" w:rsidRPr="00EC57FB">
              <w:t>%</w:t>
            </w:r>
            <w:r w:rsidRPr="00EC57FB">
              <w:t>, 87</w:t>
            </w:r>
            <w:r w:rsidR="00231704" w:rsidRPr="00EC57FB">
              <w:t>%</w:t>
            </w:r>
            <w:r w:rsidRPr="00EC57FB">
              <w:t>)</w:t>
            </w:r>
          </w:p>
        </w:tc>
      </w:tr>
    </w:tbl>
    <w:p w14:paraId="202AA994" w14:textId="3CE49D98" w:rsidR="00840C3B" w:rsidRPr="00EC57FB" w:rsidRDefault="00BD205F" w:rsidP="00501E19">
      <w:pPr>
        <w:pStyle w:val="TableFigureFooter"/>
      </w:pPr>
      <w:r w:rsidRPr="00EC57FB">
        <w:t>Source: Supplementary Table 2, Dagan 2024</w:t>
      </w:r>
    </w:p>
    <w:p w14:paraId="7BDE8CA7" w14:textId="76023F07" w:rsidR="004A1AC3" w:rsidRPr="00EC57FB" w:rsidRDefault="004A1AC3" w:rsidP="00501E19">
      <w:pPr>
        <w:pStyle w:val="TableFigureFooter"/>
      </w:pPr>
      <w:r w:rsidRPr="00EC57FB">
        <w:rPr>
          <w:vertAlign w:val="superscript"/>
        </w:rPr>
        <w:t>a</w:t>
      </w:r>
      <w:r w:rsidRPr="00EC57FB">
        <w:t xml:space="preserve"> Estimated during the evaluation</w:t>
      </w:r>
    </w:p>
    <w:p w14:paraId="2A405C51" w14:textId="28042DB8" w:rsidR="00E53513" w:rsidRPr="00EC57FB" w:rsidRDefault="00996237" w:rsidP="00735BFD">
      <w:pPr>
        <w:pStyle w:val="TableFigureFooter"/>
        <w:spacing w:after="120"/>
      </w:pPr>
      <w:r w:rsidRPr="00EC57FB">
        <w:t xml:space="preserve">RSV = respiratory syncytial virus; </w:t>
      </w:r>
      <w:r w:rsidR="003F4E77" w:rsidRPr="00EC57FB">
        <w:t>RSV LRTI</w:t>
      </w:r>
      <w:r w:rsidRPr="00EC57FB">
        <w:t xml:space="preserve"> = RSV-associated lower respiratory tract infection</w:t>
      </w:r>
      <w:r w:rsidR="009E4829" w:rsidRPr="00EC57FB">
        <w:t>.</w:t>
      </w:r>
    </w:p>
    <w:p w14:paraId="31FBD337" w14:textId="03B6BBD3" w:rsidR="001E02B0" w:rsidRPr="00EC57FB" w:rsidRDefault="002067A9" w:rsidP="009E65B8">
      <w:pPr>
        <w:pStyle w:val="3-BodyText"/>
        <w:rPr>
          <w:iCs/>
        </w:rPr>
      </w:pPr>
      <w:r w:rsidRPr="00EC57FB">
        <w:t xml:space="preserve">The outcomes from the </w:t>
      </w:r>
      <w:r w:rsidR="0009360A" w:rsidRPr="00EC57FB">
        <w:t xml:space="preserve">observational </w:t>
      </w:r>
      <w:r w:rsidRPr="00EC57FB">
        <w:t xml:space="preserve">studies </w:t>
      </w:r>
      <w:r w:rsidR="00B73482" w:rsidRPr="00EC57FB">
        <w:t xml:space="preserve">listed in </w:t>
      </w:r>
      <w:r w:rsidR="00B73482" w:rsidRPr="00EC57FB">
        <w:fldChar w:fldCharType="begin"/>
      </w:r>
      <w:r w:rsidR="00B73482" w:rsidRPr="00EC57FB">
        <w:instrText xml:space="preserve"> REF _Ref185177458 \h </w:instrText>
      </w:r>
      <w:r w:rsidR="00B73482" w:rsidRPr="00EC57FB">
        <w:fldChar w:fldCharType="separate"/>
      </w:r>
      <w:r w:rsidR="00502C25" w:rsidRPr="00EC57FB">
        <w:t xml:space="preserve">Table </w:t>
      </w:r>
      <w:r w:rsidR="00502C25">
        <w:rPr>
          <w:noProof/>
        </w:rPr>
        <w:t>8</w:t>
      </w:r>
      <w:r w:rsidR="00B73482" w:rsidRPr="00EC57FB">
        <w:fldChar w:fldCharType="end"/>
      </w:r>
      <w:r w:rsidR="00B73482" w:rsidRPr="00EC57FB">
        <w:t xml:space="preserve"> </w:t>
      </w:r>
      <w:r w:rsidRPr="00EC57FB">
        <w:t>w</w:t>
      </w:r>
      <w:r w:rsidR="0009360A" w:rsidRPr="00EC57FB">
        <w:t>ere</w:t>
      </w:r>
      <w:r w:rsidRPr="00EC57FB">
        <w:t xml:space="preserve"> consistent with the evidence from the MELODY trial.</w:t>
      </w:r>
    </w:p>
    <w:p w14:paraId="24523A26" w14:textId="5D3583FE" w:rsidR="00B076E6" w:rsidRPr="00EC57FB" w:rsidRDefault="00B076E6" w:rsidP="00735BFD">
      <w:pPr>
        <w:pStyle w:val="6-subsection"/>
        <w:spacing w:after="120"/>
      </w:pPr>
      <w:r w:rsidRPr="00EC57FB">
        <w:t>Meta-analys</w:t>
      </w:r>
      <w:r w:rsidR="005D2CB0" w:rsidRPr="00EC57FB">
        <w:t>e</w:t>
      </w:r>
      <w:r w:rsidRPr="00EC57FB">
        <w:t xml:space="preserve">s of Phase 2b </w:t>
      </w:r>
      <w:r w:rsidR="009733D7" w:rsidRPr="00EC57FB">
        <w:t xml:space="preserve">and MELODY </w:t>
      </w:r>
      <w:r w:rsidRPr="00EC57FB">
        <w:t>trial</w:t>
      </w:r>
      <w:r w:rsidR="00C5488B" w:rsidRPr="00EC57FB">
        <w:t>s</w:t>
      </w:r>
    </w:p>
    <w:p w14:paraId="41FB68EB" w14:textId="4F508D3E" w:rsidR="00D3656E" w:rsidRPr="00EC57FB" w:rsidRDefault="001F7440" w:rsidP="00A120BD">
      <w:pPr>
        <w:pStyle w:val="3-BodyText"/>
        <w:rPr>
          <w:iCs/>
        </w:rPr>
      </w:pPr>
      <w:r w:rsidRPr="00EC57FB">
        <w:fldChar w:fldCharType="begin"/>
      </w:r>
      <w:r w:rsidRPr="00EC57FB">
        <w:instrText xml:space="preserve"> REF _Ref185852530 \h </w:instrText>
      </w:r>
      <w:r w:rsidRPr="00EC57FB">
        <w:fldChar w:fldCharType="separate"/>
      </w:r>
      <w:r w:rsidR="00502C25" w:rsidRPr="00EC57FB">
        <w:t xml:space="preserve">Table </w:t>
      </w:r>
      <w:r w:rsidR="00502C25">
        <w:rPr>
          <w:noProof/>
        </w:rPr>
        <w:t>13</w:t>
      </w:r>
      <w:r w:rsidRPr="00EC57FB">
        <w:fldChar w:fldCharType="end"/>
      </w:r>
      <w:r w:rsidRPr="00EC57FB">
        <w:t xml:space="preserve"> presents the results of the</w:t>
      </w:r>
      <w:r w:rsidR="00951759" w:rsidRPr="00EC57FB">
        <w:t xml:space="preserve"> meta-analysis of </w:t>
      </w:r>
      <w:r w:rsidR="009733D7" w:rsidRPr="00EC57FB">
        <w:t xml:space="preserve">the </w:t>
      </w:r>
      <w:r w:rsidR="00B076E6" w:rsidRPr="00EC57FB">
        <w:t xml:space="preserve">Phase 2b </w:t>
      </w:r>
      <w:r w:rsidR="009733D7" w:rsidRPr="00EC57FB">
        <w:t>and MELODY trials,</w:t>
      </w:r>
      <w:r w:rsidR="00951759" w:rsidRPr="00EC57FB">
        <w:t xml:space="preserve"> </w:t>
      </w:r>
      <w:r w:rsidR="005D2CB0" w:rsidRPr="00EC57FB">
        <w:t xml:space="preserve">as reported by </w:t>
      </w:r>
      <w:bookmarkStart w:id="78" w:name="_Hlk185857033"/>
      <w:r w:rsidR="00206D26" w:rsidRPr="00EC57FB">
        <w:t xml:space="preserve">Simões </w:t>
      </w:r>
      <w:r w:rsidR="00534FB2" w:rsidRPr="00EC57FB">
        <w:t>2023</w:t>
      </w:r>
      <w:bookmarkEnd w:id="78"/>
      <w:r w:rsidR="00951759" w:rsidRPr="00EC57FB">
        <w:t>.</w:t>
      </w:r>
    </w:p>
    <w:bookmarkStart w:id="79" w:name="_Ref199914450"/>
    <w:p w14:paraId="5640C8E2" w14:textId="7931F197" w:rsidR="00D3656E" w:rsidRPr="00EC57FB" w:rsidRDefault="008B728F" w:rsidP="00A120BD">
      <w:pPr>
        <w:pStyle w:val="3-BodyText"/>
        <w:rPr>
          <w:iCs/>
        </w:rPr>
      </w:pPr>
      <w:r w:rsidRPr="00EC57FB">
        <w:fldChar w:fldCharType="begin"/>
      </w:r>
      <w:r w:rsidRPr="00EC57FB">
        <w:instrText xml:space="preserve"> REF _Ref186122621 \h </w:instrText>
      </w:r>
      <w:r w:rsidRPr="00EC57FB">
        <w:fldChar w:fldCharType="separate"/>
      </w:r>
      <w:r w:rsidR="00502C25" w:rsidRPr="00EC57FB">
        <w:t xml:space="preserve">Figure </w:t>
      </w:r>
      <w:r w:rsidR="00502C25">
        <w:rPr>
          <w:noProof/>
        </w:rPr>
        <w:t>2</w:t>
      </w:r>
      <w:r w:rsidRPr="00EC57FB">
        <w:fldChar w:fldCharType="end"/>
      </w:r>
      <w:r w:rsidR="003628EB" w:rsidRPr="00EC57FB">
        <w:t xml:space="preserve"> presents the results of the meta-analysis </w:t>
      </w:r>
      <w:r w:rsidR="009733D7" w:rsidRPr="00EC57FB">
        <w:t xml:space="preserve">of the Phase 2b and MELODY trials, </w:t>
      </w:r>
      <w:r w:rsidR="003628EB" w:rsidRPr="00EC57FB">
        <w:t xml:space="preserve">as reported by </w:t>
      </w:r>
      <w:r w:rsidR="002C6234" w:rsidRPr="00EC57FB">
        <w:t>Turalde</w:t>
      </w:r>
      <w:r w:rsidR="00DB7B85" w:rsidRPr="00EC57FB">
        <w:t>-</w:t>
      </w:r>
      <w:r w:rsidR="002C6234" w:rsidRPr="00EC57FB">
        <w:t>Mapili</w:t>
      </w:r>
      <w:r w:rsidR="003628EB" w:rsidRPr="00EC57FB">
        <w:t xml:space="preserve"> 2023.</w:t>
      </w:r>
      <w:bookmarkEnd w:id="79"/>
    </w:p>
    <w:p w14:paraId="518C5FDC" w14:textId="65526277" w:rsidR="00A120BD" w:rsidRPr="00EC57FB" w:rsidRDefault="005F08B0" w:rsidP="00DC4191">
      <w:pPr>
        <w:pStyle w:val="3-BodyText"/>
        <w:rPr>
          <w:iCs/>
        </w:rPr>
      </w:pPr>
      <w:r w:rsidRPr="00EC57FB">
        <w:t>The</w:t>
      </w:r>
      <w:r w:rsidR="0042770C" w:rsidRPr="00EC57FB">
        <w:t xml:space="preserve"> difference in results reported by the two published meta-analyses</w:t>
      </w:r>
      <w:r w:rsidR="00D32D59" w:rsidRPr="00EC57FB">
        <w:t xml:space="preserve"> is because </w:t>
      </w:r>
      <w:r w:rsidR="00DB7B85" w:rsidRPr="00EC57FB">
        <w:t xml:space="preserve">the meta-analysis reported by Turalde-Mapili 2023 included the ITT </w:t>
      </w:r>
      <w:r w:rsidR="005772B0" w:rsidRPr="00EC57FB">
        <w:t>population from the</w:t>
      </w:r>
      <w:r w:rsidR="00D32D59" w:rsidRPr="00EC57FB">
        <w:t xml:space="preserve"> Phase 2b </w:t>
      </w:r>
      <w:r w:rsidR="005772B0" w:rsidRPr="00EC57FB">
        <w:t>trial</w:t>
      </w:r>
      <w:r w:rsidR="00D32D59" w:rsidRPr="00EC57FB">
        <w:t xml:space="preserve"> whereas </w:t>
      </w:r>
      <w:r w:rsidR="005772B0" w:rsidRPr="00EC57FB">
        <w:t xml:space="preserve">the meta-analysis reported by </w:t>
      </w:r>
      <w:bookmarkStart w:id="80" w:name="_Hlk185859076"/>
      <w:r w:rsidR="00D32D59" w:rsidRPr="00EC57FB">
        <w:t>Simões 2023</w:t>
      </w:r>
      <w:r w:rsidR="005772B0" w:rsidRPr="00EC57FB">
        <w:t xml:space="preserve"> </w:t>
      </w:r>
      <w:bookmarkEnd w:id="80"/>
      <w:r w:rsidR="005772B0" w:rsidRPr="00EC57FB">
        <w:t xml:space="preserve">excluded the subpopulation of infants </w:t>
      </w:r>
      <w:r w:rsidR="00FF65E8" w:rsidRPr="00EC57FB">
        <w:t xml:space="preserve">from the Phase 2b trial who </w:t>
      </w:r>
      <w:r w:rsidR="00A673EA" w:rsidRPr="00EC57FB">
        <w:t>weigh</w:t>
      </w:r>
      <w:r w:rsidR="00FF65E8" w:rsidRPr="00EC57FB">
        <w:t>ed</w:t>
      </w:r>
      <w:r w:rsidR="00A673EA" w:rsidRPr="00EC57FB">
        <w:t xml:space="preserve"> </w:t>
      </w:r>
      <w:r w:rsidR="00A673EA" w:rsidRPr="00EC57FB">
        <w:rPr>
          <w:rFonts w:cstheme="minorHAnsi"/>
        </w:rPr>
        <w:t>≥</w:t>
      </w:r>
      <w:r w:rsidR="00A673EA" w:rsidRPr="00EC57FB">
        <w:t xml:space="preserve"> 5 kg </w:t>
      </w:r>
      <w:r w:rsidR="00FF65E8" w:rsidRPr="00EC57FB">
        <w:t>and</w:t>
      </w:r>
      <w:r w:rsidR="00A673EA" w:rsidRPr="00EC57FB">
        <w:t xml:space="preserve"> received a 50 mg dose</w:t>
      </w:r>
      <w:r w:rsidR="008F718D" w:rsidRPr="00EC57FB">
        <w:t xml:space="preserve">. </w:t>
      </w:r>
      <w:r w:rsidR="0016275D" w:rsidRPr="00EC57FB">
        <w:t>Following the Phase 2b trial,</w:t>
      </w:r>
      <w:r w:rsidR="00121383" w:rsidRPr="00EC57FB">
        <w:t xml:space="preserve"> </w:t>
      </w:r>
      <w:r w:rsidR="00997520" w:rsidRPr="00EC57FB">
        <w:t>drug exposure-response analyses</w:t>
      </w:r>
      <w:r w:rsidR="00E46D60" w:rsidRPr="00EC57FB">
        <w:t xml:space="preserve"> determined </w:t>
      </w:r>
      <w:r w:rsidR="004A289B" w:rsidRPr="00EC57FB">
        <w:t xml:space="preserve">that a 50 mg dose was </w:t>
      </w:r>
      <w:r w:rsidR="00E46D60" w:rsidRPr="00EC57FB">
        <w:t xml:space="preserve">suboptimal in infants weighing </w:t>
      </w:r>
      <w:r w:rsidR="00E46D60" w:rsidRPr="00EC57FB">
        <w:rPr>
          <w:rFonts w:cstheme="minorHAnsi"/>
        </w:rPr>
        <w:t>≥</w:t>
      </w:r>
      <w:r w:rsidR="00997520" w:rsidRPr="00EC57FB">
        <w:t> </w:t>
      </w:r>
      <w:r w:rsidR="00E46D60" w:rsidRPr="00EC57FB">
        <w:t>5</w:t>
      </w:r>
      <w:r w:rsidR="00997520" w:rsidRPr="00EC57FB">
        <w:t> </w:t>
      </w:r>
      <w:r w:rsidR="00E46D60" w:rsidRPr="00EC57FB">
        <w:t xml:space="preserve">kg </w:t>
      </w:r>
      <w:r w:rsidR="00F42E40" w:rsidRPr="00EC57FB">
        <w:t xml:space="preserve">and </w:t>
      </w:r>
      <w:r w:rsidR="00202616" w:rsidRPr="00EC57FB">
        <w:t xml:space="preserve">this subsequently </w:t>
      </w:r>
      <w:r w:rsidR="00F42E40" w:rsidRPr="00EC57FB">
        <w:t xml:space="preserve">led to the use of the 100 mg dose </w:t>
      </w:r>
      <w:r w:rsidR="00A673EA" w:rsidRPr="00EC57FB">
        <w:t>of nirsevimab</w:t>
      </w:r>
      <w:r w:rsidR="00202616" w:rsidRPr="00EC57FB">
        <w:t xml:space="preserve"> in infants weighing </w:t>
      </w:r>
      <w:r w:rsidR="00202616" w:rsidRPr="00EC57FB">
        <w:rPr>
          <w:rFonts w:cstheme="minorHAnsi"/>
        </w:rPr>
        <w:t>≥</w:t>
      </w:r>
      <w:r w:rsidR="00202616" w:rsidRPr="00EC57FB">
        <w:t xml:space="preserve"> 5 kg </w:t>
      </w:r>
      <w:r w:rsidR="00F42E40" w:rsidRPr="00EC57FB">
        <w:t>in the MELODY trial</w:t>
      </w:r>
      <w:r w:rsidR="00A673EA" w:rsidRPr="00EC57FB">
        <w:t>.</w:t>
      </w:r>
      <w:r w:rsidRPr="00EC57FB">
        <w:t xml:space="preserve"> The exclusion of</w:t>
      </w:r>
      <w:r w:rsidR="00E05D08" w:rsidRPr="00EC57FB">
        <w:t xml:space="preserve"> subjects</w:t>
      </w:r>
      <w:r w:rsidR="00407FA6" w:rsidRPr="00EC57FB">
        <w:t xml:space="preserve"> who weighed </w:t>
      </w:r>
      <w:r w:rsidR="00407FA6" w:rsidRPr="00EC57FB">
        <w:rPr>
          <w:rFonts w:cstheme="minorHAnsi"/>
        </w:rPr>
        <w:t>≥</w:t>
      </w:r>
      <w:r w:rsidR="00407FA6" w:rsidRPr="00EC57FB">
        <w:t xml:space="preserve"> 5 kg and received a (suboptimal) 50 mg dose</w:t>
      </w:r>
      <w:r w:rsidR="00E05D08" w:rsidRPr="00EC57FB">
        <w:t xml:space="preserve"> from the meta-analysis reported by Simões 2023</w:t>
      </w:r>
      <w:r w:rsidR="00AA4513" w:rsidRPr="00EC57FB">
        <w:t xml:space="preserve"> thus</w:t>
      </w:r>
      <w:r w:rsidR="00E05D08" w:rsidRPr="00EC57FB">
        <w:t xml:space="preserve"> </w:t>
      </w:r>
      <w:r w:rsidR="009C7E6B" w:rsidRPr="00EC57FB">
        <w:t>result</w:t>
      </w:r>
      <w:r w:rsidR="0005134E" w:rsidRPr="00EC57FB">
        <w:t>ed</w:t>
      </w:r>
      <w:r w:rsidR="009C7E6B" w:rsidRPr="00EC57FB">
        <w:t xml:space="preserve"> in improved estimates of the efficacy of nirsevimab</w:t>
      </w:r>
      <w:r w:rsidR="002719B8" w:rsidRPr="00EC57FB">
        <w:t xml:space="preserve"> compared to those reported by Turalde-Mapili 2023</w:t>
      </w:r>
      <w:r w:rsidR="009C7E6B" w:rsidRPr="00EC57FB">
        <w:t>.</w:t>
      </w:r>
    </w:p>
    <w:p w14:paraId="12399111" w14:textId="5DC38527" w:rsidR="00382C74" w:rsidRPr="00EC57FB" w:rsidRDefault="00382C74" w:rsidP="00735BFD">
      <w:pPr>
        <w:pStyle w:val="TableFigureHeading"/>
        <w:keepLines/>
      </w:pPr>
      <w:bookmarkStart w:id="81" w:name="_Ref185852530"/>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13</w:t>
      </w:r>
      <w:r w:rsidR="00C51E7C" w:rsidRPr="00EC57FB">
        <w:fldChar w:fldCharType="end"/>
      </w:r>
      <w:bookmarkEnd w:id="81"/>
      <w:r w:rsidRPr="00EC57FB">
        <w:t xml:space="preserve">: Outcomes from the </w:t>
      </w:r>
      <w:r w:rsidR="0056565A" w:rsidRPr="00EC57FB">
        <w:t xml:space="preserve">Simões 2023 </w:t>
      </w:r>
      <w:r w:rsidR="005E2D62" w:rsidRPr="00EC57FB">
        <w:t>meta</w:t>
      </w:r>
      <w:r w:rsidR="00A52191" w:rsidRPr="00EC57FB">
        <w:t xml:space="preserve">-analysis of the MELODY and </w:t>
      </w:r>
      <w:r w:rsidRPr="00EC57FB">
        <w:t>Phase 2b trial</w:t>
      </w:r>
      <w:r w:rsidR="00A52191" w:rsidRPr="00EC57FB">
        <w:t>s</w:t>
      </w:r>
      <w:r w:rsidRPr="00EC57FB">
        <w:t xml:space="preserve"> through to 150 days post-dose</w:t>
      </w:r>
    </w:p>
    <w:tbl>
      <w:tblPr>
        <w:tblStyle w:val="TableGrid"/>
        <w:tblW w:w="5000" w:type="pct"/>
        <w:tblInd w:w="-5" w:type="dxa"/>
        <w:tblLook w:val="04A0" w:firstRow="1" w:lastRow="0" w:firstColumn="1" w:lastColumn="0" w:noHBand="0" w:noVBand="1"/>
      </w:tblPr>
      <w:tblGrid>
        <w:gridCol w:w="2825"/>
        <w:gridCol w:w="1663"/>
        <w:gridCol w:w="1537"/>
        <w:gridCol w:w="1865"/>
        <w:gridCol w:w="1127"/>
      </w:tblGrid>
      <w:tr w:rsidR="00671158" w:rsidRPr="00EC57FB" w14:paraId="0F218F50" w14:textId="77777777">
        <w:tc>
          <w:tcPr>
            <w:tcW w:w="0" w:type="auto"/>
            <w:vAlign w:val="center"/>
          </w:tcPr>
          <w:p w14:paraId="457F0168" w14:textId="77777777" w:rsidR="00382C74" w:rsidRPr="00EC57FB" w:rsidRDefault="00382C74" w:rsidP="00735BFD">
            <w:pPr>
              <w:pStyle w:val="BodyText"/>
              <w:keepNext/>
              <w:keepLines/>
              <w:rPr>
                <w:rFonts w:ascii="Arial Narrow" w:hAnsi="Arial Narrow" w:cstheme="minorHAnsi"/>
                <w:b/>
                <w:bCs/>
                <w:sz w:val="20"/>
                <w:szCs w:val="20"/>
              </w:rPr>
            </w:pPr>
            <w:r w:rsidRPr="00EC57FB">
              <w:rPr>
                <w:rFonts w:ascii="Arial Narrow" w:hAnsi="Arial Narrow" w:cstheme="minorHAnsi"/>
                <w:b/>
                <w:bCs/>
                <w:sz w:val="20"/>
                <w:szCs w:val="20"/>
              </w:rPr>
              <w:t>End Point and Analysis</w:t>
            </w:r>
          </w:p>
        </w:tc>
        <w:tc>
          <w:tcPr>
            <w:tcW w:w="0" w:type="auto"/>
            <w:vAlign w:val="center"/>
          </w:tcPr>
          <w:p w14:paraId="3465D084" w14:textId="77777777" w:rsidR="00382C74" w:rsidRPr="00EC57FB" w:rsidRDefault="00382C74" w:rsidP="00735BFD">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Nirsevimab</w:t>
            </w:r>
          </w:p>
          <w:p w14:paraId="4DC21B07" w14:textId="54B411D9" w:rsidR="00382C74" w:rsidRPr="00EC57FB" w:rsidRDefault="00382C74" w:rsidP="00735BFD">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n</w:t>
            </w:r>
            <w:r w:rsidR="00A52191" w:rsidRPr="00EC57FB">
              <w:rPr>
                <w:rFonts w:ascii="Arial Narrow" w:hAnsi="Arial Narrow" w:cstheme="minorHAnsi"/>
                <w:b/>
                <w:bCs/>
                <w:sz w:val="20"/>
                <w:szCs w:val="20"/>
              </w:rPr>
              <w:t>/N</w:t>
            </w:r>
            <w:r w:rsidRPr="00EC57FB">
              <w:rPr>
                <w:rFonts w:ascii="Arial Narrow" w:hAnsi="Arial Narrow" w:cstheme="minorHAnsi"/>
                <w:b/>
                <w:bCs/>
                <w:sz w:val="20"/>
                <w:szCs w:val="20"/>
              </w:rPr>
              <w:t xml:space="preserve"> (%)</w:t>
            </w:r>
          </w:p>
        </w:tc>
        <w:tc>
          <w:tcPr>
            <w:tcW w:w="0" w:type="auto"/>
            <w:vAlign w:val="center"/>
          </w:tcPr>
          <w:p w14:paraId="2A93BD40" w14:textId="77777777" w:rsidR="00382C74" w:rsidRPr="00EC57FB" w:rsidRDefault="00382C74" w:rsidP="00735BFD">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Placebo</w:t>
            </w:r>
          </w:p>
          <w:p w14:paraId="49B6BF57" w14:textId="77777777" w:rsidR="00382C74" w:rsidRPr="00EC57FB" w:rsidRDefault="00382C74" w:rsidP="00735BFD">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n (%)</w:t>
            </w:r>
          </w:p>
        </w:tc>
        <w:tc>
          <w:tcPr>
            <w:tcW w:w="0" w:type="auto"/>
            <w:vAlign w:val="center"/>
          </w:tcPr>
          <w:p w14:paraId="58882B37" w14:textId="77777777" w:rsidR="00417387" w:rsidRPr="00EC57FB" w:rsidRDefault="00382C74" w:rsidP="00735BFD">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 xml:space="preserve">Efficacy </w:t>
            </w:r>
          </w:p>
          <w:p w14:paraId="161E32EB" w14:textId="279C70D9" w:rsidR="00382C74" w:rsidRPr="00EC57FB" w:rsidRDefault="00382C74" w:rsidP="00735BFD">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RRR</w:t>
            </w:r>
            <w:r w:rsidR="00417387" w:rsidRPr="00EC57FB">
              <w:rPr>
                <w:rFonts w:ascii="Arial Narrow" w:hAnsi="Arial Narrow" w:cstheme="minorHAnsi"/>
                <w:b/>
                <w:bCs/>
                <w:sz w:val="20"/>
                <w:szCs w:val="20"/>
              </w:rPr>
              <w:t xml:space="preserve"> </w:t>
            </w:r>
            <w:r w:rsidRPr="00EC57FB">
              <w:rPr>
                <w:rFonts w:ascii="Arial Narrow" w:hAnsi="Arial Narrow" w:cstheme="minorHAnsi"/>
                <w:b/>
                <w:bCs/>
                <w:sz w:val="20"/>
                <w:szCs w:val="20"/>
              </w:rPr>
              <w:t>(95% CI)</w:t>
            </w:r>
            <w:r w:rsidRPr="00EC57FB">
              <w:rPr>
                <w:rFonts w:ascii="Arial Narrow" w:hAnsi="Arial Narrow" w:cstheme="minorHAnsi"/>
                <w:b/>
                <w:bCs/>
                <w:sz w:val="20"/>
                <w:szCs w:val="20"/>
                <w:vertAlign w:val="superscript"/>
              </w:rPr>
              <w:t>a</w:t>
            </w:r>
          </w:p>
        </w:tc>
        <w:tc>
          <w:tcPr>
            <w:tcW w:w="0" w:type="auto"/>
            <w:vAlign w:val="center"/>
          </w:tcPr>
          <w:p w14:paraId="1F941620" w14:textId="77777777" w:rsidR="00382C74" w:rsidRPr="00EC57FB" w:rsidRDefault="00382C74" w:rsidP="00735BFD">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P Value</w:t>
            </w:r>
          </w:p>
        </w:tc>
      </w:tr>
      <w:tr w:rsidR="006A7BEE" w:rsidRPr="00EC57FB" w14:paraId="75B87BB7" w14:textId="77777777">
        <w:tc>
          <w:tcPr>
            <w:tcW w:w="0" w:type="auto"/>
            <w:gridSpan w:val="5"/>
            <w:vAlign w:val="center"/>
          </w:tcPr>
          <w:p w14:paraId="1583A0B2" w14:textId="77777777" w:rsidR="00382C74" w:rsidRPr="00EC57FB" w:rsidRDefault="00382C74" w:rsidP="00735BFD">
            <w:pPr>
              <w:pStyle w:val="BodyText"/>
              <w:keepNext/>
              <w:keepLines/>
              <w:rPr>
                <w:rFonts w:ascii="Arial Narrow" w:hAnsi="Arial Narrow" w:cstheme="minorHAnsi"/>
                <w:b/>
                <w:bCs/>
                <w:sz w:val="20"/>
                <w:szCs w:val="20"/>
              </w:rPr>
            </w:pPr>
            <w:r w:rsidRPr="00EC57FB">
              <w:rPr>
                <w:rFonts w:ascii="Arial Narrow" w:hAnsi="Arial Narrow" w:cstheme="minorHAnsi"/>
                <w:b/>
                <w:bCs/>
                <w:sz w:val="20"/>
                <w:szCs w:val="20"/>
              </w:rPr>
              <w:t>MA RSV LRTI</w:t>
            </w:r>
          </w:p>
        </w:tc>
      </w:tr>
      <w:tr w:rsidR="00C62008" w:rsidRPr="00EC57FB" w14:paraId="436734CD" w14:textId="77777777" w:rsidTr="0005134E">
        <w:tc>
          <w:tcPr>
            <w:tcW w:w="0" w:type="auto"/>
            <w:shd w:val="clear" w:color="auto" w:fill="B8CCE4"/>
            <w:vAlign w:val="center"/>
          </w:tcPr>
          <w:p w14:paraId="416F1E61" w14:textId="77777777" w:rsidR="00382C74" w:rsidRPr="00EC57FB" w:rsidRDefault="00382C74" w:rsidP="00735BFD">
            <w:pPr>
              <w:pStyle w:val="BodyText"/>
              <w:keepNext/>
              <w:keepLines/>
              <w:rPr>
                <w:rFonts w:ascii="Arial Narrow" w:hAnsi="Arial Narrow" w:cstheme="minorHAnsi"/>
                <w:sz w:val="20"/>
                <w:szCs w:val="20"/>
              </w:rPr>
            </w:pPr>
            <w:r w:rsidRPr="00EC57FB">
              <w:rPr>
                <w:rFonts w:ascii="Arial Narrow" w:hAnsi="Arial Narrow" w:cstheme="minorHAnsi"/>
                <w:sz w:val="20"/>
                <w:szCs w:val="20"/>
              </w:rPr>
              <w:t>Observed events</w:t>
            </w:r>
          </w:p>
        </w:tc>
        <w:tc>
          <w:tcPr>
            <w:tcW w:w="0" w:type="auto"/>
            <w:shd w:val="clear" w:color="auto" w:fill="B8CCE4"/>
            <w:vAlign w:val="center"/>
          </w:tcPr>
          <w:p w14:paraId="5EED55AA" w14:textId="0C9330F7" w:rsidR="00382C74" w:rsidRPr="00EC57FB" w:rsidRDefault="00A52191" w:rsidP="00735BFD">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19/1564</w:t>
            </w:r>
            <w:r w:rsidR="00382C74" w:rsidRPr="00EC57FB">
              <w:rPr>
                <w:rFonts w:ascii="Arial Narrow" w:hAnsi="Arial Narrow" w:cstheme="minorHAnsi"/>
                <w:sz w:val="20"/>
                <w:szCs w:val="20"/>
              </w:rPr>
              <w:t xml:space="preserve"> (</w:t>
            </w:r>
            <w:r w:rsidR="00014913" w:rsidRPr="00EC57FB">
              <w:rPr>
                <w:rFonts w:ascii="Arial Narrow" w:hAnsi="Arial Narrow" w:cstheme="minorHAnsi"/>
                <w:sz w:val="20"/>
                <w:szCs w:val="20"/>
              </w:rPr>
              <w:t>1</w:t>
            </w:r>
            <w:r w:rsidR="00382C74" w:rsidRPr="00EC57FB">
              <w:rPr>
                <w:rFonts w:ascii="Arial Narrow" w:hAnsi="Arial Narrow" w:cstheme="minorHAnsi"/>
                <w:sz w:val="20"/>
                <w:szCs w:val="20"/>
              </w:rPr>
              <w:t>%)</w:t>
            </w:r>
          </w:p>
        </w:tc>
        <w:tc>
          <w:tcPr>
            <w:tcW w:w="0" w:type="auto"/>
            <w:shd w:val="clear" w:color="auto" w:fill="B8CCE4"/>
            <w:vAlign w:val="center"/>
          </w:tcPr>
          <w:p w14:paraId="51FC4036" w14:textId="78F5556E" w:rsidR="00382C74" w:rsidRPr="00EC57FB" w:rsidRDefault="00014913" w:rsidP="00735BFD">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51/786</w:t>
            </w:r>
            <w:r w:rsidR="00382C74" w:rsidRPr="00EC57FB">
              <w:rPr>
                <w:rFonts w:ascii="Arial Narrow" w:hAnsi="Arial Narrow" w:cstheme="minorHAnsi"/>
                <w:sz w:val="20"/>
                <w:szCs w:val="20"/>
              </w:rPr>
              <w:t xml:space="preserve"> (</w:t>
            </w:r>
            <w:r w:rsidR="00DF5E38" w:rsidRPr="00EC57FB">
              <w:rPr>
                <w:rFonts w:ascii="Arial Narrow" w:hAnsi="Arial Narrow" w:cstheme="minorHAnsi"/>
                <w:sz w:val="20"/>
                <w:szCs w:val="20"/>
              </w:rPr>
              <w:t>6</w:t>
            </w:r>
            <w:r w:rsidR="00382C74" w:rsidRPr="00EC57FB">
              <w:rPr>
                <w:rFonts w:ascii="Arial Narrow" w:hAnsi="Arial Narrow" w:cstheme="minorHAnsi"/>
                <w:sz w:val="20"/>
                <w:szCs w:val="20"/>
              </w:rPr>
              <w:t>%)</w:t>
            </w:r>
          </w:p>
        </w:tc>
        <w:tc>
          <w:tcPr>
            <w:tcW w:w="0" w:type="auto"/>
            <w:shd w:val="clear" w:color="auto" w:fill="B8CCE4"/>
            <w:vAlign w:val="center"/>
          </w:tcPr>
          <w:p w14:paraId="55382F35" w14:textId="39117C75" w:rsidR="00382C74" w:rsidRPr="00EC57FB" w:rsidRDefault="00DF5E38" w:rsidP="00735BFD">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79.5</w:t>
            </w:r>
            <w:r w:rsidR="00382C74" w:rsidRPr="00EC57FB">
              <w:rPr>
                <w:rFonts w:ascii="Arial Narrow" w:hAnsi="Arial Narrow" w:cstheme="minorHAnsi"/>
                <w:b/>
                <w:bCs/>
                <w:sz w:val="20"/>
                <w:szCs w:val="20"/>
              </w:rPr>
              <w:t xml:space="preserve">% </w:t>
            </w:r>
          </w:p>
          <w:p w14:paraId="6777EB0E" w14:textId="3FFB54E1" w:rsidR="00382C74" w:rsidRPr="00EC57FB" w:rsidRDefault="00382C74" w:rsidP="00735BFD">
            <w:pPr>
              <w:pStyle w:val="BodyText"/>
              <w:keepNext/>
              <w:keepLines/>
              <w:jc w:val="center"/>
              <w:rPr>
                <w:rFonts w:ascii="Arial Narrow" w:hAnsi="Arial Narrow" w:cstheme="minorHAnsi"/>
                <w:sz w:val="20"/>
                <w:szCs w:val="20"/>
              </w:rPr>
            </w:pPr>
            <w:r w:rsidRPr="00EC57FB">
              <w:rPr>
                <w:rFonts w:ascii="Arial Narrow" w:hAnsi="Arial Narrow" w:cstheme="minorHAnsi"/>
                <w:b/>
                <w:bCs/>
                <w:sz w:val="20"/>
                <w:szCs w:val="20"/>
              </w:rPr>
              <w:t>(</w:t>
            </w:r>
            <w:r w:rsidR="00DF5E38" w:rsidRPr="00EC57FB">
              <w:rPr>
                <w:rFonts w:ascii="Arial Narrow" w:hAnsi="Arial Narrow" w:cstheme="minorHAnsi"/>
                <w:b/>
                <w:bCs/>
                <w:sz w:val="20"/>
                <w:szCs w:val="20"/>
              </w:rPr>
              <w:t>65.9</w:t>
            </w:r>
            <w:r w:rsidRPr="00EC57FB">
              <w:rPr>
                <w:rFonts w:ascii="Arial Narrow" w:hAnsi="Arial Narrow" w:cstheme="minorHAnsi"/>
                <w:b/>
                <w:bCs/>
                <w:sz w:val="20"/>
                <w:szCs w:val="20"/>
              </w:rPr>
              <w:t xml:space="preserve">%, </w:t>
            </w:r>
            <w:r w:rsidR="00DF5E38" w:rsidRPr="00EC57FB">
              <w:rPr>
                <w:rFonts w:ascii="Arial Narrow" w:hAnsi="Arial Narrow" w:cstheme="minorHAnsi"/>
                <w:b/>
                <w:bCs/>
                <w:sz w:val="20"/>
                <w:szCs w:val="20"/>
              </w:rPr>
              <w:t>87.7</w:t>
            </w:r>
            <w:r w:rsidRPr="00EC57FB">
              <w:rPr>
                <w:rFonts w:ascii="Arial Narrow" w:hAnsi="Arial Narrow" w:cstheme="minorHAnsi"/>
                <w:b/>
                <w:bCs/>
                <w:sz w:val="20"/>
                <w:szCs w:val="20"/>
              </w:rPr>
              <w:t>%)</w:t>
            </w:r>
          </w:p>
        </w:tc>
        <w:tc>
          <w:tcPr>
            <w:tcW w:w="0" w:type="auto"/>
            <w:shd w:val="clear" w:color="auto" w:fill="B8CCE4"/>
            <w:vAlign w:val="center"/>
          </w:tcPr>
          <w:p w14:paraId="7E815A04" w14:textId="77777777" w:rsidR="00382C74" w:rsidRPr="00EC57FB" w:rsidRDefault="00382C74" w:rsidP="00735BFD">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&lt;0.0001</w:t>
            </w:r>
          </w:p>
        </w:tc>
      </w:tr>
      <w:tr w:rsidR="006A7BEE" w:rsidRPr="00EC57FB" w14:paraId="5D4392DE" w14:textId="77777777">
        <w:tc>
          <w:tcPr>
            <w:tcW w:w="0" w:type="auto"/>
            <w:gridSpan w:val="5"/>
            <w:vAlign w:val="center"/>
          </w:tcPr>
          <w:p w14:paraId="6961854C" w14:textId="77777777" w:rsidR="00382C74" w:rsidRPr="00EC57FB" w:rsidRDefault="00382C74" w:rsidP="00735BFD">
            <w:pPr>
              <w:pStyle w:val="BodyText"/>
              <w:keepNext/>
              <w:keepLines/>
              <w:rPr>
                <w:rFonts w:ascii="Arial Narrow" w:hAnsi="Arial Narrow" w:cstheme="minorHAnsi"/>
                <w:b/>
                <w:bCs/>
                <w:sz w:val="20"/>
                <w:szCs w:val="20"/>
              </w:rPr>
            </w:pPr>
            <w:r w:rsidRPr="00EC57FB">
              <w:rPr>
                <w:rFonts w:ascii="Arial Narrow" w:hAnsi="Arial Narrow" w:cstheme="minorHAnsi"/>
                <w:b/>
                <w:bCs/>
                <w:sz w:val="20"/>
                <w:szCs w:val="20"/>
              </w:rPr>
              <w:t>Hospitalisation for RSV LRTI</w:t>
            </w:r>
          </w:p>
        </w:tc>
      </w:tr>
      <w:tr w:rsidR="00C62008" w:rsidRPr="00EC57FB" w14:paraId="271A0816" w14:textId="77777777" w:rsidTr="0005134E">
        <w:tc>
          <w:tcPr>
            <w:tcW w:w="0" w:type="auto"/>
            <w:shd w:val="clear" w:color="auto" w:fill="B8CCE4"/>
            <w:vAlign w:val="center"/>
          </w:tcPr>
          <w:p w14:paraId="04663BD3" w14:textId="77777777" w:rsidR="00382C74" w:rsidRPr="00EC57FB" w:rsidRDefault="00382C74" w:rsidP="00735BFD">
            <w:pPr>
              <w:pStyle w:val="BodyText"/>
              <w:keepNext/>
              <w:keepLines/>
              <w:rPr>
                <w:rFonts w:ascii="Arial Narrow" w:hAnsi="Arial Narrow" w:cstheme="minorHAnsi"/>
                <w:sz w:val="20"/>
                <w:szCs w:val="20"/>
              </w:rPr>
            </w:pPr>
            <w:r w:rsidRPr="00EC57FB">
              <w:rPr>
                <w:rFonts w:ascii="Arial Narrow" w:hAnsi="Arial Narrow" w:cstheme="minorHAnsi"/>
                <w:sz w:val="20"/>
                <w:szCs w:val="20"/>
              </w:rPr>
              <w:t>Observed events</w:t>
            </w:r>
          </w:p>
        </w:tc>
        <w:tc>
          <w:tcPr>
            <w:tcW w:w="0" w:type="auto"/>
            <w:shd w:val="clear" w:color="auto" w:fill="B8CCE4"/>
            <w:vAlign w:val="center"/>
          </w:tcPr>
          <w:p w14:paraId="6111B3B7" w14:textId="1D2F27C0" w:rsidR="00382C74" w:rsidRPr="00EC57FB" w:rsidRDefault="00DF5E38" w:rsidP="00735BFD">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9/1564</w:t>
            </w:r>
            <w:r w:rsidR="00382C74" w:rsidRPr="00EC57FB">
              <w:rPr>
                <w:rFonts w:ascii="Arial Narrow" w:hAnsi="Arial Narrow" w:cstheme="minorHAnsi"/>
                <w:sz w:val="20"/>
                <w:szCs w:val="20"/>
              </w:rPr>
              <w:t xml:space="preserve"> (</w:t>
            </w:r>
            <w:r w:rsidR="00E520BD" w:rsidRPr="00EC57FB">
              <w:rPr>
                <w:rFonts w:ascii="Arial Narrow" w:hAnsi="Arial Narrow" w:cstheme="minorHAnsi"/>
                <w:sz w:val="20"/>
                <w:szCs w:val="20"/>
              </w:rPr>
              <w:t>1</w:t>
            </w:r>
            <w:r w:rsidR="00382C74" w:rsidRPr="00EC57FB">
              <w:rPr>
                <w:rFonts w:ascii="Arial Narrow" w:hAnsi="Arial Narrow" w:cstheme="minorHAnsi"/>
                <w:sz w:val="20"/>
                <w:szCs w:val="20"/>
              </w:rPr>
              <w:t>%)</w:t>
            </w:r>
          </w:p>
        </w:tc>
        <w:tc>
          <w:tcPr>
            <w:tcW w:w="0" w:type="auto"/>
            <w:shd w:val="clear" w:color="auto" w:fill="B8CCE4"/>
            <w:vAlign w:val="center"/>
          </w:tcPr>
          <w:p w14:paraId="7F2857CE" w14:textId="03E1C491" w:rsidR="00382C74" w:rsidRPr="00EC57FB" w:rsidRDefault="00E520BD" w:rsidP="00735BFD">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21/786</w:t>
            </w:r>
            <w:r w:rsidR="00382C74" w:rsidRPr="00EC57FB">
              <w:rPr>
                <w:rFonts w:ascii="Arial Narrow" w:hAnsi="Arial Narrow" w:cstheme="minorHAnsi"/>
                <w:sz w:val="20"/>
                <w:szCs w:val="20"/>
              </w:rPr>
              <w:t xml:space="preserve"> (</w:t>
            </w:r>
            <w:r w:rsidRPr="00EC57FB">
              <w:rPr>
                <w:rFonts w:ascii="Arial Narrow" w:hAnsi="Arial Narrow" w:cstheme="minorHAnsi"/>
                <w:sz w:val="20"/>
                <w:szCs w:val="20"/>
              </w:rPr>
              <w:t>3</w:t>
            </w:r>
            <w:r w:rsidR="00382C74" w:rsidRPr="00EC57FB">
              <w:rPr>
                <w:rFonts w:ascii="Arial Narrow" w:hAnsi="Arial Narrow" w:cstheme="minorHAnsi"/>
                <w:sz w:val="20"/>
                <w:szCs w:val="20"/>
              </w:rPr>
              <w:t>%)</w:t>
            </w:r>
          </w:p>
        </w:tc>
        <w:tc>
          <w:tcPr>
            <w:tcW w:w="0" w:type="auto"/>
            <w:shd w:val="clear" w:color="auto" w:fill="B8CCE4"/>
            <w:vAlign w:val="center"/>
          </w:tcPr>
          <w:p w14:paraId="49BD825B" w14:textId="7371A6F9" w:rsidR="00382C74" w:rsidRPr="00EC57FB" w:rsidRDefault="00E520BD" w:rsidP="00735BFD">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77.3</w:t>
            </w:r>
            <w:r w:rsidR="00382C74" w:rsidRPr="00EC57FB">
              <w:rPr>
                <w:rFonts w:ascii="Arial Narrow" w:hAnsi="Arial Narrow" w:cstheme="minorHAnsi"/>
                <w:b/>
                <w:bCs/>
                <w:sz w:val="20"/>
                <w:szCs w:val="20"/>
              </w:rPr>
              <w:t xml:space="preserve">% </w:t>
            </w:r>
          </w:p>
          <w:p w14:paraId="063EB51A" w14:textId="04CCCB0B" w:rsidR="00382C74" w:rsidRPr="00EC57FB" w:rsidRDefault="00382C74" w:rsidP="00735BFD">
            <w:pPr>
              <w:pStyle w:val="BodyText"/>
              <w:keepNext/>
              <w:keepLines/>
              <w:jc w:val="center"/>
              <w:rPr>
                <w:rFonts w:ascii="Arial Narrow" w:hAnsi="Arial Narrow" w:cstheme="minorHAnsi"/>
                <w:sz w:val="20"/>
                <w:szCs w:val="20"/>
              </w:rPr>
            </w:pPr>
            <w:r w:rsidRPr="00EC57FB">
              <w:rPr>
                <w:rFonts w:ascii="Arial Narrow" w:hAnsi="Arial Narrow" w:cstheme="minorHAnsi"/>
                <w:b/>
                <w:bCs/>
                <w:sz w:val="20"/>
                <w:szCs w:val="20"/>
              </w:rPr>
              <w:t>(</w:t>
            </w:r>
            <w:r w:rsidR="00A120BD" w:rsidRPr="00EC57FB">
              <w:rPr>
                <w:rFonts w:ascii="Arial Narrow" w:hAnsi="Arial Narrow" w:cstheme="minorHAnsi"/>
                <w:b/>
                <w:bCs/>
                <w:sz w:val="20"/>
                <w:szCs w:val="20"/>
              </w:rPr>
              <w:t>50.3</w:t>
            </w:r>
            <w:r w:rsidRPr="00EC57FB">
              <w:rPr>
                <w:rFonts w:ascii="Arial Narrow" w:hAnsi="Arial Narrow" w:cstheme="minorHAnsi"/>
                <w:b/>
                <w:bCs/>
                <w:sz w:val="20"/>
                <w:szCs w:val="20"/>
              </w:rPr>
              <w:t xml:space="preserve">%, </w:t>
            </w:r>
            <w:r w:rsidR="00A120BD" w:rsidRPr="00EC57FB">
              <w:rPr>
                <w:rFonts w:ascii="Arial Narrow" w:hAnsi="Arial Narrow" w:cstheme="minorHAnsi"/>
                <w:b/>
                <w:bCs/>
                <w:sz w:val="20"/>
                <w:szCs w:val="20"/>
              </w:rPr>
              <w:t>89.7</w:t>
            </w:r>
            <w:r w:rsidRPr="00EC57FB">
              <w:rPr>
                <w:rFonts w:ascii="Arial Narrow" w:hAnsi="Arial Narrow" w:cstheme="minorHAnsi"/>
                <w:b/>
                <w:bCs/>
                <w:sz w:val="20"/>
                <w:szCs w:val="20"/>
              </w:rPr>
              <w:t>%)</w:t>
            </w:r>
          </w:p>
        </w:tc>
        <w:tc>
          <w:tcPr>
            <w:tcW w:w="0" w:type="auto"/>
            <w:shd w:val="clear" w:color="auto" w:fill="B8CCE4"/>
            <w:vAlign w:val="center"/>
          </w:tcPr>
          <w:p w14:paraId="2EB66A55" w14:textId="77777777" w:rsidR="00382C74" w:rsidRPr="00EC57FB" w:rsidRDefault="00382C74" w:rsidP="00735BFD">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0.0002</w:t>
            </w:r>
          </w:p>
        </w:tc>
      </w:tr>
    </w:tbl>
    <w:p w14:paraId="2CB4F93A" w14:textId="77777777" w:rsidR="00382C74" w:rsidRPr="00EC57FB" w:rsidRDefault="00382C74" w:rsidP="00735BFD">
      <w:pPr>
        <w:pStyle w:val="TableFigureFooter"/>
        <w:keepNext/>
        <w:keepLines/>
        <w:jc w:val="both"/>
      </w:pPr>
      <w:r w:rsidRPr="00EC57FB">
        <w:t>Source: Table 2.5.4, p105 of the submission.</w:t>
      </w:r>
    </w:p>
    <w:p w14:paraId="5896BFE0" w14:textId="34E2FFDC" w:rsidR="00067A27" w:rsidRPr="00EC57FB" w:rsidRDefault="00067A27" w:rsidP="00735BFD">
      <w:pPr>
        <w:pStyle w:val="TableFigureFooter"/>
        <w:keepNext/>
        <w:keepLines/>
        <w:jc w:val="both"/>
      </w:pPr>
      <w:r w:rsidRPr="00EC57FB">
        <w:t>Blue shading is indicative of information previously considered by the PBAC.</w:t>
      </w:r>
    </w:p>
    <w:p w14:paraId="35C9F99E" w14:textId="77777777" w:rsidR="00382C74" w:rsidRPr="00EC57FB" w:rsidRDefault="00382C74" w:rsidP="00735BFD">
      <w:pPr>
        <w:pStyle w:val="TableFigureFooter"/>
        <w:keepNext/>
        <w:keepLines/>
        <w:jc w:val="both"/>
      </w:pPr>
      <w:r w:rsidRPr="00EC57FB">
        <w:t>CI = confidence interval; MA RSV LRTI = medically attended RSV associated lower respiratory tract infection; N = number of participants; RSV = respiratory syncytial virus.</w:t>
      </w:r>
    </w:p>
    <w:p w14:paraId="2079EA2F" w14:textId="77777777" w:rsidR="00382C74" w:rsidRPr="00EC57FB" w:rsidRDefault="00382C74" w:rsidP="00735BFD">
      <w:pPr>
        <w:pStyle w:val="TableFigureFooter"/>
        <w:keepNext/>
        <w:keepLines/>
        <w:jc w:val="both"/>
        <w:rPr>
          <w:rFonts w:cstheme="minorHAnsi"/>
        </w:rPr>
      </w:pPr>
      <w:r w:rsidRPr="00EC57FB">
        <w:rPr>
          <w:vertAlign w:val="superscript"/>
        </w:rPr>
        <w:t>a</w:t>
      </w:r>
      <w:r w:rsidRPr="00EC57FB">
        <w:t xml:space="preserve"> Efficacy defined as the relative risk reduction (calculated as 1 minus the RR, where the RR was estimated with the use of a Poisson regression model with robust variance) </w:t>
      </w:r>
      <w:r w:rsidRPr="00EC57FB">
        <w:rPr>
          <w:rFonts w:cstheme="minorHAnsi"/>
        </w:rPr>
        <w:t>in the nirsevimab group compared with the placebo group (observed data) and is expressed as a percentage.</w:t>
      </w:r>
    </w:p>
    <w:p w14:paraId="0E4A212C" w14:textId="60966AC2" w:rsidR="005B6E88" w:rsidRPr="00EC57FB" w:rsidRDefault="00610DC4" w:rsidP="00735BFD">
      <w:pPr>
        <w:pStyle w:val="TableFigureFooter"/>
        <w:spacing w:after="120"/>
        <w:jc w:val="both"/>
      </w:pPr>
      <w:r w:rsidRPr="00EC57FB">
        <w:t xml:space="preserve">Note: </w:t>
      </w:r>
      <w:r w:rsidRPr="00EC57FB">
        <w:rPr>
          <w:b/>
          <w:bCs/>
        </w:rPr>
        <w:t>Bold text</w:t>
      </w:r>
      <w:r w:rsidRPr="00EC57FB">
        <w:t xml:space="preserve"> indicates a statistical difference between arms.</w:t>
      </w:r>
    </w:p>
    <w:p w14:paraId="0CE2763A" w14:textId="2E92A55E" w:rsidR="0056565A" w:rsidRPr="00EC57FB" w:rsidRDefault="00A940EF" w:rsidP="00A940EF">
      <w:pPr>
        <w:pStyle w:val="Caption"/>
      </w:pPr>
      <w:bookmarkStart w:id="82" w:name="_Ref186122621"/>
      <w:r w:rsidRPr="00EC57FB">
        <w:t xml:space="preserve">Figure </w:t>
      </w:r>
      <w:r w:rsidR="00C51E7C" w:rsidRPr="00EC57FB">
        <w:fldChar w:fldCharType="begin"/>
      </w:r>
      <w:r w:rsidR="00C51E7C" w:rsidRPr="00EC57FB">
        <w:instrText xml:space="preserve"> SEQ Figure \* ARABIC </w:instrText>
      </w:r>
      <w:r w:rsidR="00C51E7C" w:rsidRPr="00EC57FB">
        <w:fldChar w:fldCharType="separate"/>
      </w:r>
      <w:r w:rsidR="00502C25">
        <w:rPr>
          <w:noProof/>
        </w:rPr>
        <w:t>2</w:t>
      </w:r>
      <w:r w:rsidR="00C51E7C" w:rsidRPr="00EC57FB">
        <w:fldChar w:fldCharType="end"/>
      </w:r>
      <w:bookmarkEnd w:id="82"/>
      <w:r w:rsidR="0056565A" w:rsidRPr="00EC57FB">
        <w:t xml:space="preserve">: Outcomes from the </w:t>
      </w:r>
      <w:r w:rsidR="00E61FE8" w:rsidRPr="00EC57FB">
        <w:t>Tur</w:t>
      </w:r>
      <w:r w:rsidR="00C01684" w:rsidRPr="00EC57FB">
        <w:t xml:space="preserve">alde-Mapili 2023 </w:t>
      </w:r>
      <w:r w:rsidR="0056565A" w:rsidRPr="00EC57FB">
        <w:t>meta-analysis of the MELODY and Phase 2b trials through to 150 days post-dose</w:t>
      </w:r>
    </w:p>
    <w:p w14:paraId="7E71298E" w14:textId="22357D61" w:rsidR="006631F5" w:rsidRPr="00EC57FB" w:rsidRDefault="00C01684" w:rsidP="0056565A">
      <w:pPr>
        <w:pStyle w:val="TableFigureHeading"/>
      </w:pPr>
      <w:r w:rsidRPr="00EC57FB">
        <w:rPr>
          <w:noProof/>
        </w:rPr>
        <w:drawing>
          <wp:inline distT="0" distB="0" distL="0" distR="0" wp14:anchorId="11F600A9" wp14:editId="4DEA3A44">
            <wp:extent cx="5759450" cy="2673350"/>
            <wp:effectExtent l="0" t="0" r="0" b="0"/>
            <wp:docPr id="1674921457" name="Picture 2" descr="Outcomes from the Turalde-Mapili 2023 meta-analysis of the MELODY and Phase 2b trials through to 150 days post-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21457" name="Picture 2" descr="Outcomes from the Turalde-Mapili 2023 meta-analysis of the MELODY and Phase 2b trials through to 150 days post-dose"/>
                    <pic:cNvPicPr>
                      <a:picLocks noChangeAspect="1" noChangeArrowheads="1"/>
                    </pic:cNvPicPr>
                  </pic:nvPicPr>
                  <pic:blipFill rotWithShape="1">
                    <a:blip r:embed="rId30">
                      <a:duotone>
                        <a:prstClr val="black"/>
                        <a:srgbClr val="B8CCE4">
                          <a:tint val="45000"/>
                          <a:satMod val="400000"/>
                        </a:srgbClr>
                      </a:duotone>
                      <a:extLst>
                        <a:ext uri="{28A0092B-C50C-407E-A947-70E740481C1C}">
                          <a14:useLocalDpi xmlns:a14="http://schemas.microsoft.com/office/drawing/2010/main" val="0"/>
                        </a:ext>
                      </a:extLst>
                    </a:blip>
                    <a:srcRect/>
                    <a:stretch/>
                  </pic:blipFill>
                  <pic:spPr bwMode="auto">
                    <a:xfrm>
                      <a:off x="0" y="0"/>
                      <a:ext cx="5760000" cy="2673605"/>
                    </a:xfrm>
                    <a:prstGeom prst="rect">
                      <a:avLst/>
                    </a:prstGeom>
                    <a:noFill/>
                    <a:ln>
                      <a:noFill/>
                    </a:ln>
                    <a:extLst>
                      <a:ext uri="{53640926-AAD7-44D8-BBD7-CCE9431645EC}">
                        <a14:shadowObscured xmlns:a14="http://schemas.microsoft.com/office/drawing/2010/main"/>
                      </a:ext>
                    </a:extLst>
                  </pic:spPr>
                </pic:pic>
              </a:graphicData>
            </a:graphic>
          </wp:inline>
        </w:drawing>
      </w:r>
    </w:p>
    <w:p w14:paraId="2F23E3ED" w14:textId="29464B7B" w:rsidR="00C01684" w:rsidRPr="00EC57FB" w:rsidRDefault="001E02B0" w:rsidP="001E02B0">
      <w:pPr>
        <w:pStyle w:val="FooterTableFigure"/>
      </w:pPr>
      <w:r w:rsidRPr="00EC57FB">
        <w:t>Source: Table 2.5.4, p105 of the submission.</w:t>
      </w:r>
    </w:p>
    <w:p w14:paraId="61ADBC6B" w14:textId="6DC608EC" w:rsidR="00E03300" w:rsidRPr="00EC57FB" w:rsidRDefault="00067A27" w:rsidP="00735BFD">
      <w:pPr>
        <w:pStyle w:val="FooterTableFigure"/>
        <w:rPr>
          <w:b/>
          <w:bCs/>
        </w:rPr>
      </w:pPr>
      <w:r w:rsidRPr="00EC57FB">
        <w:t>Blue shading is indicative of information previously considered by the PBAC.</w:t>
      </w:r>
    </w:p>
    <w:p w14:paraId="0827D33B" w14:textId="6E5C3016" w:rsidR="00836BCD" w:rsidRPr="00EC57FB" w:rsidRDefault="00836BCD" w:rsidP="00E03300">
      <w:pPr>
        <w:keepNext/>
        <w:spacing w:after="120"/>
        <w:rPr>
          <w:b/>
          <w:bCs/>
        </w:rPr>
      </w:pPr>
      <w:r w:rsidRPr="00EC57FB">
        <w:rPr>
          <w:b/>
          <w:bCs/>
        </w:rPr>
        <w:t xml:space="preserve">Evidence for </w:t>
      </w:r>
      <w:r w:rsidR="00110124" w:rsidRPr="00EC57FB">
        <w:rPr>
          <w:b/>
          <w:bCs/>
        </w:rPr>
        <w:t xml:space="preserve">the comparator, </w:t>
      </w:r>
      <w:r w:rsidR="00F73AB2" w:rsidRPr="00EC57FB">
        <w:rPr>
          <w:b/>
          <w:bCs/>
        </w:rPr>
        <w:t>RSVpreF</w:t>
      </w:r>
      <w:r w:rsidRPr="00EC57FB">
        <w:rPr>
          <w:b/>
          <w:bCs/>
        </w:rPr>
        <w:t xml:space="preserve"> versus no immunisation </w:t>
      </w:r>
      <w:r w:rsidR="0004648E" w:rsidRPr="00EC57FB">
        <w:rPr>
          <w:b/>
          <w:bCs/>
        </w:rPr>
        <w:t>(</w:t>
      </w:r>
      <w:r w:rsidR="00864540" w:rsidRPr="00EC57FB">
        <w:rPr>
          <w:b/>
          <w:bCs/>
        </w:rPr>
        <w:t>Population A</w:t>
      </w:r>
      <w:r w:rsidR="0004648E" w:rsidRPr="00EC57FB">
        <w:rPr>
          <w:b/>
          <w:bCs/>
        </w:rPr>
        <w:t>)</w:t>
      </w:r>
      <w:r w:rsidRPr="00EC57FB">
        <w:rPr>
          <w:b/>
          <w:bCs/>
        </w:rPr>
        <w:t xml:space="preserve"> - infants experiencing their first RSV season</w:t>
      </w:r>
    </w:p>
    <w:p w14:paraId="609746B8" w14:textId="3DD6CCBA" w:rsidR="00541935" w:rsidRPr="00EC57FB" w:rsidRDefault="00C713F9" w:rsidP="00735BFD">
      <w:pPr>
        <w:pStyle w:val="6-subsection"/>
        <w:spacing w:after="120"/>
      </w:pPr>
      <w:r w:rsidRPr="00EC57FB">
        <w:t>MATISSE -</w:t>
      </w:r>
      <w:r w:rsidR="00541935" w:rsidRPr="00EC57FB">
        <w:t xml:space="preserve"> maternal R</w:t>
      </w:r>
      <w:r w:rsidR="0009098D">
        <w:t>SV</w:t>
      </w:r>
      <w:r w:rsidR="00541935" w:rsidRPr="00EC57FB">
        <w:t>preF vs placebo trial</w:t>
      </w:r>
    </w:p>
    <w:p w14:paraId="2680F1FD" w14:textId="42CBE0C7" w:rsidR="00541935" w:rsidRPr="00EC57FB" w:rsidRDefault="00015D25" w:rsidP="00541935">
      <w:pPr>
        <w:pStyle w:val="3-BodyText"/>
        <w:rPr>
          <w:iCs/>
        </w:rPr>
      </w:pPr>
      <w:r w:rsidRPr="00EC57FB">
        <w:t>T</w:t>
      </w:r>
      <w:r w:rsidR="00541935" w:rsidRPr="00EC57FB">
        <w:t xml:space="preserve">he </w:t>
      </w:r>
      <w:r w:rsidR="00800040" w:rsidRPr="00EC57FB">
        <w:t>MATISSE</w:t>
      </w:r>
      <w:r w:rsidR="00541935" w:rsidRPr="00EC57FB">
        <w:t xml:space="preserve"> trial </w:t>
      </w:r>
      <w:r w:rsidR="00DA08E7" w:rsidRPr="00EC57FB">
        <w:t>was conducted</w:t>
      </w:r>
      <w:r w:rsidR="007B2334" w:rsidRPr="00EC57FB">
        <w:t xml:space="preserve"> </w:t>
      </w:r>
      <w:r w:rsidR="000820DF" w:rsidRPr="00EC57FB">
        <w:t xml:space="preserve">in </w:t>
      </w:r>
      <w:r w:rsidR="007B2334" w:rsidRPr="00EC57FB">
        <w:t>women with uncomplicated singleton pregnancies at 24 through 36 weeks’ gestation. Women with high-risk pregnancies were excluded from the trial.</w:t>
      </w:r>
    </w:p>
    <w:p w14:paraId="3BD03507" w14:textId="007EAC24" w:rsidR="00541935" w:rsidRPr="00EC57FB" w:rsidRDefault="00541935" w:rsidP="00541935">
      <w:pPr>
        <w:pStyle w:val="3-BodyText"/>
      </w:pPr>
      <w:r w:rsidRPr="00EC57FB">
        <w:t xml:space="preserve">As detailed in </w:t>
      </w:r>
      <w:r w:rsidR="00974384" w:rsidRPr="00EC57FB">
        <w:fldChar w:fldCharType="begin"/>
      </w:r>
      <w:r w:rsidR="00974384" w:rsidRPr="00EC57FB">
        <w:instrText xml:space="preserve"> REF _Ref185937034 \h </w:instrText>
      </w:r>
      <w:r w:rsidR="00974384" w:rsidRPr="00EC57FB">
        <w:fldChar w:fldCharType="separate"/>
      </w:r>
      <w:r w:rsidR="00502C25" w:rsidRPr="00EC57FB">
        <w:t xml:space="preserve">Table </w:t>
      </w:r>
      <w:r w:rsidR="00502C25">
        <w:rPr>
          <w:noProof/>
        </w:rPr>
        <w:t>14</w:t>
      </w:r>
      <w:r w:rsidR="00974384" w:rsidRPr="00EC57FB">
        <w:fldChar w:fldCharType="end"/>
      </w:r>
      <w:r w:rsidRPr="00EC57FB">
        <w:t xml:space="preserve">, </w:t>
      </w:r>
      <w:r w:rsidR="008E2B29" w:rsidRPr="00EC57FB">
        <w:t>47</w:t>
      </w:r>
      <w:r w:rsidRPr="00EC57FB">
        <w:t>/</w:t>
      </w:r>
      <w:r w:rsidR="00D77E29" w:rsidRPr="00EC57FB">
        <w:t>3495</w:t>
      </w:r>
      <w:r w:rsidRPr="00EC57FB">
        <w:t xml:space="preserve"> (</w:t>
      </w:r>
      <w:r w:rsidR="00D77E29" w:rsidRPr="00EC57FB">
        <w:t>1.3</w:t>
      </w:r>
      <w:r w:rsidRPr="00EC57FB">
        <w:t xml:space="preserve">%) infants in </w:t>
      </w:r>
      <w:r w:rsidR="00485EA7" w:rsidRPr="00EC57FB">
        <w:t xml:space="preserve">RSVpreF </w:t>
      </w:r>
      <w:r w:rsidRPr="00EC57FB">
        <w:t xml:space="preserve">group and </w:t>
      </w:r>
      <w:r w:rsidR="00941B50" w:rsidRPr="00EC57FB">
        <w:t>99/</w:t>
      </w:r>
      <w:r w:rsidR="00277825" w:rsidRPr="00EC57FB">
        <w:t>3480</w:t>
      </w:r>
      <w:r w:rsidRPr="00EC57FB">
        <w:t xml:space="preserve"> (</w:t>
      </w:r>
      <w:r w:rsidR="00277825" w:rsidRPr="00EC57FB">
        <w:t>2.8</w:t>
      </w:r>
      <w:r w:rsidRPr="00EC57FB">
        <w:t xml:space="preserve">%) infants in the placebo group of the </w:t>
      </w:r>
      <w:r w:rsidR="00101C2F" w:rsidRPr="00EC57FB">
        <w:t>MATISSE</w:t>
      </w:r>
      <w:r w:rsidRPr="00EC57FB">
        <w:t xml:space="preserve"> trial required medical attendance for RSV LRTI. Efficacy of </w:t>
      </w:r>
      <w:r w:rsidR="00485EA7" w:rsidRPr="00EC57FB">
        <w:t xml:space="preserve">RSVpreF </w:t>
      </w:r>
      <w:r w:rsidRPr="00EC57FB">
        <w:t xml:space="preserve">in preventing MA RSV LRTI </w:t>
      </w:r>
      <w:r w:rsidR="00101C2F" w:rsidRPr="00EC57FB">
        <w:t xml:space="preserve">in infants </w:t>
      </w:r>
      <w:r w:rsidRPr="00EC57FB">
        <w:t xml:space="preserve">was thus estimated at </w:t>
      </w:r>
      <w:r w:rsidR="00101C2F" w:rsidRPr="00EC57FB">
        <w:t>52.5</w:t>
      </w:r>
      <w:r w:rsidRPr="00EC57FB">
        <w:t>% (9</w:t>
      </w:r>
      <w:r w:rsidR="006C4B61" w:rsidRPr="00EC57FB">
        <w:t>7.58</w:t>
      </w:r>
      <w:r w:rsidRPr="00EC57FB">
        <w:t xml:space="preserve">% CI: </w:t>
      </w:r>
      <w:r w:rsidR="00101C2F" w:rsidRPr="00EC57FB">
        <w:t>28.7</w:t>
      </w:r>
      <w:r w:rsidRPr="00EC57FB">
        <w:t xml:space="preserve">% - </w:t>
      </w:r>
      <w:r w:rsidR="002662F9" w:rsidRPr="00EC57FB">
        <w:t>68.9</w:t>
      </w:r>
      <w:r w:rsidRPr="00EC57FB">
        <w:t xml:space="preserve">%). </w:t>
      </w:r>
    </w:p>
    <w:p w14:paraId="3D8F1746" w14:textId="62E7581C" w:rsidR="00541935" w:rsidRPr="00EC57FB" w:rsidRDefault="00541935" w:rsidP="00541935">
      <w:pPr>
        <w:pStyle w:val="3-BodyText"/>
      </w:pPr>
      <w:r w:rsidRPr="00EC57FB">
        <w:lastRenderedPageBreak/>
        <w:t xml:space="preserve">As detailed in </w:t>
      </w:r>
      <w:r w:rsidR="00232EC4" w:rsidRPr="00EC57FB">
        <w:fldChar w:fldCharType="begin"/>
      </w:r>
      <w:r w:rsidR="00232EC4" w:rsidRPr="00EC57FB">
        <w:instrText xml:space="preserve"> REF _Ref185937034 \h </w:instrText>
      </w:r>
      <w:r w:rsidR="00232EC4" w:rsidRPr="00EC57FB">
        <w:fldChar w:fldCharType="separate"/>
      </w:r>
      <w:r w:rsidR="00502C25" w:rsidRPr="00EC57FB">
        <w:t xml:space="preserve">Table </w:t>
      </w:r>
      <w:r w:rsidR="00502C25">
        <w:rPr>
          <w:noProof/>
        </w:rPr>
        <w:t>14</w:t>
      </w:r>
      <w:r w:rsidR="00232EC4" w:rsidRPr="00EC57FB">
        <w:fldChar w:fldCharType="end"/>
      </w:r>
      <w:r w:rsidRPr="00EC57FB">
        <w:t xml:space="preserve">, </w:t>
      </w:r>
      <w:r w:rsidR="002662F9" w:rsidRPr="00EC57FB">
        <w:t xml:space="preserve">17/3495 (0.5%) infants in </w:t>
      </w:r>
      <w:r w:rsidR="00485EA7" w:rsidRPr="00EC57FB">
        <w:t xml:space="preserve">RSVpreF </w:t>
      </w:r>
      <w:r w:rsidR="002662F9" w:rsidRPr="00EC57FB">
        <w:t>group and 39/3480 (</w:t>
      </w:r>
      <w:r w:rsidR="005B0E27" w:rsidRPr="00EC57FB">
        <w:t>1.1</w:t>
      </w:r>
      <w:r w:rsidR="002662F9" w:rsidRPr="00EC57FB">
        <w:t xml:space="preserve">%) infants in the placebo group of the MATISSE trial </w:t>
      </w:r>
      <w:r w:rsidRPr="00EC57FB">
        <w:t xml:space="preserve">required hospitalisation for RSV-associated LRTI. Efficacy of </w:t>
      </w:r>
      <w:r w:rsidR="00485EA7" w:rsidRPr="00EC57FB">
        <w:t xml:space="preserve">RSVpreF </w:t>
      </w:r>
      <w:r w:rsidRPr="00EC57FB">
        <w:t xml:space="preserve">in preventing RSV-associated hospitalisations </w:t>
      </w:r>
      <w:r w:rsidR="00705189" w:rsidRPr="00EC57FB">
        <w:t xml:space="preserve">in infants </w:t>
      </w:r>
      <w:r w:rsidRPr="00EC57FB">
        <w:t xml:space="preserve">was estimated at </w:t>
      </w:r>
      <w:r w:rsidR="00705189" w:rsidRPr="00EC57FB">
        <w:t>56.4</w:t>
      </w:r>
      <w:r w:rsidRPr="00EC57FB">
        <w:t>% (9</w:t>
      </w:r>
      <w:r w:rsidR="006C4B61" w:rsidRPr="00EC57FB">
        <w:t>9.17</w:t>
      </w:r>
      <w:r w:rsidRPr="00EC57FB">
        <w:t>%</w:t>
      </w:r>
      <w:r w:rsidR="006C4B61" w:rsidRPr="00EC57FB">
        <w:t> </w:t>
      </w:r>
      <w:r w:rsidRPr="00EC57FB">
        <w:t xml:space="preserve">CI: </w:t>
      </w:r>
      <w:r w:rsidR="00705189" w:rsidRPr="00EC57FB">
        <w:t>5.2</w:t>
      </w:r>
      <w:r w:rsidRPr="00EC57FB">
        <w:t xml:space="preserve">% - </w:t>
      </w:r>
      <w:r w:rsidR="00705189" w:rsidRPr="00EC57FB">
        <w:t>81.5</w:t>
      </w:r>
      <w:r w:rsidRPr="00EC57FB">
        <w:t>%).</w:t>
      </w:r>
    </w:p>
    <w:p w14:paraId="48316B05" w14:textId="275113FC" w:rsidR="008601D5" w:rsidRPr="00EC57FB" w:rsidRDefault="00736B6D" w:rsidP="00541935">
      <w:pPr>
        <w:pStyle w:val="3-BodyText"/>
      </w:pPr>
      <w:r w:rsidRPr="00EC57FB">
        <w:t>T</w:t>
      </w:r>
      <w:r w:rsidR="00EC5B99" w:rsidRPr="00EC57FB">
        <w:t xml:space="preserve">he endpoint assessed in the MATISSE trial is </w:t>
      </w:r>
      <w:r w:rsidR="00C82C3C" w:rsidRPr="00EC57FB">
        <w:t>from birth whereas the endpoint assessed in the nirsevimab trials is from administration of nirsevimab</w:t>
      </w:r>
      <w:r w:rsidR="00883108" w:rsidRPr="00EC57FB">
        <w:t xml:space="preserve">. A </w:t>
      </w:r>
      <w:r w:rsidR="00997FB9" w:rsidRPr="00EC57FB">
        <w:t xml:space="preserve">lower </w:t>
      </w:r>
      <w:r w:rsidR="00C92648" w:rsidRPr="00EC57FB">
        <w:t>incidence</w:t>
      </w:r>
      <w:r w:rsidR="00997FB9" w:rsidRPr="00EC57FB">
        <w:t xml:space="preserve"> of</w:t>
      </w:r>
      <w:r w:rsidR="000B289F" w:rsidRPr="00EC57FB">
        <w:t xml:space="preserve"> MA RSV L</w:t>
      </w:r>
      <w:r w:rsidR="00C92648" w:rsidRPr="00EC57FB">
        <w:t xml:space="preserve">RTI and hospitalisations for RSV LRTI </w:t>
      </w:r>
      <w:r w:rsidR="0067792F" w:rsidRPr="00EC57FB">
        <w:t xml:space="preserve">was </w:t>
      </w:r>
      <w:r w:rsidR="00C92648" w:rsidRPr="00EC57FB">
        <w:t xml:space="preserve">observed in the placebo arm of the MATISSE trial compared to the </w:t>
      </w:r>
      <w:r w:rsidR="00A33192" w:rsidRPr="00EC57FB">
        <w:t>nirsevimab trials.</w:t>
      </w:r>
      <w:r w:rsidR="00883108" w:rsidRPr="00EC57FB">
        <w:t xml:space="preserve"> </w:t>
      </w:r>
      <w:r w:rsidR="00AF1E70" w:rsidRPr="00EC57FB">
        <w:t xml:space="preserve">This </w:t>
      </w:r>
      <w:r w:rsidR="00927CD0" w:rsidRPr="00EC57FB">
        <w:t>will</w:t>
      </w:r>
      <w:r w:rsidR="00CC2A3F" w:rsidRPr="00EC57FB">
        <w:t>,</w:t>
      </w:r>
      <w:r w:rsidR="00927CD0" w:rsidRPr="00EC57FB">
        <w:t xml:space="preserve"> </w:t>
      </w:r>
      <w:r w:rsidR="00BE5542" w:rsidRPr="00EC57FB">
        <w:t>at least partially</w:t>
      </w:r>
      <w:r w:rsidR="00CC2A3F" w:rsidRPr="00EC57FB">
        <w:t>,</w:t>
      </w:r>
      <w:r w:rsidR="00BE5542" w:rsidRPr="00EC57FB">
        <w:t xml:space="preserve"> be </w:t>
      </w:r>
      <w:r w:rsidR="00117BEB" w:rsidRPr="00EC57FB">
        <w:t>because</w:t>
      </w:r>
      <w:r w:rsidR="00BE5542" w:rsidRPr="00EC57FB">
        <w:t xml:space="preserve"> i</w:t>
      </w:r>
      <w:r w:rsidR="00AF1E70" w:rsidRPr="00EC57FB">
        <w:t xml:space="preserve">t is not possible to time the birth of an infant relative to the start of the RSV season. </w:t>
      </w:r>
      <w:r w:rsidR="009653C5" w:rsidRPr="00EC57FB">
        <w:t>For e</w:t>
      </w:r>
      <w:r w:rsidR="0023185F" w:rsidRPr="00EC57FB">
        <w:t>xample, infants born at the end</w:t>
      </w:r>
      <w:r w:rsidR="00382D5C" w:rsidRPr="00EC57FB">
        <w:t xml:space="preserve"> of an RSV season</w:t>
      </w:r>
      <w:r w:rsidR="00A71D4C" w:rsidRPr="00EC57FB">
        <w:t xml:space="preserve"> in a temperate </w:t>
      </w:r>
      <w:r w:rsidR="005C4753" w:rsidRPr="00EC57FB">
        <w:t>region</w:t>
      </w:r>
      <w:r w:rsidR="00382D5C" w:rsidRPr="00EC57FB">
        <w:t xml:space="preserve"> will be less likely to </w:t>
      </w:r>
      <w:r w:rsidR="004C37D5" w:rsidRPr="00EC57FB">
        <w:t>become infected with RSV in the five months after their birth.</w:t>
      </w:r>
      <w:r w:rsidR="003120FE" w:rsidRPr="00EC57FB">
        <w:t xml:space="preserve"> </w:t>
      </w:r>
    </w:p>
    <w:p w14:paraId="357CA814" w14:textId="2DF9E595" w:rsidR="00541935" w:rsidRPr="00EC57FB" w:rsidRDefault="00541935" w:rsidP="002453D8">
      <w:pPr>
        <w:pStyle w:val="Caption"/>
        <w:keepNext w:val="0"/>
        <w:keepLines w:val="0"/>
      </w:pPr>
      <w:bookmarkStart w:id="83" w:name="_Ref185937034"/>
      <w:r w:rsidRPr="00EC57FB">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14</w:t>
      </w:r>
      <w:r w:rsidR="00C51E7C" w:rsidRPr="00EC57FB">
        <w:fldChar w:fldCharType="end"/>
      </w:r>
      <w:bookmarkEnd w:id="83"/>
      <w:r w:rsidRPr="00EC57FB">
        <w:t xml:space="preserve">: Outcomes from the </w:t>
      </w:r>
      <w:r w:rsidR="008B441A" w:rsidRPr="00EC57FB">
        <w:t xml:space="preserve">MATISSE </w:t>
      </w:r>
      <w:r w:rsidRPr="00EC57FB">
        <w:t>trial</w:t>
      </w:r>
    </w:p>
    <w:tbl>
      <w:tblPr>
        <w:tblStyle w:val="TableGrid"/>
        <w:tblW w:w="5000" w:type="pct"/>
        <w:tblInd w:w="-5" w:type="dxa"/>
        <w:tblLook w:val="04A0" w:firstRow="1" w:lastRow="0" w:firstColumn="1" w:lastColumn="0" w:noHBand="0" w:noVBand="1"/>
      </w:tblPr>
      <w:tblGrid>
        <w:gridCol w:w="2940"/>
        <w:gridCol w:w="1574"/>
        <w:gridCol w:w="1446"/>
        <w:gridCol w:w="2239"/>
        <w:gridCol w:w="818"/>
      </w:tblGrid>
      <w:tr w:rsidR="00AD4C11" w:rsidRPr="00EC57FB" w14:paraId="02CCB7B7" w14:textId="77777777">
        <w:tc>
          <w:tcPr>
            <w:tcW w:w="0" w:type="auto"/>
            <w:vAlign w:val="center"/>
          </w:tcPr>
          <w:p w14:paraId="0A48E455" w14:textId="77777777" w:rsidR="00541935" w:rsidRPr="00EC57FB" w:rsidRDefault="00541935" w:rsidP="002453D8">
            <w:pPr>
              <w:pStyle w:val="BodyText"/>
              <w:rPr>
                <w:rFonts w:ascii="Arial Narrow" w:hAnsi="Arial Narrow" w:cstheme="minorHAnsi"/>
                <w:b/>
                <w:bCs/>
                <w:sz w:val="20"/>
                <w:szCs w:val="20"/>
              </w:rPr>
            </w:pPr>
            <w:r w:rsidRPr="00EC57FB">
              <w:rPr>
                <w:rFonts w:ascii="Arial Narrow" w:hAnsi="Arial Narrow" w:cstheme="minorHAnsi"/>
                <w:b/>
                <w:bCs/>
                <w:sz w:val="20"/>
                <w:szCs w:val="20"/>
              </w:rPr>
              <w:t>End Point and Analysis</w:t>
            </w:r>
          </w:p>
        </w:tc>
        <w:tc>
          <w:tcPr>
            <w:tcW w:w="0" w:type="auto"/>
            <w:vAlign w:val="center"/>
          </w:tcPr>
          <w:p w14:paraId="296C34EC" w14:textId="0A088409" w:rsidR="00541935" w:rsidRPr="00EC57FB" w:rsidRDefault="00FD4B20" w:rsidP="002453D8">
            <w:pPr>
              <w:pStyle w:val="BodyText"/>
              <w:jc w:val="center"/>
              <w:rPr>
                <w:rFonts w:ascii="Arial Narrow" w:hAnsi="Arial Narrow" w:cstheme="minorHAnsi"/>
                <w:b/>
                <w:bCs/>
                <w:sz w:val="20"/>
                <w:szCs w:val="20"/>
              </w:rPr>
            </w:pPr>
            <w:r w:rsidRPr="00EC57FB">
              <w:rPr>
                <w:rFonts w:ascii="Arial Narrow" w:hAnsi="Arial Narrow" w:cstheme="minorHAnsi"/>
                <w:b/>
                <w:bCs/>
                <w:sz w:val="20"/>
                <w:szCs w:val="20"/>
              </w:rPr>
              <w:t>RSVpreF vaccine</w:t>
            </w:r>
          </w:p>
          <w:p w14:paraId="3737035F" w14:textId="77777777" w:rsidR="00541935" w:rsidRPr="00EC57FB" w:rsidRDefault="00541935" w:rsidP="002453D8">
            <w:pPr>
              <w:pStyle w:val="BodyText"/>
              <w:jc w:val="center"/>
              <w:rPr>
                <w:rFonts w:ascii="Arial Narrow" w:hAnsi="Arial Narrow" w:cstheme="minorHAnsi"/>
                <w:b/>
                <w:bCs/>
                <w:sz w:val="20"/>
                <w:szCs w:val="20"/>
              </w:rPr>
            </w:pPr>
            <w:r w:rsidRPr="00EC57FB">
              <w:rPr>
                <w:rFonts w:ascii="Arial Narrow" w:hAnsi="Arial Narrow" w:cstheme="minorHAnsi"/>
                <w:b/>
                <w:bCs/>
                <w:sz w:val="20"/>
                <w:szCs w:val="20"/>
              </w:rPr>
              <w:t>n/N (%)</w:t>
            </w:r>
          </w:p>
        </w:tc>
        <w:tc>
          <w:tcPr>
            <w:tcW w:w="0" w:type="auto"/>
            <w:vAlign w:val="center"/>
          </w:tcPr>
          <w:p w14:paraId="548931D8" w14:textId="77777777" w:rsidR="00541935" w:rsidRPr="00EC57FB" w:rsidRDefault="00541935" w:rsidP="002453D8">
            <w:pPr>
              <w:pStyle w:val="BodyText"/>
              <w:jc w:val="center"/>
              <w:rPr>
                <w:rFonts w:ascii="Arial Narrow" w:hAnsi="Arial Narrow" w:cstheme="minorHAnsi"/>
                <w:b/>
                <w:bCs/>
                <w:sz w:val="20"/>
                <w:szCs w:val="20"/>
              </w:rPr>
            </w:pPr>
            <w:r w:rsidRPr="00EC57FB">
              <w:rPr>
                <w:rFonts w:ascii="Arial Narrow" w:hAnsi="Arial Narrow" w:cstheme="minorHAnsi"/>
                <w:b/>
                <w:bCs/>
                <w:sz w:val="20"/>
                <w:szCs w:val="20"/>
              </w:rPr>
              <w:t>Placebo</w:t>
            </w:r>
          </w:p>
          <w:p w14:paraId="2E4A1F9C" w14:textId="77777777" w:rsidR="00541935" w:rsidRPr="00EC57FB" w:rsidRDefault="00541935" w:rsidP="002453D8">
            <w:pPr>
              <w:pStyle w:val="BodyText"/>
              <w:jc w:val="center"/>
              <w:rPr>
                <w:rFonts w:ascii="Arial Narrow" w:hAnsi="Arial Narrow" w:cstheme="minorHAnsi"/>
                <w:b/>
                <w:bCs/>
                <w:sz w:val="20"/>
                <w:szCs w:val="20"/>
              </w:rPr>
            </w:pPr>
            <w:r w:rsidRPr="00EC57FB">
              <w:rPr>
                <w:rFonts w:ascii="Arial Narrow" w:hAnsi="Arial Narrow" w:cstheme="minorHAnsi"/>
                <w:b/>
                <w:bCs/>
                <w:sz w:val="20"/>
                <w:szCs w:val="20"/>
              </w:rPr>
              <w:t>n/N (%)</w:t>
            </w:r>
          </w:p>
        </w:tc>
        <w:tc>
          <w:tcPr>
            <w:tcW w:w="0" w:type="auto"/>
            <w:vAlign w:val="center"/>
          </w:tcPr>
          <w:p w14:paraId="47B8CCB5" w14:textId="77777777" w:rsidR="006A7BEE" w:rsidRPr="00EC57FB" w:rsidRDefault="00541935" w:rsidP="002453D8">
            <w:pPr>
              <w:pStyle w:val="BodyText"/>
              <w:jc w:val="center"/>
              <w:rPr>
                <w:rFonts w:ascii="Arial Narrow" w:hAnsi="Arial Narrow" w:cstheme="minorHAnsi"/>
                <w:b/>
                <w:bCs/>
                <w:sz w:val="20"/>
                <w:szCs w:val="20"/>
              </w:rPr>
            </w:pPr>
            <w:r w:rsidRPr="00EC57FB">
              <w:rPr>
                <w:rFonts w:ascii="Arial Narrow" w:hAnsi="Arial Narrow" w:cstheme="minorHAnsi"/>
                <w:b/>
                <w:bCs/>
                <w:sz w:val="20"/>
                <w:szCs w:val="20"/>
              </w:rPr>
              <w:t xml:space="preserve">Efficacy </w:t>
            </w:r>
          </w:p>
          <w:p w14:paraId="075A3A87" w14:textId="1E74CD52" w:rsidR="00541935" w:rsidRPr="00EC57FB" w:rsidRDefault="00541935" w:rsidP="002453D8">
            <w:pPr>
              <w:pStyle w:val="BodyText"/>
              <w:jc w:val="center"/>
              <w:rPr>
                <w:rFonts w:ascii="Arial Narrow" w:hAnsi="Arial Narrow" w:cstheme="minorHAnsi"/>
                <w:b/>
                <w:bCs/>
                <w:sz w:val="20"/>
                <w:szCs w:val="20"/>
              </w:rPr>
            </w:pPr>
            <w:r w:rsidRPr="00EC57FB">
              <w:rPr>
                <w:rFonts w:ascii="Arial Narrow" w:hAnsi="Arial Narrow" w:cstheme="minorHAnsi"/>
                <w:b/>
                <w:bCs/>
                <w:sz w:val="20"/>
                <w:szCs w:val="20"/>
              </w:rPr>
              <w:t>RRR</w:t>
            </w:r>
            <w:r w:rsidR="006A7BEE" w:rsidRPr="00EC57FB">
              <w:rPr>
                <w:rFonts w:ascii="Arial Narrow" w:hAnsi="Arial Narrow" w:cstheme="minorHAnsi"/>
                <w:b/>
                <w:bCs/>
                <w:sz w:val="20"/>
                <w:szCs w:val="20"/>
              </w:rPr>
              <w:t xml:space="preserve"> </w:t>
            </w:r>
            <w:r w:rsidRPr="00EC57FB">
              <w:rPr>
                <w:rFonts w:ascii="Arial Narrow" w:hAnsi="Arial Narrow" w:cstheme="minorHAnsi"/>
                <w:b/>
                <w:bCs/>
                <w:sz w:val="20"/>
                <w:szCs w:val="20"/>
              </w:rPr>
              <w:t>(CI)</w:t>
            </w:r>
            <w:r w:rsidRPr="00EC57FB">
              <w:rPr>
                <w:rFonts w:ascii="Arial Narrow" w:hAnsi="Arial Narrow" w:cstheme="minorHAnsi"/>
                <w:b/>
                <w:bCs/>
                <w:sz w:val="20"/>
                <w:szCs w:val="20"/>
                <w:vertAlign w:val="superscript"/>
              </w:rPr>
              <w:t>a</w:t>
            </w:r>
          </w:p>
        </w:tc>
        <w:tc>
          <w:tcPr>
            <w:tcW w:w="0" w:type="auto"/>
            <w:vAlign w:val="center"/>
          </w:tcPr>
          <w:p w14:paraId="2B840551" w14:textId="77777777" w:rsidR="00541935" w:rsidRPr="00EC57FB" w:rsidRDefault="00541935" w:rsidP="002453D8">
            <w:pPr>
              <w:pStyle w:val="BodyText"/>
              <w:jc w:val="center"/>
              <w:rPr>
                <w:rFonts w:ascii="Arial Narrow" w:hAnsi="Arial Narrow" w:cstheme="minorHAnsi"/>
                <w:b/>
                <w:bCs/>
                <w:sz w:val="20"/>
                <w:szCs w:val="20"/>
              </w:rPr>
            </w:pPr>
            <w:r w:rsidRPr="00EC57FB">
              <w:rPr>
                <w:rFonts w:ascii="Arial Narrow" w:hAnsi="Arial Narrow" w:cstheme="minorHAnsi"/>
                <w:b/>
                <w:bCs/>
                <w:sz w:val="20"/>
                <w:szCs w:val="20"/>
              </w:rPr>
              <w:t>P Value</w:t>
            </w:r>
          </w:p>
        </w:tc>
      </w:tr>
      <w:tr w:rsidR="006A7BEE" w:rsidRPr="00EC57FB" w14:paraId="4CDC332D" w14:textId="77777777">
        <w:tc>
          <w:tcPr>
            <w:tcW w:w="0" w:type="auto"/>
            <w:gridSpan w:val="5"/>
            <w:vAlign w:val="center"/>
          </w:tcPr>
          <w:p w14:paraId="02B09F4E" w14:textId="77777777" w:rsidR="00541935" w:rsidRPr="00EC57FB" w:rsidRDefault="00541935" w:rsidP="002453D8">
            <w:pPr>
              <w:pStyle w:val="BodyText"/>
              <w:rPr>
                <w:rFonts w:ascii="Arial Narrow" w:hAnsi="Arial Narrow" w:cstheme="minorHAnsi"/>
                <w:b/>
                <w:bCs/>
                <w:sz w:val="20"/>
                <w:szCs w:val="20"/>
              </w:rPr>
            </w:pPr>
            <w:r w:rsidRPr="00EC57FB">
              <w:rPr>
                <w:rFonts w:ascii="Arial Narrow" w:hAnsi="Arial Narrow" w:cstheme="minorHAnsi"/>
                <w:b/>
                <w:bCs/>
                <w:sz w:val="20"/>
                <w:szCs w:val="20"/>
              </w:rPr>
              <w:t>MA RSV LRTI</w:t>
            </w:r>
          </w:p>
        </w:tc>
      </w:tr>
      <w:tr w:rsidR="00C62008" w:rsidRPr="00EC57FB" w14:paraId="25B1F7A5" w14:textId="77777777" w:rsidTr="00A6063E">
        <w:tc>
          <w:tcPr>
            <w:tcW w:w="0" w:type="auto"/>
            <w:shd w:val="clear" w:color="auto" w:fill="B8CCE4"/>
            <w:vAlign w:val="center"/>
          </w:tcPr>
          <w:p w14:paraId="36A42CE5" w14:textId="2F653D66" w:rsidR="00541935" w:rsidRPr="00EC57FB" w:rsidRDefault="00541935" w:rsidP="002453D8">
            <w:pPr>
              <w:pStyle w:val="BodyText"/>
              <w:rPr>
                <w:rFonts w:ascii="Arial Narrow" w:hAnsi="Arial Narrow" w:cstheme="minorHAnsi"/>
                <w:sz w:val="20"/>
                <w:szCs w:val="20"/>
              </w:rPr>
            </w:pPr>
            <w:r w:rsidRPr="00EC57FB">
              <w:rPr>
                <w:rFonts w:ascii="Arial Narrow" w:hAnsi="Arial Narrow" w:cstheme="minorHAnsi"/>
                <w:sz w:val="20"/>
                <w:szCs w:val="20"/>
              </w:rPr>
              <w:t>Observed events</w:t>
            </w:r>
            <w:r w:rsidR="00574800" w:rsidRPr="00EC57FB">
              <w:rPr>
                <w:rFonts w:ascii="Arial Narrow" w:hAnsi="Arial Narrow" w:cstheme="minorHAnsi"/>
                <w:sz w:val="20"/>
                <w:szCs w:val="20"/>
              </w:rPr>
              <w:t xml:space="preserve"> 150 days after </w:t>
            </w:r>
            <w:r w:rsidR="007C6491" w:rsidRPr="00EC57FB">
              <w:rPr>
                <w:rFonts w:ascii="Arial Narrow" w:hAnsi="Arial Narrow" w:cstheme="minorHAnsi"/>
                <w:sz w:val="20"/>
                <w:szCs w:val="20"/>
              </w:rPr>
              <w:t>birth</w:t>
            </w:r>
          </w:p>
        </w:tc>
        <w:tc>
          <w:tcPr>
            <w:tcW w:w="0" w:type="auto"/>
            <w:shd w:val="clear" w:color="auto" w:fill="B8CCE4"/>
            <w:vAlign w:val="center"/>
          </w:tcPr>
          <w:p w14:paraId="535B2070" w14:textId="1F49B421" w:rsidR="00541935" w:rsidRPr="00EC57FB" w:rsidRDefault="00E863CC" w:rsidP="002453D8">
            <w:pPr>
              <w:pStyle w:val="BodyText"/>
              <w:jc w:val="center"/>
              <w:rPr>
                <w:rFonts w:ascii="Arial Narrow" w:hAnsi="Arial Narrow" w:cstheme="minorHAnsi"/>
                <w:sz w:val="20"/>
                <w:szCs w:val="20"/>
              </w:rPr>
            </w:pPr>
            <w:r w:rsidRPr="00EC57FB">
              <w:rPr>
                <w:rFonts w:ascii="Arial Narrow" w:hAnsi="Arial Narrow" w:cstheme="minorHAnsi"/>
                <w:sz w:val="20"/>
                <w:szCs w:val="20"/>
              </w:rPr>
              <w:t>47</w:t>
            </w:r>
            <w:r w:rsidR="00541935" w:rsidRPr="00EC57FB">
              <w:rPr>
                <w:rFonts w:ascii="Arial Narrow" w:hAnsi="Arial Narrow" w:cstheme="minorHAnsi"/>
                <w:sz w:val="20"/>
                <w:szCs w:val="20"/>
              </w:rPr>
              <w:t>/</w:t>
            </w:r>
            <w:r w:rsidR="001457B2" w:rsidRPr="00EC57FB">
              <w:rPr>
                <w:rFonts w:ascii="Arial Narrow" w:hAnsi="Arial Narrow" w:cstheme="minorHAnsi"/>
                <w:sz w:val="20"/>
                <w:szCs w:val="20"/>
              </w:rPr>
              <w:t>3495</w:t>
            </w:r>
            <w:r w:rsidR="00541935" w:rsidRPr="00EC57FB">
              <w:rPr>
                <w:rFonts w:ascii="Arial Narrow" w:hAnsi="Arial Narrow" w:cstheme="minorHAnsi"/>
                <w:sz w:val="20"/>
                <w:szCs w:val="20"/>
              </w:rPr>
              <w:t xml:space="preserve"> (</w:t>
            </w:r>
            <w:r w:rsidR="001457B2" w:rsidRPr="00EC57FB">
              <w:rPr>
                <w:rFonts w:ascii="Arial Narrow" w:hAnsi="Arial Narrow" w:cstheme="minorHAnsi"/>
                <w:sz w:val="20"/>
                <w:szCs w:val="20"/>
              </w:rPr>
              <w:t>1.3</w:t>
            </w:r>
            <w:r w:rsidR="00541935" w:rsidRPr="00EC57FB">
              <w:rPr>
                <w:rFonts w:ascii="Arial Narrow" w:hAnsi="Arial Narrow" w:cstheme="minorHAnsi"/>
                <w:sz w:val="20"/>
                <w:szCs w:val="20"/>
              </w:rPr>
              <w:t>%)</w:t>
            </w:r>
          </w:p>
        </w:tc>
        <w:tc>
          <w:tcPr>
            <w:tcW w:w="0" w:type="auto"/>
            <w:shd w:val="clear" w:color="auto" w:fill="B8CCE4"/>
            <w:vAlign w:val="center"/>
          </w:tcPr>
          <w:p w14:paraId="69F83AF5" w14:textId="23B07A1B" w:rsidR="00541935" w:rsidRPr="00EC57FB" w:rsidRDefault="00286593" w:rsidP="002453D8">
            <w:pPr>
              <w:pStyle w:val="BodyText"/>
              <w:jc w:val="center"/>
              <w:rPr>
                <w:rFonts w:ascii="Arial Narrow" w:hAnsi="Arial Narrow" w:cstheme="minorHAnsi"/>
                <w:sz w:val="20"/>
                <w:szCs w:val="20"/>
              </w:rPr>
            </w:pPr>
            <w:r w:rsidRPr="00EC57FB">
              <w:rPr>
                <w:rFonts w:ascii="Arial Narrow" w:hAnsi="Arial Narrow" w:cstheme="minorHAnsi"/>
                <w:sz w:val="20"/>
                <w:szCs w:val="20"/>
              </w:rPr>
              <w:t>99</w:t>
            </w:r>
            <w:r w:rsidR="00541935" w:rsidRPr="00EC57FB">
              <w:rPr>
                <w:rFonts w:ascii="Arial Narrow" w:hAnsi="Arial Narrow" w:cstheme="minorHAnsi"/>
                <w:sz w:val="20"/>
                <w:szCs w:val="20"/>
              </w:rPr>
              <w:t>/</w:t>
            </w:r>
            <w:r w:rsidR="006F3221" w:rsidRPr="00EC57FB">
              <w:rPr>
                <w:rFonts w:ascii="Arial Narrow" w:hAnsi="Arial Narrow" w:cstheme="minorHAnsi"/>
                <w:sz w:val="20"/>
                <w:szCs w:val="20"/>
              </w:rPr>
              <w:t>3480</w:t>
            </w:r>
            <w:r w:rsidR="00541935" w:rsidRPr="00EC57FB">
              <w:rPr>
                <w:rFonts w:ascii="Arial Narrow" w:hAnsi="Arial Narrow" w:cstheme="minorHAnsi"/>
                <w:sz w:val="20"/>
                <w:szCs w:val="20"/>
              </w:rPr>
              <w:t xml:space="preserve"> (</w:t>
            </w:r>
            <w:r w:rsidR="000D759C" w:rsidRPr="00EC57FB">
              <w:rPr>
                <w:rFonts w:ascii="Arial Narrow" w:hAnsi="Arial Narrow" w:cstheme="minorHAnsi"/>
                <w:sz w:val="20"/>
                <w:szCs w:val="20"/>
              </w:rPr>
              <w:t>2.8</w:t>
            </w:r>
            <w:r w:rsidR="00541935" w:rsidRPr="00EC57FB">
              <w:rPr>
                <w:rFonts w:ascii="Arial Narrow" w:hAnsi="Arial Narrow" w:cstheme="minorHAnsi"/>
                <w:sz w:val="20"/>
                <w:szCs w:val="20"/>
              </w:rPr>
              <w:t>%)</w:t>
            </w:r>
          </w:p>
        </w:tc>
        <w:tc>
          <w:tcPr>
            <w:tcW w:w="0" w:type="auto"/>
            <w:shd w:val="clear" w:color="auto" w:fill="B8CCE4"/>
            <w:vAlign w:val="center"/>
          </w:tcPr>
          <w:p w14:paraId="72FAB3C6" w14:textId="0FB36BAA" w:rsidR="00541935" w:rsidRPr="00EC57FB" w:rsidRDefault="000D759C" w:rsidP="002453D8">
            <w:pPr>
              <w:pStyle w:val="BodyText"/>
              <w:jc w:val="center"/>
              <w:rPr>
                <w:rFonts w:ascii="Arial Narrow" w:hAnsi="Arial Narrow" w:cstheme="minorHAnsi"/>
                <w:b/>
                <w:bCs/>
                <w:sz w:val="20"/>
                <w:szCs w:val="20"/>
              </w:rPr>
            </w:pPr>
            <w:r w:rsidRPr="00EC57FB">
              <w:rPr>
                <w:rFonts w:ascii="Arial Narrow" w:hAnsi="Arial Narrow" w:cstheme="minorHAnsi"/>
                <w:b/>
                <w:bCs/>
                <w:sz w:val="20"/>
                <w:szCs w:val="20"/>
              </w:rPr>
              <w:t>52.</w:t>
            </w:r>
            <w:r w:rsidR="00682D99" w:rsidRPr="00EC57FB">
              <w:rPr>
                <w:rFonts w:ascii="Arial Narrow" w:hAnsi="Arial Narrow" w:cstheme="minorHAnsi"/>
                <w:b/>
                <w:bCs/>
                <w:sz w:val="20"/>
                <w:szCs w:val="20"/>
              </w:rPr>
              <w:t>5</w:t>
            </w:r>
            <w:r w:rsidR="00541935" w:rsidRPr="00EC57FB">
              <w:rPr>
                <w:rFonts w:ascii="Arial Narrow" w:hAnsi="Arial Narrow" w:cstheme="minorHAnsi"/>
                <w:b/>
                <w:bCs/>
                <w:sz w:val="20"/>
                <w:szCs w:val="20"/>
              </w:rPr>
              <w:t xml:space="preserve">% </w:t>
            </w:r>
          </w:p>
          <w:p w14:paraId="16CFACEA" w14:textId="01F27002" w:rsidR="00541935" w:rsidRPr="00EC57FB" w:rsidRDefault="00541935" w:rsidP="002453D8">
            <w:pPr>
              <w:pStyle w:val="BodyText"/>
              <w:jc w:val="center"/>
              <w:rPr>
                <w:rFonts w:ascii="Arial Narrow" w:hAnsi="Arial Narrow" w:cstheme="minorHAnsi"/>
                <w:sz w:val="20"/>
                <w:szCs w:val="20"/>
              </w:rPr>
            </w:pPr>
            <w:r w:rsidRPr="00EC57FB">
              <w:rPr>
                <w:rFonts w:ascii="Arial Narrow" w:hAnsi="Arial Narrow" w:cstheme="minorHAnsi"/>
                <w:b/>
                <w:bCs/>
                <w:sz w:val="20"/>
                <w:szCs w:val="20"/>
              </w:rPr>
              <w:t>(</w:t>
            </w:r>
            <w:r w:rsidR="00A15251" w:rsidRPr="00EC57FB">
              <w:rPr>
                <w:rFonts w:ascii="Arial Narrow" w:hAnsi="Arial Narrow" w:cstheme="minorHAnsi"/>
                <w:b/>
                <w:bCs/>
                <w:sz w:val="20"/>
                <w:szCs w:val="20"/>
              </w:rPr>
              <w:t xml:space="preserve">97.58% CI: </w:t>
            </w:r>
            <w:r w:rsidR="00061B7A" w:rsidRPr="00EC57FB">
              <w:rPr>
                <w:rFonts w:ascii="Arial Narrow" w:hAnsi="Arial Narrow" w:cstheme="minorHAnsi"/>
                <w:b/>
                <w:bCs/>
                <w:sz w:val="20"/>
                <w:szCs w:val="20"/>
              </w:rPr>
              <w:t>28.7</w:t>
            </w:r>
            <w:r w:rsidRPr="00EC57FB">
              <w:rPr>
                <w:rFonts w:ascii="Arial Narrow" w:hAnsi="Arial Narrow" w:cstheme="minorHAnsi"/>
                <w:b/>
                <w:bCs/>
                <w:sz w:val="20"/>
                <w:szCs w:val="20"/>
              </w:rPr>
              <w:t xml:space="preserve">%, </w:t>
            </w:r>
            <w:r w:rsidR="00B97402" w:rsidRPr="00EC57FB">
              <w:rPr>
                <w:rFonts w:ascii="Arial Narrow" w:hAnsi="Arial Narrow" w:cstheme="minorHAnsi"/>
                <w:b/>
                <w:bCs/>
                <w:sz w:val="20"/>
                <w:szCs w:val="20"/>
              </w:rPr>
              <w:t>68.9</w:t>
            </w:r>
            <w:r w:rsidRPr="00EC57FB">
              <w:rPr>
                <w:rFonts w:ascii="Arial Narrow" w:hAnsi="Arial Narrow" w:cstheme="minorHAnsi"/>
                <w:b/>
                <w:bCs/>
                <w:sz w:val="20"/>
                <w:szCs w:val="20"/>
              </w:rPr>
              <w:t>%)</w:t>
            </w:r>
          </w:p>
        </w:tc>
        <w:tc>
          <w:tcPr>
            <w:tcW w:w="0" w:type="auto"/>
            <w:shd w:val="clear" w:color="auto" w:fill="B8CCE4"/>
            <w:vAlign w:val="center"/>
          </w:tcPr>
          <w:p w14:paraId="38295BC2" w14:textId="3F5CE8C9" w:rsidR="00541935" w:rsidRPr="00EC57FB" w:rsidRDefault="00B97402" w:rsidP="002453D8">
            <w:pPr>
              <w:pStyle w:val="BodyText"/>
              <w:jc w:val="center"/>
              <w:rPr>
                <w:rFonts w:ascii="Arial Narrow" w:hAnsi="Arial Narrow" w:cstheme="minorHAnsi"/>
                <w:sz w:val="20"/>
                <w:szCs w:val="20"/>
              </w:rPr>
            </w:pPr>
            <w:r w:rsidRPr="00EC57FB">
              <w:rPr>
                <w:rFonts w:ascii="Arial Narrow" w:hAnsi="Arial Narrow" w:cstheme="minorHAnsi"/>
                <w:sz w:val="20"/>
                <w:szCs w:val="20"/>
              </w:rPr>
              <w:t>NR</w:t>
            </w:r>
          </w:p>
        </w:tc>
      </w:tr>
      <w:tr w:rsidR="00C62008" w:rsidRPr="00EC57FB" w14:paraId="776EBA06" w14:textId="77777777" w:rsidTr="00A6063E">
        <w:tc>
          <w:tcPr>
            <w:tcW w:w="0" w:type="auto"/>
            <w:shd w:val="clear" w:color="auto" w:fill="B8CCE4"/>
            <w:vAlign w:val="center"/>
          </w:tcPr>
          <w:p w14:paraId="47535A1F" w14:textId="18F0C241" w:rsidR="007C6491" w:rsidRPr="00EC57FB" w:rsidRDefault="007C6491" w:rsidP="002453D8">
            <w:pPr>
              <w:pStyle w:val="BodyText"/>
              <w:rPr>
                <w:rFonts w:ascii="Arial Narrow" w:hAnsi="Arial Narrow" w:cstheme="minorHAnsi"/>
                <w:sz w:val="20"/>
                <w:szCs w:val="20"/>
              </w:rPr>
            </w:pPr>
            <w:r w:rsidRPr="00EC57FB">
              <w:rPr>
                <w:rFonts w:ascii="Arial Narrow" w:hAnsi="Arial Narrow" w:cstheme="minorHAnsi"/>
                <w:sz w:val="20"/>
                <w:szCs w:val="20"/>
              </w:rPr>
              <w:t>Observed events 180 days after birth</w:t>
            </w:r>
          </w:p>
        </w:tc>
        <w:tc>
          <w:tcPr>
            <w:tcW w:w="0" w:type="auto"/>
            <w:shd w:val="clear" w:color="auto" w:fill="B8CCE4"/>
            <w:vAlign w:val="center"/>
          </w:tcPr>
          <w:p w14:paraId="63B5299B" w14:textId="65DFF370" w:rsidR="007C6491" w:rsidRPr="00EC57FB" w:rsidRDefault="0075481B" w:rsidP="002453D8">
            <w:pPr>
              <w:pStyle w:val="BodyText"/>
              <w:jc w:val="center"/>
              <w:rPr>
                <w:rFonts w:ascii="Arial Narrow" w:hAnsi="Arial Narrow" w:cstheme="minorHAnsi"/>
                <w:sz w:val="20"/>
                <w:szCs w:val="20"/>
              </w:rPr>
            </w:pPr>
            <w:r w:rsidRPr="00EC57FB">
              <w:rPr>
                <w:rFonts w:ascii="Arial Narrow" w:hAnsi="Arial Narrow" w:cstheme="minorHAnsi"/>
                <w:sz w:val="20"/>
                <w:szCs w:val="20"/>
              </w:rPr>
              <w:t>5</w:t>
            </w:r>
            <w:r w:rsidR="007C6491" w:rsidRPr="00EC57FB">
              <w:rPr>
                <w:rFonts w:ascii="Arial Narrow" w:hAnsi="Arial Narrow" w:cstheme="minorHAnsi"/>
                <w:sz w:val="20"/>
                <w:szCs w:val="20"/>
              </w:rPr>
              <w:t>7/3495 (1.</w:t>
            </w:r>
            <w:r w:rsidR="00877524" w:rsidRPr="00EC57FB">
              <w:rPr>
                <w:rFonts w:ascii="Arial Narrow" w:hAnsi="Arial Narrow" w:cstheme="minorHAnsi"/>
                <w:sz w:val="20"/>
                <w:szCs w:val="20"/>
              </w:rPr>
              <w:t>6</w:t>
            </w:r>
            <w:r w:rsidR="007C6491" w:rsidRPr="00EC57FB">
              <w:rPr>
                <w:rFonts w:ascii="Arial Narrow" w:hAnsi="Arial Narrow" w:cstheme="minorHAnsi"/>
                <w:sz w:val="20"/>
                <w:szCs w:val="20"/>
              </w:rPr>
              <w:t>%)</w:t>
            </w:r>
          </w:p>
        </w:tc>
        <w:tc>
          <w:tcPr>
            <w:tcW w:w="0" w:type="auto"/>
            <w:shd w:val="clear" w:color="auto" w:fill="B8CCE4"/>
            <w:vAlign w:val="center"/>
          </w:tcPr>
          <w:p w14:paraId="380A110D" w14:textId="4E7F4562" w:rsidR="007C6491" w:rsidRPr="00EC57FB" w:rsidRDefault="0075481B" w:rsidP="002453D8">
            <w:pPr>
              <w:pStyle w:val="BodyText"/>
              <w:jc w:val="center"/>
              <w:rPr>
                <w:rFonts w:ascii="Arial Narrow" w:hAnsi="Arial Narrow" w:cstheme="minorHAnsi"/>
                <w:sz w:val="20"/>
                <w:szCs w:val="20"/>
              </w:rPr>
            </w:pPr>
            <w:r w:rsidRPr="00EC57FB">
              <w:rPr>
                <w:rFonts w:ascii="Arial Narrow" w:hAnsi="Arial Narrow" w:cstheme="minorHAnsi"/>
                <w:sz w:val="20"/>
                <w:szCs w:val="20"/>
              </w:rPr>
              <w:t>117</w:t>
            </w:r>
            <w:r w:rsidR="007C6491" w:rsidRPr="00EC57FB">
              <w:rPr>
                <w:rFonts w:ascii="Arial Narrow" w:hAnsi="Arial Narrow" w:cstheme="minorHAnsi"/>
                <w:sz w:val="20"/>
                <w:szCs w:val="20"/>
              </w:rPr>
              <w:t>/3480 (</w:t>
            </w:r>
            <w:r w:rsidR="00877524" w:rsidRPr="00EC57FB">
              <w:rPr>
                <w:rFonts w:ascii="Arial Narrow" w:hAnsi="Arial Narrow" w:cstheme="minorHAnsi"/>
                <w:sz w:val="20"/>
                <w:szCs w:val="20"/>
              </w:rPr>
              <w:t>3.4</w:t>
            </w:r>
            <w:r w:rsidR="007C6491" w:rsidRPr="00EC57FB">
              <w:rPr>
                <w:rFonts w:ascii="Arial Narrow" w:hAnsi="Arial Narrow" w:cstheme="minorHAnsi"/>
                <w:sz w:val="20"/>
                <w:szCs w:val="20"/>
              </w:rPr>
              <w:t>%)</w:t>
            </w:r>
          </w:p>
        </w:tc>
        <w:tc>
          <w:tcPr>
            <w:tcW w:w="0" w:type="auto"/>
            <w:shd w:val="clear" w:color="auto" w:fill="B8CCE4"/>
            <w:vAlign w:val="center"/>
          </w:tcPr>
          <w:p w14:paraId="7C428D9F" w14:textId="60FA822E" w:rsidR="007C6491" w:rsidRPr="00EC57FB" w:rsidRDefault="0075481B" w:rsidP="002453D8">
            <w:pPr>
              <w:pStyle w:val="BodyText"/>
              <w:jc w:val="center"/>
              <w:rPr>
                <w:rFonts w:ascii="Arial Narrow" w:hAnsi="Arial Narrow" w:cstheme="minorHAnsi"/>
                <w:b/>
                <w:bCs/>
                <w:sz w:val="20"/>
                <w:szCs w:val="20"/>
              </w:rPr>
            </w:pPr>
            <w:r w:rsidRPr="00EC57FB">
              <w:rPr>
                <w:rFonts w:ascii="Arial Narrow" w:hAnsi="Arial Narrow" w:cstheme="minorHAnsi"/>
                <w:b/>
                <w:bCs/>
                <w:sz w:val="20"/>
                <w:szCs w:val="20"/>
              </w:rPr>
              <w:t>51.3</w:t>
            </w:r>
            <w:r w:rsidR="007C6491" w:rsidRPr="00EC57FB">
              <w:rPr>
                <w:rFonts w:ascii="Arial Narrow" w:hAnsi="Arial Narrow" w:cstheme="minorHAnsi"/>
                <w:b/>
                <w:bCs/>
                <w:sz w:val="20"/>
                <w:szCs w:val="20"/>
              </w:rPr>
              <w:t xml:space="preserve">% </w:t>
            </w:r>
          </w:p>
          <w:p w14:paraId="753CEF38" w14:textId="781104C0" w:rsidR="007C6491" w:rsidRPr="00EC57FB" w:rsidRDefault="007C6491" w:rsidP="002453D8">
            <w:pPr>
              <w:pStyle w:val="BodyText"/>
              <w:jc w:val="center"/>
              <w:rPr>
                <w:rFonts w:ascii="Arial Narrow" w:hAnsi="Arial Narrow" w:cstheme="minorHAnsi"/>
                <w:b/>
                <w:bCs/>
                <w:sz w:val="20"/>
                <w:szCs w:val="20"/>
              </w:rPr>
            </w:pPr>
            <w:r w:rsidRPr="00EC57FB">
              <w:rPr>
                <w:rFonts w:ascii="Arial Narrow" w:hAnsi="Arial Narrow" w:cstheme="minorHAnsi"/>
                <w:b/>
                <w:bCs/>
                <w:sz w:val="20"/>
                <w:szCs w:val="20"/>
              </w:rPr>
              <w:t xml:space="preserve">(97.58% CI: </w:t>
            </w:r>
            <w:r w:rsidR="0075481B" w:rsidRPr="00EC57FB">
              <w:rPr>
                <w:rFonts w:ascii="Arial Narrow" w:hAnsi="Arial Narrow" w:cstheme="minorHAnsi"/>
                <w:b/>
                <w:bCs/>
                <w:sz w:val="20"/>
                <w:szCs w:val="20"/>
              </w:rPr>
              <w:t>29.4</w:t>
            </w:r>
            <w:r w:rsidRPr="00EC57FB">
              <w:rPr>
                <w:rFonts w:ascii="Arial Narrow" w:hAnsi="Arial Narrow" w:cstheme="minorHAnsi"/>
                <w:b/>
                <w:bCs/>
                <w:sz w:val="20"/>
                <w:szCs w:val="20"/>
              </w:rPr>
              <w:t xml:space="preserve">%, </w:t>
            </w:r>
            <w:r w:rsidR="0075481B" w:rsidRPr="00EC57FB">
              <w:rPr>
                <w:rFonts w:ascii="Arial Narrow" w:hAnsi="Arial Narrow" w:cstheme="minorHAnsi"/>
                <w:b/>
                <w:bCs/>
                <w:sz w:val="20"/>
                <w:szCs w:val="20"/>
              </w:rPr>
              <w:t>66.8</w:t>
            </w:r>
            <w:r w:rsidRPr="00EC57FB">
              <w:rPr>
                <w:rFonts w:ascii="Arial Narrow" w:hAnsi="Arial Narrow" w:cstheme="minorHAnsi"/>
                <w:b/>
                <w:bCs/>
                <w:sz w:val="20"/>
                <w:szCs w:val="20"/>
              </w:rPr>
              <w:t>%)</w:t>
            </w:r>
          </w:p>
        </w:tc>
        <w:tc>
          <w:tcPr>
            <w:tcW w:w="0" w:type="auto"/>
            <w:shd w:val="clear" w:color="auto" w:fill="B8CCE4"/>
            <w:vAlign w:val="center"/>
          </w:tcPr>
          <w:p w14:paraId="3DB22CD5" w14:textId="52BD02CE" w:rsidR="007C6491" w:rsidRPr="00EC57FB" w:rsidRDefault="007C6491" w:rsidP="002453D8">
            <w:pPr>
              <w:pStyle w:val="BodyText"/>
              <w:jc w:val="center"/>
              <w:rPr>
                <w:rFonts w:ascii="Arial Narrow" w:hAnsi="Arial Narrow" w:cstheme="minorHAnsi"/>
                <w:sz w:val="20"/>
                <w:szCs w:val="20"/>
              </w:rPr>
            </w:pPr>
            <w:r w:rsidRPr="00EC57FB">
              <w:rPr>
                <w:rFonts w:ascii="Arial Narrow" w:hAnsi="Arial Narrow" w:cstheme="minorHAnsi"/>
                <w:sz w:val="20"/>
                <w:szCs w:val="20"/>
              </w:rPr>
              <w:t>NR</w:t>
            </w:r>
          </w:p>
        </w:tc>
      </w:tr>
      <w:tr w:rsidR="006A7BEE" w:rsidRPr="00EC57FB" w14:paraId="501267D4" w14:textId="77777777">
        <w:tc>
          <w:tcPr>
            <w:tcW w:w="0" w:type="auto"/>
            <w:gridSpan w:val="5"/>
            <w:vAlign w:val="center"/>
          </w:tcPr>
          <w:p w14:paraId="37764A6F" w14:textId="77777777" w:rsidR="00541935" w:rsidRPr="00EC57FB" w:rsidRDefault="00541935" w:rsidP="002453D8">
            <w:pPr>
              <w:pStyle w:val="BodyText"/>
              <w:rPr>
                <w:rFonts w:ascii="Arial Narrow" w:hAnsi="Arial Narrow" w:cstheme="minorHAnsi"/>
                <w:b/>
                <w:bCs/>
                <w:sz w:val="20"/>
                <w:szCs w:val="20"/>
              </w:rPr>
            </w:pPr>
            <w:r w:rsidRPr="00EC57FB">
              <w:rPr>
                <w:rFonts w:ascii="Arial Narrow" w:hAnsi="Arial Narrow" w:cstheme="minorHAnsi"/>
                <w:b/>
                <w:bCs/>
                <w:sz w:val="20"/>
                <w:szCs w:val="20"/>
              </w:rPr>
              <w:t>Hospitalisation for RSV LRTI</w:t>
            </w:r>
          </w:p>
        </w:tc>
      </w:tr>
      <w:tr w:rsidR="00C62008" w:rsidRPr="00EC57FB" w14:paraId="2235829A" w14:textId="77777777" w:rsidTr="00A6063E">
        <w:tc>
          <w:tcPr>
            <w:tcW w:w="0" w:type="auto"/>
            <w:shd w:val="clear" w:color="auto" w:fill="B8CCE4"/>
            <w:vAlign w:val="center"/>
          </w:tcPr>
          <w:p w14:paraId="6D26123F" w14:textId="5B08AE77" w:rsidR="00541935" w:rsidRPr="00EC57FB" w:rsidRDefault="00541935" w:rsidP="002453D8">
            <w:pPr>
              <w:pStyle w:val="BodyText"/>
              <w:rPr>
                <w:rFonts w:ascii="Arial Narrow" w:hAnsi="Arial Narrow" w:cstheme="minorHAnsi"/>
                <w:sz w:val="20"/>
                <w:szCs w:val="20"/>
              </w:rPr>
            </w:pPr>
            <w:r w:rsidRPr="00EC57FB">
              <w:rPr>
                <w:rFonts w:ascii="Arial Narrow" w:hAnsi="Arial Narrow" w:cstheme="minorHAnsi"/>
                <w:sz w:val="20"/>
                <w:szCs w:val="20"/>
              </w:rPr>
              <w:t>Observed events</w:t>
            </w:r>
            <w:r w:rsidR="007C6491" w:rsidRPr="00EC57FB">
              <w:rPr>
                <w:rFonts w:ascii="Arial Narrow" w:hAnsi="Arial Narrow" w:cstheme="minorHAnsi"/>
                <w:sz w:val="20"/>
                <w:szCs w:val="20"/>
              </w:rPr>
              <w:t xml:space="preserve"> 150 days after birth</w:t>
            </w:r>
          </w:p>
        </w:tc>
        <w:tc>
          <w:tcPr>
            <w:tcW w:w="0" w:type="auto"/>
            <w:shd w:val="clear" w:color="auto" w:fill="B8CCE4"/>
            <w:vAlign w:val="center"/>
          </w:tcPr>
          <w:p w14:paraId="6896D9BE" w14:textId="5B5B1450" w:rsidR="00541935" w:rsidRPr="00EC57FB" w:rsidRDefault="00B06E1A" w:rsidP="002453D8">
            <w:pPr>
              <w:pStyle w:val="BodyText"/>
              <w:jc w:val="center"/>
              <w:rPr>
                <w:rFonts w:ascii="Arial Narrow" w:hAnsi="Arial Narrow" w:cstheme="minorHAnsi"/>
                <w:sz w:val="20"/>
                <w:szCs w:val="20"/>
              </w:rPr>
            </w:pPr>
            <w:r w:rsidRPr="00EC57FB">
              <w:rPr>
                <w:rFonts w:ascii="Arial Narrow" w:hAnsi="Arial Narrow" w:cstheme="minorHAnsi"/>
                <w:sz w:val="20"/>
                <w:szCs w:val="20"/>
              </w:rPr>
              <w:t xml:space="preserve">17/3495 </w:t>
            </w:r>
            <w:r w:rsidR="00541935" w:rsidRPr="00EC57FB">
              <w:rPr>
                <w:rFonts w:ascii="Arial Narrow" w:hAnsi="Arial Narrow" w:cstheme="minorHAnsi"/>
                <w:sz w:val="20"/>
                <w:szCs w:val="20"/>
              </w:rPr>
              <w:t>(0.</w:t>
            </w:r>
            <w:r w:rsidR="006E6C33" w:rsidRPr="00EC57FB">
              <w:rPr>
                <w:rFonts w:ascii="Arial Narrow" w:hAnsi="Arial Narrow" w:cstheme="minorHAnsi"/>
                <w:sz w:val="20"/>
                <w:szCs w:val="20"/>
              </w:rPr>
              <w:t>5</w:t>
            </w:r>
            <w:r w:rsidR="00541935" w:rsidRPr="00EC57FB">
              <w:rPr>
                <w:rFonts w:ascii="Arial Narrow" w:hAnsi="Arial Narrow" w:cstheme="minorHAnsi"/>
                <w:sz w:val="20"/>
                <w:szCs w:val="20"/>
              </w:rPr>
              <w:t>%)</w:t>
            </w:r>
          </w:p>
        </w:tc>
        <w:tc>
          <w:tcPr>
            <w:tcW w:w="0" w:type="auto"/>
            <w:shd w:val="clear" w:color="auto" w:fill="B8CCE4"/>
            <w:vAlign w:val="center"/>
          </w:tcPr>
          <w:p w14:paraId="7E2C4CB9" w14:textId="2CB554F7" w:rsidR="00541935" w:rsidRPr="00EC57FB" w:rsidRDefault="00302AED" w:rsidP="002453D8">
            <w:pPr>
              <w:pStyle w:val="BodyText"/>
              <w:jc w:val="center"/>
              <w:rPr>
                <w:rFonts w:ascii="Arial Narrow" w:hAnsi="Arial Narrow" w:cstheme="minorHAnsi"/>
                <w:sz w:val="20"/>
                <w:szCs w:val="20"/>
              </w:rPr>
            </w:pPr>
            <w:r w:rsidRPr="00EC57FB">
              <w:rPr>
                <w:rFonts w:ascii="Arial Narrow" w:hAnsi="Arial Narrow" w:cstheme="minorHAnsi"/>
                <w:sz w:val="20"/>
                <w:szCs w:val="20"/>
              </w:rPr>
              <w:t>3</w:t>
            </w:r>
            <w:r w:rsidR="006E6C33" w:rsidRPr="00EC57FB">
              <w:rPr>
                <w:rFonts w:ascii="Arial Narrow" w:hAnsi="Arial Narrow" w:cstheme="minorHAnsi"/>
                <w:sz w:val="20"/>
                <w:szCs w:val="20"/>
              </w:rPr>
              <w:t xml:space="preserve">9/3480 </w:t>
            </w:r>
            <w:r w:rsidR="00541935" w:rsidRPr="00EC57FB">
              <w:rPr>
                <w:rFonts w:ascii="Arial Narrow" w:hAnsi="Arial Narrow" w:cstheme="minorHAnsi"/>
                <w:sz w:val="20"/>
                <w:szCs w:val="20"/>
              </w:rPr>
              <w:t>(</w:t>
            </w:r>
            <w:r w:rsidRPr="00EC57FB">
              <w:rPr>
                <w:rFonts w:ascii="Arial Narrow" w:hAnsi="Arial Narrow" w:cstheme="minorHAnsi"/>
                <w:sz w:val="20"/>
                <w:szCs w:val="20"/>
              </w:rPr>
              <w:t>1.1</w:t>
            </w:r>
            <w:r w:rsidR="00541935" w:rsidRPr="00EC57FB">
              <w:rPr>
                <w:rFonts w:ascii="Arial Narrow" w:hAnsi="Arial Narrow" w:cstheme="minorHAnsi"/>
                <w:sz w:val="20"/>
                <w:szCs w:val="20"/>
              </w:rPr>
              <w:t>%)</w:t>
            </w:r>
          </w:p>
        </w:tc>
        <w:tc>
          <w:tcPr>
            <w:tcW w:w="0" w:type="auto"/>
            <w:shd w:val="clear" w:color="auto" w:fill="B8CCE4"/>
            <w:vAlign w:val="center"/>
          </w:tcPr>
          <w:p w14:paraId="04885B55" w14:textId="04C3E8FD" w:rsidR="00541935" w:rsidRPr="00EC57FB" w:rsidRDefault="00D8302F" w:rsidP="002453D8">
            <w:pPr>
              <w:pStyle w:val="BodyText"/>
              <w:jc w:val="center"/>
              <w:rPr>
                <w:rFonts w:ascii="Arial Narrow" w:hAnsi="Arial Narrow" w:cstheme="minorHAnsi"/>
                <w:b/>
                <w:bCs/>
                <w:sz w:val="20"/>
                <w:szCs w:val="20"/>
              </w:rPr>
            </w:pPr>
            <w:r w:rsidRPr="00EC57FB">
              <w:rPr>
                <w:rFonts w:ascii="Arial Narrow" w:hAnsi="Arial Narrow" w:cstheme="minorHAnsi"/>
                <w:b/>
                <w:bCs/>
                <w:sz w:val="20"/>
                <w:szCs w:val="20"/>
              </w:rPr>
              <w:t>56.4</w:t>
            </w:r>
            <w:r w:rsidR="00541935" w:rsidRPr="00EC57FB">
              <w:rPr>
                <w:rFonts w:ascii="Arial Narrow" w:hAnsi="Arial Narrow" w:cstheme="minorHAnsi"/>
                <w:b/>
                <w:bCs/>
                <w:sz w:val="20"/>
                <w:szCs w:val="20"/>
              </w:rPr>
              <w:t xml:space="preserve">% </w:t>
            </w:r>
          </w:p>
          <w:p w14:paraId="7E2484BF" w14:textId="211B6D1A" w:rsidR="00541935" w:rsidRPr="00EC57FB" w:rsidRDefault="00541935" w:rsidP="002453D8">
            <w:pPr>
              <w:pStyle w:val="BodyText"/>
              <w:jc w:val="center"/>
              <w:rPr>
                <w:rFonts w:ascii="Arial Narrow" w:hAnsi="Arial Narrow" w:cstheme="minorHAnsi"/>
                <w:sz w:val="20"/>
                <w:szCs w:val="20"/>
              </w:rPr>
            </w:pPr>
            <w:r w:rsidRPr="00EC57FB">
              <w:rPr>
                <w:rFonts w:ascii="Arial Narrow" w:hAnsi="Arial Narrow" w:cstheme="minorHAnsi"/>
                <w:b/>
                <w:bCs/>
                <w:sz w:val="20"/>
                <w:szCs w:val="20"/>
              </w:rPr>
              <w:t>(</w:t>
            </w:r>
            <w:r w:rsidR="00BA5E85" w:rsidRPr="00EC57FB">
              <w:rPr>
                <w:rFonts w:ascii="Arial Narrow" w:hAnsi="Arial Narrow" w:cstheme="minorHAnsi"/>
                <w:b/>
                <w:bCs/>
                <w:sz w:val="20"/>
                <w:szCs w:val="20"/>
              </w:rPr>
              <w:t xml:space="preserve">99.17% CI: </w:t>
            </w:r>
            <w:r w:rsidR="00E6609F" w:rsidRPr="00EC57FB">
              <w:rPr>
                <w:rFonts w:ascii="Arial Narrow" w:hAnsi="Arial Narrow" w:cstheme="minorHAnsi"/>
                <w:b/>
                <w:bCs/>
                <w:sz w:val="20"/>
                <w:szCs w:val="20"/>
              </w:rPr>
              <w:t>5.2</w:t>
            </w:r>
            <w:r w:rsidRPr="00EC57FB">
              <w:rPr>
                <w:rFonts w:ascii="Arial Narrow" w:hAnsi="Arial Narrow" w:cstheme="minorHAnsi"/>
                <w:b/>
                <w:bCs/>
                <w:sz w:val="20"/>
                <w:szCs w:val="20"/>
              </w:rPr>
              <w:t xml:space="preserve">%, </w:t>
            </w:r>
            <w:r w:rsidR="003C3D59" w:rsidRPr="00EC57FB">
              <w:rPr>
                <w:rFonts w:ascii="Arial Narrow" w:hAnsi="Arial Narrow" w:cstheme="minorHAnsi"/>
                <w:b/>
                <w:bCs/>
                <w:sz w:val="20"/>
                <w:szCs w:val="20"/>
              </w:rPr>
              <w:t>81.5</w:t>
            </w:r>
            <w:r w:rsidRPr="00EC57FB">
              <w:rPr>
                <w:rFonts w:ascii="Arial Narrow" w:hAnsi="Arial Narrow" w:cstheme="minorHAnsi"/>
                <w:b/>
                <w:bCs/>
                <w:sz w:val="20"/>
                <w:szCs w:val="20"/>
              </w:rPr>
              <w:t>%)</w:t>
            </w:r>
          </w:p>
        </w:tc>
        <w:tc>
          <w:tcPr>
            <w:tcW w:w="0" w:type="auto"/>
            <w:shd w:val="clear" w:color="auto" w:fill="B8CCE4"/>
            <w:vAlign w:val="center"/>
          </w:tcPr>
          <w:p w14:paraId="5A058E6B" w14:textId="29A36D82" w:rsidR="00541935" w:rsidRPr="00EC57FB" w:rsidRDefault="003C3D59" w:rsidP="002453D8">
            <w:pPr>
              <w:pStyle w:val="BodyText"/>
              <w:jc w:val="center"/>
              <w:rPr>
                <w:rFonts w:ascii="Arial Narrow" w:hAnsi="Arial Narrow" w:cstheme="minorHAnsi"/>
                <w:sz w:val="20"/>
                <w:szCs w:val="20"/>
              </w:rPr>
            </w:pPr>
            <w:r w:rsidRPr="00EC57FB">
              <w:rPr>
                <w:rFonts w:ascii="Arial Narrow" w:hAnsi="Arial Narrow" w:cstheme="minorHAnsi"/>
                <w:sz w:val="20"/>
                <w:szCs w:val="20"/>
              </w:rPr>
              <w:t>NR</w:t>
            </w:r>
          </w:p>
        </w:tc>
      </w:tr>
      <w:tr w:rsidR="00C62008" w:rsidRPr="00EC57FB" w14:paraId="45723E50" w14:textId="77777777" w:rsidTr="00A6063E">
        <w:tc>
          <w:tcPr>
            <w:tcW w:w="0" w:type="auto"/>
            <w:shd w:val="clear" w:color="auto" w:fill="B8CCE4"/>
            <w:vAlign w:val="center"/>
          </w:tcPr>
          <w:p w14:paraId="1E90B24C" w14:textId="05650073" w:rsidR="007C6491" w:rsidRPr="00EC57FB" w:rsidRDefault="007C6491" w:rsidP="002453D8">
            <w:pPr>
              <w:pStyle w:val="BodyText"/>
              <w:rPr>
                <w:rFonts w:ascii="Arial Narrow" w:hAnsi="Arial Narrow" w:cstheme="minorHAnsi"/>
                <w:sz w:val="20"/>
                <w:szCs w:val="20"/>
              </w:rPr>
            </w:pPr>
            <w:r w:rsidRPr="00EC57FB">
              <w:rPr>
                <w:rFonts w:ascii="Arial Narrow" w:hAnsi="Arial Narrow" w:cstheme="minorHAnsi"/>
                <w:sz w:val="20"/>
                <w:szCs w:val="20"/>
              </w:rPr>
              <w:t>Observed events 180 days after birth</w:t>
            </w:r>
          </w:p>
        </w:tc>
        <w:tc>
          <w:tcPr>
            <w:tcW w:w="0" w:type="auto"/>
            <w:shd w:val="clear" w:color="auto" w:fill="B8CCE4"/>
            <w:vAlign w:val="center"/>
          </w:tcPr>
          <w:p w14:paraId="3014D1DF" w14:textId="356C91E3" w:rsidR="007C6491" w:rsidRPr="00EC57FB" w:rsidRDefault="007C6491" w:rsidP="002453D8">
            <w:pPr>
              <w:pStyle w:val="BodyText"/>
              <w:jc w:val="center"/>
              <w:rPr>
                <w:rFonts w:ascii="Arial Narrow" w:hAnsi="Arial Narrow" w:cstheme="minorHAnsi"/>
                <w:sz w:val="20"/>
                <w:szCs w:val="20"/>
              </w:rPr>
            </w:pPr>
            <w:r w:rsidRPr="00EC57FB">
              <w:rPr>
                <w:rFonts w:ascii="Arial Narrow" w:hAnsi="Arial Narrow" w:cstheme="minorHAnsi"/>
                <w:sz w:val="20"/>
                <w:szCs w:val="20"/>
              </w:rPr>
              <w:t>1</w:t>
            </w:r>
            <w:r w:rsidR="00877524" w:rsidRPr="00EC57FB">
              <w:rPr>
                <w:rFonts w:ascii="Arial Narrow" w:hAnsi="Arial Narrow" w:cstheme="minorHAnsi"/>
                <w:sz w:val="20"/>
                <w:szCs w:val="20"/>
              </w:rPr>
              <w:t>9</w:t>
            </w:r>
            <w:r w:rsidRPr="00EC57FB">
              <w:rPr>
                <w:rFonts w:ascii="Arial Narrow" w:hAnsi="Arial Narrow" w:cstheme="minorHAnsi"/>
                <w:sz w:val="20"/>
                <w:szCs w:val="20"/>
              </w:rPr>
              <w:t>/3495 (0.5%)</w:t>
            </w:r>
          </w:p>
        </w:tc>
        <w:tc>
          <w:tcPr>
            <w:tcW w:w="0" w:type="auto"/>
            <w:shd w:val="clear" w:color="auto" w:fill="B8CCE4"/>
            <w:vAlign w:val="center"/>
          </w:tcPr>
          <w:p w14:paraId="29C41DB2" w14:textId="520EB3FF" w:rsidR="007C6491" w:rsidRPr="00EC57FB" w:rsidRDefault="00877524" w:rsidP="002453D8">
            <w:pPr>
              <w:pStyle w:val="BodyText"/>
              <w:jc w:val="center"/>
              <w:rPr>
                <w:rFonts w:ascii="Arial Narrow" w:hAnsi="Arial Narrow" w:cstheme="minorHAnsi"/>
                <w:sz w:val="20"/>
                <w:szCs w:val="20"/>
              </w:rPr>
            </w:pPr>
            <w:r w:rsidRPr="00EC57FB">
              <w:rPr>
                <w:rFonts w:ascii="Arial Narrow" w:hAnsi="Arial Narrow" w:cstheme="minorHAnsi"/>
                <w:sz w:val="20"/>
                <w:szCs w:val="20"/>
              </w:rPr>
              <w:t>44</w:t>
            </w:r>
            <w:r w:rsidR="007C6491" w:rsidRPr="00EC57FB">
              <w:rPr>
                <w:rFonts w:ascii="Arial Narrow" w:hAnsi="Arial Narrow" w:cstheme="minorHAnsi"/>
                <w:sz w:val="20"/>
                <w:szCs w:val="20"/>
              </w:rPr>
              <w:t>/3480 (1.</w:t>
            </w:r>
            <w:r w:rsidRPr="00EC57FB">
              <w:rPr>
                <w:rFonts w:ascii="Arial Narrow" w:hAnsi="Arial Narrow" w:cstheme="minorHAnsi"/>
                <w:sz w:val="20"/>
                <w:szCs w:val="20"/>
              </w:rPr>
              <w:t>3</w:t>
            </w:r>
            <w:r w:rsidR="007C6491" w:rsidRPr="00EC57FB">
              <w:rPr>
                <w:rFonts w:ascii="Arial Narrow" w:hAnsi="Arial Narrow" w:cstheme="minorHAnsi"/>
                <w:sz w:val="20"/>
                <w:szCs w:val="20"/>
              </w:rPr>
              <w:t>%)</w:t>
            </w:r>
          </w:p>
        </w:tc>
        <w:tc>
          <w:tcPr>
            <w:tcW w:w="0" w:type="auto"/>
            <w:shd w:val="clear" w:color="auto" w:fill="B8CCE4"/>
            <w:vAlign w:val="center"/>
          </w:tcPr>
          <w:p w14:paraId="17294148" w14:textId="5FC24900" w:rsidR="007C6491" w:rsidRPr="00EC57FB" w:rsidRDefault="007C6491" w:rsidP="002453D8">
            <w:pPr>
              <w:pStyle w:val="BodyText"/>
              <w:jc w:val="center"/>
              <w:rPr>
                <w:rFonts w:ascii="Arial Narrow" w:hAnsi="Arial Narrow" w:cstheme="minorHAnsi"/>
                <w:b/>
                <w:bCs/>
                <w:sz w:val="20"/>
                <w:szCs w:val="20"/>
              </w:rPr>
            </w:pPr>
            <w:r w:rsidRPr="00EC57FB">
              <w:rPr>
                <w:rFonts w:ascii="Arial Narrow" w:hAnsi="Arial Narrow" w:cstheme="minorHAnsi"/>
                <w:b/>
                <w:bCs/>
                <w:sz w:val="20"/>
                <w:szCs w:val="20"/>
              </w:rPr>
              <w:t>56.</w:t>
            </w:r>
            <w:r w:rsidR="0075481B" w:rsidRPr="00EC57FB">
              <w:rPr>
                <w:rFonts w:ascii="Arial Narrow" w:hAnsi="Arial Narrow" w:cstheme="minorHAnsi"/>
                <w:b/>
                <w:bCs/>
                <w:sz w:val="20"/>
                <w:szCs w:val="20"/>
              </w:rPr>
              <w:t>8</w:t>
            </w:r>
            <w:r w:rsidRPr="00EC57FB">
              <w:rPr>
                <w:rFonts w:ascii="Arial Narrow" w:hAnsi="Arial Narrow" w:cstheme="minorHAnsi"/>
                <w:b/>
                <w:bCs/>
                <w:sz w:val="20"/>
                <w:szCs w:val="20"/>
              </w:rPr>
              <w:t xml:space="preserve">% </w:t>
            </w:r>
          </w:p>
          <w:p w14:paraId="63B40CA7" w14:textId="43034213" w:rsidR="007C6491" w:rsidRPr="00EC57FB" w:rsidRDefault="007C6491" w:rsidP="002453D8">
            <w:pPr>
              <w:pStyle w:val="BodyText"/>
              <w:jc w:val="center"/>
              <w:rPr>
                <w:rFonts w:ascii="Arial Narrow" w:hAnsi="Arial Narrow" w:cstheme="minorHAnsi"/>
                <w:b/>
                <w:bCs/>
                <w:sz w:val="20"/>
                <w:szCs w:val="20"/>
              </w:rPr>
            </w:pPr>
            <w:r w:rsidRPr="00EC57FB">
              <w:rPr>
                <w:rFonts w:ascii="Arial Narrow" w:hAnsi="Arial Narrow" w:cstheme="minorHAnsi"/>
                <w:b/>
                <w:bCs/>
                <w:sz w:val="20"/>
                <w:szCs w:val="20"/>
              </w:rPr>
              <w:t xml:space="preserve">(99.17% CI: </w:t>
            </w:r>
            <w:r w:rsidR="0075481B" w:rsidRPr="00EC57FB">
              <w:rPr>
                <w:rFonts w:ascii="Arial Narrow" w:hAnsi="Arial Narrow" w:cstheme="minorHAnsi"/>
                <w:b/>
                <w:bCs/>
                <w:sz w:val="20"/>
                <w:szCs w:val="20"/>
              </w:rPr>
              <w:t>10.1</w:t>
            </w:r>
            <w:r w:rsidRPr="00EC57FB">
              <w:rPr>
                <w:rFonts w:ascii="Arial Narrow" w:hAnsi="Arial Narrow" w:cstheme="minorHAnsi"/>
                <w:b/>
                <w:bCs/>
                <w:sz w:val="20"/>
                <w:szCs w:val="20"/>
              </w:rPr>
              <w:t xml:space="preserve">%, </w:t>
            </w:r>
            <w:r w:rsidR="0075481B" w:rsidRPr="00EC57FB">
              <w:rPr>
                <w:rFonts w:ascii="Arial Narrow" w:hAnsi="Arial Narrow" w:cstheme="minorHAnsi"/>
                <w:b/>
                <w:bCs/>
                <w:sz w:val="20"/>
                <w:szCs w:val="20"/>
              </w:rPr>
              <w:t>80.7</w:t>
            </w:r>
            <w:r w:rsidRPr="00EC57FB">
              <w:rPr>
                <w:rFonts w:ascii="Arial Narrow" w:hAnsi="Arial Narrow" w:cstheme="minorHAnsi"/>
                <w:b/>
                <w:bCs/>
                <w:sz w:val="20"/>
                <w:szCs w:val="20"/>
              </w:rPr>
              <w:t>%)</w:t>
            </w:r>
          </w:p>
        </w:tc>
        <w:tc>
          <w:tcPr>
            <w:tcW w:w="0" w:type="auto"/>
            <w:shd w:val="clear" w:color="auto" w:fill="B8CCE4"/>
            <w:vAlign w:val="center"/>
          </w:tcPr>
          <w:p w14:paraId="0D565E74" w14:textId="122C6F92" w:rsidR="007C6491" w:rsidRPr="00EC57FB" w:rsidRDefault="007C6491" w:rsidP="002453D8">
            <w:pPr>
              <w:pStyle w:val="BodyText"/>
              <w:jc w:val="center"/>
              <w:rPr>
                <w:rFonts w:ascii="Arial Narrow" w:hAnsi="Arial Narrow" w:cstheme="minorHAnsi"/>
                <w:sz w:val="20"/>
                <w:szCs w:val="20"/>
              </w:rPr>
            </w:pPr>
            <w:r w:rsidRPr="00EC57FB">
              <w:rPr>
                <w:rFonts w:ascii="Arial Narrow" w:hAnsi="Arial Narrow" w:cstheme="minorHAnsi"/>
                <w:sz w:val="20"/>
                <w:szCs w:val="20"/>
              </w:rPr>
              <w:t>NR</w:t>
            </w:r>
          </w:p>
        </w:tc>
      </w:tr>
    </w:tbl>
    <w:p w14:paraId="79E01EB7" w14:textId="44CA7690" w:rsidR="00541935" w:rsidRPr="00EC57FB" w:rsidRDefault="00541935" w:rsidP="002453D8">
      <w:pPr>
        <w:rPr>
          <w:rFonts w:ascii="Arial Narrow" w:hAnsi="Arial Narrow"/>
          <w:sz w:val="18"/>
          <w:szCs w:val="18"/>
        </w:rPr>
      </w:pPr>
      <w:r w:rsidRPr="00EC57FB">
        <w:rPr>
          <w:rFonts w:ascii="Arial Narrow" w:hAnsi="Arial Narrow"/>
          <w:sz w:val="18"/>
          <w:szCs w:val="18"/>
        </w:rPr>
        <w:t>Source: Table 2.5.</w:t>
      </w:r>
      <w:r w:rsidR="00CF619D" w:rsidRPr="00EC57FB">
        <w:rPr>
          <w:rFonts w:ascii="Arial Narrow" w:hAnsi="Arial Narrow"/>
          <w:sz w:val="18"/>
          <w:szCs w:val="18"/>
        </w:rPr>
        <w:t>5</w:t>
      </w:r>
      <w:r w:rsidRPr="00EC57FB">
        <w:rPr>
          <w:rFonts w:ascii="Arial Narrow" w:hAnsi="Arial Narrow"/>
          <w:sz w:val="18"/>
          <w:szCs w:val="18"/>
        </w:rPr>
        <w:t>, p</w:t>
      </w:r>
      <w:r w:rsidR="009E140F" w:rsidRPr="00EC57FB">
        <w:rPr>
          <w:rFonts w:ascii="Arial Narrow" w:hAnsi="Arial Narrow"/>
          <w:sz w:val="18"/>
          <w:szCs w:val="18"/>
        </w:rPr>
        <w:t>82</w:t>
      </w:r>
      <w:r w:rsidRPr="00EC57FB">
        <w:rPr>
          <w:rFonts w:ascii="Arial Narrow" w:hAnsi="Arial Narrow"/>
          <w:sz w:val="18"/>
          <w:szCs w:val="18"/>
        </w:rPr>
        <w:t xml:space="preserve"> of the </w:t>
      </w:r>
      <w:r w:rsidR="009E140F" w:rsidRPr="00EC57FB">
        <w:rPr>
          <w:rFonts w:ascii="Arial Narrow" w:hAnsi="Arial Narrow"/>
          <w:sz w:val="18"/>
          <w:szCs w:val="18"/>
        </w:rPr>
        <w:t>re</w:t>
      </w:r>
      <w:r w:rsidRPr="00EC57FB">
        <w:rPr>
          <w:rFonts w:ascii="Arial Narrow" w:hAnsi="Arial Narrow"/>
          <w:sz w:val="18"/>
          <w:szCs w:val="18"/>
        </w:rPr>
        <w:t>submissio</w:t>
      </w:r>
      <w:r w:rsidR="009E140F" w:rsidRPr="00EC57FB">
        <w:rPr>
          <w:rFonts w:ascii="Arial Narrow" w:hAnsi="Arial Narrow"/>
          <w:sz w:val="18"/>
          <w:szCs w:val="18"/>
        </w:rPr>
        <w:t xml:space="preserve">n and </w:t>
      </w:r>
      <w:r w:rsidR="00877524" w:rsidRPr="00EC57FB">
        <w:rPr>
          <w:rFonts w:ascii="Arial Narrow" w:hAnsi="Arial Narrow"/>
          <w:sz w:val="18"/>
          <w:szCs w:val="18"/>
        </w:rPr>
        <w:t xml:space="preserve">Figure 2 &amp; </w:t>
      </w:r>
      <w:r w:rsidR="009E140F" w:rsidRPr="00EC57FB">
        <w:rPr>
          <w:rFonts w:ascii="Arial Narrow" w:hAnsi="Arial Narrow"/>
          <w:sz w:val="18"/>
          <w:szCs w:val="18"/>
        </w:rPr>
        <w:t>Table</w:t>
      </w:r>
      <w:r w:rsidR="00ED76CA" w:rsidRPr="00EC57FB">
        <w:rPr>
          <w:rFonts w:ascii="Arial Narrow" w:hAnsi="Arial Narrow"/>
          <w:sz w:val="18"/>
          <w:szCs w:val="18"/>
        </w:rPr>
        <w:t xml:space="preserve"> S7</w:t>
      </w:r>
      <w:r w:rsidR="006B1367" w:rsidRPr="00EC57FB">
        <w:rPr>
          <w:rFonts w:ascii="Arial Narrow" w:hAnsi="Arial Narrow"/>
          <w:sz w:val="18"/>
          <w:szCs w:val="18"/>
        </w:rPr>
        <w:t>,</w:t>
      </w:r>
      <w:r w:rsidR="00E1799E" w:rsidRPr="00EC57FB">
        <w:rPr>
          <w:rFonts w:ascii="Arial Narrow" w:hAnsi="Arial Narrow"/>
          <w:sz w:val="18"/>
          <w:szCs w:val="18"/>
        </w:rPr>
        <w:t xml:space="preserve"> </w:t>
      </w:r>
      <w:r w:rsidR="00313693" w:rsidRPr="00EC57FB">
        <w:rPr>
          <w:rFonts w:ascii="Arial Narrow" w:hAnsi="Arial Narrow"/>
          <w:sz w:val="18"/>
          <w:szCs w:val="18"/>
        </w:rPr>
        <w:t>Kampmann</w:t>
      </w:r>
      <w:r w:rsidR="00BA5C54" w:rsidRPr="00EC57FB">
        <w:rPr>
          <w:rFonts w:ascii="Arial Narrow" w:hAnsi="Arial Narrow"/>
          <w:sz w:val="18"/>
          <w:szCs w:val="18"/>
        </w:rPr>
        <w:t xml:space="preserve"> </w:t>
      </w:r>
      <w:r w:rsidR="00173AE5" w:rsidRPr="00EC57FB">
        <w:rPr>
          <w:rFonts w:ascii="Arial Narrow" w:hAnsi="Arial Narrow"/>
          <w:sz w:val="18"/>
          <w:szCs w:val="18"/>
        </w:rPr>
        <w:t>2023</w:t>
      </w:r>
      <w:r w:rsidR="006B1367" w:rsidRPr="00EC57FB">
        <w:rPr>
          <w:rFonts w:ascii="Arial Narrow" w:hAnsi="Arial Narrow"/>
          <w:sz w:val="18"/>
          <w:szCs w:val="18"/>
        </w:rPr>
        <w:t xml:space="preserve"> (p20 of the supplement)</w:t>
      </w:r>
    </w:p>
    <w:p w14:paraId="1D1F76A5" w14:textId="4FB1F1A8" w:rsidR="00067A27" w:rsidRPr="00EC57FB" w:rsidRDefault="00067A27" w:rsidP="002453D8">
      <w:pPr>
        <w:rPr>
          <w:rFonts w:ascii="Arial Narrow" w:hAnsi="Arial Narrow"/>
          <w:sz w:val="18"/>
          <w:szCs w:val="18"/>
        </w:rPr>
      </w:pPr>
      <w:r w:rsidRPr="00EC57FB">
        <w:rPr>
          <w:rFonts w:ascii="Arial Narrow" w:hAnsi="Arial Narrow"/>
          <w:sz w:val="18"/>
          <w:szCs w:val="18"/>
        </w:rPr>
        <w:t>Blue shading is indicative of information previously considered by the PBAC.</w:t>
      </w:r>
    </w:p>
    <w:p w14:paraId="26074B57" w14:textId="77777777" w:rsidR="00541935" w:rsidRPr="00EC57FB" w:rsidRDefault="00541935" w:rsidP="002453D8">
      <w:pPr>
        <w:pStyle w:val="FooterTableFigure"/>
        <w:rPr>
          <w:szCs w:val="18"/>
        </w:rPr>
      </w:pPr>
      <w:r w:rsidRPr="00EC57FB">
        <w:rPr>
          <w:szCs w:val="18"/>
        </w:rPr>
        <w:t>CI = confidence interval; MA RSV LRTI = medically attended RSV associated lower respiratory tract infection; N = number of participants; RSV = respiratory syncytial virus.</w:t>
      </w:r>
    </w:p>
    <w:p w14:paraId="00E22200" w14:textId="672553B2" w:rsidR="00541935" w:rsidRPr="00EC57FB" w:rsidRDefault="00541935" w:rsidP="002453D8">
      <w:pPr>
        <w:pStyle w:val="FooterTableFigure"/>
        <w:rPr>
          <w:szCs w:val="18"/>
        </w:rPr>
      </w:pPr>
      <w:r w:rsidRPr="00EC57FB">
        <w:rPr>
          <w:szCs w:val="18"/>
          <w:vertAlign w:val="superscript"/>
        </w:rPr>
        <w:t>a</w:t>
      </w:r>
      <w:r w:rsidRPr="00EC57FB">
        <w:rPr>
          <w:szCs w:val="18"/>
        </w:rPr>
        <w:t xml:space="preserve"> </w:t>
      </w:r>
      <w:r w:rsidR="00B546B0" w:rsidRPr="00EC57FB">
        <w:rPr>
          <w:szCs w:val="18"/>
        </w:rPr>
        <w:t>Vaccine efficacy was calculated as 1 − (P/[1 − P]), where P is the number of cases of illness in the RSVpreF group divided by the total number of cases of illness.</w:t>
      </w:r>
      <w:r w:rsidR="003C3E72" w:rsidRPr="00EC57FB">
        <w:rPr>
          <w:szCs w:val="18"/>
        </w:rPr>
        <w:t xml:space="preserve"> </w:t>
      </w:r>
      <w:r w:rsidR="00B546B0" w:rsidRPr="00EC57FB">
        <w:rPr>
          <w:szCs w:val="18"/>
        </w:rPr>
        <w:t xml:space="preserve">At </w:t>
      </w:r>
      <w:r w:rsidR="000019EC" w:rsidRPr="00EC57FB">
        <w:rPr>
          <w:szCs w:val="18"/>
        </w:rPr>
        <w:t xml:space="preserve">intervals beyond </w:t>
      </w:r>
      <w:r w:rsidR="00B546B0" w:rsidRPr="00EC57FB">
        <w:rPr>
          <w:szCs w:val="18"/>
        </w:rPr>
        <w:t>90 days, 9</w:t>
      </w:r>
      <w:r w:rsidR="007A46FF" w:rsidRPr="00EC57FB">
        <w:rPr>
          <w:szCs w:val="18"/>
        </w:rPr>
        <w:t>7.58</w:t>
      </w:r>
      <w:r w:rsidR="00B546B0" w:rsidRPr="00EC57FB">
        <w:rPr>
          <w:szCs w:val="18"/>
        </w:rPr>
        <w:t>% confidence intervals (CIs)</w:t>
      </w:r>
      <w:r w:rsidR="003739C3" w:rsidRPr="00EC57FB">
        <w:rPr>
          <w:szCs w:val="18"/>
        </w:rPr>
        <w:t xml:space="preserve"> </w:t>
      </w:r>
      <w:r w:rsidR="00BC1264" w:rsidRPr="00EC57FB">
        <w:rPr>
          <w:szCs w:val="18"/>
        </w:rPr>
        <w:t xml:space="preserve">were </w:t>
      </w:r>
      <w:r w:rsidR="00B546B0" w:rsidRPr="00EC57FB">
        <w:rPr>
          <w:szCs w:val="18"/>
        </w:rPr>
        <w:t>based on a two</w:t>
      </w:r>
      <w:r w:rsidR="00E0624A" w:rsidRPr="00EC57FB">
        <w:rPr>
          <w:szCs w:val="18"/>
        </w:rPr>
        <w:t>-</w:t>
      </w:r>
      <w:r w:rsidR="00B546B0" w:rsidRPr="00EC57FB">
        <w:rPr>
          <w:szCs w:val="18"/>
        </w:rPr>
        <w:t>sided</w:t>
      </w:r>
      <w:r w:rsidR="00E0624A" w:rsidRPr="00EC57FB">
        <w:rPr>
          <w:szCs w:val="18"/>
        </w:rPr>
        <w:t xml:space="preserve"> </w:t>
      </w:r>
      <w:r w:rsidR="00B546B0" w:rsidRPr="00EC57FB">
        <w:rPr>
          <w:szCs w:val="18"/>
        </w:rPr>
        <w:t>alpha level of 0.0483 adjusted with the use of the</w:t>
      </w:r>
      <w:r w:rsidR="00E0624A" w:rsidRPr="00EC57FB">
        <w:rPr>
          <w:szCs w:val="18"/>
        </w:rPr>
        <w:t xml:space="preserve"> </w:t>
      </w:r>
      <w:r w:rsidR="00B546B0" w:rsidRPr="00EC57FB">
        <w:rPr>
          <w:szCs w:val="18"/>
        </w:rPr>
        <w:t>Bonferroni procedure.</w:t>
      </w:r>
    </w:p>
    <w:p w14:paraId="70FB9A67" w14:textId="6DACCA14" w:rsidR="00A873A1" w:rsidRPr="00EC57FB" w:rsidRDefault="00A873A1" w:rsidP="002453D8">
      <w:pPr>
        <w:pStyle w:val="FooterTableFigure"/>
        <w:rPr>
          <w:szCs w:val="18"/>
        </w:rPr>
      </w:pPr>
      <w:r w:rsidRPr="00EC57FB">
        <w:rPr>
          <w:rFonts w:cstheme="minorHAnsi"/>
          <w:szCs w:val="18"/>
        </w:rPr>
        <w:t xml:space="preserve">Note: </w:t>
      </w:r>
      <w:r w:rsidRPr="00EC57FB">
        <w:rPr>
          <w:rFonts w:cstheme="minorHAnsi"/>
          <w:b/>
          <w:bCs/>
          <w:szCs w:val="18"/>
        </w:rPr>
        <w:t>Bold text</w:t>
      </w:r>
      <w:r w:rsidRPr="00EC57FB">
        <w:rPr>
          <w:rFonts w:cstheme="minorHAnsi"/>
          <w:szCs w:val="18"/>
        </w:rPr>
        <w:t xml:space="preserve"> indicates a statistical difference between arms.</w:t>
      </w:r>
    </w:p>
    <w:p w14:paraId="0B6474B0" w14:textId="0B7AD1B2" w:rsidR="00933333" w:rsidRPr="00EC57FB" w:rsidRDefault="00A6063E" w:rsidP="004B64E0">
      <w:pPr>
        <w:spacing w:after="120"/>
        <w:rPr>
          <w:b/>
          <w:bCs/>
        </w:rPr>
      </w:pPr>
      <w:r w:rsidRPr="00EC57FB">
        <w:rPr>
          <w:b/>
          <w:bCs/>
        </w:rPr>
        <w:t>I</w:t>
      </w:r>
      <w:r w:rsidR="00627688" w:rsidRPr="00EC57FB">
        <w:rPr>
          <w:b/>
          <w:bCs/>
        </w:rPr>
        <w:t xml:space="preserve">ndirect </w:t>
      </w:r>
      <w:r w:rsidRPr="00EC57FB">
        <w:rPr>
          <w:b/>
          <w:bCs/>
        </w:rPr>
        <w:t xml:space="preserve">treatment </w:t>
      </w:r>
      <w:r w:rsidR="00627688" w:rsidRPr="00EC57FB">
        <w:rPr>
          <w:b/>
          <w:bCs/>
        </w:rPr>
        <w:t xml:space="preserve">comparison </w:t>
      </w:r>
      <w:r w:rsidR="009A45F6" w:rsidRPr="00EC57FB">
        <w:rPr>
          <w:b/>
          <w:bCs/>
        </w:rPr>
        <w:t xml:space="preserve">in </w:t>
      </w:r>
      <w:r w:rsidR="00627688" w:rsidRPr="00EC57FB">
        <w:rPr>
          <w:b/>
          <w:bCs/>
        </w:rPr>
        <w:t>Population</w:t>
      </w:r>
      <w:r w:rsidR="009A45F6" w:rsidRPr="00EC57FB">
        <w:rPr>
          <w:b/>
          <w:bCs/>
        </w:rPr>
        <w:t xml:space="preserve"> A</w:t>
      </w:r>
      <w:r w:rsidR="00627688" w:rsidRPr="00EC57FB">
        <w:rPr>
          <w:b/>
          <w:bCs/>
        </w:rPr>
        <w:t xml:space="preserve"> </w:t>
      </w:r>
      <w:r w:rsidR="00434E88" w:rsidRPr="00EC57FB">
        <w:rPr>
          <w:b/>
          <w:bCs/>
        </w:rPr>
        <w:t xml:space="preserve">of </w:t>
      </w:r>
      <w:r w:rsidR="00017299" w:rsidRPr="00EC57FB">
        <w:rPr>
          <w:b/>
          <w:bCs/>
        </w:rPr>
        <w:t xml:space="preserve">nirsevimab </w:t>
      </w:r>
      <w:r w:rsidR="00434E88" w:rsidRPr="00EC57FB">
        <w:rPr>
          <w:b/>
          <w:bCs/>
        </w:rPr>
        <w:t>versus</w:t>
      </w:r>
      <w:r w:rsidR="00017299" w:rsidRPr="00EC57FB">
        <w:rPr>
          <w:b/>
          <w:bCs/>
        </w:rPr>
        <w:t xml:space="preserve"> RSVpreF using placebo as the common reference, based on evidence from MELODY </w:t>
      </w:r>
      <w:r w:rsidR="00627688" w:rsidRPr="00EC57FB">
        <w:rPr>
          <w:b/>
          <w:bCs/>
        </w:rPr>
        <w:t xml:space="preserve">(nirsevimab vs placebo) and </w:t>
      </w:r>
      <w:r w:rsidR="0008016B" w:rsidRPr="00EC57FB">
        <w:rPr>
          <w:b/>
          <w:bCs/>
        </w:rPr>
        <w:t>MATISSE</w:t>
      </w:r>
      <w:r w:rsidR="00627688" w:rsidRPr="00EC57FB">
        <w:rPr>
          <w:b/>
          <w:bCs/>
        </w:rPr>
        <w:t xml:space="preserve"> (RSVpreF vs placebo)</w:t>
      </w:r>
      <w:r w:rsidR="00C2248D" w:rsidRPr="00EC57FB">
        <w:rPr>
          <w:b/>
          <w:bCs/>
        </w:rPr>
        <w:t xml:space="preserve"> - infants experiencing their first RSV season</w:t>
      </w:r>
    </w:p>
    <w:p w14:paraId="63427DDA" w14:textId="4F4ED55F" w:rsidR="00457DA2" w:rsidRPr="00EC57FB" w:rsidRDefault="00CD4226" w:rsidP="000354CC">
      <w:pPr>
        <w:pStyle w:val="3-BodyText"/>
        <w:rPr>
          <w:color w:val="000000" w:themeColor="text1"/>
        </w:rPr>
      </w:pPr>
      <w:bookmarkStart w:id="84" w:name="_Ref188360879"/>
      <w:r w:rsidRPr="00EC57FB">
        <w:rPr>
          <w:color w:val="000000" w:themeColor="text1"/>
        </w:rPr>
        <w:t>T</w:t>
      </w:r>
      <w:r w:rsidR="00C173F6" w:rsidRPr="00EC57FB">
        <w:rPr>
          <w:color w:val="000000" w:themeColor="text1"/>
        </w:rPr>
        <w:t>he resubmission provide</w:t>
      </w:r>
      <w:r w:rsidR="008620CA" w:rsidRPr="00EC57FB">
        <w:rPr>
          <w:color w:val="000000" w:themeColor="text1"/>
        </w:rPr>
        <w:t>d</w:t>
      </w:r>
      <w:r w:rsidR="00C173F6" w:rsidRPr="00EC57FB">
        <w:rPr>
          <w:color w:val="000000" w:themeColor="text1"/>
        </w:rPr>
        <w:t xml:space="preserve"> a </w:t>
      </w:r>
      <w:r w:rsidR="00B629F5" w:rsidRPr="00EC57FB">
        <w:rPr>
          <w:color w:val="000000" w:themeColor="text1"/>
        </w:rPr>
        <w:t xml:space="preserve">qualitative </w:t>
      </w:r>
      <w:r w:rsidR="00C173F6" w:rsidRPr="00EC57FB">
        <w:rPr>
          <w:color w:val="000000" w:themeColor="text1"/>
        </w:rPr>
        <w:t>comparison of outcomes</w:t>
      </w:r>
      <w:r w:rsidR="00FB3C03" w:rsidRPr="00EC57FB">
        <w:rPr>
          <w:color w:val="000000" w:themeColor="text1"/>
        </w:rPr>
        <w:t xml:space="preserve"> from the </w:t>
      </w:r>
      <w:r w:rsidR="00611EF3" w:rsidRPr="00EC57FB">
        <w:rPr>
          <w:color w:val="000000" w:themeColor="text1"/>
        </w:rPr>
        <w:t xml:space="preserve">meta-analysis of the MELODY and Phase 2b trials </w:t>
      </w:r>
      <w:r w:rsidR="00574C20" w:rsidRPr="00EC57FB">
        <w:rPr>
          <w:color w:val="000000" w:themeColor="text1"/>
        </w:rPr>
        <w:t>(</w:t>
      </w:r>
      <w:r w:rsidR="00611EF3" w:rsidRPr="00EC57FB">
        <w:rPr>
          <w:color w:val="000000" w:themeColor="text1"/>
        </w:rPr>
        <w:t xml:space="preserve">nirsevimab </w:t>
      </w:r>
      <w:r w:rsidR="00EB4306" w:rsidRPr="00EC57FB">
        <w:rPr>
          <w:color w:val="000000" w:themeColor="text1"/>
        </w:rPr>
        <w:t xml:space="preserve">vs </w:t>
      </w:r>
      <w:r w:rsidR="00611EF3" w:rsidRPr="00EC57FB">
        <w:rPr>
          <w:color w:val="000000" w:themeColor="text1"/>
        </w:rPr>
        <w:t>placebo</w:t>
      </w:r>
      <w:r w:rsidR="00574C20" w:rsidRPr="00EC57FB">
        <w:rPr>
          <w:color w:val="000000" w:themeColor="text1"/>
        </w:rPr>
        <w:t>)</w:t>
      </w:r>
      <w:r w:rsidR="00451B84" w:rsidRPr="00EC57FB">
        <w:rPr>
          <w:color w:val="000000" w:themeColor="text1"/>
        </w:rPr>
        <w:t xml:space="preserve"> as reported by Simões 2023</w:t>
      </w:r>
      <w:r w:rsidR="00EB4306" w:rsidRPr="00EC57FB">
        <w:rPr>
          <w:color w:val="000000" w:themeColor="text1"/>
        </w:rPr>
        <w:t>,</w:t>
      </w:r>
      <w:r w:rsidR="00451B84" w:rsidRPr="00EC57FB">
        <w:rPr>
          <w:color w:val="000000" w:themeColor="text1"/>
        </w:rPr>
        <w:t xml:space="preserve"> </w:t>
      </w:r>
      <w:r w:rsidR="00611EF3" w:rsidRPr="00EC57FB">
        <w:rPr>
          <w:color w:val="000000" w:themeColor="text1"/>
        </w:rPr>
        <w:t>and</w:t>
      </w:r>
      <w:r w:rsidR="00252907" w:rsidRPr="00EC57FB">
        <w:rPr>
          <w:color w:val="000000" w:themeColor="text1"/>
        </w:rPr>
        <w:t xml:space="preserve"> the</w:t>
      </w:r>
      <w:r w:rsidR="00AE2B2D" w:rsidRPr="00EC57FB">
        <w:rPr>
          <w:color w:val="000000" w:themeColor="text1"/>
        </w:rPr>
        <w:t xml:space="preserve"> outcomes from the MATISSE trial </w:t>
      </w:r>
      <w:r w:rsidR="00EB4306" w:rsidRPr="00EC57FB">
        <w:rPr>
          <w:color w:val="000000" w:themeColor="text1"/>
        </w:rPr>
        <w:t>(</w:t>
      </w:r>
      <w:r w:rsidR="00485EA7" w:rsidRPr="00EC57FB">
        <w:rPr>
          <w:color w:val="000000" w:themeColor="text1"/>
        </w:rPr>
        <w:t>RSVpreF</w:t>
      </w:r>
      <w:r w:rsidR="00AE2B2D" w:rsidRPr="00EC57FB">
        <w:rPr>
          <w:color w:val="000000" w:themeColor="text1"/>
        </w:rPr>
        <w:t xml:space="preserve"> </w:t>
      </w:r>
      <w:r w:rsidR="00EB4306" w:rsidRPr="00EC57FB">
        <w:rPr>
          <w:color w:val="000000" w:themeColor="text1"/>
        </w:rPr>
        <w:t xml:space="preserve">vs </w:t>
      </w:r>
      <w:r w:rsidR="00AE2B2D" w:rsidRPr="00EC57FB">
        <w:rPr>
          <w:color w:val="000000" w:themeColor="text1"/>
        </w:rPr>
        <w:t>placebo</w:t>
      </w:r>
      <w:r w:rsidR="00EB4306" w:rsidRPr="00EC57FB">
        <w:rPr>
          <w:color w:val="000000" w:themeColor="text1"/>
        </w:rPr>
        <w:t>)</w:t>
      </w:r>
      <w:r w:rsidR="00457DA2" w:rsidRPr="00EC57FB">
        <w:rPr>
          <w:color w:val="000000" w:themeColor="text1"/>
        </w:rPr>
        <w:t xml:space="preserve">, as </w:t>
      </w:r>
      <w:r w:rsidR="00845909" w:rsidRPr="00EC57FB">
        <w:rPr>
          <w:color w:val="000000" w:themeColor="text1"/>
        </w:rPr>
        <w:t>summarised</w:t>
      </w:r>
      <w:r w:rsidR="00457DA2" w:rsidRPr="00EC57FB">
        <w:rPr>
          <w:color w:val="000000" w:themeColor="text1"/>
        </w:rPr>
        <w:t xml:space="preserve"> in</w:t>
      </w:r>
      <w:r w:rsidR="009E035D" w:rsidRPr="00EC57FB">
        <w:rPr>
          <w:color w:val="000000" w:themeColor="text1"/>
        </w:rPr>
        <w:t xml:space="preserve"> </w:t>
      </w:r>
      <w:r w:rsidR="009C07EB" w:rsidRPr="00EC57FB">
        <w:rPr>
          <w:color w:val="000000" w:themeColor="text1"/>
        </w:rPr>
        <w:fldChar w:fldCharType="begin"/>
      </w:r>
      <w:r w:rsidR="009C07EB" w:rsidRPr="00EC57FB">
        <w:rPr>
          <w:color w:val="000000" w:themeColor="text1"/>
        </w:rPr>
        <w:instrText xml:space="preserve"> REF _Ref185941364 \h </w:instrText>
      </w:r>
      <w:r w:rsidR="009C07EB" w:rsidRPr="00EC57FB">
        <w:rPr>
          <w:color w:val="000000" w:themeColor="text1"/>
        </w:rPr>
      </w:r>
      <w:r w:rsidR="009C07EB" w:rsidRPr="00EC57FB">
        <w:rPr>
          <w:color w:val="000000" w:themeColor="text1"/>
        </w:rPr>
        <w:fldChar w:fldCharType="separate"/>
      </w:r>
      <w:r w:rsidR="00502C25" w:rsidRPr="00EC57FB">
        <w:t xml:space="preserve">Table </w:t>
      </w:r>
      <w:r w:rsidR="00502C25">
        <w:rPr>
          <w:noProof/>
        </w:rPr>
        <w:t>15</w:t>
      </w:r>
      <w:r w:rsidR="009C07EB" w:rsidRPr="00EC57FB">
        <w:rPr>
          <w:color w:val="000000" w:themeColor="text1"/>
        </w:rPr>
        <w:fldChar w:fldCharType="end"/>
      </w:r>
      <w:r w:rsidR="00A96BFB" w:rsidRPr="00EC57FB">
        <w:rPr>
          <w:color w:val="000000" w:themeColor="text1"/>
        </w:rPr>
        <w:t>.</w:t>
      </w:r>
      <w:r w:rsidR="005C594E" w:rsidRPr="00EC57FB">
        <w:rPr>
          <w:color w:val="000000" w:themeColor="text1"/>
        </w:rPr>
        <w:t xml:space="preserve"> </w:t>
      </w:r>
      <w:r w:rsidR="00B61E2C" w:rsidRPr="00EC57FB">
        <w:rPr>
          <w:color w:val="000000" w:themeColor="text1"/>
        </w:rPr>
        <w:t>A formal ITC of nirsevimab and RSVpreF was not presented in the resubmission on the grounds that the PBAC considered the ITC presented in the first submission to be unreliable and subject to substantial transitivity issues.</w:t>
      </w:r>
      <w:r w:rsidR="000435EC" w:rsidRPr="00EC57FB">
        <w:rPr>
          <w:color w:val="000000" w:themeColor="text1"/>
        </w:rPr>
        <w:t xml:space="preserve"> </w:t>
      </w:r>
      <w:r w:rsidR="00735975" w:rsidRPr="00EC57FB">
        <w:rPr>
          <w:color w:val="000000" w:themeColor="text1"/>
        </w:rPr>
        <w:t>Both</w:t>
      </w:r>
      <w:r w:rsidR="000435EC" w:rsidRPr="00EC57FB">
        <w:rPr>
          <w:color w:val="000000" w:themeColor="text1"/>
        </w:rPr>
        <w:t xml:space="preserve"> the</w:t>
      </w:r>
      <w:r w:rsidR="00735975" w:rsidRPr="00EC57FB">
        <w:rPr>
          <w:color w:val="000000" w:themeColor="text1"/>
        </w:rPr>
        <w:t xml:space="preserve"> interim and f</w:t>
      </w:r>
      <w:r w:rsidR="00D85ADE" w:rsidRPr="00EC57FB">
        <w:rPr>
          <w:color w:val="000000" w:themeColor="text1"/>
        </w:rPr>
        <w:t>inal</w:t>
      </w:r>
      <w:r w:rsidR="00735975" w:rsidRPr="00EC57FB">
        <w:rPr>
          <w:color w:val="000000" w:themeColor="text1"/>
        </w:rPr>
        <w:t xml:space="preserve"> r</w:t>
      </w:r>
      <w:r w:rsidR="005C594E" w:rsidRPr="00EC57FB">
        <w:rPr>
          <w:color w:val="000000" w:themeColor="text1"/>
        </w:rPr>
        <w:t>esults from the MELODY trial have been added to the table</w:t>
      </w:r>
      <w:r w:rsidR="00595587" w:rsidRPr="00EC57FB">
        <w:rPr>
          <w:color w:val="000000" w:themeColor="text1"/>
        </w:rPr>
        <w:t xml:space="preserve"> </w:t>
      </w:r>
      <w:r w:rsidR="00465C86" w:rsidRPr="00EC57FB">
        <w:rPr>
          <w:color w:val="000000" w:themeColor="text1"/>
        </w:rPr>
        <w:t>given</w:t>
      </w:r>
      <w:r w:rsidR="00595587" w:rsidRPr="00EC57FB">
        <w:rPr>
          <w:color w:val="000000" w:themeColor="text1"/>
        </w:rPr>
        <w:t xml:space="preserve"> tha</w:t>
      </w:r>
      <w:r w:rsidR="007A5104" w:rsidRPr="00EC57FB">
        <w:rPr>
          <w:color w:val="000000" w:themeColor="text1"/>
        </w:rPr>
        <w:t>t the meta-analys</w:t>
      </w:r>
      <w:r w:rsidR="00424E24" w:rsidRPr="00EC57FB">
        <w:rPr>
          <w:color w:val="000000" w:themeColor="text1"/>
        </w:rPr>
        <w:t>e</w:t>
      </w:r>
      <w:r w:rsidR="007A5104" w:rsidRPr="00EC57FB">
        <w:rPr>
          <w:color w:val="000000" w:themeColor="text1"/>
        </w:rPr>
        <w:t xml:space="preserve">s </w:t>
      </w:r>
      <w:r w:rsidR="00424E24" w:rsidRPr="00EC57FB">
        <w:rPr>
          <w:color w:val="000000" w:themeColor="text1"/>
        </w:rPr>
        <w:t>have</w:t>
      </w:r>
      <w:r w:rsidR="004D30A8" w:rsidRPr="00EC57FB">
        <w:rPr>
          <w:color w:val="000000" w:themeColor="text1"/>
        </w:rPr>
        <w:t xml:space="preserve"> an over-representation of</w:t>
      </w:r>
      <w:r w:rsidR="0093159B" w:rsidRPr="00EC57FB">
        <w:rPr>
          <w:color w:val="000000" w:themeColor="text1"/>
        </w:rPr>
        <w:t xml:space="preserve"> pre-term infan</w:t>
      </w:r>
      <w:r w:rsidR="00B56D80" w:rsidRPr="00EC57FB">
        <w:rPr>
          <w:color w:val="000000" w:themeColor="text1"/>
        </w:rPr>
        <w:t xml:space="preserve">ts that </w:t>
      </w:r>
      <w:r w:rsidR="00F9739E" w:rsidRPr="00EC57FB">
        <w:rPr>
          <w:color w:val="000000" w:themeColor="text1"/>
        </w:rPr>
        <w:t>can be considered to have a risk condition</w:t>
      </w:r>
      <w:r w:rsidR="0009503B" w:rsidRPr="00EC57FB">
        <w:rPr>
          <w:color w:val="000000" w:themeColor="text1"/>
        </w:rPr>
        <w:t xml:space="preserve"> (</w:t>
      </w:r>
      <w:r w:rsidR="00736B6D" w:rsidRPr="00EC57FB">
        <w:rPr>
          <w:color w:val="000000" w:themeColor="text1"/>
        </w:rPr>
        <w:fldChar w:fldCharType="begin"/>
      </w:r>
      <w:r w:rsidR="00736B6D" w:rsidRPr="00EC57FB">
        <w:rPr>
          <w:color w:val="000000" w:themeColor="text1"/>
        </w:rPr>
        <w:instrText xml:space="preserve"> REF _Ref185941364 \h </w:instrText>
      </w:r>
      <w:r w:rsidR="00736B6D" w:rsidRPr="00EC57FB">
        <w:rPr>
          <w:color w:val="000000" w:themeColor="text1"/>
        </w:rPr>
      </w:r>
      <w:r w:rsidR="00736B6D" w:rsidRPr="00EC57FB">
        <w:rPr>
          <w:color w:val="000000" w:themeColor="text1"/>
        </w:rPr>
        <w:fldChar w:fldCharType="separate"/>
      </w:r>
      <w:r w:rsidR="00502C25" w:rsidRPr="00EC57FB">
        <w:t xml:space="preserve">Table </w:t>
      </w:r>
      <w:r w:rsidR="00502C25">
        <w:rPr>
          <w:noProof/>
        </w:rPr>
        <w:t>15</w:t>
      </w:r>
      <w:r w:rsidR="00736B6D" w:rsidRPr="00EC57FB">
        <w:rPr>
          <w:color w:val="000000" w:themeColor="text1"/>
        </w:rPr>
        <w:fldChar w:fldCharType="end"/>
      </w:r>
      <w:bookmarkEnd w:id="84"/>
      <w:r w:rsidR="0009503B" w:rsidRPr="00EC57FB">
        <w:rPr>
          <w:color w:val="000000" w:themeColor="text1"/>
        </w:rPr>
        <w:t>)</w:t>
      </w:r>
      <w:r w:rsidR="005C594E" w:rsidRPr="00EC57FB">
        <w:rPr>
          <w:color w:val="000000" w:themeColor="text1"/>
        </w:rPr>
        <w:t>.</w:t>
      </w:r>
    </w:p>
    <w:p w14:paraId="4D487F82" w14:textId="1D6BFF42" w:rsidR="00845909" w:rsidRPr="00EC57FB" w:rsidRDefault="00845909" w:rsidP="001F04BC">
      <w:pPr>
        <w:pStyle w:val="TableFigureHeading"/>
        <w:keepLines/>
        <w:jc w:val="both"/>
      </w:pPr>
      <w:bookmarkStart w:id="85" w:name="_Ref185941364"/>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15</w:t>
      </w:r>
      <w:r w:rsidR="00C51E7C" w:rsidRPr="00EC57FB">
        <w:fldChar w:fldCharType="end"/>
      </w:r>
      <w:bookmarkEnd w:id="85"/>
      <w:r w:rsidRPr="00EC57FB">
        <w:t xml:space="preserve">: </w:t>
      </w:r>
      <w:r w:rsidR="009C07EB" w:rsidRPr="00EC57FB">
        <w:t>Qualitative comparison o</w:t>
      </w:r>
      <w:r w:rsidRPr="00EC57FB">
        <w:t xml:space="preserve">utcomes from the </w:t>
      </w:r>
      <w:r w:rsidR="002335EE" w:rsidRPr="00EC57FB">
        <w:t xml:space="preserve">meta-analysis reported by </w:t>
      </w:r>
      <w:r w:rsidRPr="00EC57FB">
        <w:t>MATISSE trial through to 150 days after birth</w:t>
      </w:r>
    </w:p>
    <w:tbl>
      <w:tblPr>
        <w:tblStyle w:val="TableGrid"/>
        <w:tblW w:w="5000" w:type="pct"/>
        <w:tblLook w:val="04A0" w:firstRow="1" w:lastRow="0" w:firstColumn="1" w:lastColumn="0" w:noHBand="0" w:noVBand="1"/>
      </w:tblPr>
      <w:tblGrid>
        <w:gridCol w:w="2830"/>
        <w:gridCol w:w="1955"/>
        <w:gridCol w:w="1448"/>
        <w:gridCol w:w="2784"/>
      </w:tblGrid>
      <w:tr w:rsidR="005416A4" w:rsidRPr="00EC57FB" w14:paraId="774B93B8" w14:textId="77777777" w:rsidTr="00D817D1">
        <w:tc>
          <w:tcPr>
            <w:tcW w:w="1569" w:type="pct"/>
            <w:vAlign w:val="center"/>
          </w:tcPr>
          <w:p w14:paraId="71508C98" w14:textId="77777777" w:rsidR="009E035D" w:rsidRPr="00EC57FB" w:rsidRDefault="009E035D" w:rsidP="001F04BC">
            <w:pPr>
              <w:pStyle w:val="BodyText"/>
              <w:keepNext/>
              <w:keepLines/>
              <w:rPr>
                <w:rFonts w:ascii="Arial Narrow" w:hAnsi="Arial Narrow" w:cstheme="minorHAnsi"/>
                <w:b/>
                <w:bCs/>
                <w:sz w:val="20"/>
                <w:szCs w:val="20"/>
              </w:rPr>
            </w:pPr>
            <w:r w:rsidRPr="00EC57FB">
              <w:rPr>
                <w:rFonts w:ascii="Arial Narrow" w:hAnsi="Arial Narrow" w:cstheme="minorHAnsi"/>
                <w:b/>
                <w:bCs/>
                <w:sz w:val="20"/>
                <w:szCs w:val="20"/>
              </w:rPr>
              <w:t>End Point and Analysis</w:t>
            </w:r>
          </w:p>
        </w:tc>
        <w:tc>
          <w:tcPr>
            <w:tcW w:w="1084" w:type="pct"/>
            <w:vAlign w:val="center"/>
          </w:tcPr>
          <w:p w14:paraId="7A168BF7" w14:textId="77777777" w:rsidR="009E035D" w:rsidRPr="00EC57FB" w:rsidRDefault="008B3597" w:rsidP="001F04BC">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Intervention</w:t>
            </w:r>
          </w:p>
          <w:p w14:paraId="27B3B544" w14:textId="657C6706" w:rsidR="003E1A02" w:rsidRPr="00EC57FB" w:rsidRDefault="003E1A02" w:rsidP="001F04BC">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n/N (%)</w:t>
            </w:r>
          </w:p>
        </w:tc>
        <w:tc>
          <w:tcPr>
            <w:tcW w:w="803" w:type="pct"/>
            <w:vAlign w:val="center"/>
          </w:tcPr>
          <w:p w14:paraId="343DB37E" w14:textId="77777777" w:rsidR="009E035D" w:rsidRPr="00EC57FB" w:rsidRDefault="009E035D" w:rsidP="001F04BC">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Placebo</w:t>
            </w:r>
          </w:p>
          <w:p w14:paraId="3E1BAEAF" w14:textId="77777777" w:rsidR="009E035D" w:rsidRPr="00EC57FB" w:rsidRDefault="009E035D" w:rsidP="001F04BC">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n/N (%)</w:t>
            </w:r>
          </w:p>
        </w:tc>
        <w:tc>
          <w:tcPr>
            <w:tcW w:w="1544" w:type="pct"/>
            <w:vAlign w:val="center"/>
          </w:tcPr>
          <w:p w14:paraId="50794BDA" w14:textId="77777777" w:rsidR="008E53B7" w:rsidRPr="00EC57FB" w:rsidRDefault="009E035D" w:rsidP="001F04BC">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 xml:space="preserve">Efficacy </w:t>
            </w:r>
          </w:p>
          <w:p w14:paraId="12DE5ABC" w14:textId="5227241C" w:rsidR="009E035D" w:rsidRPr="00EC57FB" w:rsidRDefault="009E035D" w:rsidP="001F04BC">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RRR</w:t>
            </w:r>
            <w:r w:rsidR="00E76C79" w:rsidRPr="00EC57FB">
              <w:rPr>
                <w:rFonts w:ascii="Arial Narrow" w:hAnsi="Arial Narrow" w:cstheme="minorHAnsi"/>
                <w:b/>
                <w:bCs/>
                <w:sz w:val="20"/>
                <w:szCs w:val="20"/>
              </w:rPr>
              <w:t xml:space="preserve"> (C</w:t>
            </w:r>
            <w:r w:rsidR="002224BB" w:rsidRPr="00EC57FB">
              <w:rPr>
                <w:rFonts w:ascii="Arial Narrow" w:hAnsi="Arial Narrow" w:cstheme="minorHAnsi"/>
                <w:b/>
                <w:bCs/>
                <w:sz w:val="20"/>
                <w:szCs w:val="20"/>
              </w:rPr>
              <w:t xml:space="preserve">onfidence </w:t>
            </w:r>
            <w:r w:rsidR="00E76C79" w:rsidRPr="00EC57FB">
              <w:rPr>
                <w:rFonts w:ascii="Arial Narrow" w:hAnsi="Arial Narrow" w:cstheme="minorHAnsi"/>
                <w:b/>
                <w:bCs/>
                <w:sz w:val="20"/>
                <w:szCs w:val="20"/>
              </w:rPr>
              <w:t>I</w:t>
            </w:r>
            <w:r w:rsidR="002224BB" w:rsidRPr="00EC57FB">
              <w:rPr>
                <w:rFonts w:ascii="Arial Narrow" w:hAnsi="Arial Narrow" w:cstheme="minorHAnsi"/>
                <w:b/>
                <w:bCs/>
                <w:sz w:val="20"/>
                <w:szCs w:val="20"/>
              </w:rPr>
              <w:t>nterval</w:t>
            </w:r>
            <w:r w:rsidR="00E76C79" w:rsidRPr="00EC57FB">
              <w:rPr>
                <w:rFonts w:ascii="Arial Narrow" w:hAnsi="Arial Narrow" w:cstheme="minorHAnsi"/>
                <w:b/>
                <w:bCs/>
                <w:sz w:val="20"/>
                <w:szCs w:val="20"/>
              </w:rPr>
              <w:t>)</w:t>
            </w:r>
          </w:p>
        </w:tc>
      </w:tr>
      <w:tr w:rsidR="00A03999" w:rsidRPr="00EC57FB" w14:paraId="451AEB93" w14:textId="77777777" w:rsidTr="00F101CF">
        <w:tc>
          <w:tcPr>
            <w:tcW w:w="5000" w:type="pct"/>
            <w:gridSpan w:val="4"/>
            <w:vAlign w:val="center"/>
          </w:tcPr>
          <w:p w14:paraId="205DAF4D" w14:textId="012419E0" w:rsidR="00A03999" w:rsidRPr="00EC57FB" w:rsidRDefault="00A03999" w:rsidP="001F04BC">
            <w:pPr>
              <w:pStyle w:val="BodyText"/>
              <w:keepNext/>
              <w:keepLines/>
              <w:rPr>
                <w:rFonts w:ascii="Arial Narrow" w:hAnsi="Arial Narrow" w:cstheme="minorHAnsi"/>
                <w:b/>
                <w:bCs/>
                <w:sz w:val="20"/>
                <w:szCs w:val="20"/>
              </w:rPr>
            </w:pPr>
            <w:r w:rsidRPr="00EC57FB">
              <w:rPr>
                <w:rFonts w:ascii="Arial Narrow" w:hAnsi="Arial Narrow" w:cstheme="minorHAnsi"/>
                <w:b/>
                <w:bCs/>
                <w:sz w:val="20"/>
                <w:szCs w:val="20"/>
              </w:rPr>
              <w:t>MA RSV LRTI</w:t>
            </w:r>
            <w:r w:rsidR="00EC0FC6" w:rsidRPr="00EC57FB">
              <w:rPr>
                <w:rFonts w:ascii="Arial Narrow" w:hAnsi="Arial Narrow" w:cstheme="minorHAnsi"/>
                <w:b/>
                <w:bCs/>
                <w:sz w:val="20"/>
                <w:szCs w:val="20"/>
              </w:rPr>
              <w:t xml:space="preserve"> in the MELODY trial</w:t>
            </w:r>
          </w:p>
        </w:tc>
      </w:tr>
      <w:tr w:rsidR="006327B5" w:rsidRPr="00EC57FB" w14:paraId="4A07FFAD" w14:textId="77777777" w:rsidTr="00D817D1">
        <w:tc>
          <w:tcPr>
            <w:tcW w:w="1569" w:type="pct"/>
            <w:vAlign w:val="center"/>
          </w:tcPr>
          <w:p w14:paraId="34CC2EA2" w14:textId="77777777" w:rsidR="00A03999" w:rsidRPr="00EC57FB" w:rsidRDefault="00A03999" w:rsidP="001F04BC">
            <w:pPr>
              <w:pStyle w:val="BodyText"/>
              <w:keepNext/>
              <w:keepLines/>
              <w:rPr>
                <w:rFonts w:ascii="Arial Narrow" w:hAnsi="Arial Narrow" w:cstheme="minorHAnsi"/>
                <w:sz w:val="20"/>
                <w:szCs w:val="20"/>
              </w:rPr>
            </w:pPr>
          </w:p>
        </w:tc>
        <w:tc>
          <w:tcPr>
            <w:tcW w:w="1084" w:type="pct"/>
            <w:vAlign w:val="center"/>
          </w:tcPr>
          <w:p w14:paraId="1825DA97" w14:textId="77777777" w:rsidR="00A03999" w:rsidRPr="00EC57FB" w:rsidRDefault="00A03999" w:rsidP="001F04BC">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Nirsevimab</w:t>
            </w:r>
          </w:p>
        </w:tc>
        <w:tc>
          <w:tcPr>
            <w:tcW w:w="803" w:type="pct"/>
            <w:vAlign w:val="center"/>
          </w:tcPr>
          <w:p w14:paraId="7F3F8F3F" w14:textId="77777777" w:rsidR="00A03999" w:rsidRPr="00EC57FB" w:rsidRDefault="00A03999" w:rsidP="001F04BC">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Placebo</w:t>
            </w:r>
          </w:p>
        </w:tc>
        <w:tc>
          <w:tcPr>
            <w:tcW w:w="1544" w:type="pct"/>
            <w:vAlign w:val="center"/>
          </w:tcPr>
          <w:p w14:paraId="44674D29" w14:textId="77777777" w:rsidR="00A03999" w:rsidRPr="00EC57FB" w:rsidRDefault="00A03999" w:rsidP="001F04BC">
            <w:pPr>
              <w:pStyle w:val="BodyText"/>
              <w:keepNext/>
              <w:keepLines/>
              <w:jc w:val="center"/>
              <w:rPr>
                <w:rFonts w:ascii="Arial Narrow" w:hAnsi="Arial Narrow" w:cstheme="minorHAnsi"/>
                <w:sz w:val="20"/>
                <w:szCs w:val="20"/>
              </w:rPr>
            </w:pPr>
          </w:p>
        </w:tc>
      </w:tr>
      <w:tr w:rsidR="00D817D1" w:rsidRPr="00EC57FB" w14:paraId="58CA2923" w14:textId="77777777" w:rsidTr="005D6536">
        <w:tc>
          <w:tcPr>
            <w:tcW w:w="1569" w:type="pct"/>
            <w:shd w:val="clear" w:color="auto" w:fill="B8CCE4"/>
            <w:vAlign w:val="center"/>
          </w:tcPr>
          <w:p w14:paraId="2FE86B43" w14:textId="09ECF344" w:rsidR="00D817D1" w:rsidRPr="00EC57FB" w:rsidRDefault="00D817D1" w:rsidP="001F04BC">
            <w:pPr>
              <w:pStyle w:val="BodyText"/>
              <w:keepNext/>
              <w:keepLines/>
              <w:rPr>
                <w:rFonts w:ascii="Arial Narrow" w:hAnsi="Arial Narrow" w:cstheme="minorHAnsi"/>
                <w:sz w:val="20"/>
                <w:szCs w:val="20"/>
              </w:rPr>
            </w:pPr>
            <w:r w:rsidRPr="00EC57FB">
              <w:rPr>
                <w:rFonts w:ascii="Arial Narrow" w:hAnsi="Arial Narrow" w:cstheme="minorHAnsi"/>
                <w:sz w:val="20"/>
                <w:szCs w:val="20"/>
              </w:rPr>
              <w:t>Observed events (interim analysis)</w:t>
            </w:r>
          </w:p>
        </w:tc>
        <w:tc>
          <w:tcPr>
            <w:tcW w:w="1084" w:type="pct"/>
            <w:shd w:val="clear" w:color="auto" w:fill="B8CCE4"/>
            <w:vAlign w:val="center"/>
          </w:tcPr>
          <w:p w14:paraId="0267B3E6" w14:textId="623D3AC3" w:rsidR="00D817D1" w:rsidRPr="00EC57FB" w:rsidRDefault="00D817D1" w:rsidP="00D817D1">
            <w:pPr>
              <w:pStyle w:val="TableText0"/>
              <w:jc w:val="center"/>
              <w:rPr>
                <w:rFonts w:cstheme="minorHAnsi"/>
                <w:szCs w:val="20"/>
              </w:rPr>
            </w:pPr>
            <w:r w:rsidRPr="00EC57FB">
              <w:rPr>
                <w:rFonts w:cstheme="minorHAnsi"/>
                <w:szCs w:val="20"/>
              </w:rPr>
              <w:t>12/994 (1.2%)</w:t>
            </w:r>
          </w:p>
        </w:tc>
        <w:tc>
          <w:tcPr>
            <w:tcW w:w="803" w:type="pct"/>
            <w:shd w:val="clear" w:color="auto" w:fill="B8CCE4"/>
            <w:vAlign w:val="center"/>
          </w:tcPr>
          <w:p w14:paraId="5F6D27C3" w14:textId="62043A7B" w:rsidR="00D817D1" w:rsidRPr="00EC57FB" w:rsidRDefault="00D817D1" w:rsidP="00D817D1">
            <w:pPr>
              <w:pStyle w:val="TableText0"/>
              <w:jc w:val="center"/>
              <w:rPr>
                <w:rFonts w:cstheme="minorHAnsi"/>
                <w:szCs w:val="20"/>
              </w:rPr>
            </w:pPr>
            <w:r w:rsidRPr="00EC57FB">
              <w:rPr>
                <w:rFonts w:cstheme="minorHAnsi"/>
                <w:szCs w:val="20"/>
              </w:rPr>
              <w:t>25/496 (5.0%)</w:t>
            </w:r>
          </w:p>
        </w:tc>
        <w:tc>
          <w:tcPr>
            <w:tcW w:w="1544" w:type="pct"/>
            <w:shd w:val="clear" w:color="auto" w:fill="B8CCE4"/>
            <w:vAlign w:val="center"/>
          </w:tcPr>
          <w:p w14:paraId="799B604B" w14:textId="2EFC2CD1" w:rsidR="00D817D1" w:rsidRPr="00EC57FB" w:rsidRDefault="00D817D1" w:rsidP="00D817D1">
            <w:pPr>
              <w:pStyle w:val="BodyText"/>
              <w:keepNext/>
              <w:keepLines/>
              <w:jc w:val="center"/>
              <w:rPr>
                <w:rFonts w:ascii="Arial Narrow" w:hAnsi="Arial Narrow" w:cstheme="minorHAnsi"/>
                <w:b/>
                <w:bCs/>
                <w:i/>
                <w:iCs/>
                <w:sz w:val="20"/>
                <w:szCs w:val="20"/>
              </w:rPr>
            </w:pPr>
            <w:r w:rsidRPr="00EC57FB">
              <w:rPr>
                <w:rFonts w:ascii="Arial Narrow" w:hAnsi="Arial Narrow" w:cstheme="minorHAnsi"/>
                <w:b/>
                <w:bCs/>
                <w:sz w:val="20"/>
                <w:szCs w:val="20"/>
              </w:rPr>
              <w:t>74.5% (</w:t>
            </w:r>
            <w:r w:rsidR="002224BB" w:rsidRPr="00EC57FB">
              <w:rPr>
                <w:rFonts w:ascii="Arial Narrow" w:hAnsi="Arial Narrow" w:cstheme="minorHAnsi"/>
                <w:b/>
                <w:bCs/>
                <w:sz w:val="20"/>
                <w:szCs w:val="20"/>
              </w:rPr>
              <w:t xml:space="preserve">95% CI: </w:t>
            </w:r>
            <w:r w:rsidRPr="00EC57FB">
              <w:rPr>
                <w:rFonts w:ascii="Arial Narrow" w:hAnsi="Arial Narrow" w:cstheme="minorHAnsi"/>
                <w:b/>
                <w:bCs/>
                <w:sz w:val="20"/>
                <w:szCs w:val="20"/>
              </w:rPr>
              <w:t>49.6%, 87.1%)</w:t>
            </w:r>
          </w:p>
        </w:tc>
      </w:tr>
      <w:tr w:rsidR="00FB101F" w:rsidRPr="00EC57FB" w14:paraId="6FDB89E5" w14:textId="77777777" w:rsidTr="00D817D1">
        <w:tc>
          <w:tcPr>
            <w:tcW w:w="1569" w:type="pct"/>
            <w:vAlign w:val="center"/>
          </w:tcPr>
          <w:p w14:paraId="3A0E16B2" w14:textId="5A52E499" w:rsidR="00FB101F" w:rsidRPr="00EC57FB" w:rsidRDefault="00FB101F" w:rsidP="001F04BC">
            <w:pPr>
              <w:pStyle w:val="BodyText"/>
              <w:keepNext/>
              <w:keepLines/>
              <w:rPr>
                <w:rFonts w:ascii="Arial Narrow" w:hAnsi="Arial Narrow" w:cstheme="minorHAnsi"/>
                <w:sz w:val="20"/>
                <w:szCs w:val="20"/>
              </w:rPr>
            </w:pPr>
            <w:r w:rsidRPr="00EC57FB">
              <w:rPr>
                <w:rFonts w:ascii="Arial Narrow" w:hAnsi="Arial Narrow" w:cstheme="minorHAnsi"/>
                <w:sz w:val="20"/>
                <w:szCs w:val="20"/>
              </w:rPr>
              <w:t>Observed events (final analysis)</w:t>
            </w:r>
          </w:p>
        </w:tc>
        <w:tc>
          <w:tcPr>
            <w:tcW w:w="1084" w:type="pct"/>
            <w:vAlign w:val="center"/>
          </w:tcPr>
          <w:p w14:paraId="49897E82" w14:textId="7F09D771" w:rsidR="00FB101F" w:rsidRPr="00EC57FB" w:rsidRDefault="00FB101F" w:rsidP="00FB101F">
            <w:pPr>
              <w:pStyle w:val="TableText0"/>
              <w:jc w:val="center"/>
              <w:rPr>
                <w:rFonts w:cstheme="minorHAnsi"/>
                <w:iCs/>
                <w:szCs w:val="20"/>
              </w:rPr>
            </w:pPr>
            <w:r w:rsidRPr="00EC57FB">
              <w:rPr>
                <w:rFonts w:cstheme="minorHAnsi"/>
                <w:iCs/>
                <w:szCs w:val="20"/>
              </w:rPr>
              <w:t>24/2009 (1.2%)</w:t>
            </w:r>
          </w:p>
        </w:tc>
        <w:tc>
          <w:tcPr>
            <w:tcW w:w="803" w:type="pct"/>
            <w:vAlign w:val="center"/>
          </w:tcPr>
          <w:p w14:paraId="3AC724E2" w14:textId="379B066F" w:rsidR="00FB101F" w:rsidRPr="00EC57FB" w:rsidRDefault="00FB101F" w:rsidP="00FB101F">
            <w:pPr>
              <w:pStyle w:val="TableText0"/>
              <w:jc w:val="center"/>
              <w:rPr>
                <w:rFonts w:cstheme="minorHAnsi"/>
                <w:iCs/>
                <w:szCs w:val="20"/>
              </w:rPr>
            </w:pPr>
            <w:r w:rsidRPr="00EC57FB">
              <w:rPr>
                <w:rFonts w:cstheme="minorHAnsi"/>
                <w:iCs/>
                <w:szCs w:val="20"/>
              </w:rPr>
              <w:t>54/1003 (5.4%)</w:t>
            </w:r>
          </w:p>
        </w:tc>
        <w:tc>
          <w:tcPr>
            <w:tcW w:w="1544" w:type="pct"/>
            <w:vAlign w:val="center"/>
          </w:tcPr>
          <w:p w14:paraId="04DEBBE9" w14:textId="5A18D519" w:rsidR="00FB101F" w:rsidRPr="00EC57FB" w:rsidRDefault="00FB101F" w:rsidP="00FB101F">
            <w:pPr>
              <w:pStyle w:val="BodyText"/>
              <w:keepNext/>
              <w:keepLines/>
              <w:jc w:val="center"/>
              <w:rPr>
                <w:rFonts w:ascii="Arial Narrow" w:hAnsi="Arial Narrow" w:cstheme="minorHAnsi"/>
                <w:b/>
                <w:bCs/>
                <w:iCs/>
                <w:sz w:val="20"/>
                <w:szCs w:val="20"/>
              </w:rPr>
            </w:pPr>
            <w:r w:rsidRPr="00EC57FB">
              <w:rPr>
                <w:rFonts w:ascii="Arial Narrow" w:hAnsi="Arial Narrow" w:cstheme="minorHAnsi"/>
                <w:b/>
                <w:bCs/>
                <w:iCs/>
                <w:sz w:val="20"/>
                <w:szCs w:val="20"/>
              </w:rPr>
              <w:t>76.4% (</w:t>
            </w:r>
            <w:r w:rsidR="002224BB" w:rsidRPr="00EC57FB">
              <w:rPr>
                <w:rFonts w:ascii="Arial Narrow" w:hAnsi="Arial Narrow" w:cstheme="minorHAnsi"/>
                <w:b/>
                <w:bCs/>
                <w:iCs/>
                <w:sz w:val="20"/>
                <w:szCs w:val="20"/>
              </w:rPr>
              <w:t xml:space="preserve">95% CI: </w:t>
            </w:r>
            <w:r w:rsidRPr="00EC57FB">
              <w:rPr>
                <w:rFonts w:ascii="Arial Narrow" w:hAnsi="Arial Narrow" w:cstheme="minorHAnsi"/>
                <w:b/>
                <w:bCs/>
                <w:iCs/>
                <w:sz w:val="20"/>
                <w:szCs w:val="20"/>
              </w:rPr>
              <w:t>62.3%, 85.2%)</w:t>
            </w:r>
          </w:p>
        </w:tc>
      </w:tr>
      <w:tr w:rsidR="00845909" w:rsidRPr="00EC57FB" w14:paraId="1EA9F07F" w14:textId="77777777" w:rsidTr="00F101CF">
        <w:tc>
          <w:tcPr>
            <w:tcW w:w="5000" w:type="pct"/>
            <w:gridSpan w:val="4"/>
            <w:vAlign w:val="center"/>
          </w:tcPr>
          <w:p w14:paraId="296EE73E" w14:textId="136342DA" w:rsidR="00845909" w:rsidRPr="00EC57FB" w:rsidRDefault="00845909" w:rsidP="001F04BC">
            <w:pPr>
              <w:pStyle w:val="BodyText"/>
              <w:keepNext/>
              <w:keepLines/>
              <w:rPr>
                <w:rFonts w:ascii="Arial Narrow" w:hAnsi="Arial Narrow" w:cstheme="minorHAnsi"/>
                <w:b/>
                <w:sz w:val="20"/>
                <w:szCs w:val="20"/>
              </w:rPr>
            </w:pPr>
            <w:r w:rsidRPr="00EC57FB">
              <w:rPr>
                <w:rFonts w:ascii="Arial Narrow" w:hAnsi="Arial Narrow" w:cstheme="minorHAnsi"/>
                <w:b/>
                <w:sz w:val="20"/>
                <w:szCs w:val="20"/>
              </w:rPr>
              <w:t>MA RSV LRTI</w:t>
            </w:r>
            <w:r w:rsidR="009B33BD" w:rsidRPr="00EC57FB">
              <w:rPr>
                <w:rFonts w:ascii="Arial Narrow" w:hAnsi="Arial Narrow" w:cstheme="minorHAnsi"/>
                <w:b/>
                <w:sz w:val="20"/>
                <w:szCs w:val="20"/>
              </w:rPr>
              <w:t>,</w:t>
            </w:r>
            <w:r w:rsidR="00F64C2E" w:rsidRPr="00EC57FB">
              <w:rPr>
                <w:rFonts w:ascii="Arial Narrow" w:hAnsi="Arial Narrow" w:cstheme="minorHAnsi"/>
                <w:b/>
                <w:sz w:val="20"/>
                <w:szCs w:val="20"/>
              </w:rPr>
              <w:t xml:space="preserve"> as reported by </w:t>
            </w:r>
            <w:r w:rsidR="00B44198" w:rsidRPr="00EC57FB">
              <w:rPr>
                <w:rFonts w:ascii="Arial Narrow" w:hAnsi="Arial Narrow" w:cstheme="minorHAnsi"/>
                <w:b/>
                <w:sz w:val="20"/>
                <w:szCs w:val="20"/>
              </w:rPr>
              <w:t xml:space="preserve">Simões 2023 </w:t>
            </w:r>
          </w:p>
        </w:tc>
      </w:tr>
      <w:tr w:rsidR="009A4B4D" w:rsidRPr="00EC57FB" w14:paraId="28FA2662" w14:textId="77777777" w:rsidTr="00D817D1">
        <w:tc>
          <w:tcPr>
            <w:tcW w:w="1569" w:type="pct"/>
            <w:vAlign w:val="center"/>
          </w:tcPr>
          <w:p w14:paraId="787BE9BC" w14:textId="479801E5" w:rsidR="009A4B4D" w:rsidRPr="00EC57FB" w:rsidRDefault="009A4B4D" w:rsidP="001F04BC">
            <w:pPr>
              <w:pStyle w:val="BodyText"/>
              <w:keepNext/>
              <w:keepLines/>
              <w:rPr>
                <w:rFonts w:ascii="Arial Narrow" w:hAnsi="Arial Narrow" w:cstheme="minorHAnsi"/>
                <w:sz w:val="20"/>
                <w:szCs w:val="20"/>
              </w:rPr>
            </w:pPr>
          </w:p>
        </w:tc>
        <w:tc>
          <w:tcPr>
            <w:tcW w:w="1084" w:type="pct"/>
            <w:vAlign w:val="center"/>
          </w:tcPr>
          <w:p w14:paraId="44C2DAF1" w14:textId="54946419" w:rsidR="009A4B4D" w:rsidRPr="00EC57FB" w:rsidRDefault="009A4B4D" w:rsidP="001F04BC">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Nirsevimab</w:t>
            </w:r>
          </w:p>
        </w:tc>
        <w:tc>
          <w:tcPr>
            <w:tcW w:w="803" w:type="pct"/>
            <w:vAlign w:val="center"/>
          </w:tcPr>
          <w:p w14:paraId="02561CF5" w14:textId="66B64CCB" w:rsidR="009A4B4D" w:rsidRPr="00EC57FB" w:rsidRDefault="009A4B4D" w:rsidP="001F04BC">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Placebo</w:t>
            </w:r>
          </w:p>
        </w:tc>
        <w:tc>
          <w:tcPr>
            <w:tcW w:w="1544" w:type="pct"/>
            <w:vAlign w:val="center"/>
          </w:tcPr>
          <w:p w14:paraId="5C223FE5" w14:textId="37FABC55" w:rsidR="009A4B4D" w:rsidRPr="00EC57FB" w:rsidRDefault="009A4B4D" w:rsidP="001F04BC">
            <w:pPr>
              <w:pStyle w:val="BodyText"/>
              <w:keepNext/>
              <w:keepLines/>
              <w:jc w:val="center"/>
              <w:rPr>
                <w:rFonts w:ascii="Arial Narrow" w:hAnsi="Arial Narrow" w:cstheme="minorHAnsi"/>
                <w:b/>
                <w:sz w:val="20"/>
                <w:szCs w:val="20"/>
              </w:rPr>
            </w:pPr>
          </w:p>
        </w:tc>
      </w:tr>
      <w:tr w:rsidR="00FA621A" w:rsidRPr="00EC57FB" w14:paraId="7057C0A4" w14:textId="77777777" w:rsidTr="00D817D1">
        <w:tc>
          <w:tcPr>
            <w:tcW w:w="1569" w:type="pct"/>
            <w:shd w:val="clear" w:color="auto" w:fill="B8CCE4"/>
            <w:vAlign w:val="center"/>
          </w:tcPr>
          <w:p w14:paraId="0DCD5A25" w14:textId="333EEAD6" w:rsidR="00FA621A" w:rsidRPr="00EC57FB" w:rsidRDefault="00FA621A" w:rsidP="001F04BC">
            <w:pPr>
              <w:pStyle w:val="BodyText"/>
              <w:keepNext/>
              <w:keepLines/>
              <w:rPr>
                <w:rFonts w:ascii="Arial Narrow" w:hAnsi="Arial Narrow" w:cstheme="minorHAnsi"/>
                <w:sz w:val="20"/>
                <w:szCs w:val="20"/>
              </w:rPr>
            </w:pPr>
            <w:r w:rsidRPr="00EC57FB">
              <w:rPr>
                <w:rFonts w:ascii="Arial Narrow" w:hAnsi="Arial Narrow" w:cstheme="minorHAnsi"/>
                <w:sz w:val="20"/>
                <w:szCs w:val="20"/>
              </w:rPr>
              <w:t>Observed events</w:t>
            </w:r>
          </w:p>
        </w:tc>
        <w:tc>
          <w:tcPr>
            <w:tcW w:w="1084" w:type="pct"/>
            <w:shd w:val="clear" w:color="auto" w:fill="B8CCE4"/>
            <w:vAlign w:val="center"/>
          </w:tcPr>
          <w:p w14:paraId="1A07F604" w14:textId="45A1DF8E" w:rsidR="00FA621A" w:rsidRPr="00EC57FB" w:rsidRDefault="00FA621A" w:rsidP="00FA621A">
            <w:pPr>
              <w:pStyle w:val="TableText0"/>
              <w:jc w:val="center"/>
              <w:rPr>
                <w:rFonts w:cstheme="minorHAnsi"/>
                <w:szCs w:val="20"/>
              </w:rPr>
            </w:pPr>
            <w:r w:rsidRPr="00EC57FB">
              <w:rPr>
                <w:rFonts w:cstheme="minorHAnsi"/>
                <w:szCs w:val="20"/>
              </w:rPr>
              <w:t>19/1564 (1%)</w:t>
            </w:r>
          </w:p>
        </w:tc>
        <w:tc>
          <w:tcPr>
            <w:tcW w:w="803" w:type="pct"/>
            <w:shd w:val="clear" w:color="auto" w:fill="B8CCE4"/>
            <w:vAlign w:val="center"/>
          </w:tcPr>
          <w:p w14:paraId="3E75B040" w14:textId="17B3C94C" w:rsidR="00FA621A" w:rsidRPr="00EC57FB" w:rsidRDefault="00FA621A" w:rsidP="00FA621A">
            <w:pPr>
              <w:pStyle w:val="TableText0"/>
              <w:jc w:val="center"/>
              <w:rPr>
                <w:rFonts w:cstheme="minorHAnsi"/>
                <w:szCs w:val="20"/>
              </w:rPr>
            </w:pPr>
            <w:r w:rsidRPr="00EC57FB">
              <w:rPr>
                <w:rFonts w:cstheme="minorHAnsi"/>
                <w:szCs w:val="20"/>
              </w:rPr>
              <w:t>51/786 (6%)</w:t>
            </w:r>
          </w:p>
        </w:tc>
        <w:tc>
          <w:tcPr>
            <w:tcW w:w="1544" w:type="pct"/>
            <w:shd w:val="clear" w:color="auto" w:fill="B8CCE4"/>
          </w:tcPr>
          <w:p w14:paraId="0282D5FB" w14:textId="5E6C2859" w:rsidR="00FA621A" w:rsidRPr="00EC57FB" w:rsidRDefault="003F689A" w:rsidP="003F689A">
            <w:pPr>
              <w:pStyle w:val="TableText0"/>
              <w:jc w:val="center"/>
              <w:rPr>
                <w:rFonts w:cstheme="minorHAnsi"/>
                <w:b/>
                <w:bCs w:val="0"/>
                <w:iCs/>
                <w:szCs w:val="20"/>
              </w:rPr>
            </w:pPr>
            <w:r w:rsidRPr="00EC57FB">
              <w:rPr>
                <w:b/>
                <w:bCs w:val="0"/>
                <w:iCs/>
              </w:rPr>
              <w:t>79.5% (95% CI: 65.9%, 87.7%)</w:t>
            </w:r>
          </w:p>
        </w:tc>
      </w:tr>
      <w:tr w:rsidR="00B44198" w:rsidRPr="00EC57FB" w14:paraId="3DE1E79F" w14:textId="77777777" w:rsidTr="00F101CF">
        <w:tc>
          <w:tcPr>
            <w:tcW w:w="5000" w:type="pct"/>
            <w:gridSpan w:val="4"/>
            <w:vAlign w:val="center"/>
          </w:tcPr>
          <w:p w14:paraId="1F9F508D" w14:textId="259CC9BB" w:rsidR="00B44198" w:rsidRPr="00EC57FB" w:rsidRDefault="00D7061B" w:rsidP="001F04BC">
            <w:pPr>
              <w:pStyle w:val="BodyText"/>
              <w:keepNext/>
              <w:keepLines/>
              <w:rPr>
                <w:rFonts w:ascii="Arial Narrow" w:hAnsi="Arial Narrow" w:cstheme="minorHAnsi"/>
                <w:b/>
                <w:sz w:val="20"/>
                <w:szCs w:val="20"/>
              </w:rPr>
            </w:pPr>
            <w:r w:rsidRPr="00EC57FB">
              <w:rPr>
                <w:rFonts w:ascii="Arial Narrow" w:hAnsi="Arial Narrow" w:cstheme="minorHAnsi"/>
                <w:b/>
                <w:sz w:val="20"/>
                <w:szCs w:val="20"/>
              </w:rPr>
              <w:t xml:space="preserve">MA RSV LRTI in the MATISSE trial </w:t>
            </w:r>
          </w:p>
        </w:tc>
      </w:tr>
      <w:tr w:rsidR="005416A4" w:rsidRPr="00EC57FB" w14:paraId="4427DFBB" w14:textId="77777777" w:rsidTr="00D817D1">
        <w:tc>
          <w:tcPr>
            <w:tcW w:w="1569" w:type="pct"/>
            <w:vAlign w:val="center"/>
          </w:tcPr>
          <w:p w14:paraId="6CB5452B" w14:textId="77777777" w:rsidR="005416A4" w:rsidRPr="00EC57FB" w:rsidRDefault="005416A4" w:rsidP="001F04BC">
            <w:pPr>
              <w:pStyle w:val="BodyText"/>
              <w:keepNext/>
              <w:keepLines/>
              <w:rPr>
                <w:rFonts w:ascii="Arial Narrow" w:hAnsi="Arial Narrow" w:cstheme="minorHAnsi"/>
                <w:sz w:val="20"/>
                <w:szCs w:val="20"/>
              </w:rPr>
            </w:pPr>
          </w:p>
        </w:tc>
        <w:tc>
          <w:tcPr>
            <w:tcW w:w="1084" w:type="pct"/>
            <w:vAlign w:val="center"/>
          </w:tcPr>
          <w:p w14:paraId="012B64C8" w14:textId="20130E02" w:rsidR="005416A4" w:rsidRPr="00EC57FB" w:rsidRDefault="00485EA7" w:rsidP="001F04BC">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 xml:space="preserve">RSVpreF </w:t>
            </w:r>
          </w:p>
        </w:tc>
        <w:tc>
          <w:tcPr>
            <w:tcW w:w="803" w:type="pct"/>
            <w:vAlign w:val="center"/>
          </w:tcPr>
          <w:p w14:paraId="78C5FE55" w14:textId="77777777" w:rsidR="005416A4" w:rsidRPr="00EC57FB" w:rsidRDefault="005416A4" w:rsidP="001F04BC">
            <w:pPr>
              <w:pStyle w:val="BodyText"/>
              <w:keepNext/>
              <w:keepLines/>
              <w:jc w:val="center"/>
              <w:rPr>
                <w:rFonts w:ascii="Arial Narrow" w:hAnsi="Arial Narrow" w:cstheme="minorHAnsi"/>
                <w:b/>
                <w:bCs/>
                <w:sz w:val="20"/>
                <w:szCs w:val="20"/>
              </w:rPr>
            </w:pPr>
            <w:r w:rsidRPr="00EC57FB">
              <w:rPr>
                <w:rFonts w:ascii="Arial Narrow" w:hAnsi="Arial Narrow" w:cstheme="minorHAnsi"/>
                <w:b/>
                <w:bCs/>
                <w:sz w:val="20"/>
                <w:szCs w:val="20"/>
              </w:rPr>
              <w:t>Placebo</w:t>
            </w:r>
          </w:p>
        </w:tc>
        <w:tc>
          <w:tcPr>
            <w:tcW w:w="1544" w:type="pct"/>
            <w:vAlign w:val="center"/>
          </w:tcPr>
          <w:p w14:paraId="5EBAED20" w14:textId="77777777" w:rsidR="005416A4" w:rsidRPr="00EC57FB" w:rsidRDefault="005416A4" w:rsidP="001F04BC">
            <w:pPr>
              <w:pStyle w:val="BodyText"/>
              <w:keepNext/>
              <w:keepLines/>
              <w:jc w:val="center"/>
              <w:rPr>
                <w:rFonts w:ascii="Arial Narrow" w:hAnsi="Arial Narrow" w:cstheme="minorHAnsi"/>
                <w:b/>
                <w:sz w:val="20"/>
                <w:szCs w:val="20"/>
              </w:rPr>
            </w:pPr>
          </w:p>
        </w:tc>
      </w:tr>
      <w:tr w:rsidR="007B13B0" w:rsidRPr="00EC57FB" w14:paraId="16EE8518" w14:textId="77777777" w:rsidTr="00D817D1">
        <w:tc>
          <w:tcPr>
            <w:tcW w:w="1569" w:type="pct"/>
            <w:shd w:val="clear" w:color="auto" w:fill="B8CCE4"/>
            <w:vAlign w:val="center"/>
          </w:tcPr>
          <w:p w14:paraId="1E7F93A8" w14:textId="77777777" w:rsidR="007B13B0" w:rsidRPr="00EC57FB" w:rsidRDefault="007B13B0" w:rsidP="001F04BC">
            <w:pPr>
              <w:pStyle w:val="BodyText"/>
              <w:keepNext/>
              <w:keepLines/>
              <w:rPr>
                <w:rFonts w:ascii="Arial Narrow" w:hAnsi="Arial Narrow" w:cstheme="minorHAnsi"/>
                <w:sz w:val="20"/>
                <w:szCs w:val="20"/>
              </w:rPr>
            </w:pPr>
            <w:r w:rsidRPr="00EC57FB">
              <w:rPr>
                <w:rFonts w:ascii="Arial Narrow" w:hAnsi="Arial Narrow" w:cstheme="minorHAnsi"/>
                <w:sz w:val="20"/>
                <w:szCs w:val="20"/>
              </w:rPr>
              <w:t>Observed events</w:t>
            </w:r>
          </w:p>
        </w:tc>
        <w:tc>
          <w:tcPr>
            <w:tcW w:w="1084" w:type="pct"/>
            <w:shd w:val="clear" w:color="auto" w:fill="B8CCE4"/>
            <w:vAlign w:val="center"/>
          </w:tcPr>
          <w:p w14:paraId="1F506628" w14:textId="20D6BB8A" w:rsidR="007B13B0" w:rsidRPr="00EC57FB" w:rsidRDefault="007B13B0" w:rsidP="001F04BC">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47/3495 (1.3%)</w:t>
            </w:r>
          </w:p>
        </w:tc>
        <w:tc>
          <w:tcPr>
            <w:tcW w:w="803" w:type="pct"/>
            <w:shd w:val="clear" w:color="auto" w:fill="B8CCE4"/>
            <w:vAlign w:val="center"/>
          </w:tcPr>
          <w:p w14:paraId="6A6BC300" w14:textId="3FFEE618" w:rsidR="007B13B0" w:rsidRPr="00EC57FB" w:rsidRDefault="007B13B0" w:rsidP="001F04BC">
            <w:pPr>
              <w:pStyle w:val="BodyText"/>
              <w:keepNext/>
              <w:keepLines/>
              <w:jc w:val="center"/>
              <w:rPr>
                <w:rFonts w:ascii="Arial Narrow" w:hAnsi="Arial Narrow" w:cstheme="minorHAnsi"/>
                <w:sz w:val="20"/>
                <w:szCs w:val="20"/>
              </w:rPr>
            </w:pPr>
            <w:r w:rsidRPr="00EC57FB">
              <w:rPr>
                <w:rFonts w:ascii="Arial Narrow" w:hAnsi="Arial Narrow" w:cstheme="minorHAnsi"/>
                <w:sz w:val="20"/>
                <w:szCs w:val="20"/>
              </w:rPr>
              <w:t>99/3480 (2.8%)</w:t>
            </w:r>
          </w:p>
        </w:tc>
        <w:tc>
          <w:tcPr>
            <w:tcW w:w="1544" w:type="pct"/>
            <w:shd w:val="clear" w:color="auto" w:fill="B8CCE4"/>
            <w:vAlign w:val="center"/>
          </w:tcPr>
          <w:p w14:paraId="75DC13BF" w14:textId="13DEE998" w:rsidR="007B13B0" w:rsidRPr="00EC57FB" w:rsidRDefault="007B13B0" w:rsidP="001F04BC">
            <w:pPr>
              <w:pStyle w:val="BodyText"/>
              <w:keepNext/>
              <w:keepLines/>
              <w:jc w:val="center"/>
              <w:rPr>
                <w:rFonts w:ascii="Arial Narrow" w:hAnsi="Arial Narrow" w:cstheme="minorHAnsi"/>
                <w:b/>
                <w:sz w:val="20"/>
                <w:szCs w:val="20"/>
              </w:rPr>
            </w:pPr>
            <w:r w:rsidRPr="00EC57FB">
              <w:rPr>
                <w:rFonts w:ascii="Arial Narrow" w:hAnsi="Arial Narrow" w:cstheme="minorHAnsi"/>
                <w:b/>
                <w:sz w:val="20"/>
                <w:szCs w:val="20"/>
              </w:rPr>
              <w:t>52.5% (97.58% CI: 28.7%, 68.9%)</w:t>
            </w:r>
          </w:p>
        </w:tc>
      </w:tr>
    </w:tbl>
    <w:p w14:paraId="5774A330" w14:textId="4DA62C65" w:rsidR="00845909" w:rsidRPr="00EC57FB" w:rsidRDefault="00845909" w:rsidP="00501E19">
      <w:pPr>
        <w:pStyle w:val="TableFigureFooter"/>
      </w:pPr>
      <w:r w:rsidRPr="00EC57FB">
        <w:t xml:space="preserve">Source: Table </w:t>
      </w:r>
      <w:r w:rsidR="002D4B84" w:rsidRPr="00EC57FB">
        <w:t>2.6.4</w:t>
      </w:r>
      <w:r w:rsidRPr="00EC57FB">
        <w:t>, p</w:t>
      </w:r>
      <w:r w:rsidR="0015407F" w:rsidRPr="00EC57FB">
        <w:t>101</w:t>
      </w:r>
      <w:r w:rsidRPr="00EC57FB">
        <w:t xml:space="preserve"> of the resubmission</w:t>
      </w:r>
      <w:r w:rsidR="00B11761" w:rsidRPr="00EC57FB">
        <w:t xml:space="preserve"> </w:t>
      </w:r>
      <w:r w:rsidR="00EC5EA5" w:rsidRPr="00EC57FB">
        <w:t>(</w:t>
      </w:r>
      <w:r w:rsidR="00AA3C02" w:rsidRPr="00EC57FB">
        <w:t xml:space="preserve">with </w:t>
      </w:r>
      <w:r w:rsidR="00EC5EA5" w:rsidRPr="00EC57FB">
        <w:t>95% confidence limits reported by Simões 2023</w:t>
      </w:r>
      <w:r w:rsidR="00AA3C02" w:rsidRPr="00EC57FB">
        <w:t>).</w:t>
      </w:r>
      <w:r w:rsidR="00EC5EA5" w:rsidRPr="00EC57FB">
        <w:t xml:space="preserve"> </w:t>
      </w:r>
    </w:p>
    <w:p w14:paraId="709463F1" w14:textId="7F5940D5" w:rsidR="00067A27" w:rsidRPr="00EC57FB" w:rsidRDefault="00067A27" w:rsidP="00501E19">
      <w:pPr>
        <w:pStyle w:val="TableFigureFooter"/>
      </w:pPr>
      <w:r w:rsidRPr="00EC57FB">
        <w:t>Blue shading is indicative of information previously considered by the PBAC.</w:t>
      </w:r>
    </w:p>
    <w:p w14:paraId="4E2AEFC6" w14:textId="1D97C066" w:rsidR="00AD1F17" w:rsidRPr="00EC57FB" w:rsidRDefault="00A873A1" w:rsidP="009813D6">
      <w:pPr>
        <w:pStyle w:val="TableFigureFooter"/>
        <w:spacing w:after="120"/>
      </w:pPr>
      <w:r w:rsidRPr="00EC57FB">
        <w:t xml:space="preserve">Note: </w:t>
      </w:r>
      <w:r w:rsidRPr="00EC57FB">
        <w:rPr>
          <w:b/>
          <w:bCs/>
        </w:rPr>
        <w:t>Bold text</w:t>
      </w:r>
      <w:r w:rsidRPr="00EC57FB">
        <w:t xml:space="preserve"> indicates a statistical difference between arms.</w:t>
      </w:r>
    </w:p>
    <w:p w14:paraId="684C9AC7" w14:textId="0F7DA138" w:rsidR="00D22B14" w:rsidRPr="00EC57FB" w:rsidRDefault="00DE79CD">
      <w:pPr>
        <w:pStyle w:val="3-BodyText"/>
        <w:rPr>
          <w:color w:val="000000" w:themeColor="text1"/>
        </w:rPr>
      </w:pPr>
      <w:r w:rsidRPr="00EC57FB">
        <w:rPr>
          <w:color w:val="000000" w:themeColor="text1"/>
        </w:rPr>
        <w:t xml:space="preserve">An issue that arises with </w:t>
      </w:r>
      <w:r w:rsidR="00137F82" w:rsidRPr="00EC57FB">
        <w:rPr>
          <w:color w:val="000000" w:themeColor="text1"/>
        </w:rPr>
        <w:t>the comparison of nirsevimab and RSVpreF is the timepoint at which the comparison is provided</w:t>
      </w:r>
      <w:r w:rsidR="00F35AD5" w:rsidRPr="00EC57FB">
        <w:rPr>
          <w:color w:val="000000" w:themeColor="text1"/>
        </w:rPr>
        <w:t xml:space="preserve">. </w:t>
      </w:r>
      <w:r w:rsidR="00280D1A" w:rsidRPr="00EC57FB">
        <w:rPr>
          <w:color w:val="000000" w:themeColor="text1"/>
        </w:rPr>
        <w:t>T</w:t>
      </w:r>
      <w:r w:rsidR="00F35AD5" w:rsidRPr="00EC57FB">
        <w:rPr>
          <w:color w:val="000000" w:themeColor="text1"/>
        </w:rPr>
        <w:t xml:space="preserve">he MATISSE trial reported a time-to-event analysis for the MA RSV LRTI endpoint that permits </w:t>
      </w:r>
      <w:r w:rsidR="00CE39D1" w:rsidRPr="00EC57FB">
        <w:rPr>
          <w:color w:val="000000" w:themeColor="text1"/>
        </w:rPr>
        <w:t>a comparison of outcomes over a long</w:t>
      </w:r>
      <w:r w:rsidR="005238C3" w:rsidRPr="00EC57FB">
        <w:rPr>
          <w:color w:val="000000" w:themeColor="text1"/>
        </w:rPr>
        <w:t xml:space="preserve"> time horizon, </w:t>
      </w:r>
      <w:r w:rsidR="006E73DF" w:rsidRPr="00EC57FB">
        <w:rPr>
          <w:color w:val="000000" w:themeColor="text1"/>
        </w:rPr>
        <w:t xml:space="preserve">whereas </w:t>
      </w:r>
      <w:r w:rsidR="005238C3" w:rsidRPr="00EC57FB">
        <w:rPr>
          <w:color w:val="000000" w:themeColor="text1"/>
        </w:rPr>
        <w:t xml:space="preserve">results are not presented in this way for the MELODY trial </w:t>
      </w:r>
      <w:r w:rsidR="006013B3" w:rsidRPr="00EC57FB">
        <w:rPr>
          <w:color w:val="000000" w:themeColor="text1"/>
        </w:rPr>
        <w:t xml:space="preserve">which hampers any comparison beyond </w:t>
      </w:r>
      <w:r w:rsidR="00AA3201" w:rsidRPr="00EC57FB">
        <w:rPr>
          <w:color w:val="000000" w:themeColor="text1"/>
        </w:rPr>
        <w:t xml:space="preserve">150 days. This </w:t>
      </w:r>
      <w:r w:rsidR="00C25AAC" w:rsidRPr="00EC57FB">
        <w:rPr>
          <w:color w:val="000000" w:themeColor="text1"/>
        </w:rPr>
        <w:t>is</w:t>
      </w:r>
      <w:r w:rsidR="00AA3201" w:rsidRPr="00EC57FB">
        <w:rPr>
          <w:color w:val="000000" w:themeColor="text1"/>
        </w:rPr>
        <w:t xml:space="preserve"> a</w:t>
      </w:r>
      <w:r w:rsidR="00601FDF" w:rsidRPr="00EC57FB">
        <w:rPr>
          <w:color w:val="000000" w:themeColor="text1"/>
        </w:rPr>
        <w:t xml:space="preserve"> particularly</w:t>
      </w:r>
      <w:r w:rsidR="00AA3201" w:rsidRPr="00EC57FB">
        <w:rPr>
          <w:color w:val="000000" w:themeColor="text1"/>
        </w:rPr>
        <w:t xml:space="preserve"> relevant consideration </w:t>
      </w:r>
      <w:r w:rsidR="00AB6582" w:rsidRPr="00EC57FB">
        <w:rPr>
          <w:color w:val="000000" w:themeColor="text1"/>
        </w:rPr>
        <w:t>when determining appropriate</w:t>
      </w:r>
      <w:r w:rsidR="00C25AAC" w:rsidRPr="00EC57FB">
        <w:rPr>
          <w:color w:val="000000" w:themeColor="text1"/>
        </w:rPr>
        <w:t xml:space="preserve"> RSV</w:t>
      </w:r>
      <w:r w:rsidR="00AB6582" w:rsidRPr="00EC57FB">
        <w:rPr>
          <w:color w:val="000000" w:themeColor="text1"/>
        </w:rPr>
        <w:t xml:space="preserve"> immunisation strategies in regions that have extended RSV seasons.</w:t>
      </w:r>
      <w:r w:rsidR="00875BA9" w:rsidRPr="00EC57FB">
        <w:rPr>
          <w:color w:val="000000" w:themeColor="text1"/>
        </w:rPr>
        <w:t xml:space="preserve"> </w:t>
      </w:r>
      <w:r w:rsidR="002D3C8A" w:rsidRPr="00EC57FB">
        <w:rPr>
          <w:color w:val="000000" w:themeColor="text1"/>
        </w:rPr>
        <w:t>Other issues</w:t>
      </w:r>
      <w:r w:rsidR="00D22B14" w:rsidRPr="00EC57FB">
        <w:rPr>
          <w:color w:val="000000" w:themeColor="text1"/>
        </w:rPr>
        <w:t xml:space="preserve"> that arise with the comparison of nirsevimab and RSVpreF </w:t>
      </w:r>
      <w:r w:rsidR="002D3C8A" w:rsidRPr="00EC57FB">
        <w:rPr>
          <w:color w:val="000000" w:themeColor="text1"/>
        </w:rPr>
        <w:t>are discussed below</w:t>
      </w:r>
      <w:r w:rsidR="00D22B14" w:rsidRPr="00EC57FB">
        <w:rPr>
          <w:color w:val="000000" w:themeColor="text1"/>
        </w:rPr>
        <w:t>.</w:t>
      </w:r>
      <w:r w:rsidR="00356EBB" w:rsidRPr="00EC57FB">
        <w:rPr>
          <w:color w:val="000000" w:themeColor="text1"/>
        </w:rPr>
        <w:t xml:space="preserve"> </w:t>
      </w:r>
    </w:p>
    <w:p w14:paraId="4C0498D7" w14:textId="23256E37" w:rsidR="009E2933" w:rsidRPr="00EC57FB" w:rsidRDefault="009E2933" w:rsidP="00875BA9">
      <w:pPr>
        <w:pStyle w:val="3-BodyText"/>
        <w:rPr>
          <w:iCs/>
        </w:rPr>
      </w:pPr>
      <w:bookmarkStart w:id="86" w:name="_Ref188444736"/>
      <w:r w:rsidRPr="00EC57FB">
        <w:t>The first submission (July 2024) presented ITCs of nirsevimab and RSVpreF using placebo as the common reference based on the results of meta-analyses of the MELODY and Phase 2b trials (nirsevimab vs placebo) and the MATISSE trial (RSVpreF vs placebo), as summarised in</w:t>
      </w:r>
      <w:r w:rsidR="00953FF9" w:rsidRPr="00EC57FB">
        <w:t xml:space="preserve"> </w:t>
      </w:r>
      <w:r w:rsidR="00BD65BE" w:rsidRPr="00EC57FB">
        <w:fldChar w:fldCharType="begin"/>
      </w:r>
      <w:r w:rsidR="00BD65BE" w:rsidRPr="00EC57FB">
        <w:instrText xml:space="preserve"> REF _Ref188222480 \h </w:instrText>
      </w:r>
      <w:r w:rsidR="00BD65BE" w:rsidRPr="00EC57FB">
        <w:fldChar w:fldCharType="separate"/>
      </w:r>
      <w:r w:rsidR="00502C25" w:rsidRPr="00EC57FB">
        <w:t xml:space="preserve">Table </w:t>
      </w:r>
      <w:r w:rsidR="00502C25">
        <w:rPr>
          <w:noProof/>
        </w:rPr>
        <w:t>16</w:t>
      </w:r>
      <w:r w:rsidR="00BD65BE" w:rsidRPr="00EC57FB">
        <w:fldChar w:fldCharType="end"/>
      </w:r>
      <w:r w:rsidR="00BD65BE" w:rsidRPr="00EC57FB">
        <w:t>.</w:t>
      </w:r>
      <w:r w:rsidRPr="00EC57FB">
        <w:t xml:space="preserve"> The PBAC considered that the evidence did not support a conclusion of superiority for nirsevimab over RSVpreF in Season 1 due to substantial transitivity issues between the nirsevimab trials and the RSVpreF MATISSE trial</w:t>
      </w:r>
      <w:r w:rsidR="00BF6247" w:rsidRPr="00EC57FB">
        <w:t xml:space="preserve"> (paragraph 7.16, July 2024 PSD). Differences were noted in the proportion of premature infants, timing of administration (with nirsevimab targeting the RSV season) and the timing of the end point assessment (the nirsevimab trials reported MA RSV LRTI from the time of dosing while MATISSE reported from the time of birth), and different event rates in the placebo arms (paragraph 6.44, July 2024 PSD).</w:t>
      </w:r>
      <w:bookmarkEnd w:id="86"/>
    </w:p>
    <w:p w14:paraId="676853C2" w14:textId="60E222C1" w:rsidR="009E2933" w:rsidRPr="00EC57FB" w:rsidRDefault="009E2933" w:rsidP="009E2933">
      <w:pPr>
        <w:pStyle w:val="TableFigureHeading"/>
        <w:jc w:val="both"/>
      </w:pPr>
      <w:bookmarkStart w:id="87" w:name="_Ref188222480"/>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16</w:t>
      </w:r>
      <w:r w:rsidR="00C51E7C" w:rsidRPr="00EC57FB">
        <w:fldChar w:fldCharType="end"/>
      </w:r>
      <w:bookmarkEnd w:id="87"/>
      <w:r w:rsidRPr="00EC57FB">
        <w:t xml:space="preserve">: Results of the indirect comparison (Bucher method) of nirsevimab and RSVpreF using placebo as common reference based on the outcome of MA RSV LRTI at 150 days after administration (nirsevimab) or after birth (RSVpreF)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99"/>
        <w:gridCol w:w="2718"/>
      </w:tblGrid>
      <w:tr w:rsidR="00CF649A" w:rsidRPr="00EC57FB" w14:paraId="4F7EC7E3" w14:textId="77777777">
        <w:tc>
          <w:tcPr>
            <w:tcW w:w="3493" w:type="pct"/>
            <w:tcMar>
              <w:top w:w="0" w:type="dxa"/>
              <w:left w:w="108" w:type="dxa"/>
              <w:bottom w:w="0" w:type="dxa"/>
              <w:right w:w="108" w:type="dxa"/>
            </w:tcMar>
            <w:vAlign w:val="center"/>
            <w:hideMark/>
          </w:tcPr>
          <w:p w14:paraId="286229A5" w14:textId="77777777" w:rsidR="009E2933" w:rsidRPr="00EC57FB" w:rsidRDefault="009E2933">
            <w:pPr>
              <w:keepNext/>
              <w:rPr>
                <w:rFonts w:ascii="Arial Narrow" w:hAnsi="Arial Narrow" w:cs="Calibri"/>
                <w:color w:val="000000"/>
                <w:sz w:val="20"/>
                <w:szCs w:val="20"/>
              </w:rPr>
            </w:pPr>
            <w:r w:rsidRPr="00EC57FB">
              <w:rPr>
                <w:rFonts w:ascii="Arial Narrow" w:hAnsi="Arial Narrow" w:cs="Calibri"/>
                <w:b/>
                <w:bCs/>
                <w:color w:val="000000"/>
                <w:sz w:val="20"/>
                <w:szCs w:val="20"/>
              </w:rPr>
              <w:t>Results</w:t>
            </w:r>
          </w:p>
        </w:tc>
        <w:tc>
          <w:tcPr>
            <w:tcW w:w="1507" w:type="pct"/>
            <w:tcMar>
              <w:top w:w="0" w:type="dxa"/>
              <w:left w:w="108" w:type="dxa"/>
              <w:bottom w:w="0" w:type="dxa"/>
              <w:right w:w="108" w:type="dxa"/>
            </w:tcMar>
            <w:vAlign w:val="center"/>
            <w:hideMark/>
          </w:tcPr>
          <w:p w14:paraId="58E4758F" w14:textId="77777777" w:rsidR="009E2933" w:rsidRPr="00EC57FB" w:rsidRDefault="009E2933">
            <w:pPr>
              <w:keepNext/>
              <w:jc w:val="center"/>
              <w:rPr>
                <w:rFonts w:ascii="Arial Narrow" w:hAnsi="Arial Narrow" w:cs="Calibri"/>
                <w:b/>
                <w:bCs/>
                <w:color w:val="000000"/>
                <w:sz w:val="20"/>
                <w:szCs w:val="20"/>
              </w:rPr>
            </w:pPr>
            <w:r w:rsidRPr="00EC57FB">
              <w:rPr>
                <w:rFonts w:ascii="Arial Narrow" w:hAnsi="Arial Narrow" w:cs="Calibri"/>
                <w:b/>
                <w:bCs/>
                <w:color w:val="000000"/>
                <w:sz w:val="20"/>
                <w:szCs w:val="20"/>
              </w:rPr>
              <w:t>RRR (95% CI)</w:t>
            </w:r>
          </w:p>
        </w:tc>
      </w:tr>
      <w:tr w:rsidR="00CF649A" w:rsidRPr="00EC57FB" w14:paraId="28556930" w14:textId="77777777">
        <w:tc>
          <w:tcPr>
            <w:tcW w:w="3493" w:type="pct"/>
            <w:shd w:val="clear" w:color="auto" w:fill="B8CCE4"/>
            <w:tcMar>
              <w:top w:w="0" w:type="dxa"/>
              <w:left w:w="108" w:type="dxa"/>
              <w:bottom w:w="0" w:type="dxa"/>
              <w:right w:w="108" w:type="dxa"/>
            </w:tcMar>
            <w:hideMark/>
          </w:tcPr>
          <w:p w14:paraId="4DC7409B" w14:textId="3B79B80F" w:rsidR="009E2933" w:rsidRPr="00EC57FB" w:rsidRDefault="007B278B">
            <w:pPr>
              <w:keepNext/>
              <w:rPr>
                <w:rFonts w:ascii="Arial Narrow" w:hAnsi="Arial Narrow" w:cs="Calibri"/>
                <w:color w:val="000000"/>
                <w:sz w:val="20"/>
                <w:szCs w:val="20"/>
              </w:rPr>
            </w:pPr>
            <w:r w:rsidRPr="00EC57FB">
              <w:rPr>
                <w:rFonts w:ascii="Arial Narrow" w:hAnsi="Arial Narrow" w:cs="Calibri"/>
                <w:color w:val="000000"/>
                <w:sz w:val="20"/>
                <w:szCs w:val="20"/>
              </w:rPr>
              <w:t xml:space="preserve">ITC based on </w:t>
            </w:r>
            <w:r w:rsidR="009E2933" w:rsidRPr="00EC57FB">
              <w:rPr>
                <w:rFonts w:ascii="Arial Narrow" w:hAnsi="Arial Narrow" w:cs="Calibri"/>
                <w:color w:val="000000"/>
                <w:sz w:val="20"/>
                <w:szCs w:val="20"/>
              </w:rPr>
              <w:t xml:space="preserve">Simões 2023 (meta-analysis of trials of nirsevimab vs placebo) </w:t>
            </w:r>
            <w:r w:rsidR="00F16F5F" w:rsidRPr="00EC57FB">
              <w:rPr>
                <w:rFonts w:ascii="Arial Narrow" w:hAnsi="Arial Narrow" w:cs="Calibri"/>
                <w:color w:val="000000"/>
                <w:sz w:val="20"/>
                <w:szCs w:val="20"/>
              </w:rPr>
              <w:t>and</w:t>
            </w:r>
            <w:r w:rsidR="009E2933" w:rsidRPr="00EC57FB">
              <w:rPr>
                <w:rFonts w:ascii="Arial Narrow" w:hAnsi="Arial Narrow" w:cs="Calibri"/>
                <w:color w:val="000000"/>
                <w:sz w:val="20"/>
                <w:szCs w:val="20"/>
              </w:rPr>
              <w:t xml:space="preserve"> MATISSE (RSVpreF maternal vs placebo); Endpoint: MA RSV LRTI </w:t>
            </w:r>
            <w:r w:rsidR="00F16F5F" w:rsidRPr="00EC57FB">
              <w:rPr>
                <w:rFonts w:ascii="Arial Narrow" w:hAnsi="Arial Narrow" w:cs="Calibri"/>
                <w:color w:val="000000"/>
                <w:sz w:val="20"/>
                <w:szCs w:val="20"/>
              </w:rPr>
              <w:t>at 150 days</w:t>
            </w:r>
            <w:r w:rsidR="00FF6B95" w:rsidRPr="00EC57FB">
              <w:rPr>
                <w:rFonts w:ascii="Arial Narrow" w:hAnsi="Arial Narrow" w:cs="Calibri"/>
                <w:color w:val="000000"/>
                <w:sz w:val="20"/>
                <w:szCs w:val="20"/>
              </w:rPr>
              <w:t xml:space="preserve"> after administration of nirsevimab in nirsevimab trials and </w:t>
            </w:r>
            <w:r w:rsidR="00377D9C" w:rsidRPr="00EC57FB">
              <w:rPr>
                <w:rFonts w:ascii="Arial Narrow" w:hAnsi="Arial Narrow" w:cs="Calibri"/>
                <w:color w:val="000000"/>
                <w:sz w:val="20"/>
                <w:szCs w:val="20"/>
              </w:rPr>
              <w:t xml:space="preserve">150 days </w:t>
            </w:r>
            <w:r w:rsidR="00FF6B95" w:rsidRPr="00EC57FB">
              <w:rPr>
                <w:rFonts w:ascii="Arial Narrow" w:hAnsi="Arial Narrow" w:cs="Calibri"/>
                <w:color w:val="000000"/>
                <w:sz w:val="20"/>
                <w:szCs w:val="20"/>
              </w:rPr>
              <w:t>after infant birth in MATISSE</w:t>
            </w:r>
          </w:p>
        </w:tc>
        <w:tc>
          <w:tcPr>
            <w:tcW w:w="1507" w:type="pct"/>
            <w:shd w:val="clear" w:color="auto" w:fill="B8CCE4"/>
            <w:tcMar>
              <w:top w:w="0" w:type="dxa"/>
              <w:left w:w="108" w:type="dxa"/>
              <w:bottom w:w="0" w:type="dxa"/>
              <w:right w:w="108" w:type="dxa"/>
            </w:tcMar>
            <w:vAlign w:val="center"/>
            <w:hideMark/>
          </w:tcPr>
          <w:p w14:paraId="70065EC9" w14:textId="77777777" w:rsidR="009E2933" w:rsidRPr="00EC57FB" w:rsidRDefault="009E2933">
            <w:pPr>
              <w:keepNext/>
              <w:jc w:val="center"/>
              <w:rPr>
                <w:rFonts w:ascii="Arial Narrow" w:hAnsi="Arial Narrow" w:cs="Calibri"/>
                <w:b/>
                <w:bCs/>
                <w:color w:val="000000"/>
                <w:sz w:val="20"/>
                <w:szCs w:val="20"/>
              </w:rPr>
            </w:pPr>
            <w:r w:rsidRPr="00EC57FB">
              <w:rPr>
                <w:rFonts w:ascii="Arial Narrow" w:hAnsi="Arial Narrow" w:cs="Calibri"/>
                <w:b/>
                <w:bCs/>
                <w:color w:val="000000"/>
                <w:sz w:val="20"/>
                <w:szCs w:val="20"/>
              </w:rPr>
              <w:t>56.8%</w:t>
            </w:r>
          </w:p>
          <w:p w14:paraId="3F6F351D" w14:textId="77777777" w:rsidR="009E2933" w:rsidRPr="00EC57FB" w:rsidRDefault="009E2933">
            <w:pPr>
              <w:keepNext/>
              <w:jc w:val="center"/>
              <w:rPr>
                <w:rFonts w:ascii="Arial Narrow" w:hAnsi="Arial Narrow" w:cs="Calibri"/>
                <w:b/>
                <w:bCs/>
                <w:color w:val="000000"/>
                <w:sz w:val="20"/>
                <w:szCs w:val="20"/>
              </w:rPr>
            </w:pPr>
            <w:r w:rsidRPr="00EC57FB">
              <w:rPr>
                <w:rFonts w:ascii="Arial Narrow" w:hAnsi="Arial Narrow" w:cs="Calibri"/>
                <w:b/>
                <w:bCs/>
                <w:color w:val="000000"/>
                <w:sz w:val="20"/>
                <w:szCs w:val="20"/>
              </w:rPr>
              <w:t>(16.7%, 77.6%)</w:t>
            </w:r>
          </w:p>
        </w:tc>
      </w:tr>
      <w:tr w:rsidR="00CF649A" w:rsidRPr="00EC57FB" w14:paraId="061395D7" w14:textId="77777777">
        <w:tc>
          <w:tcPr>
            <w:tcW w:w="3493" w:type="pct"/>
            <w:shd w:val="clear" w:color="auto" w:fill="B8CCE4"/>
            <w:tcMar>
              <w:top w:w="0" w:type="dxa"/>
              <w:left w:w="108" w:type="dxa"/>
              <w:bottom w:w="0" w:type="dxa"/>
              <w:right w:w="108" w:type="dxa"/>
            </w:tcMar>
          </w:tcPr>
          <w:p w14:paraId="6FB10D22" w14:textId="14CEA6CE" w:rsidR="009E2933" w:rsidRPr="00EC57FB" w:rsidRDefault="009E2933">
            <w:pPr>
              <w:keepNext/>
              <w:rPr>
                <w:rFonts w:ascii="Arial Narrow" w:hAnsi="Arial Narrow" w:cs="Calibri"/>
                <w:color w:val="000000"/>
                <w:sz w:val="20"/>
                <w:szCs w:val="20"/>
              </w:rPr>
            </w:pPr>
            <w:r w:rsidRPr="00EC57FB">
              <w:rPr>
                <w:rFonts w:ascii="Arial Narrow" w:hAnsi="Arial Narrow" w:cs="Calibri"/>
                <w:color w:val="000000"/>
                <w:sz w:val="20"/>
                <w:szCs w:val="20"/>
              </w:rPr>
              <w:t xml:space="preserve">Turalde-Mapili 2023 (meta-analysis of trials of nirsevimab vs placebo) </w:t>
            </w:r>
            <w:r w:rsidR="00F16F5F" w:rsidRPr="00EC57FB">
              <w:rPr>
                <w:rFonts w:ascii="Arial Narrow" w:hAnsi="Arial Narrow" w:cs="Calibri"/>
                <w:color w:val="000000"/>
                <w:sz w:val="20"/>
                <w:szCs w:val="20"/>
              </w:rPr>
              <w:t>and</w:t>
            </w:r>
            <w:r w:rsidRPr="00EC57FB">
              <w:rPr>
                <w:rFonts w:ascii="Arial Narrow" w:hAnsi="Arial Narrow" w:cs="Calibri"/>
                <w:color w:val="000000"/>
                <w:sz w:val="20"/>
                <w:szCs w:val="20"/>
              </w:rPr>
              <w:t xml:space="preserve"> MATISSE (RSVpreF maternal vs placebo); </w:t>
            </w:r>
            <w:r w:rsidR="00377D9C" w:rsidRPr="00EC57FB">
              <w:rPr>
                <w:rFonts w:ascii="Arial Narrow" w:hAnsi="Arial Narrow" w:cs="Calibri"/>
                <w:color w:val="000000"/>
                <w:sz w:val="20"/>
                <w:szCs w:val="20"/>
              </w:rPr>
              <w:t>Endpoint: MA RSV LRTI at 150 days after administration of nirsevimab in nirsevimab trials and 150 days after infant birth in MATISSE</w:t>
            </w:r>
          </w:p>
        </w:tc>
        <w:tc>
          <w:tcPr>
            <w:tcW w:w="1507" w:type="pct"/>
            <w:shd w:val="clear" w:color="auto" w:fill="B8CCE4"/>
            <w:tcMar>
              <w:top w:w="0" w:type="dxa"/>
              <w:left w:w="108" w:type="dxa"/>
              <w:bottom w:w="0" w:type="dxa"/>
              <w:right w:w="108" w:type="dxa"/>
            </w:tcMar>
            <w:vAlign w:val="center"/>
          </w:tcPr>
          <w:p w14:paraId="7651C21E" w14:textId="77777777" w:rsidR="009E2933" w:rsidRPr="00EC57FB" w:rsidRDefault="009E2933">
            <w:pPr>
              <w:keepNext/>
              <w:jc w:val="center"/>
              <w:rPr>
                <w:rFonts w:ascii="Arial Narrow" w:hAnsi="Arial Narrow" w:cs="Calibri"/>
                <w:b/>
                <w:bCs/>
                <w:color w:val="000000"/>
                <w:sz w:val="20"/>
                <w:szCs w:val="20"/>
              </w:rPr>
            </w:pPr>
            <w:r w:rsidRPr="00EC57FB">
              <w:rPr>
                <w:rFonts w:ascii="Arial Narrow" w:hAnsi="Arial Narrow" w:cs="Calibri"/>
                <w:b/>
                <w:bCs/>
                <w:color w:val="000000"/>
                <w:sz w:val="20"/>
                <w:szCs w:val="20"/>
              </w:rPr>
              <w:t>45.3%</w:t>
            </w:r>
          </w:p>
          <w:p w14:paraId="3990E0F9" w14:textId="77777777" w:rsidR="009E2933" w:rsidRPr="00EC57FB" w:rsidRDefault="009E2933">
            <w:pPr>
              <w:keepNext/>
              <w:jc w:val="center"/>
              <w:rPr>
                <w:rFonts w:ascii="Arial Narrow" w:hAnsi="Arial Narrow" w:cs="Calibri"/>
                <w:b/>
                <w:bCs/>
                <w:color w:val="000000"/>
                <w:sz w:val="20"/>
                <w:szCs w:val="20"/>
              </w:rPr>
            </w:pPr>
            <w:r w:rsidRPr="00EC57FB">
              <w:rPr>
                <w:rFonts w:ascii="Arial Narrow" w:hAnsi="Arial Narrow" w:cs="Calibri"/>
                <w:b/>
                <w:bCs/>
                <w:color w:val="000000"/>
                <w:sz w:val="20"/>
                <w:szCs w:val="20"/>
              </w:rPr>
              <w:t>(4.30%, 68.7%)</w:t>
            </w:r>
          </w:p>
        </w:tc>
      </w:tr>
      <w:tr w:rsidR="00CF649A" w:rsidRPr="00EC57FB" w14:paraId="60AF52C5" w14:textId="77777777" w:rsidTr="00BB6CA8">
        <w:tc>
          <w:tcPr>
            <w:tcW w:w="3493" w:type="pct"/>
            <w:tcMar>
              <w:top w:w="0" w:type="dxa"/>
              <w:left w:w="108" w:type="dxa"/>
              <w:bottom w:w="0" w:type="dxa"/>
              <w:right w:w="108" w:type="dxa"/>
            </w:tcMar>
          </w:tcPr>
          <w:p w14:paraId="3797C369" w14:textId="165646C7" w:rsidR="00D0058E" w:rsidRPr="00EC57FB" w:rsidRDefault="007B278B">
            <w:pPr>
              <w:keepNext/>
              <w:rPr>
                <w:rFonts w:ascii="Arial Narrow" w:hAnsi="Arial Narrow" w:cs="Calibri"/>
                <w:color w:val="000000"/>
                <w:sz w:val="20"/>
                <w:szCs w:val="20"/>
              </w:rPr>
            </w:pPr>
            <w:r w:rsidRPr="00EC57FB">
              <w:rPr>
                <w:rFonts w:ascii="Arial Narrow" w:hAnsi="Arial Narrow" w:cs="Calibri"/>
                <w:color w:val="000000"/>
                <w:sz w:val="20"/>
                <w:szCs w:val="20"/>
              </w:rPr>
              <w:t>ITC</w:t>
            </w:r>
            <w:r w:rsidR="001614F1" w:rsidRPr="00EC57FB">
              <w:rPr>
                <w:rFonts w:ascii="Arial Narrow" w:hAnsi="Arial Narrow" w:cs="Calibri"/>
                <w:color w:val="000000"/>
                <w:sz w:val="20"/>
                <w:szCs w:val="20"/>
              </w:rPr>
              <w:t xml:space="preserve"> based on interim results from MEL</w:t>
            </w:r>
            <w:r w:rsidRPr="00EC57FB">
              <w:rPr>
                <w:rFonts w:ascii="Arial Narrow" w:hAnsi="Arial Narrow" w:cs="Calibri"/>
                <w:color w:val="000000"/>
                <w:sz w:val="20"/>
                <w:szCs w:val="20"/>
              </w:rPr>
              <w:t xml:space="preserve">ODY </w:t>
            </w:r>
            <w:r w:rsidR="00F16F5F" w:rsidRPr="00EC57FB">
              <w:rPr>
                <w:rFonts w:ascii="Arial Narrow" w:hAnsi="Arial Narrow" w:cs="Calibri"/>
                <w:color w:val="000000"/>
                <w:sz w:val="20"/>
                <w:szCs w:val="20"/>
              </w:rPr>
              <w:t>and MATISSE</w:t>
            </w:r>
            <w:r w:rsidR="00E27371" w:rsidRPr="00EC57FB">
              <w:rPr>
                <w:rFonts w:ascii="Arial Narrow" w:hAnsi="Arial Narrow" w:cs="Calibri"/>
                <w:color w:val="000000"/>
                <w:sz w:val="20"/>
                <w:szCs w:val="20"/>
              </w:rPr>
              <w:t xml:space="preserve">; </w:t>
            </w:r>
            <w:r w:rsidR="002D03E4" w:rsidRPr="00EC57FB">
              <w:rPr>
                <w:rFonts w:ascii="Arial Narrow" w:hAnsi="Arial Narrow" w:cs="Calibri"/>
                <w:color w:val="000000"/>
                <w:sz w:val="20"/>
                <w:szCs w:val="20"/>
              </w:rPr>
              <w:t>Endpoint: MA RSV LRTI at 150 days after administration of nirsevimab in nirsevimab trials and 150 days after infant birth in MATISSE</w:t>
            </w:r>
          </w:p>
        </w:tc>
        <w:tc>
          <w:tcPr>
            <w:tcW w:w="1507" w:type="pct"/>
            <w:tcMar>
              <w:top w:w="0" w:type="dxa"/>
              <w:left w:w="108" w:type="dxa"/>
              <w:bottom w:w="0" w:type="dxa"/>
              <w:right w:w="108" w:type="dxa"/>
            </w:tcMar>
            <w:vAlign w:val="center"/>
          </w:tcPr>
          <w:p w14:paraId="6E91AF31" w14:textId="77777777" w:rsidR="00E27371" w:rsidRPr="00EC57FB" w:rsidRDefault="00E27371">
            <w:pPr>
              <w:keepNext/>
              <w:jc w:val="center"/>
              <w:rPr>
                <w:rFonts w:ascii="Arial Narrow" w:hAnsi="Arial Narrow" w:cs="Calibri"/>
                <w:color w:val="000000"/>
                <w:sz w:val="20"/>
                <w:szCs w:val="20"/>
              </w:rPr>
            </w:pPr>
            <w:r w:rsidRPr="00EC57FB">
              <w:rPr>
                <w:rFonts w:ascii="Arial Narrow" w:hAnsi="Arial Narrow" w:cs="Calibri"/>
                <w:color w:val="000000"/>
                <w:sz w:val="20"/>
                <w:szCs w:val="20"/>
              </w:rPr>
              <w:t>46.3%</w:t>
            </w:r>
          </w:p>
          <w:p w14:paraId="54306C15" w14:textId="6DDA6641" w:rsidR="00D0058E" w:rsidRPr="00EC57FB" w:rsidRDefault="00E27371">
            <w:pPr>
              <w:keepNext/>
              <w:jc w:val="center"/>
              <w:rPr>
                <w:rFonts w:ascii="Arial Narrow" w:hAnsi="Arial Narrow" w:cs="Calibri"/>
                <w:b/>
                <w:bCs/>
                <w:color w:val="000000"/>
                <w:sz w:val="20"/>
                <w:szCs w:val="20"/>
              </w:rPr>
            </w:pPr>
            <w:r w:rsidRPr="00EC57FB">
              <w:rPr>
                <w:rFonts w:ascii="Arial Narrow" w:hAnsi="Arial Narrow" w:cs="Calibri"/>
                <w:color w:val="000000"/>
                <w:sz w:val="20"/>
                <w:szCs w:val="20"/>
              </w:rPr>
              <w:t>(95% CI: -16.2%, 75.2%)</w:t>
            </w:r>
          </w:p>
        </w:tc>
      </w:tr>
      <w:tr w:rsidR="00CF649A" w:rsidRPr="00EC57FB" w14:paraId="69E4E76B" w14:textId="77777777" w:rsidTr="00BB6CA8">
        <w:tc>
          <w:tcPr>
            <w:tcW w:w="3493" w:type="pct"/>
            <w:tcMar>
              <w:top w:w="0" w:type="dxa"/>
              <w:left w:w="108" w:type="dxa"/>
              <w:bottom w:w="0" w:type="dxa"/>
              <w:right w:w="108" w:type="dxa"/>
            </w:tcMar>
          </w:tcPr>
          <w:p w14:paraId="1397367C" w14:textId="1D5D76FF" w:rsidR="002D03E4" w:rsidRPr="00EC57FB" w:rsidRDefault="002D03E4" w:rsidP="002D03E4">
            <w:pPr>
              <w:keepNext/>
              <w:rPr>
                <w:rFonts w:ascii="Arial Narrow" w:hAnsi="Arial Narrow" w:cs="Calibri"/>
                <w:color w:val="000000"/>
                <w:sz w:val="20"/>
                <w:szCs w:val="20"/>
              </w:rPr>
            </w:pPr>
            <w:r w:rsidRPr="00EC57FB">
              <w:rPr>
                <w:rFonts w:ascii="Arial Narrow" w:hAnsi="Arial Narrow" w:cs="Calibri"/>
                <w:color w:val="000000"/>
                <w:sz w:val="20"/>
                <w:szCs w:val="20"/>
              </w:rPr>
              <w:t>ITC based on final results from MELODY and MATISSE; Endpoint: MA RSV LRTI at 150 days after administration of nirsevimab in nirsevimab trials and 150 days after infant birth in MATISSE</w:t>
            </w:r>
          </w:p>
        </w:tc>
        <w:tc>
          <w:tcPr>
            <w:tcW w:w="1507" w:type="pct"/>
            <w:tcMar>
              <w:top w:w="0" w:type="dxa"/>
              <w:left w:w="108" w:type="dxa"/>
              <w:bottom w:w="0" w:type="dxa"/>
              <w:right w:w="108" w:type="dxa"/>
            </w:tcMar>
            <w:vAlign w:val="center"/>
          </w:tcPr>
          <w:p w14:paraId="52815E8E" w14:textId="77777777" w:rsidR="00AB3AFA" w:rsidRPr="00EC57FB" w:rsidRDefault="00AB3AFA" w:rsidP="00AB3AFA">
            <w:pPr>
              <w:keepNext/>
              <w:jc w:val="center"/>
              <w:rPr>
                <w:rFonts w:ascii="Arial Narrow" w:hAnsi="Arial Narrow" w:cs="Calibri"/>
                <w:b/>
                <w:bCs/>
                <w:color w:val="000000"/>
                <w:sz w:val="20"/>
                <w:szCs w:val="20"/>
              </w:rPr>
            </w:pPr>
            <w:r w:rsidRPr="00EC57FB">
              <w:rPr>
                <w:rFonts w:ascii="Arial Narrow" w:hAnsi="Arial Narrow" w:cs="Calibri"/>
                <w:b/>
                <w:bCs/>
                <w:color w:val="000000"/>
                <w:sz w:val="20"/>
                <w:szCs w:val="20"/>
              </w:rPr>
              <w:t>50.3%</w:t>
            </w:r>
          </w:p>
          <w:p w14:paraId="2B11EE04" w14:textId="48154241" w:rsidR="002D03E4" w:rsidRPr="00EC57FB" w:rsidRDefault="00AB3AFA" w:rsidP="00AB3AFA">
            <w:pPr>
              <w:keepNext/>
              <w:jc w:val="center"/>
              <w:rPr>
                <w:rFonts w:ascii="Arial Narrow" w:hAnsi="Arial Narrow" w:cs="Calibri"/>
                <w:color w:val="000000"/>
                <w:sz w:val="20"/>
                <w:szCs w:val="20"/>
              </w:rPr>
            </w:pPr>
            <w:r w:rsidRPr="00EC57FB">
              <w:rPr>
                <w:rFonts w:ascii="Arial Narrow" w:hAnsi="Arial Narrow" w:cs="Calibri"/>
                <w:b/>
                <w:bCs/>
                <w:color w:val="000000"/>
                <w:sz w:val="20"/>
                <w:szCs w:val="20"/>
              </w:rPr>
              <w:t>(10.2%, 72.5%)</w:t>
            </w:r>
          </w:p>
        </w:tc>
      </w:tr>
      <w:tr w:rsidR="00CF649A" w:rsidRPr="00EC57FB" w14:paraId="1B3D3AD9" w14:textId="77777777" w:rsidTr="00BB6CA8">
        <w:tc>
          <w:tcPr>
            <w:tcW w:w="3493" w:type="pct"/>
            <w:tcMar>
              <w:top w:w="0" w:type="dxa"/>
              <w:left w:w="108" w:type="dxa"/>
              <w:bottom w:w="0" w:type="dxa"/>
              <w:right w:w="108" w:type="dxa"/>
            </w:tcMar>
          </w:tcPr>
          <w:p w14:paraId="6C0B52C3" w14:textId="40181386" w:rsidR="00AB3AFA" w:rsidRPr="00EC57FB" w:rsidRDefault="00AB3AFA" w:rsidP="002D03E4">
            <w:pPr>
              <w:keepNext/>
              <w:rPr>
                <w:rFonts w:ascii="Arial Narrow" w:hAnsi="Arial Narrow" w:cs="Calibri"/>
                <w:color w:val="000000"/>
                <w:sz w:val="20"/>
                <w:szCs w:val="20"/>
              </w:rPr>
            </w:pPr>
            <w:r w:rsidRPr="00EC57FB">
              <w:rPr>
                <w:rFonts w:ascii="Arial Narrow" w:hAnsi="Arial Narrow" w:cs="Calibri"/>
                <w:color w:val="000000"/>
                <w:sz w:val="20"/>
                <w:szCs w:val="20"/>
              </w:rPr>
              <w:t xml:space="preserve">ITC based on final results from MELODY and MATISSE; Endpoint: MA RSV LRTI at 150 days after administration of nirsevimab in nirsevimab trials and </w:t>
            </w:r>
            <w:r w:rsidR="00336A75" w:rsidRPr="00EC57FB">
              <w:rPr>
                <w:rFonts w:ascii="Arial Narrow" w:hAnsi="Arial Narrow" w:cs="Calibri"/>
                <w:color w:val="000000"/>
                <w:sz w:val="20"/>
                <w:szCs w:val="20"/>
              </w:rPr>
              <w:t>180</w:t>
            </w:r>
            <w:r w:rsidRPr="00EC57FB">
              <w:rPr>
                <w:rFonts w:ascii="Arial Narrow" w:hAnsi="Arial Narrow" w:cs="Calibri"/>
                <w:color w:val="000000"/>
                <w:sz w:val="20"/>
                <w:szCs w:val="20"/>
              </w:rPr>
              <w:t xml:space="preserve"> days after infant birth in MATISSE</w:t>
            </w:r>
          </w:p>
        </w:tc>
        <w:tc>
          <w:tcPr>
            <w:tcW w:w="1507" w:type="pct"/>
            <w:tcMar>
              <w:top w:w="0" w:type="dxa"/>
              <w:left w:w="108" w:type="dxa"/>
              <w:bottom w:w="0" w:type="dxa"/>
              <w:right w:w="108" w:type="dxa"/>
            </w:tcMar>
            <w:vAlign w:val="center"/>
          </w:tcPr>
          <w:p w14:paraId="0B7ABACE" w14:textId="77777777" w:rsidR="00D67282" w:rsidRPr="00EC57FB" w:rsidRDefault="00336A75" w:rsidP="00AB3AFA">
            <w:pPr>
              <w:keepNext/>
              <w:jc w:val="center"/>
              <w:rPr>
                <w:rFonts w:ascii="Arial Narrow" w:hAnsi="Arial Narrow" w:cs="Calibri"/>
                <w:b/>
                <w:bCs/>
                <w:color w:val="000000"/>
                <w:sz w:val="20"/>
                <w:szCs w:val="20"/>
              </w:rPr>
            </w:pPr>
            <w:r w:rsidRPr="00EC57FB">
              <w:rPr>
                <w:rFonts w:ascii="Arial Narrow" w:hAnsi="Arial Narrow" w:cs="Calibri"/>
                <w:b/>
                <w:bCs/>
                <w:color w:val="000000"/>
                <w:sz w:val="20"/>
                <w:szCs w:val="20"/>
              </w:rPr>
              <w:t>51.5%</w:t>
            </w:r>
          </w:p>
          <w:p w14:paraId="0972FC14" w14:textId="04B76A6E" w:rsidR="00AB3AFA" w:rsidRPr="00EC57FB" w:rsidRDefault="00336A75" w:rsidP="00AB3AFA">
            <w:pPr>
              <w:keepNext/>
              <w:jc w:val="center"/>
              <w:rPr>
                <w:rFonts w:ascii="Arial Narrow" w:hAnsi="Arial Narrow" w:cs="Calibri"/>
                <w:b/>
                <w:bCs/>
                <w:color w:val="000000"/>
                <w:sz w:val="20"/>
                <w:szCs w:val="20"/>
              </w:rPr>
            </w:pPr>
            <w:r w:rsidRPr="00EC57FB">
              <w:rPr>
                <w:rFonts w:ascii="Arial Narrow" w:hAnsi="Arial Narrow" w:cs="Calibri"/>
                <w:b/>
                <w:bCs/>
                <w:color w:val="000000"/>
                <w:sz w:val="20"/>
                <w:szCs w:val="20"/>
              </w:rPr>
              <w:t>(95% CI: 14.1%, 72.7%)</w:t>
            </w:r>
          </w:p>
        </w:tc>
      </w:tr>
    </w:tbl>
    <w:p w14:paraId="3868035E" w14:textId="69FDDA67" w:rsidR="009E2933" w:rsidRPr="00EC57FB" w:rsidRDefault="009E2933" w:rsidP="00501E19">
      <w:pPr>
        <w:pStyle w:val="TableFigureFooter"/>
      </w:pPr>
      <w:r w:rsidRPr="00EC57FB">
        <w:t>Source: Table 12, paragraph 6.31, nirsevimab July 2024 PSD</w:t>
      </w:r>
      <w:r w:rsidR="006674B7" w:rsidRPr="00EC57FB">
        <w:rPr>
          <w:iCs/>
        </w:rPr>
        <w:t xml:space="preserve"> and </w:t>
      </w:r>
      <w:r w:rsidR="005D27D1" w:rsidRPr="00EC57FB">
        <w:rPr>
          <w:iCs/>
        </w:rPr>
        <w:t xml:space="preserve">additional rows </w:t>
      </w:r>
      <w:r w:rsidR="004021A8" w:rsidRPr="00EC57FB">
        <w:rPr>
          <w:iCs/>
        </w:rPr>
        <w:t>added during</w:t>
      </w:r>
      <w:r w:rsidR="005D27D1" w:rsidRPr="00EC57FB">
        <w:rPr>
          <w:iCs/>
        </w:rPr>
        <w:t xml:space="preserve"> evaluation.</w:t>
      </w:r>
    </w:p>
    <w:p w14:paraId="15775924" w14:textId="63306DBD" w:rsidR="00AD1F17" w:rsidRPr="00EC57FB" w:rsidRDefault="00AD1F17" w:rsidP="00501E19">
      <w:pPr>
        <w:pStyle w:val="TableFigureFooter"/>
      </w:pPr>
      <w:r w:rsidRPr="00EC57FB">
        <w:t>Blue shading is indicative of information previously considered by the PBAC.</w:t>
      </w:r>
    </w:p>
    <w:p w14:paraId="711D3464" w14:textId="60C8D1B9" w:rsidR="00405338" w:rsidRPr="00EC57FB" w:rsidRDefault="009E2933" w:rsidP="009813D6">
      <w:pPr>
        <w:pStyle w:val="TableFigureFooter"/>
        <w:spacing w:after="120"/>
      </w:pPr>
      <w:r w:rsidRPr="00EC57FB">
        <w:t>RRR = relative risk reduction; RSVpreF = respiratory syncytial virus prefusion F vaccine.</w:t>
      </w:r>
    </w:p>
    <w:p w14:paraId="093C6BF1" w14:textId="71F1D0B0" w:rsidR="00A743BD" w:rsidRPr="00EC57FB" w:rsidRDefault="001E2F00" w:rsidP="00C5414E">
      <w:pPr>
        <w:pStyle w:val="3-BodyText"/>
      </w:pPr>
      <w:bookmarkStart w:id="88" w:name="_Ref187275222"/>
      <w:r w:rsidRPr="00EC57FB">
        <w:rPr>
          <w:color w:val="000000" w:themeColor="text1"/>
        </w:rPr>
        <w:t>Notwithstanding issues relating to transitivity of the populations</w:t>
      </w:r>
      <w:r w:rsidR="00F21CE3" w:rsidRPr="00EC57FB">
        <w:rPr>
          <w:color w:val="000000" w:themeColor="text1"/>
        </w:rPr>
        <w:t xml:space="preserve"> of infants included in the</w:t>
      </w:r>
      <w:r w:rsidR="0057635C" w:rsidRPr="00EC57FB">
        <w:rPr>
          <w:color w:val="000000" w:themeColor="text1"/>
        </w:rPr>
        <w:t xml:space="preserve"> nirsevimab and RS</w:t>
      </w:r>
      <w:r w:rsidR="0043023A" w:rsidRPr="00EC57FB">
        <w:rPr>
          <w:color w:val="000000" w:themeColor="text1"/>
        </w:rPr>
        <w:t>V</w:t>
      </w:r>
      <w:r w:rsidR="0057635C" w:rsidRPr="00EC57FB">
        <w:rPr>
          <w:color w:val="000000" w:themeColor="text1"/>
        </w:rPr>
        <w:t xml:space="preserve">preF trials, </w:t>
      </w:r>
      <w:r w:rsidR="00954246" w:rsidRPr="00EC57FB">
        <w:rPr>
          <w:color w:val="000000" w:themeColor="text1"/>
        </w:rPr>
        <w:t xml:space="preserve">and </w:t>
      </w:r>
      <w:r w:rsidR="004133EA" w:rsidRPr="00EC57FB">
        <w:rPr>
          <w:color w:val="000000" w:themeColor="text1"/>
        </w:rPr>
        <w:t xml:space="preserve">some </w:t>
      </w:r>
      <w:r w:rsidR="00954246" w:rsidRPr="00EC57FB">
        <w:rPr>
          <w:color w:val="000000" w:themeColor="text1"/>
        </w:rPr>
        <w:t xml:space="preserve">differences in the criteria for establishing an infant </w:t>
      </w:r>
      <w:r w:rsidR="00C04DF6" w:rsidRPr="00EC57FB">
        <w:rPr>
          <w:color w:val="000000" w:themeColor="text1"/>
        </w:rPr>
        <w:t>had an RSV L</w:t>
      </w:r>
      <w:r w:rsidR="006F70D7">
        <w:rPr>
          <w:color w:val="000000" w:themeColor="text1"/>
        </w:rPr>
        <w:t>R</w:t>
      </w:r>
      <w:r w:rsidR="00C04DF6" w:rsidRPr="00EC57FB">
        <w:rPr>
          <w:color w:val="000000" w:themeColor="text1"/>
        </w:rPr>
        <w:t>TI between the trials</w:t>
      </w:r>
      <w:r w:rsidR="004133EA" w:rsidRPr="00EC57FB">
        <w:rPr>
          <w:color w:val="000000" w:themeColor="text1"/>
        </w:rPr>
        <w:t xml:space="preserve"> as acknowledged in the resubmission</w:t>
      </w:r>
      <w:r w:rsidR="00C04DF6" w:rsidRPr="00EC57FB">
        <w:rPr>
          <w:color w:val="000000" w:themeColor="text1"/>
        </w:rPr>
        <w:t>,</w:t>
      </w:r>
      <w:r w:rsidR="00F21CE3" w:rsidRPr="00EC57FB">
        <w:rPr>
          <w:color w:val="000000" w:themeColor="text1"/>
        </w:rPr>
        <w:t xml:space="preserve"> </w:t>
      </w:r>
      <w:r w:rsidR="0061115B" w:rsidRPr="00EC57FB">
        <w:rPr>
          <w:color w:val="000000" w:themeColor="text1"/>
        </w:rPr>
        <w:t>sensitivity analys</w:t>
      </w:r>
      <w:r w:rsidR="00D537A0" w:rsidRPr="00EC57FB">
        <w:rPr>
          <w:color w:val="000000" w:themeColor="text1"/>
        </w:rPr>
        <w:t>e</w:t>
      </w:r>
      <w:r w:rsidR="0061115B" w:rsidRPr="00EC57FB">
        <w:rPr>
          <w:color w:val="000000" w:themeColor="text1"/>
        </w:rPr>
        <w:t xml:space="preserve">s around the </w:t>
      </w:r>
      <w:r w:rsidR="008628E6" w:rsidRPr="00EC57FB">
        <w:rPr>
          <w:color w:val="000000" w:themeColor="text1"/>
        </w:rPr>
        <w:t>ITC</w:t>
      </w:r>
      <w:r w:rsidR="0061115B" w:rsidRPr="00EC57FB">
        <w:rPr>
          <w:color w:val="000000" w:themeColor="text1"/>
        </w:rPr>
        <w:t xml:space="preserve"> </w:t>
      </w:r>
      <w:r w:rsidR="00D06FA6" w:rsidRPr="00EC57FB">
        <w:rPr>
          <w:color w:val="000000" w:themeColor="text1"/>
        </w:rPr>
        <w:t xml:space="preserve">were </w:t>
      </w:r>
      <w:r w:rsidR="0061115B" w:rsidRPr="00EC57FB">
        <w:rPr>
          <w:color w:val="000000" w:themeColor="text1"/>
        </w:rPr>
        <w:t>conducted during the evaluation</w:t>
      </w:r>
      <w:r w:rsidR="00BC25BB" w:rsidRPr="00EC57FB">
        <w:rPr>
          <w:color w:val="000000" w:themeColor="text1"/>
        </w:rPr>
        <w:t xml:space="preserve"> to assess the impact of removing the Phase 2b trial in pre-term infants from the ITC</w:t>
      </w:r>
      <w:r w:rsidR="006D0A5C" w:rsidRPr="00EC57FB">
        <w:rPr>
          <w:color w:val="000000" w:themeColor="text1"/>
        </w:rPr>
        <w:t xml:space="preserve"> (i.e., including</w:t>
      </w:r>
      <w:r w:rsidR="002A0F15" w:rsidRPr="00EC57FB">
        <w:rPr>
          <w:color w:val="000000" w:themeColor="text1"/>
        </w:rPr>
        <w:t xml:space="preserve"> only </w:t>
      </w:r>
      <w:r w:rsidR="008628E6" w:rsidRPr="00EC57FB">
        <w:rPr>
          <w:color w:val="000000" w:themeColor="text1"/>
        </w:rPr>
        <w:t>the</w:t>
      </w:r>
      <w:r w:rsidR="00E34EEC" w:rsidRPr="00EC57FB">
        <w:rPr>
          <w:color w:val="000000" w:themeColor="text1"/>
        </w:rPr>
        <w:t xml:space="preserve"> </w:t>
      </w:r>
      <w:r w:rsidR="008628E6" w:rsidRPr="00EC57FB">
        <w:rPr>
          <w:color w:val="000000" w:themeColor="text1"/>
        </w:rPr>
        <w:t>results of the MELODY and MATISSE</w:t>
      </w:r>
      <w:r w:rsidR="007F05CB" w:rsidRPr="00EC57FB">
        <w:rPr>
          <w:color w:val="000000" w:themeColor="text1"/>
        </w:rPr>
        <w:t xml:space="preserve"> trials</w:t>
      </w:r>
      <w:r w:rsidR="006D0A5C" w:rsidRPr="00EC57FB">
        <w:rPr>
          <w:color w:val="000000" w:themeColor="text1"/>
        </w:rPr>
        <w:t>)</w:t>
      </w:r>
      <w:r w:rsidR="008628E6" w:rsidRPr="00EC57FB">
        <w:rPr>
          <w:color w:val="000000" w:themeColor="text1"/>
        </w:rPr>
        <w:t xml:space="preserve">. </w:t>
      </w:r>
      <w:r w:rsidR="00D537A0" w:rsidRPr="00EC57FB">
        <w:rPr>
          <w:color w:val="000000" w:themeColor="text1"/>
        </w:rPr>
        <w:t xml:space="preserve">The approach taken to </w:t>
      </w:r>
      <w:r w:rsidR="004F7829" w:rsidRPr="00EC57FB">
        <w:rPr>
          <w:color w:val="000000" w:themeColor="text1"/>
        </w:rPr>
        <w:t xml:space="preserve">the </w:t>
      </w:r>
      <w:r w:rsidR="003F7876" w:rsidRPr="00EC57FB">
        <w:rPr>
          <w:color w:val="000000" w:themeColor="text1"/>
        </w:rPr>
        <w:t>conduct of the sensitivity analyses aligned with the Bucher method</w:t>
      </w:r>
      <w:r w:rsidR="003F7876" w:rsidRPr="00EC57FB">
        <w:rPr>
          <w:rStyle w:val="FootnoteReference"/>
          <w:color w:val="000000" w:themeColor="text1"/>
        </w:rPr>
        <w:footnoteReference w:id="15"/>
      </w:r>
      <w:r w:rsidR="003F7876" w:rsidRPr="00EC57FB">
        <w:rPr>
          <w:color w:val="000000" w:themeColor="text1"/>
        </w:rPr>
        <w:t>, n</w:t>
      </w:r>
      <w:r w:rsidR="0039467A" w:rsidRPr="00EC57FB">
        <w:rPr>
          <w:color w:val="000000" w:themeColor="text1"/>
        </w:rPr>
        <w:t>oting that</w:t>
      </w:r>
      <w:r w:rsidR="005841CE" w:rsidRPr="00EC57FB">
        <w:rPr>
          <w:color w:val="000000" w:themeColor="text1"/>
        </w:rPr>
        <w:t xml:space="preserve"> a 97.58% confidence interval was reported for </w:t>
      </w:r>
      <w:r w:rsidR="00C30F06" w:rsidRPr="00EC57FB">
        <w:rPr>
          <w:color w:val="000000" w:themeColor="text1"/>
        </w:rPr>
        <w:t xml:space="preserve">the </w:t>
      </w:r>
      <w:r w:rsidR="00AA7E3B" w:rsidRPr="00EC57FB">
        <w:rPr>
          <w:color w:val="000000" w:themeColor="text1"/>
        </w:rPr>
        <w:t>estimate</w:t>
      </w:r>
      <w:r w:rsidR="003F7876" w:rsidRPr="00EC57FB">
        <w:rPr>
          <w:color w:val="000000" w:themeColor="text1"/>
        </w:rPr>
        <w:t>s</w:t>
      </w:r>
      <w:r w:rsidR="00AA7E3B" w:rsidRPr="00EC57FB">
        <w:rPr>
          <w:color w:val="000000" w:themeColor="text1"/>
        </w:rPr>
        <w:t xml:space="preserve"> of vaccine efficacy in </w:t>
      </w:r>
      <w:r w:rsidR="005841CE" w:rsidRPr="00EC57FB">
        <w:rPr>
          <w:color w:val="000000" w:themeColor="text1"/>
        </w:rPr>
        <w:t>the MAT</w:t>
      </w:r>
      <w:r w:rsidR="00AA7E3B" w:rsidRPr="00EC57FB">
        <w:rPr>
          <w:color w:val="000000" w:themeColor="text1"/>
        </w:rPr>
        <w:t>I</w:t>
      </w:r>
      <w:r w:rsidR="00856B9B" w:rsidRPr="00EC57FB">
        <w:rPr>
          <w:color w:val="000000" w:themeColor="text1"/>
        </w:rPr>
        <w:t>S</w:t>
      </w:r>
      <w:r w:rsidR="00AA7E3B" w:rsidRPr="00EC57FB">
        <w:rPr>
          <w:color w:val="000000" w:themeColor="text1"/>
        </w:rPr>
        <w:t>SE trial</w:t>
      </w:r>
      <w:r w:rsidR="003248C2" w:rsidRPr="00EC57FB">
        <w:rPr>
          <w:color w:val="000000" w:themeColor="text1"/>
        </w:rPr>
        <w:t xml:space="preserve"> and this was appropriately considered.</w:t>
      </w:r>
      <w:r w:rsidR="008D4CB4" w:rsidRPr="00EC57FB">
        <w:rPr>
          <w:color w:val="000000" w:themeColor="text1"/>
        </w:rPr>
        <w:t xml:space="preserve"> Results of the sensitivity analyses have been added to </w:t>
      </w:r>
      <w:r w:rsidR="008D4CB4" w:rsidRPr="00EC57FB">
        <w:rPr>
          <w:color w:val="000000" w:themeColor="text1"/>
        </w:rPr>
        <w:fldChar w:fldCharType="begin"/>
      </w:r>
      <w:r w:rsidR="008D4CB4" w:rsidRPr="00EC57FB">
        <w:rPr>
          <w:color w:val="000000" w:themeColor="text1"/>
        </w:rPr>
        <w:instrText xml:space="preserve"> REF _Ref188222480 \h  \* MERGEFORMAT </w:instrText>
      </w:r>
      <w:r w:rsidR="008D4CB4" w:rsidRPr="00EC57FB">
        <w:rPr>
          <w:color w:val="000000" w:themeColor="text1"/>
        </w:rPr>
      </w:r>
      <w:r w:rsidR="008D4CB4" w:rsidRPr="00EC57FB">
        <w:rPr>
          <w:color w:val="000000" w:themeColor="text1"/>
        </w:rPr>
        <w:fldChar w:fldCharType="separate"/>
      </w:r>
      <w:r w:rsidR="00502C25" w:rsidRPr="00EC57FB">
        <w:t xml:space="preserve">Table </w:t>
      </w:r>
      <w:r w:rsidR="00502C25">
        <w:t>16</w:t>
      </w:r>
      <w:r w:rsidR="008D4CB4" w:rsidRPr="00EC57FB">
        <w:rPr>
          <w:color w:val="000000" w:themeColor="text1"/>
        </w:rPr>
        <w:fldChar w:fldCharType="end"/>
      </w:r>
      <w:r w:rsidR="008D4CB4" w:rsidRPr="00EC57FB">
        <w:rPr>
          <w:color w:val="000000" w:themeColor="text1"/>
        </w:rPr>
        <w:t>.</w:t>
      </w:r>
      <w:bookmarkEnd w:id="88"/>
      <w:r w:rsidR="004749E9" w:rsidRPr="00EC57FB">
        <w:t xml:space="preserve"> </w:t>
      </w:r>
      <w:r w:rsidR="00923BC0" w:rsidRPr="00EC57FB">
        <w:t>When the results of the Phase 2b trial are excluded from the ITC</w:t>
      </w:r>
      <w:r w:rsidR="00463BB9" w:rsidRPr="00EC57FB">
        <w:t xml:space="preserve"> and</w:t>
      </w:r>
      <w:r w:rsidR="00F11CD2" w:rsidRPr="00EC57FB">
        <w:t xml:space="preserve"> only</w:t>
      </w:r>
      <w:r w:rsidR="002F33B3" w:rsidRPr="00EC57FB">
        <w:t xml:space="preserve"> </w:t>
      </w:r>
      <w:r w:rsidR="00463BB9" w:rsidRPr="00EC57FB">
        <w:t xml:space="preserve">the </w:t>
      </w:r>
      <w:r w:rsidR="002F33B3" w:rsidRPr="00EC57FB">
        <w:t xml:space="preserve">interim </w:t>
      </w:r>
      <w:r w:rsidR="00463BB9" w:rsidRPr="00EC57FB">
        <w:t xml:space="preserve">results </w:t>
      </w:r>
      <w:r w:rsidR="00F11CD2" w:rsidRPr="00EC57FB">
        <w:t xml:space="preserve">from MELODY as reported in </w:t>
      </w:r>
      <w:r w:rsidR="00A554B1" w:rsidRPr="00EC57FB">
        <w:fldChar w:fldCharType="begin"/>
      </w:r>
      <w:r w:rsidR="00A554B1" w:rsidRPr="00EC57FB">
        <w:instrText xml:space="preserve"> REF _Ref164029567 \h </w:instrText>
      </w:r>
      <w:r w:rsidR="00630268" w:rsidRPr="00EC57FB">
        <w:instrText xml:space="preserve"> \* MERGEFORMAT </w:instrText>
      </w:r>
      <w:r w:rsidR="00A554B1" w:rsidRPr="00EC57FB">
        <w:fldChar w:fldCharType="separate"/>
      </w:r>
      <w:r w:rsidR="00502C25" w:rsidRPr="00EC57FB">
        <w:t xml:space="preserve">Table </w:t>
      </w:r>
      <w:r w:rsidR="00502C25">
        <w:t>11</w:t>
      </w:r>
      <w:r w:rsidR="00A554B1" w:rsidRPr="00EC57FB">
        <w:fldChar w:fldCharType="end"/>
      </w:r>
      <w:r w:rsidR="00A554B1" w:rsidRPr="00EC57FB">
        <w:t xml:space="preserve"> </w:t>
      </w:r>
      <w:r w:rsidR="00942CDE" w:rsidRPr="00EC57FB">
        <w:t xml:space="preserve">(and </w:t>
      </w:r>
      <w:r w:rsidR="00942CDE" w:rsidRPr="00EC57FB">
        <w:fldChar w:fldCharType="begin"/>
      </w:r>
      <w:r w:rsidR="00942CDE" w:rsidRPr="00EC57FB">
        <w:instrText xml:space="preserve"> REF _Ref185941364 \h  \* MERGEFORMAT </w:instrText>
      </w:r>
      <w:r w:rsidR="00942CDE" w:rsidRPr="00EC57FB">
        <w:fldChar w:fldCharType="separate"/>
      </w:r>
      <w:r w:rsidR="00502C25" w:rsidRPr="00EC57FB">
        <w:t xml:space="preserve">Table </w:t>
      </w:r>
      <w:r w:rsidR="00502C25">
        <w:t>15</w:t>
      </w:r>
      <w:r w:rsidR="00942CDE" w:rsidRPr="00EC57FB">
        <w:fldChar w:fldCharType="end"/>
      </w:r>
      <w:r w:rsidR="00942CDE" w:rsidRPr="00EC57FB">
        <w:t xml:space="preserve">) </w:t>
      </w:r>
      <w:r w:rsidR="00A554B1" w:rsidRPr="00EC57FB">
        <w:t>are applied</w:t>
      </w:r>
      <w:r w:rsidR="00923BC0" w:rsidRPr="00EC57FB">
        <w:t xml:space="preserve">, the difference in efficacy of nirsevimab vs </w:t>
      </w:r>
      <w:r w:rsidR="00485EA7" w:rsidRPr="00EC57FB">
        <w:t>RSVpreF maternal</w:t>
      </w:r>
      <w:r w:rsidR="007E3FF3" w:rsidRPr="00EC57FB">
        <w:t xml:space="preserve"> vaccination is no longer statistically significant</w:t>
      </w:r>
      <w:r w:rsidR="00ED2C60" w:rsidRPr="00EC57FB">
        <w:t xml:space="preserve">. </w:t>
      </w:r>
      <w:r w:rsidR="00A554B1" w:rsidRPr="00EC57FB">
        <w:t xml:space="preserve">However, when the </w:t>
      </w:r>
      <w:r w:rsidR="00CF2E6F" w:rsidRPr="00EC57FB">
        <w:t>final</w:t>
      </w:r>
      <w:r w:rsidR="00A554B1" w:rsidRPr="00EC57FB">
        <w:t xml:space="preserve"> results from MELODY as </w:t>
      </w:r>
      <w:r w:rsidR="007C553C" w:rsidRPr="00EC57FB">
        <w:t xml:space="preserve">reported </w:t>
      </w:r>
      <w:r w:rsidR="00B270CF" w:rsidRPr="00EC57FB">
        <w:t xml:space="preserve">in </w:t>
      </w:r>
      <w:r w:rsidR="00B270CF" w:rsidRPr="00EC57FB">
        <w:fldChar w:fldCharType="begin"/>
      </w:r>
      <w:r w:rsidR="00B270CF" w:rsidRPr="00EC57FB">
        <w:instrText xml:space="preserve"> REF _Ref164029567 \h  \* MERGEFORMAT </w:instrText>
      </w:r>
      <w:r w:rsidR="00B270CF" w:rsidRPr="00EC57FB">
        <w:fldChar w:fldCharType="separate"/>
      </w:r>
      <w:r w:rsidR="00502C25" w:rsidRPr="00EC57FB">
        <w:t xml:space="preserve">Table </w:t>
      </w:r>
      <w:r w:rsidR="00502C25">
        <w:t>11</w:t>
      </w:r>
      <w:r w:rsidR="00B270CF" w:rsidRPr="00EC57FB">
        <w:fldChar w:fldCharType="end"/>
      </w:r>
      <w:r w:rsidR="00B270CF" w:rsidRPr="00EC57FB">
        <w:t xml:space="preserve"> (and </w:t>
      </w:r>
      <w:r w:rsidR="00B270CF" w:rsidRPr="00EC57FB">
        <w:fldChar w:fldCharType="begin"/>
      </w:r>
      <w:r w:rsidR="00B270CF" w:rsidRPr="00EC57FB">
        <w:instrText xml:space="preserve"> REF _Ref185941364 \h  \* MERGEFORMAT </w:instrText>
      </w:r>
      <w:r w:rsidR="00B270CF" w:rsidRPr="00EC57FB">
        <w:fldChar w:fldCharType="separate"/>
      </w:r>
      <w:r w:rsidR="00502C25" w:rsidRPr="00EC57FB">
        <w:t xml:space="preserve">Table </w:t>
      </w:r>
      <w:r w:rsidR="00502C25">
        <w:t>15</w:t>
      </w:r>
      <w:r w:rsidR="00B270CF" w:rsidRPr="00EC57FB">
        <w:fldChar w:fldCharType="end"/>
      </w:r>
      <w:r w:rsidR="00B270CF" w:rsidRPr="00EC57FB">
        <w:t xml:space="preserve">) </w:t>
      </w:r>
      <w:r w:rsidR="007C553C" w:rsidRPr="00EC57FB">
        <w:t xml:space="preserve">are applied, the difference is statistically significant </w:t>
      </w:r>
      <w:r w:rsidR="00296096" w:rsidRPr="00EC57FB">
        <w:t xml:space="preserve">(RRR for nirsevimab vs </w:t>
      </w:r>
      <w:r w:rsidR="00485EA7" w:rsidRPr="00EC57FB">
        <w:t xml:space="preserve">RSVpreF </w:t>
      </w:r>
      <w:r w:rsidR="00296096" w:rsidRPr="00EC57FB">
        <w:t>is 50.3%</w:t>
      </w:r>
      <w:r w:rsidR="00E55DAF" w:rsidRPr="00EC57FB">
        <w:t xml:space="preserve"> [</w:t>
      </w:r>
      <w:r w:rsidR="005B75CA" w:rsidRPr="00EC57FB">
        <w:t>95% CI: 10.2%, 72.5%</w:t>
      </w:r>
      <w:r w:rsidR="00E55DAF" w:rsidRPr="00EC57FB">
        <w:t>]</w:t>
      </w:r>
      <w:r w:rsidR="005B75CA" w:rsidRPr="00EC57FB">
        <w:t>).</w:t>
      </w:r>
      <w:r w:rsidR="00AC1A03" w:rsidRPr="00EC57FB">
        <w:t xml:space="preserve"> </w:t>
      </w:r>
      <w:r w:rsidR="00BA6745" w:rsidRPr="00EC57FB">
        <w:t>When the outcomes at 180 days</w:t>
      </w:r>
      <w:r w:rsidR="00407E1C" w:rsidRPr="00EC57FB">
        <w:t xml:space="preserve"> (rather than 150 days)</w:t>
      </w:r>
      <w:r w:rsidR="00BA6745" w:rsidRPr="00EC57FB">
        <w:t xml:space="preserve"> after birth from the MATISSE trial are used in the indirect comparison along with the updated results at 150 days after dosing of nirsevimab from MELODY</w:t>
      </w:r>
      <w:r w:rsidR="00C80BFA" w:rsidRPr="00EC57FB">
        <w:t xml:space="preserve">, the RRR for nirsevimab compared with </w:t>
      </w:r>
      <w:r w:rsidR="00F33936" w:rsidRPr="00EC57FB">
        <w:t>maternal</w:t>
      </w:r>
      <w:r w:rsidR="00C80BFA" w:rsidRPr="00EC57FB">
        <w:t xml:space="preserve"> </w:t>
      </w:r>
      <w:r w:rsidR="00485EA7" w:rsidRPr="00EC57FB">
        <w:t xml:space="preserve">RSVpreF </w:t>
      </w:r>
      <w:r w:rsidR="00C80BFA" w:rsidRPr="00EC57FB">
        <w:t>is</w:t>
      </w:r>
      <w:r w:rsidR="00D36EB2" w:rsidRPr="00EC57FB">
        <w:t xml:space="preserve"> 51.5% </w:t>
      </w:r>
      <w:r w:rsidR="00E55DAF" w:rsidRPr="00EC57FB">
        <w:t>(</w:t>
      </w:r>
      <w:r w:rsidR="00D36EB2" w:rsidRPr="00EC57FB">
        <w:t>95% CI: 14.1%, 72.7%</w:t>
      </w:r>
      <w:r w:rsidR="00E55DAF" w:rsidRPr="00EC57FB">
        <w:t>)</w:t>
      </w:r>
      <w:r w:rsidR="00407E1C" w:rsidRPr="00EC57FB">
        <w:t>.</w:t>
      </w:r>
    </w:p>
    <w:p w14:paraId="30A12E3D" w14:textId="687D1322" w:rsidR="00F30635" w:rsidRPr="00EC57FB" w:rsidRDefault="00F30635" w:rsidP="005751BC">
      <w:pPr>
        <w:spacing w:after="120"/>
        <w:rPr>
          <w:b/>
          <w:bCs/>
        </w:rPr>
      </w:pPr>
      <w:r w:rsidRPr="00EC57FB">
        <w:rPr>
          <w:b/>
          <w:bCs/>
        </w:rPr>
        <w:lastRenderedPageBreak/>
        <w:t xml:space="preserve">Evidence for </w:t>
      </w:r>
      <w:r w:rsidR="00485EA7" w:rsidRPr="00EC57FB">
        <w:rPr>
          <w:b/>
          <w:bCs/>
        </w:rPr>
        <w:t>RSVpreF</w:t>
      </w:r>
      <w:r w:rsidR="00DE5761" w:rsidRPr="00EC57FB">
        <w:rPr>
          <w:b/>
          <w:bCs/>
        </w:rPr>
        <w:t xml:space="preserve"> + </w:t>
      </w:r>
      <w:r w:rsidRPr="00EC57FB">
        <w:rPr>
          <w:b/>
          <w:bCs/>
        </w:rPr>
        <w:t xml:space="preserve">nirsevimab versus </w:t>
      </w:r>
      <w:r w:rsidR="00485EA7" w:rsidRPr="00EC57FB">
        <w:rPr>
          <w:b/>
          <w:bCs/>
        </w:rPr>
        <w:t>RSVpreF</w:t>
      </w:r>
      <w:r w:rsidR="00DE5761" w:rsidRPr="00EC57FB">
        <w:rPr>
          <w:b/>
          <w:bCs/>
        </w:rPr>
        <w:t xml:space="preserve"> </w:t>
      </w:r>
      <w:r w:rsidRPr="00EC57FB">
        <w:rPr>
          <w:b/>
          <w:bCs/>
        </w:rPr>
        <w:t xml:space="preserve">in Population </w:t>
      </w:r>
      <w:r w:rsidR="00456B23" w:rsidRPr="00EC57FB">
        <w:rPr>
          <w:b/>
          <w:bCs/>
        </w:rPr>
        <w:t>B</w:t>
      </w:r>
      <w:r w:rsidRPr="00EC57FB">
        <w:rPr>
          <w:b/>
          <w:bCs/>
        </w:rPr>
        <w:t xml:space="preserve"> </w:t>
      </w:r>
      <w:bookmarkStart w:id="89" w:name="_Hlk186110217"/>
      <w:r w:rsidR="00A175BB" w:rsidRPr="00EC57FB">
        <w:rPr>
          <w:b/>
          <w:bCs/>
        </w:rPr>
        <w:t xml:space="preserve">- </w:t>
      </w:r>
      <w:r w:rsidR="00A345D4" w:rsidRPr="00EC57FB">
        <w:rPr>
          <w:b/>
          <w:bCs/>
        </w:rPr>
        <w:t xml:space="preserve">infants where the mother received RSVpreF but where the </w:t>
      </w:r>
      <w:r w:rsidR="00AD4A66" w:rsidRPr="00EC57FB">
        <w:rPr>
          <w:b/>
          <w:bCs/>
        </w:rPr>
        <w:t>immune response to</w:t>
      </w:r>
      <w:r w:rsidR="00A345D4" w:rsidRPr="00EC57FB">
        <w:rPr>
          <w:b/>
          <w:bCs/>
        </w:rPr>
        <w:t xml:space="preserve"> the vaccine </w:t>
      </w:r>
      <w:r w:rsidR="00A175BB" w:rsidRPr="00EC57FB">
        <w:rPr>
          <w:b/>
          <w:bCs/>
        </w:rPr>
        <w:t>(</w:t>
      </w:r>
      <w:r w:rsidR="00A345D4" w:rsidRPr="00EC57FB">
        <w:rPr>
          <w:b/>
          <w:bCs/>
        </w:rPr>
        <w:t>in terms of prevention of RSV disease in the infant</w:t>
      </w:r>
      <w:r w:rsidR="00A175BB" w:rsidRPr="00EC57FB">
        <w:rPr>
          <w:b/>
          <w:bCs/>
        </w:rPr>
        <w:t>)</w:t>
      </w:r>
      <w:r w:rsidR="00A345D4" w:rsidRPr="00EC57FB">
        <w:rPr>
          <w:b/>
          <w:bCs/>
        </w:rPr>
        <w:t xml:space="preserve"> may be </w:t>
      </w:r>
      <w:bookmarkEnd w:id="89"/>
      <w:r w:rsidR="00AD4A66" w:rsidRPr="00EC57FB">
        <w:rPr>
          <w:b/>
          <w:bCs/>
        </w:rPr>
        <w:t>impaired</w:t>
      </w:r>
    </w:p>
    <w:p w14:paraId="48D60634" w14:textId="2EBEF96A" w:rsidR="003E2EAE" w:rsidRPr="00EC57FB" w:rsidRDefault="003F68AA" w:rsidP="00B30EA8">
      <w:pPr>
        <w:pStyle w:val="3-BodyText"/>
        <w:rPr>
          <w:color w:val="000000" w:themeColor="text1"/>
        </w:rPr>
      </w:pPr>
      <w:r w:rsidRPr="00EC57FB">
        <w:t>A pragmatic search of the literature</w:t>
      </w:r>
      <w:r w:rsidR="006E27C5" w:rsidRPr="00EC57FB">
        <w:t xml:space="preserve"> performed during the evaluation</w:t>
      </w:r>
      <w:r w:rsidRPr="00EC57FB">
        <w:t xml:space="preserve"> did not locate</w:t>
      </w:r>
      <w:r w:rsidR="001D27BB" w:rsidRPr="00EC57FB">
        <w:t xml:space="preserve"> </w:t>
      </w:r>
      <w:r w:rsidRPr="00EC57FB">
        <w:t xml:space="preserve">any specific studies demonstrating the effectiveness of nirsevimab in </w:t>
      </w:r>
      <w:r w:rsidR="007A57CE" w:rsidRPr="00EC57FB">
        <w:t xml:space="preserve">an </w:t>
      </w:r>
      <w:r w:rsidR="001D27BB" w:rsidRPr="00EC57FB">
        <w:t>infant</w:t>
      </w:r>
      <w:r w:rsidRPr="00EC57FB">
        <w:t xml:space="preserve"> population </w:t>
      </w:r>
      <w:r w:rsidR="001D27BB" w:rsidRPr="00EC57FB">
        <w:t xml:space="preserve">where the mother received RSVpreF but where the </w:t>
      </w:r>
      <w:r w:rsidR="00D61028" w:rsidRPr="00EC57FB">
        <w:rPr>
          <w:color w:val="000000" w:themeColor="text1"/>
        </w:rPr>
        <w:t>immune response to</w:t>
      </w:r>
      <w:r w:rsidR="001D27BB" w:rsidRPr="00EC57FB">
        <w:rPr>
          <w:color w:val="000000" w:themeColor="text1"/>
        </w:rPr>
        <w:t xml:space="preserve"> the vaccine (in terms of prevention of RSV disease in the infant) may be </w:t>
      </w:r>
      <w:r w:rsidR="00D61028" w:rsidRPr="00EC57FB">
        <w:rPr>
          <w:color w:val="000000" w:themeColor="text1"/>
        </w:rPr>
        <w:t>impaired</w:t>
      </w:r>
      <w:r w:rsidR="003E2EAE" w:rsidRPr="00EC57FB">
        <w:rPr>
          <w:color w:val="000000" w:themeColor="text1"/>
        </w:rPr>
        <w:t>.</w:t>
      </w:r>
    </w:p>
    <w:p w14:paraId="3ECB44A5" w14:textId="27847B4F" w:rsidR="00B063BF" w:rsidRPr="00EC57FB" w:rsidRDefault="00B063BF" w:rsidP="00B30EA8">
      <w:pPr>
        <w:pStyle w:val="3-BodyText"/>
        <w:rPr>
          <w:color w:val="000000" w:themeColor="text1"/>
        </w:rPr>
      </w:pPr>
      <w:r w:rsidRPr="00EC57FB">
        <w:rPr>
          <w:color w:val="000000" w:themeColor="text1"/>
        </w:rPr>
        <w:t xml:space="preserve">The resubmission </w:t>
      </w:r>
      <w:r w:rsidRPr="00EC57FB">
        <w:t xml:space="preserve">(in Table 1.1.9) </w:t>
      </w:r>
      <w:r w:rsidR="009136D6" w:rsidRPr="00EC57FB">
        <w:t xml:space="preserve">reported </w:t>
      </w:r>
      <w:r w:rsidRPr="00EC57FB">
        <w:t xml:space="preserve">that </w:t>
      </w:r>
      <w:r w:rsidRPr="00EC57FB">
        <w:rPr>
          <w:color w:val="000000" w:themeColor="text1"/>
        </w:rPr>
        <w:t xml:space="preserve">the economic analyses presented in the resubmission did not incorporate </w:t>
      </w:r>
      <w:r w:rsidR="001E6038" w:rsidRPr="00EC57FB">
        <w:rPr>
          <w:color w:val="000000" w:themeColor="text1"/>
        </w:rPr>
        <w:t xml:space="preserve">the use of nirsevimab in this population given the likely small size of the population and lack of data for the </w:t>
      </w:r>
      <w:r w:rsidRPr="00EC57FB">
        <w:rPr>
          <w:color w:val="000000" w:themeColor="text1"/>
        </w:rPr>
        <w:t>use of nirsevimab in these circumstances.</w:t>
      </w:r>
    </w:p>
    <w:p w14:paraId="68C5324C" w14:textId="5EEB6EEE" w:rsidR="008E76DB" w:rsidRPr="00EC57FB" w:rsidRDefault="008E76DB" w:rsidP="00B30EA8">
      <w:pPr>
        <w:pStyle w:val="3-BodyText"/>
        <w:rPr>
          <w:color w:val="000000" w:themeColor="text1"/>
        </w:rPr>
      </w:pPr>
      <w:r w:rsidRPr="00EC57FB">
        <w:rPr>
          <w:color w:val="000000" w:themeColor="text1"/>
        </w:rPr>
        <w:t xml:space="preserve">The PBAC previously considered that “additional benefits of maternal vaccination plus nirsevimab would be difficult to assess due to limited data; however, it considered that there may be a small number of instances where it may be clinically appropriate for an infant to receive nirsevimab after the mother had been vaccinated” and listed the examples given for Population </w:t>
      </w:r>
      <w:r w:rsidR="00AB327F" w:rsidRPr="00EC57FB">
        <w:rPr>
          <w:color w:val="000000" w:themeColor="text1"/>
        </w:rPr>
        <w:t>B</w:t>
      </w:r>
      <w:r w:rsidRPr="00EC57FB">
        <w:rPr>
          <w:color w:val="000000" w:themeColor="text1"/>
        </w:rPr>
        <w:t>. The PBAC further considered that “if clinically justified, these infants should not be precluded from accessing nirsevimab, as outlined in the ATAGI’s advice to the PBAC” (paragraph 7.10, nirsevimab July 2024 PSD).</w:t>
      </w:r>
    </w:p>
    <w:p w14:paraId="5C573599" w14:textId="2F110DD6" w:rsidR="00F54A68" w:rsidRPr="00EC57FB" w:rsidRDefault="00F54A68" w:rsidP="005751BC">
      <w:pPr>
        <w:spacing w:after="120"/>
        <w:rPr>
          <w:b/>
          <w:bCs/>
        </w:rPr>
      </w:pPr>
      <w:r w:rsidRPr="00EC57FB">
        <w:rPr>
          <w:b/>
          <w:bCs/>
        </w:rPr>
        <w:t>Evidence for nirsevimab versus no immunisation in Population</w:t>
      </w:r>
      <w:r w:rsidR="007C6EB0" w:rsidRPr="00EC57FB">
        <w:rPr>
          <w:b/>
          <w:bCs/>
        </w:rPr>
        <w:t>s</w:t>
      </w:r>
      <w:r w:rsidRPr="00EC57FB">
        <w:rPr>
          <w:b/>
          <w:bCs/>
        </w:rPr>
        <w:t xml:space="preserve"> </w:t>
      </w:r>
      <w:r w:rsidR="00AB327F" w:rsidRPr="00EC57FB">
        <w:rPr>
          <w:b/>
          <w:bCs/>
        </w:rPr>
        <w:t>C</w:t>
      </w:r>
      <w:r w:rsidR="00B306AB" w:rsidRPr="00EC57FB">
        <w:rPr>
          <w:b/>
          <w:bCs/>
        </w:rPr>
        <w:t>(</w:t>
      </w:r>
      <w:r w:rsidR="007C6EB0" w:rsidRPr="00EC57FB">
        <w:rPr>
          <w:b/>
          <w:bCs/>
        </w:rPr>
        <w:t>a</w:t>
      </w:r>
      <w:r w:rsidR="00B306AB" w:rsidRPr="00EC57FB">
        <w:rPr>
          <w:b/>
          <w:bCs/>
        </w:rPr>
        <w:t>)</w:t>
      </w:r>
      <w:r w:rsidR="007C6EB0" w:rsidRPr="00EC57FB">
        <w:rPr>
          <w:b/>
          <w:bCs/>
        </w:rPr>
        <w:t xml:space="preserve"> and </w:t>
      </w:r>
      <w:r w:rsidR="00AB327F" w:rsidRPr="00EC57FB">
        <w:rPr>
          <w:b/>
          <w:bCs/>
        </w:rPr>
        <w:t>C</w:t>
      </w:r>
      <w:r w:rsidR="00B306AB" w:rsidRPr="00EC57FB">
        <w:rPr>
          <w:b/>
          <w:bCs/>
        </w:rPr>
        <w:t>(</w:t>
      </w:r>
      <w:r w:rsidR="007C6EB0" w:rsidRPr="00EC57FB">
        <w:rPr>
          <w:b/>
          <w:bCs/>
        </w:rPr>
        <w:t>b</w:t>
      </w:r>
      <w:r w:rsidR="00B306AB" w:rsidRPr="00EC57FB">
        <w:rPr>
          <w:b/>
          <w:bCs/>
        </w:rPr>
        <w:t>)</w:t>
      </w:r>
      <w:r w:rsidRPr="00EC57FB">
        <w:rPr>
          <w:b/>
          <w:bCs/>
        </w:rPr>
        <w:t xml:space="preserve"> </w:t>
      </w:r>
      <w:r w:rsidR="00A175BB" w:rsidRPr="00EC57FB">
        <w:rPr>
          <w:b/>
          <w:bCs/>
        </w:rPr>
        <w:t xml:space="preserve">- </w:t>
      </w:r>
      <w:r w:rsidRPr="00EC57FB">
        <w:rPr>
          <w:b/>
          <w:bCs/>
        </w:rPr>
        <w:t xml:space="preserve">infants </w:t>
      </w:r>
      <w:r w:rsidR="007E795A" w:rsidRPr="00EC57FB">
        <w:rPr>
          <w:b/>
          <w:bCs/>
        </w:rPr>
        <w:t>with a risk condition entering their first RSV season</w:t>
      </w:r>
      <w:r w:rsidR="00E86124" w:rsidRPr="00EC57FB">
        <w:rPr>
          <w:b/>
          <w:bCs/>
        </w:rPr>
        <w:t xml:space="preserve"> where infants’ mothers had not, and had, received </w:t>
      </w:r>
      <w:r w:rsidR="009970A9" w:rsidRPr="00EC57FB">
        <w:rPr>
          <w:b/>
          <w:bCs/>
        </w:rPr>
        <w:t>RSVpreF, respectively</w:t>
      </w:r>
    </w:p>
    <w:p w14:paraId="57FA3C8A" w14:textId="0F2C5137" w:rsidR="00A57772" w:rsidRPr="00EC57FB" w:rsidRDefault="00A57772" w:rsidP="00E84465">
      <w:pPr>
        <w:pStyle w:val="3-BodyText"/>
      </w:pPr>
      <w:bookmarkStart w:id="90" w:name="_Ref188294279"/>
      <w:r w:rsidRPr="00EC57FB">
        <w:t xml:space="preserve">The PBAC </w:t>
      </w:r>
      <w:r w:rsidR="00582E0B" w:rsidRPr="00EC57FB">
        <w:t xml:space="preserve">previously </w:t>
      </w:r>
      <w:r w:rsidRPr="00EC57FB">
        <w:t>requested that data for the high-risk subgroup be presented separately (paragraph 7.23, nirsevimab PSD, July 2024).</w:t>
      </w:r>
      <w:bookmarkEnd w:id="90"/>
      <w:r w:rsidR="00E84465" w:rsidRPr="00EC57FB">
        <w:t xml:space="preserve"> </w:t>
      </w:r>
      <w:r w:rsidR="00C77629" w:rsidRPr="00EC57FB">
        <w:t xml:space="preserve">In presenting clinical evidence for </w:t>
      </w:r>
      <w:r w:rsidR="00641C22" w:rsidRPr="00EC57FB">
        <w:t>children with risk conditions, t</w:t>
      </w:r>
      <w:r w:rsidR="003471CF" w:rsidRPr="00EC57FB">
        <w:t xml:space="preserve">he resubmission </w:t>
      </w:r>
      <w:r w:rsidR="00C6559D" w:rsidRPr="00EC57FB">
        <w:t>did</w:t>
      </w:r>
      <w:r w:rsidR="00641C22" w:rsidRPr="00EC57FB">
        <w:t xml:space="preserve"> not differentiate results for infants with risk conditions born during or entering their first RSV season</w:t>
      </w:r>
      <w:r w:rsidR="00C6559D" w:rsidRPr="00EC57FB">
        <w:t xml:space="preserve"> from infants without risk conditions. </w:t>
      </w:r>
      <w:r w:rsidR="00FB7755" w:rsidRPr="00EC57FB">
        <w:t>However, the clinical section of the resu</w:t>
      </w:r>
      <w:r w:rsidR="0082430C" w:rsidRPr="00EC57FB">
        <w:t xml:space="preserve">bmission </w:t>
      </w:r>
      <w:r w:rsidR="004F185E" w:rsidRPr="00EC57FB">
        <w:t>discusse</w:t>
      </w:r>
      <w:r w:rsidR="00C6559D" w:rsidRPr="00EC57FB">
        <w:t>d</w:t>
      </w:r>
      <w:r w:rsidR="004F185E" w:rsidRPr="00EC57FB">
        <w:t xml:space="preserve"> the</w:t>
      </w:r>
      <w:r w:rsidR="00311784" w:rsidRPr="00EC57FB">
        <w:t xml:space="preserve"> use of nirsevimab in children with</w:t>
      </w:r>
      <w:r w:rsidR="00282F82" w:rsidRPr="00EC57FB">
        <w:t xml:space="preserve"> </w:t>
      </w:r>
      <w:r w:rsidR="00311784" w:rsidRPr="00EC57FB">
        <w:t xml:space="preserve">risk conditions </w:t>
      </w:r>
      <w:r w:rsidR="00C6559D" w:rsidRPr="00EC57FB">
        <w:t>entering their second</w:t>
      </w:r>
      <w:r w:rsidR="00FB7755" w:rsidRPr="00EC57FB">
        <w:t xml:space="preserve"> season separately. </w:t>
      </w:r>
    </w:p>
    <w:p w14:paraId="239E24BE" w14:textId="455BBB5B" w:rsidR="00FB23E5" w:rsidRPr="00EC57FB" w:rsidRDefault="00FB23E5" w:rsidP="002874D6">
      <w:pPr>
        <w:pStyle w:val="3-BodyText"/>
      </w:pPr>
      <w:bookmarkStart w:id="91" w:name="_Ref186755121"/>
      <w:r w:rsidRPr="00EC57FB">
        <w:rPr>
          <w:color w:val="000000" w:themeColor="text1"/>
        </w:rPr>
        <w:t xml:space="preserve">The only evidence from a randomised controlled trial </w:t>
      </w:r>
      <w:r w:rsidR="00AD15C1" w:rsidRPr="00EC57FB">
        <w:rPr>
          <w:color w:val="000000" w:themeColor="text1"/>
        </w:rPr>
        <w:t xml:space="preserve">that specifically investigated the use of </w:t>
      </w:r>
      <w:r w:rsidRPr="00EC57FB">
        <w:rPr>
          <w:color w:val="000000" w:themeColor="text1"/>
        </w:rPr>
        <w:t xml:space="preserve">nirsevimab in children with risk conditions entering their first RSV season is </w:t>
      </w:r>
      <w:r w:rsidR="00572EC3" w:rsidRPr="00EC57FB">
        <w:rPr>
          <w:color w:val="000000" w:themeColor="text1"/>
        </w:rPr>
        <w:t xml:space="preserve">the MEDLEY trial, which </w:t>
      </w:r>
      <w:r w:rsidR="00572EC3" w:rsidRPr="00EC57FB">
        <w:t xml:space="preserve">recruited two cohorts of children: (i) preterm infants in their first year of life born with a gestational age </w:t>
      </w:r>
      <w:r w:rsidR="00572EC3" w:rsidRPr="00EC57FB">
        <w:rPr>
          <w:rFonts w:cstheme="minorHAnsi"/>
        </w:rPr>
        <w:t>≤</w:t>
      </w:r>
      <w:r w:rsidR="00572EC3" w:rsidRPr="00EC57FB">
        <w:t xml:space="preserve"> 35 weeks, excluding those with chronic lung disease (CLD) of prematurity, and eligible to receive palivizumab according to national or local guidelines; and (ii) children with CLD of prematurity or haemodynamically significant congenital heart disease (CHD). </w:t>
      </w:r>
      <w:r w:rsidR="00C8058D" w:rsidRPr="00EC57FB">
        <w:t>Subjects in the MEDLEY trial were randomised to either nirsevimab or</w:t>
      </w:r>
      <w:r w:rsidRPr="00EC57FB">
        <w:rPr>
          <w:color w:val="000000" w:themeColor="text1"/>
        </w:rPr>
        <w:t xml:space="preserve"> palivizumab.</w:t>
      </w:r>
    </w:p>
    <w:p w14:paraId="3A5EBB61" w14:textId="7C7E3BB2" w:rsidR="00927D1B" w:rsidRPr="00EC57FB" w:rsidRDefault="00C15E83" w:rsidP="002874D6">
      <w:pPr>
        <w:pStyle w:val="3-BodyText"/>
      </w:pPr>
      <w:r w:rsidRPr="00EC57FB">
        <w:rPr>
          <w:color w:val="000000" w:themeColor="text1"/>
        </w:rPr>
        <w:t xml:space="preserve">The Phase 2b trial </w:t>
      </w:r>
      <w:r w:rsidR="00240C05" w:rsidRPr="00EC57FB">
        <w:rPr>
          <w:color w:val="000000" w:themeColor="text1"/>
        </w:rPr>
        <w:t>included a</w:t>
      </w:r>
      <w:r w:rsidRPr="00EC57FB">
        <w:rPr>
          <w:color w:val="000000" w:themeColor="text1"/>
        </w:rPr>
        <w:t xml:space="preserve"> subgroup of infants </w:t>
      </w:r>
      <w:r w:rsidR="00240C05" w:rsidRPr="00EC57FB">
        <w:rPr>
          <w:color w:val="000000" w:themeColor="text1"/>
        </w:rPr>
        <w:t xml:space="preserve">that would be considered to have risk conditions. Specifically, </w:t>
      </w:r>
      <w:r w:rsidR="00E11A19" w:rsidRPr="00EC57FB">
        <w:rPr>
          <w:color w:val="000000" w:themeColor="text1"/>
        </w:rPr>
        <w:t xml:space="preserve">as detailed in </w:t>
      </w:r>
      <w:r w:rsidR="00AC4F21" w:rsidRPr="00EC57FB">
        <w:rPr>
          <w:color w:val="000000" w:themeColor="text1"/>
        </w:rPr>
        <w:fldChar w:fldCharType="begin"/>
      </w:r>
      <w:r w:rsidR="00AC4F21" w:rsidRPr="00EC57FB">
        <w:rPr>
          <w:color w:val="000000" w:themeColor="text1"/>
        </w:rPr>
        <w:instrText xml:space="preserve"> REF _Ref183547805 \h </w:instrText>
      </w:r>
      <w:r w:rsidR="004E5EF2" w:rsidRPr="00EC57FB">
        <w:rPr>
          <w:color w:val="000000" w:themeColor="text1"/>
        </w:rPr>
        <w:instrText xml:space="preserve"> \* MERGEFORMAT </w:instrText>
      </w:r>
      <w:r w:rsidR="00AC4F21" w:rsidRPr="00EC57FB">
        <w:rPr>
          <w:color w:val="000000" w:themeColor="text1"/>
        </w:rPr>
      </w:r>
      <w:r w:rsidR="00AC4F21" w:rsidRPr="00EC57FB">
        <w:rPr>
          <w:color w:val="000000" w:themeColor="text1"/>
        </w:rPr>
        <w:fldChar w:fldCharType="separate"/>
      </w:r>
      <w:r w:rsidR="00502C25" w:rsidRPr="00EC57FB">
        <w:t xml:space="preserve">Table </w:t>
      </w:r>
      <w:r w:rsidR="00502C25">
        <w:t>4</w:t>
      </w:r>
      <w:r w:rsidR="00AC4F21" w:rsidRPr="00EC57FB">
        <w:rPr>
          <w:color w:val="000000" w:themeColor="text1"/>
        </w:rPr>
        <w:fldChar w:fldCharType="end"/>
      </w:r>
      <w:r w:rsidR="00AC4F21" w:rsidRPr="00EC57FB">
        <w:rPr>
          <w:color w:val="000000" w:themeColor="text1"/>
        </w:rPr>
        <w:t xml:space="preserve">, </w:t>
      </w:r>
      <w:r w:rsidR="00240C05" w:rsidRPr="00EC57FB">
        <w:rPr>
          <w:color w:val="000000" w:themeColor="text1"/>
        </w:rPr>
        <w:t>the subgroup of infants</w:t>
      </w:r>
      <w:r w:rsidR="00B0645C" w:rsidRPr="00EC57FB">
        <w:rPr>
          <w:color w:val="000000" w:themeColor="text1"/>
        </w:rPr>
        <w:t xml:space="preserve"> with gestational age &gt; 29 weeks to </w:t>
      </w:r>
      <w:r w:rsidR="00B0645C" w:rsidRPr="00EC57FB">
        <w:rPr>
          <w:rFonts w:cstheme="minorHAnsi"/>
          <w:color w:val="000000" w:themeColor="text1"/>
        </w:rPr>
        <w:t>≥</w:t>
      </w:r>
      <w:r w:rsidR="00B0645C" w:rsidRPr="00EC57FB">
        <w:rPr>
          <w:color w:val="000000" w:themeColor="text1"/>
        </w:rPr>
        <w:t xml:space="preserve"> 32 weeks</w:t>
      </w:r>
      <w:r w:rsidR="00E11A19" w:rsidRPr="00EC57FB">
        <w:rPr>
          <w:color w:val="000000" w:themeColor="text1"/>
        </w:rPr>
        <w:t xml:space="preserve"> </w:t>
      </w:r>
      <w:r w:rsidR="004E5EF2" w:rsidRPr="00EC57FB">
        <w:rPr>
          <w:color w:val="000000" w:themeColor="text1"/>
        </w:rPr>
        <w:t>(34% of infants in the Phase 2b trial) would be</w:t>
      </w:r>
      <w:r w:rsidR="00E11A19" w:rsidRPr="00EC57FB">
        <w:rPr>
          <w:color w:val="000000" w:themeColor="text1"/>
        </w:rPr>
        <w:t xml:space="preserve"> considered to have a risk condition</w:t>
      </w:r>
      <w:r w:rsidR="0084233E" w:rsidRPr="00EC57FB">
        <w:rPr>
          <w:color w:val="000000" w:themeColor="text1"/>
        </w:rPr>
        <w:t>.</w:t>
      </w:r>
      <w:r w:rsidR="00F17D12" w:rsidRPr="00EC57FB">
        <w:rPr>
          <w:color w:val="000000" w:themeColor="text1"/>
        </w:rPr>
        <w:t xml:space="preserve"> Results for this subgroup </w:t>
      </w:r>
      <w:r w:rsidR="0034177D" w:rsidRPr="00EC57FB">
        <w:rPr>
          <w:color w:val="000000" w:themeColor="text1"/>
        </w:rPr>
        <w:t>were</w:t>
      </w:r>
      <w:r w:rsidR="00F17D12" w:rsidRPr="00EC57FB">
        <w:rPr>
          <w:color w:val="000000" w:themeColor="text1"/>
        </w:rPr>
        <w:t xml:space="preserve"> not presented </w:t>
      </w:r>
      <w:r w:rsidR="00F17D12" w:rsidRPr="00EC57FB">
        <w:rPr>
          <w:color w:val="000000" w:themeColor="text1"/>
        </w:rPr>
        <w:lastRenderedPageBreak/>
        <w:t xml:space="preserve">in the resubmission </w:t>
      </w:r>
      <w:r w:rsidR="002720B9" w:rsidRPr="00EC57FB">
        <w:rPr>
          <w:color w:val="000000" w:themeColor="text1"/>
        </w:rPr>
        <w:t xml:space="preserve">but the clinical study report </w:t>
      </w:r>
      <w:r w:rsidR="003B0C35" w:rsidRPr="00EC57FB">
        <w:rPr>
          <w:color w:val="000000" w:themeColor="text1"/>
        </w:rPr>
        <w:t xml:space="preserve">stated </w:t>
      </w:r>
      <w:r w:rsidR="002720B9" w:rsidRPr="00EC57FB">
        <w:rPr>
          <w:color w:val="000000" w:themeColor="text1"/>
        </w:rPr>
        <w:t>that the effectiveness of nirsevimab</w:t>
      </w:r>
      <w:r w:rsidR="003B54A9" w:rsidRPr="00EC57FB">
        <w:rPr>
          <w:color w:val="000000" w:themeColor="text1"/>
        </w:rPr>
        <w:t xml:space="preserve"> in terms of the MA RSV LRTI at 150 days endpoint </w:t>
      </w:r>
      <w:r w:rsidR="002720B9" w:rsidRPr="00EC57FB">
        <w:rPr>
          <w:color w:val="000000" w:themeColor="text1"/>
        </w:rPr>
        <w:t xml:space="preserve">in this subgroup was 74.7% </w:t>
      </w:r>
      <w:r w:rsidR="00927D1B" w:rsidRPr="00EC57FB">
        <w:rPr>
          <w:color w:val="000000" w:themeColor="text1"/>
        </w:rPr>
        <w:t>(95% CI: 44.9%, 88.4%</w:t>
      </w:r>
      <w:r w:rsidR="004357F0" w:rsidRPr="00EC57FB">
        <w:rPr>
          <w:color w:val="000000" w:themeColor="text1"/>
        </w:rPr>
        <w:t>; 2.8%</w:t>
      </w:r>
      <w:r w:rsidR="00215C71" w:rsidRPr="00EC57FB">
        <w:rPr>
          <w:color w:val="000000" w:themeColor="text1"/>
        </w:rPr>
        <w:t xml:space="preserve"> incidence of MA RSV LRTI</w:t>
      </w:r>
      <w:r w:rsidR="004357F0" w:rsidRPr="00EC57FB">
        <w:rPr>
          <w:color w:val="000000" w:themeColor="text1"/>
        </w:rPr>
        <w:t xml:space="preserve"> </w:t>
      </w:r>
      <w:r w:rsidR="005F4FE6" w:rsidRPr="00EC57FB">
        <w:rPr>
          <w:color w:val="000000" w:themeColor="text1"/>
        </w:rPr>
        <w:t xml:space="preserve">in the nirsevimab arm </w:t>
      </w:r>
      <w:r w:rsidR="00215C71" w:rsidRPr="00EC57FB">
        <w:rPr>
          <w:color w:val="000000" w:themeColor="text1"/>
        </w:rPr>
        <w:t>vs</w:t>
      </w:r>
      <w:r w:rsidR="005F4FE6" w:rsidRPr="00EC57FB">
        <w:rPr>
          <w:color w:val="000000" w:themeColor="text1"/>
        </w:rPr>
        <w:t xml:space="preserve"> 10.9% in the placebo arm</w:t>
      </w:r>
      <w:r w:rsidR="00927D1B" w:rsidRPr="00EC57FB">
        <w:rPr>
          <w:color w:val="000000" w:themeColor="text1"/>
        </w:rPr>
        <w:t>) and 70.4% (95%</w:t>
      </w:r>
      <w:r w:rsidR="006360B2" w:rsidRPr="00EC57FB">
        <w:rPr>
          <w:color w:val="000000" w:themeColor="text1"/>
        </w:rPr>
        <w:t xml:space="preserve"> CI: 44.7%, 84.2%</w:t>
      </w:r>
      <w:r w:rsidR="006C4EB1" w:rsidRPr="00EC57FB">
        <w:rPr>
          <w:color w:val="000000" w:themeColor="text1"/>
        </w:rPr>
        <w:t>; 2.5%</w:t>
      </w:r>
      <w:r w:rsidR="00215C71" w:rsidRPr="00EC57FB">
        <w:rPr>
          <w:color w:val="000000" w:themeColor="text1"/>
        </w:rPr>
        <w:t xml:space="preserve"> incidence of MA RSV LRTI</w:t>
      </w:r>
      <w:r w:rsidR="006C4EB1" w:rsidRPr="00EC57FB">
        <w:rPr>
          <w:color w:val="000000" w:themeColor="text1"/>
        </w:rPr>
        <w:t xml:space="preserve"> in the nirsevimab arm </w:t>
      </w:r>
      <w:r w:rsidR="00215C71" w:rsidRPr="00EC57FB">
        <w:rPr>
          <w:color w:val="000000" w:themeColor="text1"/>
        </w:rPr>
        <w:t>vs</w:t>
      </w:r>
      <w:r w:rsidR="006C4EB1" w:rsidRPr="00EC57FB">
        <w:rPr>
          <w:color w:val="000000" w:themeColor="text1"/>
        </w:rPr>
        <w:t xml:space="preserve"> 8.4% </w:t>
      </w:r>
      <w:r w:rsidR="00215C71" w:rsidRPr="00EC57FB">
        <w:rPr>
          <w:color w:val="000000" w:themeColor="text1"/>
        </w:rPr>
        <w:t>in the placebo arm).</w:t>
      </w:r>
      <w:r w:rsidR="009A32AB" w:rsidRPr="00EC57FB">
        <w:rPr>
          <w:color w:val="000000" w:themeColor="text1"/>
        </w:rPr>
        <w:t xml:space="preserve"> The effectiveness of nirsevimab in these infants with a risk condition born during or entering their first RSV season is </w:t>
      </w:r>
      <w:r w:rsidR="005E422F" w:rsidRPr="00EC57FB">
        <w:rPr>
          <w:color w:val="000000" w:themeColor="text1"/>
        </w:rPr>
        <w:t>similar to</w:t>
      </w:r>
      <w:r w:rsidR="009A32AB" w:rsidRPr="00EC57FB">
        <w:rPr>
          <w:color w:val="000000" w:themeColor="text1"/>
        </w:rPr>
        <w:t xml:space="preserve"> the effectiveness observed in the </w:t>
      </w:r>
      <w:r w:rsidR="007D5B05" w:rsidRPr="00EC57FB">
        <w:rPr>
          <w:color w:val="000000" w:themeColor="text1"/>
        </w:rPr>
        <w:t>MELODY trial</w:t>
      </w:r>
      <w:r w:rsidR="000B07A0" w:rsidRPr="00EC57FB">
        <w:rPr>
          <w:color w:val="000000" w:themeColor="text1"/>
        </w:rPr>
        <w:t xml:space="preserve">. As might be expected, the </w:t>
      </w:r>
      <w:r w:rsidR="007D5B05" w:rsidRPr="00EC57FB">
        <w:rPr>
          <w:color w:val="000000" w:themeColor="text1"/>
        </w:rPr>
        <w:t>risk of MA RSV LRTI</w:t>
      </w:r>
      <w:r w:rsidR="000B07A0" w:rsidRPr="00EC57FB">
        <w:rPr>
          <w:color w:val="000000" w:themeColor="text1"/>
        </w:rPr>
        <w:t xml:space="preserve"> in the</w:t>
      </w:r>
      <w:r w:rsidR="0031416E" w:rsidRPr="00EC57FB">
        <w:rPr>
          <w:color w:val="000000" w:themeColor="text1"/>
        </w:rPr>
        <w:t xml:space="preserve"> premature subgroup of</w:t>
      </w:r>
      <w:r w:rsidR="00F31CC6" w:rsidRPr="00EC57FB">
        <w:rPr>
          <w:color w:val="000000" w:themeColor="text1"/>
        </w:rPr>
        <w:t xml:space="preserve"> the</w:t>
      </w:r>
      <w:r w:rsidR="000B07A0" w:rsidRPr="00EC57FB">
        <w:rPr>
          <w:color w:val="000000" w:themeColor="text1"/>
        </w:rPr>
        <w:t xml:space="preserve"> placebo arm of</w:t>
      </w:r>
      <w:r w:rsidR="0031416E" w:rsidRPr="00EC57FB">
        <w:rPr>
          <w:color w:val="000000" w:themeColor="text1"/>
        </w:rPr>
        <w:t xml:space="preserve"> Phase 2b trial</w:t>
      </w:r>
      <w:r w:rsidR="00F31CC6" w:rsidRPr="00EC57FB">
        <w:rPr>
          <w:color w:val="000000" w:themeColor="text1"/>
        </w:rPr>
        <w:t xml:space="preserve"> was higher than observed for healthy infants in the placebo arm of the MELODY trial.</w:t>
      </w:r>
    </w:p>
    <w:p w14:paraId="2406314A" w14:textId="4BC47D6A" w:rsidR="00155861" w:rsidRPr="00EC57FB" w:rsidRDefault="00CF758E" w:rsidP="002874D6">
      <w:pPr>
        <w:pStyle w:val="3-BodyText"/>
      </w:pPr>
      <w:bookmarkStart w:id="92" w:name="_Ref187061488"/>
      <w:r w:rsidRPr="00EC57FB">
        <w:rPr>
          <w:color w:val="000000" w:themeColor="text1"/>
        </w:rPr>
        <w:t>O</w:t>
      </w:r>
      <w:r w:rsidR="0062610A" w:rsidRPr="00EC57FB">
        <w:rPr>
          <w:color w:val="000000" w:themeColor="text1"/>
        </w:rPr>
        <w:t>f the</w:t>
      </w:r>
      <w:r w:rsidR="00F94064" w:rsidRPr="00EC57FB">
        <w:rPr>
          <w:color w:val="000000" w:themeColor="text1"/>
        </w:rPr>
        <w:t xml:space="preserve"> observational studies</w:t>
      </w:r>
      <w:r w:rsidR="00C07212" w:rsidRPr="00EC57FB">
        <w:rPr>
          <w:color w:val="000000" w:themeColor="text1"/>
        </w:rPr>
        <w:t xml:space="preserve"> presented in the resubmission</w:t>
      </w:r>
      <w:r w:rsidR="00F94064" w:rsidRPr="00EC57FB">
        <w:rPr>
          <w:color w:val="000000" w:themeColor="text1"/>
        </w:rPr>
        <w:t xml:space="preserve"> </w:t>
      </w:r>
      <w:r w:rsidR="00E0409F" w:rsidRPr="00EC57FB">
        <w:rPr>
          <w:color w:val="000000" w:themeColor="text1"/>
        </w:rPr>
        <w:t xml:space="preserve">that examined outcomes </w:t>
      </w:r>
      <w:r w:rsidR="0024366A" w:rsidRPr="00EC57FB">
        <w:rPr>
          <w:color w:val="000000" w:themeColor="text1"/>
        </w:rPr>
        <w:t xml:space="preserve">for infants </w:t>
      </w:r>
      <w:r w:rsidR="003570BF" w:rsidRPr="00EC57FB">
        <w:rPr>
          <w:color w:val="000000" w:themeColor="text1"/>
        </w:rPr>
        <w:t>experiencing their first RSV season</w:t>
      </w:r>
      <w:r w:rsidR="000E6B25" w:rsidRPr="00EC57FB">
        <w:rPr>
          <w:color w:val="000000" w:themeColor="text1"/>
        </w:rPr>
        <w:t>, only the NSW</w:t>
      </w:r>
      <w:r w:rsidR="000064D9" w:rsidRPr="00EC57FB">
        <w:rPr>
          <w:color w:val="000000" w:themeColor="text1"/>
        </w:rPr>
        <w:t xml:space="preserve"> RSV vulnerable babies</w:t>
      </w:r>
      <w:r w:rsidR="00B16E96" w:rsidRPr="00EC57FB">
        <w:rPr>
          <w:color w:val="000000" w:themeColor="text1"/>
        </w:rPr>
        <w:t xml:space="preserve">’ program </w:t>
      </w:r>
      <w:r w:rsidR="00C944CE" w:rsidRPr="00EC57FB">
        <w:rPr>
          <w:color w:val="000000" w:themeColor="text1"/>
        </w:rPr>
        <w:t xml:space="preserve">specifically </w:t>
      </w:r>
      <w:r w:rsidR="00F94064" w:rsidRPr="00EC57FB">
        <w:rPr>
          <w:color w:val="000000" w:themeColor="text1"/>
        </w:rPr>
        <w:t xml:space="preserve">involved the administration of nirsevimab to </w:t>
      </w:r>
      <w:r w:rsidR="00EC00D8" w:rsidRPr="00EC57FB">
        <w:rPr>
          <w:color w:val="000000" w:themeColor="text1"/>
        </w:rPr>
        <w:t>infants with risk conditions</w:t>
      </w:r>
      <w:r w:rsidR="004133A3" w:rsidRPr="00EC57FB">
        <w:rPr>
          <w:color w:val="000000" w:themeColor="text1"/>
        </w:rPr>
        <w:t xml:space="preserve">. The other </w:t>
      </w:r>
      <w:r w:rsidR="00155861" w:rsidRPr="00EC57FB">
        <w:rPr>
          <w:color w:val="000000" w:themeColor="text1"/>
        </w:rPr>
        <w:t>observational studies</w:t>
      </w:r>
      <w:r w:rsidR="004430D5" w:rsidRPr="00EC57FB">
        <w:rPr>
          <w:color w:val="000000" w:themeColor="text1"/>
        </w:rPr>
        <w:t>, including the Western Australia (WA) and Queensland state programs,</w:t>
      </w:r>
      <w:r w:rsidR="00155861" w:rsidRPr="00EC57FB">
        <w:rPr>
          <w:color w:val="000000" w:themeColor="text1"/>
        </w:rPr>
        <w:t xml:space="preserve"> presented</w:t>
      </w:r>
      <w:r w:rsidR="00085B99" w:rsidRPr="00EC57FB">
        <w:rPr>
          <w:color w:val="000000" w:themeColor="text1"/>
        </w:rPr>
        <w:t xml:space="preserve"> in the res</w:t>
      </w:r>
      <w:r w:rsidR="00263123" w:rsidRPr="00EC57FB">
        <w:rPr>
          <w:color w:val="000000" w:themeColor="text1"/>
        </w:rPr>
        <w:t xml:space="preserve">ubmission </w:t>
      </w:r>
      <w:r w:rsidR="00A4472E" w:rsidRPr="00EC57FB">
        <w:rPr>
          <w:color w:val="000000" w:themeColor="text1"/>
        </w:rPr>
        <w:t xml:space="preserve">involved administration to all </w:t>
      </w:r>
      <w:r w:rsidR="00C63335" w:rsidRPr="00EC57FB">
        <w:rPr>
          <w:color w:val="000000" w:themeColor="text1"/>
        </w:rPr>
        <w:t xml:space="preserve">infants </w:t>
      </w:r>
      <w:r w:rsidR="00657EED" w:rsidRPr="00EC57FB">
        <w:rPr>
          <w:color w:val="000000" w:themeColor="text1"/>
        </w:rPr>
        <w:t>experiencing their first RSV season</w:t>
      </w:r>
      <w:r w:rsidR="007E1626" w:rsidRPr="00EC57FB">
        <w:rPr>
          <w:color w:val="000000" w:themeColor="text1"/>
        </w:rPr>
        <w:t xml:space="preserve"> and did not </w:t>
      </w:r>
      <w:r w:rsidR="00263123" w:rsidRPr="00EC57FB">
        <w:rPr>
          <w:color w:val="000000" w:themeColor="text1"/>
        </w:rPr>
        <w:t xml:space="preserve">specifically </w:t>
      </w:r>
      <w:r w:rsidR="00EE14F4" w:rsidRPr="00EC57FB">
        <w:rPr>
          <w:color w:val="000000" w:themeColor="text1"/>
        </w:rPr>
        <w:t>report</w:t>
      </w:r>
      <w:r w:rsidR="00263123" w:rsidRPr="00EC57FB">
        <w:rPr>
          <w:color w:val="000000" w:themeColor="text1"/>
        </w:rPr>
        <w:t xml:space="preserve"> outcomes in infants with risk conditions entering their first RSV season.</w:t>
      </w:r>
      <w:bookmarkEnd w:id="92"/>
    </w:p>
    <w:p w14:paraId="1D76DA7B" w14:textId="31495D2A" w:rsidR="001238E4" w:rsidRPr="00EC57FB" w:rsidRDefault="008521B0" w:rsidP="00DC4191">
      <w:pPr>
        <w:pStyle w:val="3-BodyText"/>
        <w:rPr>
          <w:color w:val="000000" w:themeColor="text1"/>
        </w:rPr>
      </w:pPr>
      <w:bookmarkStart w:id="93" w:name="_Ref187061491"/>
      <w:r w:rsidRPr="00EC57FB">
        <w:t>The NSW</w:t>
      </w:r>
      <w:r w:rsidR="001E797F" w:rsidRPr="00EC57FB">
        <w:t xml:space="preserve"> RSV </w:t>
      </w:r>
      <w:r w:rsidR="00B97CEE" w:rsidRPr="00EC57FB">
        <w:t>V</w:t>
      </w:r>
      <w:r w:rsidR="001E797F" w:rsidRPr="00EC57FB">
        <w:t xml:space="preserve">ulnerable </w:t>
      </w:r>
      <w:r w:rsidR="00B97CEE" w:rsidRPr="00EC57FB">
        <w:t>B</w:t>
      </w:r>
      <w:r w:rsidR="001E797F" w:rsidRPr="00EC57FB">
        <w:t xml:space="preserve">abies </w:t>
      </w:r>
      <w:r w:rsidR="00727595" w:rsidRPr="00EC57FB">
        <w:t>P</w:t>
      </w:r>
      <w:r w:rsidR="001E797F" w:rsidRPr="00EC57FB">
        <w:t xml:space="preserve">rogram provided nirsevimab to infants who </w:t>
      </w:r>
      <w:r w:rsidR="00FF63C5" w:rsidRPr="00EC57FB">
        <w:t xml:space="preserve">were at </w:t>
      </w:r>
      <w:r w:rsidR="001E797F" w:rsidRPr="00EC57FB">
        <w:t>greatest risk of serious illness</w:t>
      </w:r>
      <w:r w:rsidR="00FF63C5" w:rsidRPr="00EC57FB">
        <w:t xml:space="preserve"> in the 2024 RSV season</w:t>
      </w:r>
      <w:r w:rsidR="00110E5B" w:rsidRPr="00EC57FB">
        <w:t xml:space="preserve"> (March 2024 to September</w:t>
      </w:r>
      <w:r w:rsidR="00907B6D">
        <w:t> </w:t>
      </w:r>
      <w:r w:rsidR="00110E5B" w:rsidRPr="00EC57FB">
        <w:t>2024)</w:t>
      </w:r>
      <w:r w:rsidR="001E797F" w:rsidRPr="00EC57FB">
        <w:t xml:space="preserve">. This included all Aboriginal </w:t>
      </w:r>
      <w:r w:rsidR="00584A2C" w:rsidRPr="00EC57FB">
        <w:t xml:space="preserve">and Torres Strait Islander infants </w:t>
      </w:r>
      <w:r w:rsidR="00E10023" w:rsidRPr="00EC57FB">
        <w:t xml:space="preserve">and all premature </w:t>
      </w:r>
      <w:r w:rsidR="0098062B" w:rsidRPr="00EC57FB">
        <w:t>infants (&lt;</w:t>
      </w:r>
      <w:r w:rsidR="00907B6D">
        <w:t> </w:t>
      </w:r>
      <w:r w:rsidR="0098062B" w:rsidRPr="00EC57FB">
        <w:t>37</w:t>
      </w:r>
      <w:r w:rsidR="00907B6D">
        <w:t> </w:t>
      </w:r>
      <w:r w:rsidR="0098062B" w:rsidRPr="00EC57FB">
        <w:t xml:space="preserve">weeks gestational age at birth) </w:t>
      </w:r>
      <w:r w:rsidR="00E10023" w:rsidRPr="00EC57FB">
        <w:t>born after 31</w:t>
      </w:r>
      <w:r w:rsidR="00907B6D">
        <w:t> </w:t>
      </w:r>
      <w:r w:rsidR="00E10023" w:rsidRPr="00EC57FB">
        <w:t>October</w:t>
      </w:r>
      <w:r w:rsidR="00907B6D">
        <w:t> </w:t>
      </w:r>
      <w:r w:rsidR="00E10023" w:rsidRPr="00EC57FB">
        <w:t>2023</w:t>
      </w:r>
      <w:r w:rsidR="0098062B" w:rsidRPr="00EC57FB">
        <w:t xml:space="preserve"> and </w:t>
      </w:r>
      <w:r w:rsidR="001E797F" w:rsidRPr="00EC57FB">
        <w:t xml:space="preserve">other eligible </w:t>
      </w:r>
      <w:r w:rsidR="0098062B" w:rsidRPr="00EC57FB">
        <w:t>infants</w:t>
      </w:r>
      <w:r w:rsidR="001E797F" w:rsidRPr="00EC57FB">
        <w:t xml:space="preserve"> including those </w:t>
      </w:r>
      <w:r w:rsidR="0098062B" w:rsidRPr="00EC57FB">
        <w:t>with</w:t>
      </w:r>
      <w:r w:rsidR="004C1B1B" w:rsidRPr="00EC57FB">
        <w:t xml:space="preserve"> </w:t>
      </w:r>
      <w:r w:rsidR="003F4459" w:rsidRPr="00EC57FB">
        <w:t>C</w:t>
      </w:r>
      <w:r w:rsidR="00B700C3" w:rsidRPr="00EC57FB">
        <w:t>LD</w:t>
      </w:r>
      <w:r w:rsidR="00B70B0D" w:rsidRPr="00EC57FB">
        <w:t xml:space="preserve"> aged &lt; 12 month</w:t>
      </w:r>
      <w:r w:rsidR="00A1596A" w:rsidRPr="00EC57FB">
        <w:t xml:space="preserve">s, those with </w:t>
      </w:r>
      <w:r w:rsidR="00B700C3" w:rsidRPr="00EC57FB">
        <w:t>haemodynamically significant CHD</w:t>
      </w:r>
      <w:r w:rsidR="0043035B" w:rsidRPr="00EC57FB">
        <w:t xml:space="preserve"> aged </w:t>
      </w:r>
      <w:r w:rsidR="00907B6D" w:rsidRPr="00EC57FB">
        <w:t>&lt;</w:t>
      </w:r>
      <w:r w:rsidR="00907B6D">
        <w:t> </w:t>
      </w:r>
      <w:r w:rsidR="0043035B" w:rsidRPr="00EC57FB">
        <w:t>24</w:t>
      </w:r>
      <w:r w:rsidR="00907B6D">
        <w:t> </w:t>
      </w:r>
      <w:r w:rsidR="0043035B" w:rsidRPr="00EC57FB">
        <w:t>months</w:t>
      </w:r>
      <w:r w:rsidR="00954E0C" w:rsidRPr="00EC57FB">
        <w:t xml:space="preserve">, </w:t>
      </w:r>
      <w:r w:rsidR="00A1596A" w:rsidRPr="00EC57FB">
        <w:t>those</w:t>
      </w:r>
      <w:r w:rsidR="00954E0C" w:rsidRPr="00EC57FB">
        <w:t xml:space="preserve"> with combined i</w:t>
      </w:r>
      <w:r w:rsidR="001E797F" w:rsidRPr="00EC57FB">
        <w:t xml:space="preserve">mmunodeficiency </w:t>
      </w:r>
      <w:r w:rsidR="00954E0C" w:rsidRPr="00EC57FB">
        <w:t xml:space="preserve">who had </w:t>
      </w:r>
      <w:r w:rsidR="001E797F" w:rsidRPr="00EC57FB">
        <w:t>not received curative treatment</w:t>
      </w:r>
      <w:r w:rsidR="00C31AD1" w:rsidRPr="00EC57FB">
        <w:t xml:space="preserve"> aged &lt; 24 months</w:t>
      </w:r>
      <w:r w:rsidR="00954E0C" w:rsidRPr="00EC57FB">
        <w:t xml:space="preserve">, </w:t>
      </w:r>
      <w:r w:rsidR="00CD463B" w:rsidRPr="00EC57FB">
        <w:t>those</w:t>
      </w:r>
      <w:r w:rsidR="00C31AD1" w:rsidRPr="00EC57FB">
        <w:t xml:space="preserve"> with </w:t>
      </w:r>
      <w:r w:rsidR="00CD463B" w:rsidRPr="00EC57FB">
        <w:t>T</w:t>
      </w:r>
      <w:r w:rsidR="001E797F" w:rsidRPr="00EC57FB">
        <w:t>risomy 21</w:t>
      </w:r>
      <w:r w:rsidR="00C31AD1" w:rsidRPr="00EC57FB">
        <w:t xml:space="preserve"> aged &lt; 12 months</w:t>
      </w:r>
      <w:r w:rsidR="00CC0FC5" w:rsidRPr="00EC57FB">
        <w:t xml:space="preserve">, </w:t>
      </w:r>
      <w:r w:rsidR="00CD463B" w:rsidRPr="00EC57FB">
        <w:t>those</w:t>
      </w:r>
      <w:r w:rsidR="00CC0FC5" w:rsidRPr="00EC57FB">
        <w:t xml:space="preserve"> with c</w:t>
      </w:r>
      <w:r w:rsidR="001E797F" w:rsidRPr="00EC57FB">
        <w:t>omplex conditions that significantly impair respiratory function</w:t>
      </w:r>
      <w:r w:rsidR="002F0E44" w:rsidRPr="00EC57FB">
        <w:t xml:space="preserve"> </w:t>
      </w:r>
      <w:r w:rsidR="007E6FC8" w:rsidRPr="00EC57FB">
        <w:t xml:space="preserve">aged &lt; 12 months </w:t>
      </w:r>
      <w:r w:rsidR="002F0E44" w:rsidRPr="00EC57FB">
        <w:t xml:space="preserve">and </w:t>
      </w:r>
      <w:r w:rsidR="00CD463B" w:rsidRPr="00EC57FB">
        <w:t>those</w:t>
      </w:r>
      <w:r w:rsidR="002F0E44" w:rsidRPr="00EC57FB">
        <w:t xml:space="preserve"> </w:t>
      </w:r>
      <w:r w:rsidR="001E797F" w:rsidRPr="00EC57FB">
        <w:t xml:space="preserve">within 28 days </w:t>
      </w:r>
      <w:r w:rsidR="00A05BA1" w:rsidRPr="00EC57FB">
        <w:t>of scheduled haematopoietic stem c</w:t>
      </w:r>
      <w:r w:rsidR="00E92E1D" w:rsidRPr="00EC57FB">
        <w:t xml:space="preserve">ell transplant (HSCT) or </w:t>
      </w:r>
      <w:r w:rsidR="001E797F" w:rsidRPr="00EC57FB">
        <w:t>prior to engraftment after HSCT</w:t>
      </w:r>
      <w:r w:rsidR="007E6FC8" w:rsidRPr="00EC57FB">
        <w:t xml:space="preserve"> aged</w:t>
      </w:r>
      <w:r w:rsidR="007E6FC8" w:rsidRPr="00EC57FB">
        <w:rPr>
          <w:color w:val="000000" w:themeColor="text1"/>
        </w:rPr>
        <w:t xml:space="preserve"> &lt;</w:t>
      </w:r>
      <w:r w:rsidR="00DE2707" w:rsidRPr="00EC57FB">
        <w:rPr>
          <w:color w:val="000000" w:themeColor="text1"/>
        </w:rPr>
        <w:t> </w:t>
      </w:r>
      <w:r w:rsidR="007E6FC8" w:rsidRPr="00EC57FB">
        <w:rPr>
          <w:color w:val="000000" w:themeColor="text1"/>
        </w:rPr>
        <w:t>24 months</w:t>
      </w:r>
      <w:r w:rsidR="001E797F" w:rsidRPr="00EC57FB">
        <w:rPr>
          <w:color w:val="000000" w:themeColor="text1"/>
        </w:rPr>
        <w:t>.</w:t>
      </w:r>
      <w:r w:rsidR="00352ED0" w:rsidRPr="00EC57FB">
        <w:rPr>
          <w:color w:val="000000" w:themeColor="text1"/>
        </w:rPr>
        <w:t xml:space="preserve"> Results reporting the rate of </w:t>
      </w:r>
      <w:r w:rsidR="003E780B" w:rsidRPr="00EC57FB">
        <w:rPr>
          <w:color w:val="000000" w:themeColor="text1"/>
        </w:rPr>
        <w:t>RSV notification by</w:t>
      </w:r>
      <w:r w:rsidR="007E6FC8" w:rsidRPr="00EC57FB">
        <w:rPr>
          <w:color w:val="000000" w:themeColor="text1"/>
        </w:rPr>
        <w:t xml:space="preserve"> age group in 2023 and 2024</w:t>
      </w:r>
      <w:r w:rsidR="00A51661" w:rsidRPr="00EC57FB">
        <w:rPr>
          <w:color w:val="000000" w:themeColor="text1"/>
        </w:rPr>
        <w:t>, as presented in the resubmission,</w:t>
      </w:r>
      <w:r w:rsidR="007E6FC8" w:rsidRPr="00EC57FB">
        <w:rPr>
          <w:color w:val="000000" w:themeColor="text1"/>
        </w:rPr>
        <w:t xml:space="preserve"> </w:t>
      </w:r>
      <w:r w:rsidR="007C5046" w:rsidRPr="00EC57FB">
        <w:rPr>
          <w:color w:val="000000" w:themeColor="text1"/>
        </w:rPr>
        <w:t>are provided in</w:t>
      </w:r>
      <w:r w:rsidR="00A40F10" w:rsidRPr="00EC57FB">
        <w:rPr>
          <w:color w:val="000000" w:themeColor="text1"/>
        </w:rPr>
        <w:t xml:space="preserve"> </w:t>
      </w:r>
      <w:r w:rsidR="00A40F10" w:rsidRPr="00EC57FB">
        <w:rPr>
          <w:color w:val="000000" w:themeColor="text1"/>
        </w:rPr>
        <w:fldChar w:fldCharType="begin"/>
      </w:r>
      <w:r w:rsidR="00A40F10" w:rsidRPr="00EC57FB">
        <w:rPr>
          <w:color w:val="000000" w:themeColor="text1"/>
        </w:rPr>
        <w:instrText xml:space="preserve"> REF _Ref187015850 \h </w:instrText>
      </w:r>
      <w:r w:rsidR="00A40F10" w:rsidRPr="00EC57FB">
        <w:rPr>
          <w:color w:val="000000" w:themeColor="text1"/>
        </w:rPr>
      </w:r>
      <w:r w:rsidR="00A40F10" w:rsidRPr="00EC57FB">
        <w:rPr>
          <w:color w:val="000000" w:themeColor="text1"/>
        </w:rPr>
        <w:fldChar w:fldCharType="separate"/>
      </w:r>
      <w:r w:rsidR="00502C25" w:rsidRPr="00EC57FB">
        <w:t xml:space="preserve">Table </w:t>
      </w:r>
      <w:r w:rsidR="00502C25">
        <w:rPr>
          <w:noProof/>
        </w:rPr>
        <w:t>17</w:t>
      </w:r>
      <w:r w:rsidR="00A40F10" w:rsidRPr="00EC57FB">
        <w:rPr>
          <w:color w:val="000000" w:themeColor="text1"/>
        </w:rPr>
        <w:fldChar w:fldCharType="end"/>
      </w:r>
      <w:r w:rsidR="00A40F10" w:rsidRPr="00EC57FB">
        <w:rPr>
          <w:color w:val="000000" w:themeColor="text1"/>
        </w:rPr>
        <w:t>.</w:t>
      </w:r>
      <w:bookmarkEnd w:id="93"/>
      <w:r w:rsidR="00577C66">
        <w:rPr>
          <w:color w:val="000000" w:themeColor="text1"/>
        </w:rPr>
        <w:t xml:space="preserve"> </w:t>
      </w:r>
      <w:r w:rsidR="00597CEB" w:rsidRPr="00EC57FB">
        <w:rPr>
          <w:color w:val="000000" w:themeColor="text1"/>
        </w:rPr>
        <w:t>The submission reported that i</w:t>
      </w:r>
      <w:r w:rsidR="001238E4" w:rsidRPr="00EC57FB">
        <w:rPr>
          <w:color w:val="000000" w:themeColor="text1"/>
        </w:rPr>
        <w:t>n 2023, prior to the implementation of the program, the rate of RSV notifications of all infants &lt;6 months (6,745 per 100,000) was similar to that for infants aged 12 to &lt;18 months (6,893 per 100,000). After the implementation of the program, the notification was 25% lower in the immunised group (7,359 vs 9,783 per 100,000).</w:t>
      </w:r>
    </w:p>
    <w:p w14:paraId="2900A591" w14:textId="363AA118" w:rsidR="007C5046" w:rsidRPr="00EC57FB" w:rsidRDefault="007C5046" w:rsidP="000177EA">
      <w:pPr>
        <w:pStyle w:val="Caption"/>
        <w:rPr>
          <w:color w:val="000000" w:themeColor="text1"/>
        </w:rPr>
      </w:pPr>
      <w:bookmarkStart w:id="94" w:name="_Ref187015850"/>
      <w:r w:rsidRPr="00EC57FB">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17</w:t>
      </w:r>
      <w:r w:rsidR="00C51E7C" w:rsidRPr="00EC57FB">
        <w:fldChar w:fldCharType="end"/>
      </w:r>
      <w:bookmarkEnd w:id="94"/>
      <w:r w:rsidRPr="00EC57FB">
        <w:t xml:space="preserve">: </w:t>
      </w:r>
      <w:r w:rsidR="000177EA" w:rsidRPr="00EC57FB">
        <w:t>Rate of RSV notifications in infants by age group in NSW, 2023 vs 2024</w:t>
      </w:r>
    </w:p>
    <w:tbl>
      <w:tblPr>
        <w:tblStyle w:val="TableGrid"/>
        <w:tblW w:w="0" w:type="auto"/>
        <w:tblInd w:w="-5" w:type="dxa"/>
        <w:tblLook w:val="04A0" w:firstRow="1" w:lastRow="0" w:firstColumn="1" w:lastColumn="0" w:noHBand="0" w:noVBand="1"/>
      </w:tblPr>
      <w:tblGrid>
        <w:gridCol w:w="695"/>
        <w:gridCol w:w="1976"/>
        <w:gridCol w:w="1210"/>
        <w:gridCol w:w="1099"/>
        <w:gridCol w:w="2243"/>
        <w:gridCol w:w="1799"/>
      </w:tblGrid>
      <w:tr w:rsidR="006C56A4" w:rsidRPr="00EC57FB" w14:paraId="414E385D" w14:textId="77777777" w:rsidTr="009F2FBE">
        <w:tc>
          <w:tcPr>
            <w:tcW w:w="695" w:type="dxa"/>
            <w:tcBorders>
              <w:bottom w:val="single" w:sz="4" w:space="0" w:color="auto"/>
            </w:tcBorders>
          </w:tcPr>
          <w:p w14:paraId="32FAF173" w14:textId="076B04CB" w:rsidR="00294059" w:rsidRPr="00EC57FB" w:rsidRDefault="00294059" w:rsidP="00684D9D">
            <w:pPr>
              <w:pStyle w:val="TableHeading"/>
            </w:pPr>
            <w:r w:rsidRPr="00EC57FB">
              <w:t>Year</w:t>
            </w:r>
          </w:p>
        </w:tc>
        <w:tc>
          <w:tcPr>
            <w:tcW w:w="1976" w:type="dxa"/>
            <w:tcBorders>
              <w:bottom w:val="single" w:sz="4" w:space="0" w:color="auto"/>
            </w:tcBorders>
            <w:vAlign w:val="center"/>
          </w:tcPr>
          <w:p w14:paraId="600D9354" w14:textId="2FA39FD0" w:rsidR="00294059" w:rsidRPr="00EC57FB" w:rsidRDefault="00294059" w:rsidP="00684D9D">
            <w:pPr>
              <w:pStyle w:val="TableHeading"/>
              <w:jc w:val="center"/>
            </w:pPr>
            <w:r w:rsidRPr="00EC57FB">
              <w:t>Age group (months)</w:t>
            </w:r>
          </w:p>
        </w:tc>
        <w:tc>
          <w:tcPr>
            <w:tcW w:w="1210" w:type="dxa"/>
            <w:tcBorders>
              <w:bottom w:val="single" w:sz="4" w:space="0" w:color="auto"/>
            </w:tcBorders>
            <w:vAlign w:val="center"/>
          </w:tcPr>
          <w:p w14:paraId="03D9F375" w14:textId="3336ADA7" w:rsidR="00294059" w:rsidRPr="00EC57FB" w:rsidRDefault="00294059" w:rsidP="00684D9D">
            <w:pPr>
              <w:pStyle w:val="TableHeading"/>
              <w:jc w:val="center"/>
            </w:pPr>
            <w:r w:rsidRPr="00EC57FB">
              <w:t>Notifications</w:t>
            </w:r>
          </w:p>
        </w:tc>
        <w:tc>
          <w:tcPr>
            <w:tcW w:w="1099" w:type="dxa"/>
            <w:tcBorders>
              <w:bottom w:val="single" w:sz="4" w:space="0" w:color="auto"/>
            </w:tcBorders>
            <w:vAlign w:val="center"/>
          </w:tcPr>
          <w:p w14:paraId="5B5D7F3B" w14:textId="53B0B742" w:rsidR="00294059" w:rsidRPr="00EC57FB" w:rsidRDefault="00294059" w:rsidP="00684D9D">
            <w:pPr>
              <w:pStyle w:val="TableHeading"/>
              <w:jc w:val="center"/>
            </w:pPr>
            <w:r w:rsidRPr="00EC57FB">
              <w:t>Population</w:t>
            </w:r>
          </w:p>
        </w:tc>
        <w:tc>
          <w:tcPr>
            <w:tcW w:w="2243" w:type="dxa"/>
            <w:tcBorders>
              <w:bottom w:val="single" w:sz="4" w:space="0" w:color="auto"/>
            </w:tcBorders>
            <w:vAlign w:val="center"/>
          </w:tcPr>
          <w:p w14:paraId="2CE6EF53" w14:textId="3ACA30A2" w:rsidR="00294059" w:rsidRPr="00EC57FB" w:rsidRDefault="00294059" w:rsidP="00684D9D">
            <w:pPr>
              <w:pStyle w:val="TableHeading"/>
              <w:jc w:val="center"/>
            </w:pPr>
            <w:r w:rsidRPr="00EC57FB">
              <w:t xml:space="preserve">Rate </w:t>
            </w:r>
            <w:r w:rsidR="00356BC6" w:rsidRPr="00EC57FB">
              <w:t>per 100,000 (95% CI)</w:t>
            </w:r>
          </w:p>
        </w:tc>
        <w:tc>
          <w:tcPr>
            <w:tcW w:w="1799" w:type="dxa"/>
            <w:tcBorders>
              <w:bottom w:val="single" w:sz="4" w:space="0" w:color="auto"/>
            </w:tcBorders>
            <w:vAlign w:val="center"/>
          </w:tcPr>
          <w:p w14:paraId="3278046B" w14:textId="2928BE2B" w:rsidR="00294059" w:rsidRPr="00EC57FB" w:rsidRDefault="00356BC6" w:rsidP="00684D9D">
            <w:pPr>
              <w:pStyle w:val="TableHeading"/>
              <w:jc w:val="center"/>
            </w:pPr>
            <w:r w:rsidRPr="00EC57FB">
              <w:t>Rate ratio (95% CI)</w:t>
            </w:r>
          </w:p>
        </w:tc>
      </w:tr>
      <w:tr w:rsidR="00541CEE" w:rsidRPr="00EC57FB" w14:paraId="2352E27B" w14:textId="77777777" w:rsidTr="009F2FBE">
        <w:tc>
          <w:tcPr>
            <w:tcW w:w="695" w:type="dxa"/>
            <w:tcBorders>
              <w:bottom w:val="dotted" w:sz="4" w:space="0" w:color="auto"/>
              <w:right w:val="single" w:sz="4" w:space="0" w:color="auto"/>
            </w:tcBorders>
          </w:tcPr>
          <w:p w14:paraId="70D52A2A" w14:textId="18793AB9" w:rsidR="00196FD3" w:rsidRPr="00EC57FB" w:rsidRDefault="00196FD3" w:rsidP="00196FD3">
            <w:pPr>
              <w:pStyle w:val="TableText0"/>
            </w:pPr>
            <w:r w:rsidRPr="00EC57FB">
              <w:t>2023</w:t>
            </w:r>
          </w:p>
        </w:tc>
        <w:tc>
          <w:tcPr>
            <w:tcW w:w="1976" w:type="dxa"/>
            <w:tcBorders>
              <w:left w:val="single" w:sz="4" w:space="0" w:color="auto"/>
              <w:bottom w:val="dotted" w:sz="4" w:space="0" w:color="auto"/>
              <w:right w:val="single" w:sz="4" w:space="0" w:color="auto"/>
            </w:tcBorders>
            <w:vAlign w:val="center"/>
          </w:tcPr>
          <w:p w14:paraId="3CBF7A0E" w14:textId="7DCE893F" w:rsidR="00196FD3" w:rsidRPr="00EC57FB" w:rsidRDefault="00196FD3" w:rsidP="00684D9D">
            <w:pPr>
              <w:pStyle w:val="TableText0"/>
              <w:jc w:val="center"/>
            </w:pPr>
            <w:r w:rsidRPr="00EC57FB">
              <w:t>0 – &lt;6</w:t>
            </w:r>
          </w:p>
        </w:tc>
        <w:tc>
          <w:tcPr>
            <w:tcW w:w="1210" w:type="dxa"/>
            <w:tcBorders>
              <w:left w:val="single" w:sz="4" w:space="0" w:color="auto"/>
              <w:bottom w:val="dotted" w:sz="4" w:space="0" w:color="auto"/>
              <w:right w:val="single" w:sz="4" w:space="0" w:color="auto"/>
            </w:tcBorders>
            <w:vAlign w:val="center"/>
          </w:tcPr>
          <w:p w14:paraId="18BA3B0A" w14:textId="77741F02" w:rsidR="00196FD3" w:rsidRPr="00EC57FB" w:rsidRDefault="00196FD3" w:rsidP="00684D9D">
            <w:pPr>
              <w:pStyle w:val="TableText0"/>
              <w:jc w:val="center"/>
            </w:pPr>
            <w:r w:rsidRPr="00EC57FB">
              <w:t>3,241</w:t>
            </w:r>
          </w:p>
        </w:tc>
        <w:tc>
          <w:tcPr>
            <w:tcW w:w="1099" w:type="dxa"/>
            <w:tcBorders>
              <w:left w:val="single" w:sz="4" w:space="0" w:color="auto"/>
              <w:bottom w:val="dotted" w:sz="4" w:space="0" w:color="auto"/>
              <w:right w:val="single" w:sz="4" w:space="0" w:color="auto"/>
            </w:tcBorders>
            <w:vAlign w:val="center"/>
          </w:tcPr>
          <w:p w14:paraId="3B779AD7" w14:textId="3CD689EF" w:rsidR="00196FD3" w:rsidRPr="00EC57FB" w:rsidRDefault="00196FD3" w:rsidP="00684D9D">
            <w:pPr>
              <w:pStyle w:val="TableText0"/>
              <w:jc w:val="center"/>
            </w:pPr>
            <w:r w:rsidRPr="00EC57FB">
              <w:t>48,051</w:t>
            </w:r>
          </w:p>
        </w:tc>
        <w:tc>
          <w:tcPr>
            <w:tcW w:w="2243" w:type="dxa"/>
            <w:tcBorders>
              <w:left w:val="single" w:sz="4" w:space="0" w:color="auto"/>
              <w:bottom w:val="dotted" w:sz="4" w:space="0" w:color="auto"/>
              <w:right w:val="single" w:sz="4" w:space="0" w:color="auto"/>
            </w:tcBorders>
            <w:vAlign w:val="center"/>
          </w:tcPr>
          <w:p w14:paraId="767C0A63" w14:textId="0D76798F" w:rsidR="00196FD3" w:rsidRPr="00EC57FB" w:rsidRDefault="00196FD3" w:rsidP="00684D9D">
            <w:pPr>
              <w:pStyle w:val="TableText0"/>
              <w:jc w:val="center"/>
            </w:pPr>
            <w:r w:rsidRPr="00EC57FB">
              <w:t>6,745 (6,522, 6,973)</w:t>
            </w:r>
          </w:p>
        </w:tc>
        <w:tc>
          <w:tcPr>
            <w:tcW w:w="1799" w:type="dxa"/>
            <w:tcBorders>
              <w:left w:val="single" w:sz="4" w:space="0" w:color="auto"/>
              <w:bottom w:val="dotted" w:sz="4" w:space="0" w:color="auto"/>
            </w:tcBorders>
            <w:vAlign w:val="center"/>
          </w:tcPr>
          <w:p w14:paraId="0FA76178" w14:textId="77777777" w:rsidR="00196FD3" w:rsidRPr="00EC57FB" w:rsidRDefault="00196FD3" w:rsidP="00684D9D">
            <w:pPr>
              <w:pStyle w:val="TableText0"/>
              <w:jc w:val="center"/>
            </w:pPr>
          </w:p>
        </w:tc>
      </w:tr>
      <w:tr w:rsidR="00541CEE" w:rsidRPr="00EC57FB" w14:paraId="39C0A2BA" w14:textId="77777777" w:rsidTr="009F2FBE">
        <w:tc>
          <w:tcPr>
            <w:tcW w:w="695" w:type="dxa"/>
            <w:tcBorders>
              <w:top w:val="dotted" w:sz="4" w:space="0" w:color="auto"/>
              <w:bottom w:val="dotted" w:sz="4" w:space="0" w:color="auto"/>
              <w:right w:val="single" w:sz="4" w:space="0" w:color="auto"/>
            </w:tcBorders>
          </w:tcPr>
          <w:p w14:paraId="3DC750C4" w14:textId="42288FFD" w:rsidR="00196FD3" w:rsidRPr="00EC57FB" w:rsidRDefault="00196FD3" w:rsidP="00196FD3">
            <w:pPr>
              <w:pStyle w:val="TableText0"/>
            </w:pPr>
          </w:p>
        </w:tc>
        <w:tc>
          <w:tcPr>
            <w:tcW w:w="1976" w:type="dxa"/>
            <w:tcBorders>
              <w:top w:val="dotted" w:sz="4" w:space="0" w:color="auto"/>
              <w:left w:val="single" w:sz="4" w:space="0" w:color="auto"/>
              <w:bottom w:val="dotted" w:sz="4" w:space="0" w:color="auto"/>
              <w:right w:val="single" w:sz="4" w:space="0" w:color="auto"/>
            </w:tcBorders>
            <w:vAlign w:val="center"/>
          </w:tcPr>
          <w:p w14:paraId="22723F01" w14:textId="15220D5D" w:rsidR="00196FD3" w:rsidRPr="00EC57FB" w:rsidRDefault="00196FD3" w:rsidP="00684D9D">
            <w:pPr>
              <w:pStyle w:val="TableText0"/>
              <w:jc w:val="center"/>
            </w:pPr>
            <w:r w:rsidRPr="00EC57FB">
              <w:t>6 – &lt;12</w:t>
            </w:r>
          </w:p>
        </w:tc>
        <w:tc>
          <w:tcPr>
            <w:tcW w:w="1210" w:type="dxa"/>
            <w:tcBorders>
              <w:top w:val="dotted" w:sz="4" w:space="0" w:color="auto"/>
              <w:left w:val="single" w:sz="4" w:space="0" w:color="auto"/>
              <w:bottom w:val="dotted" w:sz="4" w:space="0" w:color="auto"/>
              <w:right w:val="single" w:sz="4" w:space="0" w:color="auto"/>
            </w:tcBorders>
            <w:vAlign w:val="center"/>
          </w:tcPr>
          <w:p w14:paraId="13E7CE00" w14:textId="566754EB" w:rsidR="00196FD3" w:rsidRPr="00EC57FB" w:rsidRDefault="00196FD3" w:rsidP="00684D9D">
            <w:pPr>
              <w:pStyle w:val="TableText0"/>
              <w:jc w:val="center"/>
            </w:pPr>
            <w:r w:rsidRPr="00EC57FB">
              <w:t>3,493</w:t>
            </w:r>
          </w:p>
        </w:tc>
        <w:tc>
          <w:tcPr>
            <w:tcW w:w="1099" w:type="dxa"/>
            <w:tcBorders>
              <w:top w:val="dotted" w:sz="4" w:space="0" w:color="auto"/>
              <w:left w:val="single" w:sz="4" w:space="0" w:color="auto"/>
              <w:bottom w:val="dotted" w:sz="4" w:space="0" w:color="auto"/>
              <w:right w:val="single" w:sz="4" w:space="0" w:color="auto"/>
            </w:tcBorders>
            <w:vAlign w:val="center"/>
          </w:tcPr>
          <w:p w14:paraId="3ED69829" w14:textId="553194AF" w:rsidR="00196FD3" w:rsidRPr="00EC57FB" w:rsidRDefault="00196FD3" w:rsidP="00684D9D">
            <w:pPr>
              <w:pStyle w:val="TableText0"/>
              <w:jc w:val="center"/>
            </w:pPr>
            <w:r w:rsidRPr="00EC57FB">
              <w:t>48,051</w:t>
            </w:r>
          </w:p>
        </w:tc>
        <w:tc>
          <w:tcPr>
            <w:tcW w:w="2243" w:type="dxa"/>
            <w:tcBorders>
              <w:top w:val="dotted" w:sz="4" w:space="0" w:color="auto"/>
              <w:left w:val="single" w:sz="4" w:space="0" w:color="auto"/>
              <w:bottom w:val="dotted" w:sz="4" w:space="0" w:color="auto"/>
              <w:right w:val="single" w:sz="4" w:space="0" w:color="auto"/>
            </w:tcBorders>
            <w:vAlign w:val="center"/>
          </w:tcPr>
          <w:p w14:paraId="499845A5" w14:textId="6A21EB31" w:rsidR="00196FD3" w:rsidRPr="00EC57FB" w:rsidRDefault="00196FD3" w:rsidP="00684D9D">
            <w:pPr>
              <w:pStyle w:val="TableText0"/>
              <w:jc w:val="center"/>
            </w:pPr>
            <w:r w:rsidRPr="00EC57FB">
              <w:t>7,269 (7,039, 7,505)</w:t>
            </w:r>
          </w:p>
        </w:tc>
        <w:tc>
          <w:tcPr>
            <w:tcW w:w="1799" w:type="dxa"/>
            <w:tcBorders>
              <w:top w:val="dotted" w:sz="4" w:space="0" w:color="auto"/>
              <w:left w:val="single" w:sz="4" w:space="0" w:color="auto"/>
              <w:bottom w:val="dotted" w:sz="4" w:space="0" w:color="auto"/>
            </w:tcBorders>
            <w:vAlign w:val="center"/>
          </w:tcPr>
          <w:p w14:paraId="71B4A23B" w14:textId="3248AD0A" w:rsidR="00196FD3" w:rsidRPr="00EC57FB" w:rsidRDefault="00196FD3" w:rsidP="00684D9D">
            <w:pPr>
              <w:pStyle w:val="TableText0"/>
              <w:jc w:val="center"/>
            </w:pPr>
            <w:r w:rsidRPr="00EC57FB">
              <w:t>0.93 (0.89, 0.97)</w:t>
            </w:r>
          </w:p>
        </w:tc>
      </w:tr>
      <w:tr w:rsidR="00052949" w:rsidRPr="00EC57FB" w14:paraId="12763B0C" w14:textId="77777777" w:rsidTr="009F2FBE">
        <w:tc>
          <w:tcPr>
            <w:tcW w:w="695" w:type="dxa"/>
            <w:tcBorders>
              <w:top w:val="dotted" w:sz="4" w:space="0" w:color="auto"/>
              <w:bottom w:val="single" w:sz="4" w:space="0" w:color="auto"/>
              <w:right w:val="single" w:sz="4" w:space="0" w:color="auto"/>
            </w:tcBorders>
          </w:tcPr>
          <w:p w14:paraId="2E2F85A0" w14:textId="2923243D" w:rsidR="00196FD3" w:rsidRPr="00EC57FB" w:rsidRDefault="00196FD3" w:rsidP="00196FD3">
            <w:pPr>
              <w:pStyle w:val="TableText0"/>
            </w:pPr>
          </w:p>
        </w:tc>
        <w:tc>
          <w:tcPr>
            <w:tcW w:w="1976" w:type="dxa"/>
            <w:tcBorders>
              <w:top w:val="dotted" w:sz="4" w:space="0" w:color="auto"/>
              <w:left w:val="single" w:sz="4" w:space="0" w:color="auto"/>
              <w:bottom w:val="single" w:sz="4" w:space="0" w:color="auto"/>
              <w:right w:val="single" w:sz="4" w:space="0" w:color="auto"/>
            </w:tcBorders>
            <w:vAlign w:val="center"/>
          </w:tcPr>
          <w:p w14:paraId="70260C9C" w14:textId="4BBEEBA7" w:rsidR="00196FD3" w:rsidRPr="00EC57FB" w:rsidRDefault="00196FD3" w:rsidP="00684D9D">
            <w:pPr>
              <w:pStyle w:val="TableText0"/>
              <w:jc w:val="center"/>
            </w:pPr>
            <w:r w:rsidRPr="00EC57FB">
              <w:t>12 – &lt;18</w:t>
            </w:r>
          </w:p>
        </w:tc>
        <w:tc>
          <w:tcPr>
            <w:tcW w:w="1210" w:type="dxa"/>
            <w:tcBorders>
              <w:top w:val="dotted" w:sz="4" w:space="0" w:color="auto"/>
              <w:left w:val="single" w:sz="4" w:space="0" w:color="auto"/>
              <w:bottom w:val="single" w:sz="4" w:space="0" w:color="auto"/>
              <w:right w:val="single" w:sz="4" w:space="0" w:color="auto"/>
            </w:tcBorders>
            <w:vAlign w:val="center"/>
          </w:tcPr>
          <w:p w14:paraId="7EBEB36E" w14:textId="579F5A5F" w:rsidR="00196FD3" w:rsidRPr="00EC57FB" w:rsidRDefault="00196FD3" w:rsidP="00684D9D">
            <w:pPr>
              <w:pStyle w:val="TableText0"/>
              <w:jc w:val="center"/>
            </w:pPr>
            <w:r w:rsidRPr="00EC57FB">
              <w:t>3,161</w:t>
            </w:r>
          </w:p>
        </w:tc>
        <w:tc>
          <w:tcPr>
            <w:tcW w:w="1099" w:type="dxa"/>
            <w:tcBorders>
              <w:top w:val="dotted" w:sz="4" w:space="0" w:color="auto"/>
              <w:left w:val="single" w:sz="4" w:space="0" w:color="auto"/>
              <w:bottom w:val="single" w:sz="4" w:space="0" w:color="auto"/>
              <w:right w:val="single" w:sz="4" w:space="0" w:color="auto"/>
            </w:tcBorders>
            <w:vAlign w:val="center"/>
          </w:tcPr>
          <w:p w14:paraId="74F67F6A" w14:textId="14BE8897" w:rsidR="00196FD3" w:rsidRPr="00EC57FB" w:rsidRDefault="00196FD3" w:rsidP="00684D9D">
            <w:pPr>
              <w:pStyle w:val="TableText0"/>
              <w:jc w:val="center"/>
            </w:pPr>
            <w:r w:rsidRPr="00EC57FB">
              <w:t>45,856</w:t>
            </w:r>
          </w:p>
        </w:tc>
        <w:tc>
          <w:tcPr>
            <w:tcW w:w="2243" w:type="dxa"/>
            <w:tcBorders>
              <w:top w:val="dotted" w:sz="4" w:space="0" w:color="auto"/>
              <w:left w:val="single" w:sz="4" w:space="0" w:color="auto"/>
              <w:bottom w:val="single" w:sz="4" w:space="0" w:color="auto"/>
              <w:right w:val="single" w:sz="4" w:space="0" w:color="auto"/>
            </w:tcBorders>
            <w:vAlign w:val="center"/>
          </w:tcPr>
          <w:p w14:paraId="2F82FA79" w14:textId="212E5D24" w:rsidR="00196FD3" w:rsidRPr="00EC57FB" w:rsidRDefault="00196FD3" w:rsidP="00684D9D">
            <w:pPr>
              <w:pStyle w:val="TableText0"/>
              <w:jc w:val="center"/>
            </w:pPr>
            <w:r w:rsidRPr="00EC57FB">
              <w:t>6,893 (6,663, 7,129)</w:t>
            </w:r>
          </w:p>
        </w:tc>
        <w:tc>
          <w:tcPr>
            <w:tcW w:w="1799" w:type="dxa"/>
            <w:tcBorders>
              <w:top w:val="dotted" w:sz="4" w:space="0" w:color="auto"/>
              <w:left w:val="single" w:sz="4" w:space="0" w:color="auto"/>
              <w:bottom w:val="single" w:sz="4" w:space="0" w:color="auto"/>
            </w:tcBorders>
            <w:vAlign w:val="center"/>
          </w:tcPr>
          <w:p w14:paraId="4ECFBC43" w14:textId="0AB7E6F4" w:rsidR="00196FD3" w:rsidRPr="00EC57FB" w:rsidRDefault="00196FD3" w:rsidP="00684D9D">
            <w:pPr>
              <w:pStyle w:val="TableText0"/>
              <w:jc w:val="center"/>
            </w:pPr>
            <w:r w:rsidRPr="00EC57FB">
              <w:t>0.98 (0.93, 1.03)</w:t>
            </w:r>
          </w:p>
        </w:tc>
      </w:tr>
      <w:tr w:rsidR="006C56A4" w:rsidRPr="00EC57FB" w14:paraId="4F6424E6" w14:textId="77777777" w:rsidTr="009F2FBE">
        <w:tc>
          <w:tcPr>
            <w:tcW w:w="695" w:type="dxa"/>
            <w:tcBorders>
              <w:bottom w:val="dotted" w:sz="4" w:space="0" w:color="auto"/>
            </w:tcBorders>
          </w:tcPr>
          <w:p w14:paraId="5CC3F3A1" w14:textId="4C23CCF2" w:rsidR="00196FD3" w:rsidRPr="00EC57FB" w:rsidRDefault="00196FD3" w:rsidP="00196FD3">
            <w:pPr>
              <w:pStyle w:val="TableText0"/>
            </w:pPr>
            <w:r w:rsidRPr="00EC57FB">
              <w:t>2024</w:t>
            </w:r>
          </w:p>
        </w:tc>
        <w:tc>
          <w:tcPr>
            <w:tcW w:w="1976" w:type="dxa"/>
            <w:tcBorders>
              <w:bottom w:val="dotted" w:sz="4" w:space="0" w:color="auto"/>
            </w:tcBorders>
            <w:vAlign w:val="center"/>
          </w:tcPr>
          <w:p w14:paraId="64665123" w14:textId="317C21F9" w:rsidR="00196FD3" w:rsidRPr="00EC57FB" w:rsidRDefault="00196FD3" w:rsidP="00684D9D">
            <w:pPr>
              <w:pStyle w:val="TableText0"/>
              <w:jc w:val="center"/>
            </w:pPr>
            <w:r w:rsidRPr="00EC57FB">
              <w:t>0 – &lt;6</w:t>
            </w:r>
          </w:p>
        </w:tc>
        <w:tc>
          <w:tcPr>
            <w:tcW w:w="1210" w:type="dxa"/>
            <w:tcBorders>
              <w:bottom w:val="dotted" w:sz="4" w:space="0" w:color="auto"/>
            </w:tcBorders>
            <w:vAlign w:val="center"/>
          </w:tcPr>
          <w:p w14:paraId="444389E6" w14:textId="0C82DEBC" w:rsidR="00196FD3" w:rsidRPr="00EC57FB" w:rsidRDefault="00196FD3" w:rsidP="00684D9D">
            <w:pPr>
              <w:pStyle w:val="TableText0"/>
              <w:jc w:val="center"/>
            </w:pPr>
            <w:r w:rsidRPr="00EC57FB">
              <w:t>3,607</w:t>
            </w:r>
          </w:p>
        </w:tc>
        <w:tc>
          <w:tcPr>
            <w:tcW w:w="1099" w:type="dxa"/>
            <w:tcBorders>
              <w:bottom w:val="dotted" w:sz="4" w:space="0" w:color="auto"/>
            </w:tcBorders>
            <w:vAlign w:val="center"/>
          </w:tcPr>
          <w:p w14:paraId="6E0E22C1" w14:textId="1B093984" w:rsidR="00196FD3" w:rsidRPr="00EC57FB" w:rsidRDefault="00196FD3" w:rsidP="00684D9D">
            <w:pPr>
              <w:pStyle w:val="TableText0"/>
              <w:jc w:val="center"/>
            </w:pPr>
            <w:r w:rsidRPr="00EC57FB">
              <w:t>49,012</w:t>
            </w:r>
          </w:p>
        </w:tc>
        <w:tc>
          <w:tcPr>
            <w:tcW w:w="2243" w:type="dxa"/>
            <w:tcBorders>
              <w:bottom w:val="dotted" w:sz="4" w:space="0" w:color="auto"/>
            </w:tcBorders>
            <w:vAlign w:val="center"/>
          </w:tcPr>
          <w:p w14:paraId="2F583D07" w14:textId="57E7D46C" w:rsidR="00196FD3" w:rsidRPr="00EC57FB" w:rsidRDefault="00196FD3" w:rsidP="00684D9D">
            <w:pPr>
              <w:pStyle w:val="TableText0"/>
              <w:jc w:val="center"/>
            </w:pPr>
            <w:r w:rsidRPr="00EC57FB">
              <w:t>7,359 (7,130, 7,594)</w:t>
            </w:r>
          </w:p>
        </w:tc>
        <w:tc>
          <w:tcPr>
            <w:tcW w:w="1799" w:type="dxa"/>
            <w:tcBorders>
              <w:bottom w:val="dotted" w:sz="4" w:space="0" w:color="auto"/>
            </w:tcBorders>
            <w:vAlign w:val="center"/>
          </w:tcPr>
          <w:p w14:paraId="6729F335" w14:textId="73CD11F1" w:rsidR="00196FD3" w:rsidRPr="00EC57FB" w:rsidRDefault="00196FD3" w:rsidP="00684D9D">
            <w:pPr>
              <w:pStyle w:val="TableText0"/>
              <w:jc w:val="center"/>
            </w:pPr>
          </w:p>
        </w:tc>
      </w:tr>
      <w:tr w:rsidR="006C56A4" w:rsidRPr="00EC57FB" w14:paraId="3B199D13" w14:textId="77777777" w:rsidTr="009F2FBE">
        <w:tc>
          <w:tcPr>
            <w:tcW w:w="695" w:type="dxa"/>
            <w:tcBorders>
              <w:top w:val="dotted" w:sz="4" w:space="0" w:color="auto"/>
              <w:bottom w:val="dotted" w:sz="4" w:space="0" w:color="auto"/>
            </w:tcBorders>
          </w:tcPr>
          <w:p w14:paraId="4FE873EE" w14:textId="77777777" w:rsidR="00196FD3" w:rsidRPr="00EC57FB" w:rsidRDefault="00196FD3" w:rsidP="00196FD3">
            <w:pPr>
              <w:pStyle w:val="TableText0"/>
            </w:pPr>
          </w:p>
        </w:tc>
        <w:tc>
          <w:tcPr>
            <w:tcW w:w="1976" w:type="dxa"/>
            <w:tcBorders>
              <w:top w:val="dotted" w:sz="4" w:space="0" w:color="auto"/>
              <w:bottom w:val="dotted" w:sz="4" w:space="0" w:color="auto"/>
            </w:tcBorders>
            <w:vAlign w:val="center"/>
          </w:tcPr>
          <w:p w14:paraId="23B44C47" w14:textId="4488BAC3" w:rsidR="00196FD3" w:rsidRPr="00EC57FB" w:rsidRDefault="00196FD3" w:rsidP="00684D9D">
            <w:pPr>
              <w:pStyle w:val="TableText0"/>
              <w:jc w:val="center"/>
            </w:pPr>
            <w:r w:rsidRPr="00EC57FB">
              <w:t>6 – &lt;12</w:t>
            </w:r>
          </w:p>
        </w:tc>
        <w:tc>
          <w:tcPr>
            <w:tcW w:w="1210" w:type="dxa"/>
            <w:tcBorders>
              <w:top w:val="dotted" w:sz="4" w:space="0" w:color="auto"/>
              <w:bottom w:val="dotted" w:sz="4" w:space="0" w:color="auto"/>
            </w:tcBorders>
            <w:vAlign w:val="center"/>
          </w:tcPr>
          <w:p w14:paraId="56DEF8F6" w14:textId="3BFBB916" w:rsidR="00196FD3" w:rsidRPr="00EC57FB" w:rsidRDefault="00196FD3" w:rsidP="00684D9D">
            <w:pPr>
              <w:pStyle w:val="TableText0"/>
              <w:jc w:val="center"/>
            </w:pPr>
            <w:r w:rsidRPr="00EC57FB">
              <w:t>4,976</w:t>
            </w:r>
          </w:p>
        </w:tc>
        <w:tc>
          <w:tcPr>
            <w:tcW w:w="1099" w:type="dxa"/>
            <w:tcBorders>
              <w:top w:val="dotted" w:sz="4" w:space="0" w:color="auto"/>
              <w:bottom w:val="dotted" w:sz="4" w:space="0" w:color="auto"/>
            </w:tcBorders>
            <w:vAlign w:val="center"/>
          </w:tcPr>
          <w:p w14:paraId="4301E5E9" w14:textId="4B3D6082" w:rsidR="00196FD3" w:rsidRPr="00EC57FB" w:rsidRDefault="00196FD3" w:rsidP="00684D9D">
            <w:pPr>
              <w:pStyle w:val="TableText0"/>
              <w:jc w:val="center"/>
            </w:pPr>
            <w:r w:rsidRPr="00EC57FB">
              <w:t>49,012</w:t>
            </w:r>
          </w:p>
        </w:tc>
        <w:tc>
          <w:tcPr>
            <w:tcW w:w="2243" w:type="dxa"/>
            <w:tcBorders>
              <w:top w:val="dotted" w:sz="4" w:space="0" w:color="auto"/>
              <w:bottom w:val="dotted" w:sz="4" w:space="0" w:color="auto"/>
            </w:tcBorders>
            <w:vAlign w:val="center"/>
          </w:tcPr>
          <w:p w14:paraId="3ADDEEBE" w14:textId="484E1E63" w:rsidR="00196FD3" w:rsidRPr="00EC57FB" w:rsidRDefault="00196FD3" w:rsidP="00684D9D">
            <w:pPr>
              <w:pStyle w:val="TableText0"/>
              <w:jc w:val="center"/>
            </w:pPr>
            <w:r w:rsidRPr="00EC57FB">
              <w:t>10,153 (9,887, 10,423)</w:t>
            </w:r>
          </w:p>
        </w:tc>
        <w:tc>
          <w:tcPr>
            <w:tcW w:w="1799" w:type="dxa"/>
            <w:tcBorders>
              <w:top w:val="dotted" w:sz="4" w:space="0" w:color="auto"/>
              <w:bottom w:val="dotted" w:sz="4" w:space="0" w:color="auto"/>
            </w:tcBorders>
            <w:vAlign w:val="center"/>
          </w:tcPr>
          <w:p w14:paraId="6F1CB35B" w14:textId="63D52FD3" w:rsidR="00196FD3" w:rsidRPr="00EC57FB" w:rsidRDefault="00196FD3" w:rsidP="00684D9D">
            <w:pPr>
              <w:pStyle w:val="TableText0"/>
              <w:jc w:val="center"/>
            </w:pPr>
            <w:r w:rsidRPr="00EC57FB">
              <w:t>0.72 (0.69, 0.75)</w:t>
            </w:r>
          </w:p>
        </w:tc>
      </w:tr>
      <w:tr w:rsidR="00157795" w:rsidRPr="00EC57FB" w14:paraId="5B63AF97" w14:textId="77777777" w:rsidTr="009F2FBE">
        <w:tc>
          <w:tcPr>
            <w:tcW w:w="695" w:type="dxa"/>
            <w:tcBorders>
              <w:top w:val="dotted" w:sz="4" w:space="0" w:color="auto"/>
              <w:bottom w:val="single" w:sz="4" w:space="0" w:color="auto"/>
            </w:tcBorders>
          </w:tcPr>
          <w:p w14:paraId="60ABB4D9" w14:textId="0498A246" w:rsidR="00196FD3" w:rsidRPr="00EC57FB" w:rsidRDefault="00196FD3" w:rsidP="00196FD3">
            <w:pPr>
              <w:pStyle w:val="TableText0"/>
            </w:pPr>
          </w:p>
        </w:tc>
        <w:tc>
          <w:tcPr>
            <w:tcW w:w="1976" w:type="dxa"/>
            <w:tcBorders>
              <w:top w:val="dotted" w:sz="4" w:space="0" w:color="auto"/>
              <w:bottom w:val="single" w:sz="4" w:space="0" w:color="auto"/>
            </w:tcBorders>
            <w:vAlign w:val="center"/>
          </w:tcPr>
          <w:p w14:paraId="3645C598" w14:textId="0D35D792" w:rsidR="00196FD3" w:rsidRPr="00EC57FB" w:rsidRDefault="00196FD3" w:rsidP="00684D9D">
            <w:pPr>
              <w:pStyle w:val="TableText0"/>
              <w:jc w:val="center"/>
            </w:pPr>
            <w:r w:rsidRPr="00EC57FB">
              <w:t>12 – &lt;18</w:t>
            </w:r>
          </w:p>
        </w:tc>
        <w:tc>
          <w:tcPr>
            <w:tcW w:w="1210" w:type="dxa"/>
            <w:tcBorders>
              <w:top w:val="dotted" w:sz="4" w:space="0" w:color="auto"/>
              <w:bottom w:val="single" w:sz="4" w:space="0" w:color="auto"/>
            </w:tcBorders>
            <w:vAlign w:val="center"/>
          </w:tcPr>
          <w:p w14:paraId="2DBA2D1D" w14:textId="1EC0829D" w:rsidR="00196FD3" w:rsidRPr="00EC57FB" w:rsidRDefault="00196FD3" w:rsidP="00684D9D">
            <w:pPr>
              <w:pStyle w:val="TableText0"/>
              <w:jc w:val="center"/>
            </w:pPr>
            <w:r w:rsidRPr="00EC57FB">
              <w:t>4,695</w:t>
            </w:r>
          </w:p>
        </w:tc>
        <w:tc>
          <w:tcPr>
            <w:tcW w:w="1099" w:type="dxa"/>
            <w:tcBorders>
              <w:top w:val="dotted" w:sz="4" w:space="0" w:color="auto"/>
              <w:bottom w:val="single" w:sz="4" w:space="0" w:color="auto"/>
            </w:tcBorders>
            <w:vAlign w:val="center"/>
          </w:tcPr>
          <w:p w14:paraId="5A6183A8" w14:textId="1C7586B6" w:rsidR="00196FD3" w:rsidRPr="00EC57FB" w:rsidRDefault="00196FD3" w:rsidP="00684D9D">
            <w:pPr>
              <w:pStyle w:val="TableText0"/>
              <w:jc w:val="center"/>
            </w:pPr>
            <w:r w:rsidRPr="00EC57FB">
              <w:t>47,993</w:t>
            </w:r>
          </w:p>
        </w:tc>
        <w:tc>
          <w:tcPr>
            <w:tcW w:w="2243" w:type="dxa"/>
            <w:tcBorders>
              <w:top w:val="dotted" w:sz="4" w:space="0" w:color="auto"/>
              <w:bottom w:val="single" w:sz="4" w:space="0" w:color="auto"/>
            </w:tcBorders>
            <w:vAlign w:val="center"/>
          </w:tcPr>
          <w:p w14:paraId="6A04A0DD" w14:textId="7F31F41C" w:rsidR="00196FD3" w:rsidRPr="00EC57FB" w:rsidRDefault="00196FD3" w:rsidP="00684D9D">
            <w:pPr>
              <w:pStyle w:val="TableText0"/>
              <w:jc w:val="center"/>
            </w:pPr>
            <w:r w:rsidRPr="00EC57FB">
              <w:t>9,783 (9,518, 10,052)</w:t>
            </w:r>
          </w:p>
        </w:tc>
        <w:tc>
          <w:tcPr>
            <w:tcW w:w="1799" w:type="dxa"/>
            <w:tcBorders>
              <w:top w:val="dotted" w:sz="4" w:space="0" w:color="auto"/>
              <w:bottom w:val="single" w:sz="4" w:space="0" w:color="auto"/>
            </w:tcBorders>
            <w:vAlign w:val="center"/>
          </w:tcPr>
          <w:p w14:paraId="4E9C4083" w14:textId="3A6ED1E1" w:rsidR="00196FD3" w:rsidRPr="00EC57FB" w:rsidRDefault="00196FD3" w:rsidP="00684D9D">
            <w:pPr>
              <w:pStyle w:val="TableText0"/>
              <w:jc w:val="center"/>
            </w:pPr>
            <w:r w:rsidRPr="00EC57FB">
              <w:t>0.75 (0.72, 0.78)</w:t>
            </w:r>
          </w:p>
        </w:tc>
      </w:tr>
    </w:tbl>
    <w:p w14:paraId="123D224E" w14:textId="1314B211" w:rsidR="0057534E" w:rsidRPr="00EC57FB" w:rsidRDefault="009F2FBE" w:rsidP="00907B6D">
      <w:pPr>
        <w:pStyle w:val="TableFigureFooter"/>
        <w:spacing w:after="120"/>
      </w:pPr>
      <w:r w:rsidRPr="00EC57FB">
        <w:t>Source: Table 2.5.14 on p 92 of the resubmission</w:t>
      </w:r>
    </w:p>
    <w:p w14:paraId="4214DC73" w14:textId="36D5D868" w:rsidR="0029468E" w:rsidRPr="00EC57FB" w:rsidRDefault="00245986" w:rsidP="002874D6">
      <w:pPr>
        <w:pStyle w:val="3-BodyText"/>
        <w:rPr>
          <w:iCs/>
        </w:rPr>
      </w:pPr>
      <w:bookmarkStart w:id="95" w:name="_Ref187073570"/>
      <w:r w:rsidRPr="00EC57FB">
        <w:lastRenderedPageBreak/>
        <w:t xml:space="preserve">As </w:t>
      </w:r>
      <w:r w:rsidR="00392A4E" w:rsidRPr="00EC57FB">
        <w:t>shown</w:t>
      </w:r>
      <w:r w:rsidR="0029468E" w:rsidRPr="00EC57FB">
        <w:t xml:space="preserve"> in </w:t>
      </w:r>
      <w:r w:rsidR="0029468E" w:rsidRPr="00EC57FB">
        <w:fldChar w:fldCharType="begin"/>
      </w:r>
      <w:r w:rsidR="0029468E" w:rsidRPr="00EC57FB">
        <w:instrText xml:space="preserve"> REF _Ref185262048 \h </w:instrText>
      </w:r>
      <w:r w:rsidR="005B0533" w:rsidRPr="00EC57FB">
        <w:instrText xml:space="preserve"> \* MERGEFORMAT </w:instrText>
      </w:r>
      <w:r w:rsidR="0029468E" w:rsidRPr="00EC57FB">
        <w:fldChar w:fldCharType="separate"/>
      </w:r>
      <w:r w:rsidR="00502C25" w:rsidRPr="00EC57FB">
        <w:t xml:space="preserve">Table </w:t>
      </w:r>
      <w:r w:rsidR="00502C25">
        <w:t>9</w:t>
      </w:r>
      <w:r w:rsidR="0029468E" w:rsidRPr="00EC57FB">
        <w:fldChar w:fldCharType="end"/>
      </w:r>
      <w:r w:rsidR="001A6409" w:rsidRPr="00EC57FB">
        <w:t xml:space="preserve">, </w:t>
      </w:r>
      <w:r w:rsidR="00CA3726" w:rsidRPr="00EC57FB">
        <w:t>an ITC comparing nirsevimab and no immunisation</w:t>
      </w:r>
      <w:r w:rsidR="00D72639" w:rsidRPr="00EC57FB">
        <w:t xml:space="preserve"> using </w:t>
      </w:r>
      <w:r w:rsidR="001E22DF" w:rsidRPr="00EC57FB">
        <w:t>palivizumab</w:t>
      </w:r>
      <w:r w:rsidR="00D72639" w:rsidRPr="00EC57FB">
        <w:t xml:space="preserve"> as the common reference was possible </w:t>
      </w:r>
      <w:r w:rsidR="003C55AC" w:rsidRPr="00EC57FB">
        <w:t xml:space="preserve">for </w:t>
      </w:r>
      <w:r w:rsidR="004E03BD" w:rsidRPr="00EC57FB">
        <w:t xml:space="preserve">the </w:t>
      </w:r>
      <w:r w:rsidR="005B2B70" w:rsidRPr="00EC57FB">
        <w:t xml:space="preserve">hospitalisation endpoint </w:t>
      </w:r>
      <w:r w:rsidR="00D72639" w:rsidRPr="00EC57FB">
        <w:t xml:space="preserve">but was not provided in </w:t>
      </w:r>
      <w:r w:rsidR="001A6409" w:rsidRPr="00EC57FB">
        <w:t>the resubmission</w:t>
      </w:r>
      <w:r w:rsidR="00D72639" w:rsidRPr="00EC57FB">
        <w:t>.</w:t>
      </w:r>
      <w:r w:rsidR="00394B75" w:rsidRPr="00EC57FB">
        <w:t xml:space="preserve"> </w:t>
      </w:r>
      <w:r w:rsidR="001E22DF" w:rsidRPr="00EC57FB">
        <w:t>Such an</w:t>
      </w:r>
      <w:r w:rsidR="00B40199" w:rsidRPr="00EC57FB">
        <w:t xml:space="preserve"> ITC was conducted during the evaluation based on evidence from the MEDLEY </w:t>
      </w:r>
      <w:r w:rsidR="001E22DF" w:rsidRPr="00EC57FB">
        <w:t>and</w:t>
      </w:r>
      <w:r w:rsidR="00651AC9" w:rsidRPr="00EC57FB">
        <w:t xml:space="preserve"> </w:t>
      </w:r>
      <w:r w:rsidR="001E22DF" w:rsidRPr="00EC57FB">
        <w:t xml:space="preserve">trials reported by </w:t>
      </w:r>
      <w:r w:rsidR="006D0ABF" w:rsidRPr="00EC57FB">
        <w:t xml:space="preserve">the </w:t>
      </w:r>
      <w:r w:rsidR="00783536" w:rsidRPr="00EC57FB">
        <w:t>I</w:t>
      </w:r>
      <w:r w:rsidR="00C2759E" w:rsidRPr="00EC57FB">
        <w:t>M</w:t>
      </w:r>
      <w:r w:rsidR="00783536" w:rsidRPr="00EC57FB">
        <w:t>pact Study Group 1998</w:t>
      </w:r>
      <w:r w:rsidR="000E2D43" w:rsidRPr="00EC57FB">
        <w:t xml:space="preserve"> </w:t>
      </w:r>
      <w:r w:rsidR="006D0ABF" w:rsidRPr="00EC57FB">
        <w:t xml:space="preserve">and Feltes 2003 </w:t>
      </w:r>
      <w:r w:rsidR="000E2D43" w:rsidRPr="00EC57FB">
        <w:t>that</w:t>
      </w:r>
      <w:r w:rsidR="00651AC9" w:rsidRPr="00EC57FB">
        <w:t xml:space="preserve"> each</w:t>
      </w:r>
      <w:r w:rsidR="000E2D43" w:rsidRPr="00EC57FB">
        <w:t xml:space="preserve"> compared palivizumab and </w:t>
      </w:r>
      <w:r w:rsidR="00395025" w:rsidRPr="00EC57FB">
        <w:t>placebo (for no immunisation) in infants with risk conditions.</w:t>
      </w:r>
      <w:r w:rsidR="00783536" w:rsidRPr="00EC57FB">
        <w:t xml:space="preserve"> </w:t>
      </w:r>
      <w:r w:rsidR="00A926A5" w:rsidRPr="00EC57FB">
        <w:t>Results of th</w:t>
      </w:r>
      <w:r w:rsidR="002669D2" w:rsidRPr="00EC57FB">
        <w:t>is ITC are presented in</w:t>
      </w:r>
      <w:r w:rsidR="00AD4867" w:rsidRPr="00EC57FB">
        <w:t xml:space="preserve"> </w:t>
      </w:r>
      <w:r w:rsidR="00AD4867" w:rsidRPr="00EC57FB">
        <w:fldChar w:fldCharType="begin"/>
      </w:r>
      <w:r w:rsidR="00AD4867" w:rsidRPr="00EC57FB">
        <w:instrText xml:space="preserve"> REF _Ref186124754 \h </w:instrText>
      </w:r>
      <w:r w:rsidR="005B0533" w:rsidRPr="00EC57FB">
        <w:instrText xml:space="preserve"> \* MERGEFORMAT </w:instrText>
      </w:r>
      <w:r w:rsidR="00AD4867" w:rsidRPr="00EC57FB">
        <w:fldChar w:fldCharType="separate"/>
      </w:r>
      <w:r w:rsidR="00502C25" w:rsidRPr="00EC57FB">
        <w:t xml:space="preserve">Table </w:t>
      </w:r>
      <w:r w:rsidR="00502C25">
        <w:t>18</w:t>
      </w:r>
      <w:r w:rsidR="00AD4867" w:rsidRPr="00EC57FB">
        <w:fldChar w:fldCharType="end"/>
      </w:r>
      <w:r w:rsidR="00AD4867" w:rsidRPr="00EC57FB">
        <w:t>.</w:t>
      </w:r>
      <w:r w:rsidR="00C540BF" w:rsidRPr="00EC57FB">
        <w:t xml:space="preserve"> </w:t>
      </w:r>
      <w:r w:rsidR="00EC197B" w:rsidRPr="00EC57FB">
        <w:t xml:space="preserve">There is a substantial difference </w:t>
      </w:r>
      <w:r w:rsidR="004D2328" w:rsidRPr="00EC57FB">
        <w:t xml:space="preserve">in the incidence of hospitalisation in the </w:t>
      </w:r>
      <w:r w:rsidR="00C84D79" w:rsidRPr="00EC57FB">
        <w:t xml:space="preserve">palivizumab arm of the MEDLEY and the palivizumab arms of the trials reported by the IMpact Study Group 1998 and Feltes 2003. The difference </w:t>
      </w:r>
      <w:r w:rsidR="00C62D49" w:rsidRPr="00EC57FB">
        <w:t>potentially indicates</w:t>
      </w:r>
      <w:r w:rsidR="00C84D79" w:rsidRPr="00EC57FB">
        <w:t xml:space="preserve"> that </w:t>
      </w:r>
      <w:r w:rsidR="00A76DFA" w:rsidRPr="00EC57FB">
        <w:t xml:space="preserve">infants included in the </w:t>
      </w:r>
      <w:r w:rsidR="008F07AA" w:rsidRPr="00EC57FB">
        <w:t>palivizumab</w:t>
      </w:r>
      <w:r w:rsidR="0083560A" w:rsidRPr="00EC57FB">
        <w:t xml:space="preserve"> placebo-controlled</w:t>
      </w:r>
      <w:r w:rsidR="00A76DFA" w:rsidRPr="00EC57FB">
        <w:t xml:space="preserve"> trials were</w:t>
      </w:r>
      <w:r w:rsidR="00B8350E" w:rsidRPr="00EC57FB">
        <w:t xml:space="preserve"> at</w:t>
      </w:r>
      <w:r w:rsidR="00F77FB6" w:rsidRPr="00EC57FB">
        <w:t xml:space="preserve"> higher risk </w:t>
      </w:r>
      <w:r w:rsidR="00E70366" w:rsidRPr="00EC57FB">
        <w:t xml:space="preserve">of hospitalisation </w:t>
      </w:r>
      <w:r w:rsidR="00A27D0B" w:rsidRPr="00EC57FB">
        <w:t xml:space="preserve">at baseline </w:t>
      </w:r>
      <w:r w:rsidR="00F77FB6" w:rsidRPr="00EC57FB">
        <w:t>than infants included in the MEDLEY trial</w:t>
      </w:r>
      <w:r w:rsidR="00A510A0" w:rsidRPr="00EC57FB">
        <w:t xml:space="preserve"> and thus an assumption of transitivity of the populations </w:t>
      </w:r>
      <w:r w:rsidR="00D93033" w:rsidRPr="00EC57FB">
        <w:t xml:space="preserve">across the trials </w:t>
      </w:r>
      <w:r w:rsidR="00CF72DC" w:rsidRPr="00EC57FB">
        <w:t>could potentially</w:t>
      </w:r>
      <w:r w:rsidR="00D93033" w:rsidRPr="00EC57FB">
        <w:t xml:space="preserve"> be violated</w:t>
      </w:r>
      <w:r w:rsidR="00F77FB6" w:rsidRPr="00EC57FB">
        <w:t xml:space="preserve">. </w:t>
      </w:r>
      <w:r w:rsidR="000005EC" w:rsidRPr="00EC57FB">
        <w:t xml:space="preserve">The IMpact trial </w:t>
      </w:r>
      <w:r w:rsidR="00EF7734" w:rsidRPr="00EC57FB">
        <w:t>recruited</w:t>
      </w:r>
      <w:r w:rsidR="00F51B47" w:rsidRPr="00EC57FB">
        <w:t xml:space="preserve">: (i) preterm infants up to 6 months of age born with a gestational age ≤ 35 weeks; and (ii) </w:t>
      </w:r>
      <w:r w:rsidR="006864B8" w:rsidRPr="00EC57FB">
        <w:t>children up to 24 months of age with a clinical diagnosis of</w:t>
      </w:r>
      <w:r w:rsidR="009768EE" w:rsidRPr="00EC57FB">
        <w:t xml:space="preserve"> bronchopulmonary dysplasia (BPD)</w:t>
      </w:r>
      <w:r w:rsidR="006E7630" w:rsidRPr="00EC57FB">
        <w:t>. The trial reported by Feltes 2003</w:t>
      </w:r>
      <w:r w:rsidR="006864B8" w:rsidRPr="00EC57FB">
        <w:t xml:space="preserve"> </w:t>
      </w:r>
      <w:r w:rsidR="00CF72DC" w:rsidRPr="00EC57FB">
        <w:t>recruited infants</w:t>
      </w:r>
      <w:r w:rsidR="00C06F40" w:rsidRPr="00EC57FB">
        <w:t xml:space="preserve"> </w:t>
      </w:r>
      <w:r w:rsidR="00F86CB1" w:rsidRPr="00EC57FB">
        <w:t>up to 24 months of age with haemodynamically significant CHD</w:t>
      </w:r>
      <w:r w:rsidR="004255FD" w:rsidRPr="00EC57FB">
        <w:t xml:space="preserve">. </w:t>
      </w:r>
      <w:r w:rsidR="009757A6" w:rsidRPr="00EC57FB">
        <w:t>However, a</w:t>
      </w:r>
      <w:r w:rsidR="004255FD" w:rsidRPr="00EC57FB">
        <w:t>s noted</w:t>
      </w:r>
      <w:r w:rsidR="00F51B47" w:rsidRPr="00EC57FB">
        <w:t xml:space="preserve"> </w:t>
      </w:r>
      <w:r w:rsidR="00DF581A" w:rsidRPr="00EC57FB">
        <w:t xml:space="preserve">in the MEDLEY clinical study report, </w:t>
      </w:r>
      <w:r w:rsidR="002874D6" w:rsidRPr="00EC57FB">
        <w:t>COVID-19 pandemic-related measures</w:t>
      </w:r>
      <w:r w:rsidR="004B3DCE" w:rsidRPr="00EC57FB">
        <w:t xml:space="preserve"> may have </w:t>
      </w:r>
      <w:r w:rsidR="002874D6" w:rsidRPr="00EC57FB">
        <w:t>reduced RSV circulation</w:t>
      </w:r>
      <w:r w:rsidR="005E2046" w:rsidRPr="00EC57FB">
        <w:t xml:space="preserve"> during the conduct of the trial (</w:t>
      </w:r>
      <w:r w:rsidR="00115778" w:rsidRPr="00EC57FB">
        <w:t xml:space="preserve">recruitment </w:t>
      </w:r>
      <w:r w:rsidR="00605B45" w:rsidRPr="00EC57FB">
        <w:t>for infants</w:t>
      </w:r>
      <w:r w:rsidR="00DC5699" w:rsidRPr="00EC57FB">
        <w:t xml:space="preserve"> entering their first RSV season </w:t>
      </w:r>
      <w:r w:rsidR="00115778" w:rsidRPr="00EC57FB">
        <w:t>began in mid</w:t>
      </w:r>
      <w:r w:rsidR="005C68DC" w:rsidRPr="00EC57FB">
        <w:t>-</w:t>
      </w:r>
      <w:r w:rsidR="00115778" w:rsidRPr="00EC57FB">
        <w:t xml:space="preserve">2019 </w:t>
      </w:r>
      <w:r w:rsidR="00C23C1A" w:rsidRPr="00EC57FB">
        <w:t xml:space="preserve">and </w:t>
      </w:r>
      <w:r w:rsidR="00BB019E" w:rsidRPr="00EC57FB">
        <w:t xml:space="preserve">all patients had been followed </w:t>
      </w:r>
      <w:r w:rsidR="00F374AA" w:rsidRPr="00EC57FB">
        <w:t xml:space="preserve">up for 150 days by </w:t>
      </w:r>
      <w:r w:rsidR="0096580A" w:rsidRPr="00EC57FB">
        <w:t>mid 2021</w:t>
      </w:r>
      <w:r w:rsidR="00AD1A71" w:rsidRPr="00EC57FB">
        <w:t>)</w:t>
      </w:r>
      <w:r w:rsidR="0096580A" w:rsidRPr="00EC57FB">
        <w:t xml:space="preserve"> </w:t>
      </w:r>
      <w:r w:rsidR="00115778" w:rsidRPr="00EC57FB">
        <w:t>and</w:t>
      </w:r>
      <w:r w:rsidR="002874D6" w:rsidRPr="00EC57FB">
        <w:t xml:space="preserve"> </w:t>
      </w:r>
      <w:r w:rsidR="00E2469A" w:rsidRPr="00EC57FB">
        <w:t>resulted in lower than</w:t>
      </w:r>
      <w:r w:rsidR="00E2469A" w:rsidRPr="00EC57FB">
        <w:rPr>
          <w:iCs/>
        </w:rPr>
        <w:t xml:space="preserve"> </w:t>
      </w:r>
      <w:r w:rsidR="00E2469A" w:rsidRPr="00EC57FB">
        <w:t>usual</w:t>
      </w:r>
      <w:r w:rsidR="002874D6" w:rsidRPr="00EC57FB">
        <w:t xml:space="preserve"> event rates</w:t>
      </w:r>
      <w:r w:rsidR="00E2469A" w:rsidRPr="00EC57FB">
        <w:t xml:space="preserve">. </w:t>
      </w:r>
      <w:r w:rsidR="0013689C" w:rsidRPr="00EC57FB">
        <w:t xml:space="preserve">As can be seen from </w:t>
      </w:r>
      <w:r w:rsidR="004932D8" w:rsidRPr="00EC57FB">
        <w:t xml:space="preserve">the last row of </w:t>
      </w:r>
      <w:r w:rsidR="004932D8" w:rsidRPr="00EC57FB">
        <w:fldChar w:fldCharType="begin"/>
      </w:r>
      <w:r w:rsidR="004932D8" w:rsidRPr="00EC57FB">
        <w:instrText xml:space="preserve"> REF _Ref186124754 \h </w:instrText>
      </w:r>
      <w:r w:rsidR="00046B0B" w:rsidRPr="00EC57FB">
        <w:instrText xml:space="preserve"> \* MERGEFORMAT </w:instrText>
      </w:r>
      <w:r w:rsidR="004932D8" w:rsidRPr="00EC57FB">
        <w:fldChar w:fldCharType="separate"/>
      </w:r>
      <w:r w:rsidR="00502C25" w:rsidRPr="00EC57FB">
        <w:t xml:space="preserve">Table </w:t>
      </w:r>
      <w:r w:rsidR="00502C25">
        <w:t>18</w:t>
      </w:r>
      <w:r w:rsidR="004932D8" w:rsidRPr="00EC57FB">
        <w:fldChar w:fldCharType="end"/>
      </w:r>
      <w:r w:rsidR="004932D8" w:rsidRPr="00EC57FB">
        <w:t>,</w:t>
      </w:r>
      <w:r w:rsidR="00C540BF" w:rsidRPr="00EC57FB">
        <w:t xml:space="preserve"> the point</w:t>
      </w:r>
      <w:r w:rsidR="005B0533" w:rsidRPr="00EC57FB">
        <w:t xml:space="preserve"> estimate</w:t>
      </w:r>
      <w:r w:rsidR="00871B53" w:rsidRPr="00EC57FB">
        <w:t xml:space="preserve"> </w:t>
      </w:r>
      <w:r w:rsidR="005B0533" w:rsidRPr="00EC57FB">
        <w:t>of the</w:t>
      </w:r>
      <w:r w:rsidR="0054636D" w:rsidRPr="00EC57FB">
        <w:t xml:space="preserve"> efficacy</w:t>
      </w:r>
      <w:r w:rsidR="005B0533" w:rsidRPr="00EC57FB">
        <w:t xml:space="preserve"> </w:t>
      </w:r>
      <w:r w:rsidR="0080637C" w:rsidRPr="00EC57FB">
        <w:t>outcome</w:t>
      </w:r>
      <w:r w:rsidR="005B0533" w:rsidRPr="00EC57FB">
        <w:t xml:space="preserve"> </w:t>
      </w:r>
      <w:r w:rsidR="0080637C" w:rsidRPr="00EC57FB">
        <w:t>from</w:t>
      </w:r>
      <w:r w:rsidR="005B0533" w:rsidRPr="00EC57FB">
        <w:t xml:space="preserve"> the ITC</w:t>
      </w:r>
      <w:r w:rsidR="004932D8" w:rsidRPr="00EC57FB">
        <w:t xml:space="preserve"> comparing nirsevimab </w:t>
      </w:r>
      <w:r w:rsidR="0054636D" w:rsidRPr="00EC57FB">
        <w:t>with placebo (for no immunisation)</w:t>
      </w:r>
      <w:r w:rsidR="00C540BF" w:rsidRPr="00EC57FB">
        <w:t xml:space="preserve"> </w:t>
      </w:r>
      <w:r w:rsidR="004C7C94" w:rsidRPr="00EC57FB">
        <w:t xml:space="preserve">is in favour of </w:t>
      </w:r>
      <w:r w:rsidR="00632C71" w:rsidRPr="00EC57FB">
        <w:t>nirsevimab</w:t>
      </w:r>
      <w:r w:rsidR="00FA5C91" w:rsidRPr="00EC57FB">
        <w:t xml:space="preserve"> </w:t>
      </w:r>
      <w:r w:rsidR="0080637C" w:rsidRPr="00EC57FB">
        <w:t xml:space="preserve">and </w:t>
      </w:r>
      <w:r w:rsidR="004774A2" w:rsidRPr="00EC57FB">
        <w:t>is approximately consi</w:t>
      </w:r>
      <w:r w:rsidR="00A7065A" w:rsidRPr="00EC57FB">
        <w:t>stent with the outcomes observed in health</w:t>
      </w:r>
      <w:r w:rsidR="0083560A" w:rsidRPr="00EC57FB">
        <w:t>y</w:t>
      </w:r>
      <w:r w:rsidR="00A7065A" w:rsidRPr="00EC57FB">
        <w:t xml:space="preserve"> children however</w:t>
      </w:r>
      <w:r w:rsidR="00632C71" w:rsidRPr="00EC57FB">
        <w:t xml:space="preserve"> the</w:t>
      </w:r>
      <w:r w:rsidR="00A7065A" w:rsidRPr="00EC57FB">
        <w:t xml:space="preserve"> confidence interval is very wide and the</w:t>
      </w:r>
      <w:r w:rsidR="00632C71" w:rsidRPr="00EC57FB">
        <w:t xml:space="preserve"> difference vs placebo does not reach statist</w:t>
      </w:r>
      <w:r w:rsidR="000E3D88" w:rsidRPr="00EC57FB">
        <w:t>ical significance</w:t>
      </w:r>
      <w:r w:rsidR="00236EFC" w:rsidRPr="00EC57FB">
        <w:t xml:space="preserve">. This is likely due to </w:t>
      </w:r>
      <w:r w:rsidR="000E3D88" w:rsidRPr="00EC57FB">
        <w:t>the wide confidence interval around the difference in effectiveness between nirsevimab and palivizumab</w:t>
      </w:r>
      <w:r w:rsidR="0089567D" w:rsidRPr="00EC57FB">
        <w:t xml:space="preserve"> in the MEDLEY trial</w:t>
      </w:r>
      <w:r w:rsidR="00752CD9" w:rsidRPr="00EC57FB">
        <w:t>, which was not</w:t>
      </w:r>
      <w:r w:rsidR="005B2B70" w:rsidRPr="00EC57FB">
        <w:t xml:space="preserve"> designed to establish non-inferiority of nirsevimab </w:t>
      </w:r>
      <w:r w:rsidR="007D456C" w:rsidRPr="00EC57FB">
        <w:t>compared to palivizumab</w:t>
      </w:r>
      <w:r w:rsidR="009579FF" w:rsidRPr="00EC57FB">
        <w:t xml:space="preserve"> from an effectiveness point of view</w:t>
      </w:r>
      <w:r w:rsidR="007D456C" w:rsidRPr="00EC57FB">
        <w:t>.</w:t>
      </w:r>
      <w:bookmarkEnd w:id="91"/>
      <w:bookmarkEnd w:id="95"/>
    </w:p>
    <w:p w14:paraId="64C8F1B9" w14:textId="4A713F04" w:rsidR="002669D2" w:rsidRPr="00EC57FB" w:rsidRDefault="002669D2" w:rsidP="002669D2">
      <w:pPr>
        <w:pStyle w:val="Caption"/>
      </w:pPr>
      <w:bookmarkStart w:id="96" w:name="_Ref186124754"/>
      <w:bookmarkStart w:id="97" w:name="_Ref186217956"/>
      <w:r w:rsidRPr="00EC57FB">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18</w:t>
      </w:r>
      <w:r w:rsidR="00C51E7C" w:rsidRPr="00EC57FB">
        <w:fldChar w:fldCharType="end"/>
      </w:r>
      <w:bookmarkEnd w:id="96"/>
      <w:r w:rsidRPr="00EC57FB">
        <w:t>:</w:t>
      </w:r>
      <w:r w:rsidR="00917EDF" w:rsidRPr="00EC57FB">
        <w:t xml:space="preserve"> Results of an indirect treatment comparison comparing nirse</w:t>
      </w:r>
      <w:r w:rsidR="00CA0CCA" w:rsidRPr="00EC57FB">
        <w:t>vimab and no immunisation using palivizumab as the common reference</w:t>
      </w:r>
      <w:bookmarkEnd w:id="97"/>
    </w:p>
    <w:tbl>
      <w:tblPr>
        <w:tblStyle w:val="TableGrid"/>
        <w:tblW w:w="5077" w:type="pct"/>
        <w:tblInd w:w="-5" w:type="dxa"/>
        <w:tblLook w:val="04A0" w:firstRow="1" w:lastRow="0" w:firstColumn="1" w:lastColumn="0" w:noHBand="0" w:noVBand="1"/>
      </w:tblPr>
      <w:tblGrid>
        <w:gridCol w:w="2272"/>
        <w:gridCol w:w="1721"/>
        <w:gridCol w:w="1721"/>
        <w:gridCol w:w="1721"/>
        <w:gridCol w:w="1721"/>
      </w:tblGrid>
      <w:tr w:rsidR="00D13FDA" w:rsidRPr="00EC57FB" w14:paraId="5577FA8D" w14:textId="77777777" w:rsidTr="00617B36">
        <w:tc>
          <w:tcPr>
            <w:tcW w:w="1240" w:type="pct"/>
            <w:vAlign w:val="center"/>
          </w:tcPr>
          <w:p w14:paraId="2F2E29B1" w14:textId="0176FA59" w:rsidR="008D606E" w:rsidRPr="00EC57FB" w:rsidRDefault="008D606E">
            <w:pPr>
              <w:pStyle w:val="BodyText"/>
              <w:keepNext/>
              <w:rPr>
                <w:rFonts w:ascii="Arial Narrow" w:hAnsi="Arial Narrow" w:cstheme="minorHAnsi"/>
                <w:b/>
                <w:bCs/>
                <w:sz w:val="20"/>
                <w:szCs w:val="20"/>
              </w:rPr>
            </w:pPr>
            <w:r w:rsidRPr="00EC57FB">
              <w:rPr>
                <w:rFonts w:ascii="Arial Narrow" w:hAnsi="Arial Narrow" w:cstheme="minorHAnsi"/>
                <w:b/>
                <w:bCs/>
                <w:sz w:val="20"/>
                <w:szCs w:val="20"/>
              </w:rPr>
              <w:t>Trial</w:t>
            </w:r>
            <w:r w:rsidR="000D347C" w:rsidRPr="00EC57FB">
              <w:rPr>
                <w:rFonts w:ascii="Arial Narrow" w:hAnsi="Arial Narrow" w:cstheme="minorHAnsi"/>
                <w:b/>
                <w:bCs/>
                <w:sz w:val="20"/>
                <w:szCs w:val="20"/>
              </w:rPr>
              <w:t xml:space="preserve"> &amp; endpoint</w:t>
            </w:r>
          </w:p>
        </w:tc>
        <w:tc>
          <w:tcPr>
            <w:tcW w:w="940" w:type="pct"/>
            <w:vAlign w:val="center"/>
          </w:tcPr>
          <w:p w14:paraId="19023E40" w14:textId="569D2820" w:rsidR="008D606E" w:rsidRPr="00EC57FB" w:rsidRDefault="000D347C">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Nirsevimab</w:t>
            </w:r>
          </w:p>
          <w:p w14:paraId="061AD3A7" w14:textId="77777777" w:rsidR="008D606E" w:rsidRPr="00EC57FB" w:rsidRDefault="008D606E">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n/N (%)</w:t>
            </w:r>
          </w:p>
        </w:tc>
        <w:tc>
          <w:tcPr>
            <w:tcW w:w="940" w:type="pct"/>
            <w:vAlign w:val="center"/>
          </w:tcPr>
          <w:p w14:paraId="4E365C33" w14:textId="1F028CD5" w:rsidR="008D606E" w:rsidRPr="00EC57FB" w:rsidRDefault="000D347C">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Palivizumab</w:t>
            </w:r>
          </w:p>
          <w:p w14:paraId="167BE2A7" w14:textId="77777777" w:rsidR="008D606E" w:rsidRPr="00EC57FB" w:rsidRDefault="008D606E">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n/N (%)</w:t>
            </w:r>
          </w:p>
        </w:tc>
        <w:tc>
          <w:tcPr>
            <w:tcW w:w="940" w:type="pct"/>
          </w:tcPr>
          <w:p w14:paraId="20F73D74" w14:textId="16A94F45" w:rsidR="000D347C" w:rsidRPr="00EC57FB" w:rsidRDefault="000D347C" w:rsidP="000D347C">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Placebo</w:t>
            </w:r>
          </w:p>
          <w:p w14:paraId="35490399" w14:textId="47FD41FD" w:rsidR="008D606E" w:rsidRPr="00EC57FB" w:rsidRDefault="000D347C" w:rsidP="000D347C">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n/N (%)</w:t>
            </w:r>
          </w:p>
        </w:tc>
        <w:tc>
          <w:tcPr>
            <w:tcW w:w="941" w:type="pct"/>
            <w:vAlign w:val="center"/>
          </w:tcPr>
          <w:p w14:paraId="29B2D724" w14:textId="267A727D" w:rsidR="008D606E" w:rsidRPr="00EC57FB" w:rsidRDefault="00AD4867">
            <w:pPr>
              <w:pStyle w:val="BodyText"/>
              <w:keepNext/>
              <w:jc w:val="center"/>
              <w:rPr>
                <w:rFonts w:ascii="Arial Narrow" w:hAnsi="Arial Narrow" w:cstheme="minorHAnsi"/>
                <w:b/>
                <w:bCs/>
                <w:sz w:val="20"/>
                <w:szCs w:val="20"/>
              </w:rPr>
            </w:pPr>
            <w:r w:rsidRPr="00EC57FB">
              <w:rPr>
                <w:rFonts w:ascii="Arial Narrow" w:hAnsi="Arial Narrow" w:cstheme="minorHAnsi"/>
                <w:b/>
                <w:bCs/>
                <w:sz w:val="20"/>
                <w:szCs w:val="20"/>
              </w:rPr>
              <w:t>Relative risk</w:t>
            </w:r>
          </w:p>
          <w:p w14:paraId="4CF45BF1" w14:textId="73888B20" w:rsidR="008D606E" w:rsidRPr="00EC57FB" w:rsidRDefault="008D606E">
            <w:pPr>
              <w:pStyle w:val="BodyText"/>
              <w:keepNext/>
              <w:jc w:val="center"/>
              <w:rPr>
                <w:rFonts w:ascii="Arial Narrow" w:hAnsi="Arial Narrow" w:cstheme="minorHAnsi"/>
                <w:b/>
                <w:bCs/>
                <w:sz w:val="20"/>
                <w:szCs w:val="20"/>
                <w:vertAlign w:val="superscript"/>
              </w:rPr>
            </w:pPr>
            <w:r w:rsidRPr="00EC57FB">
              <w:rPr>
                <w:rFonts w:ascii="Arial Narrow" w:hAnsi="Arial Narrow" w:cstheme="minorHAnsi"/>
                <w:b/>
                <w:bCs/>
                <w:sz w:val="20"/>
                <w:szCs w:val="20"/>
              </w:rPr>
              <w:t>(</w:t>
            </w:r>
            <w:r w:rsidR="0045569A" w:rsidRPr="00EC57FB">
              <w:rPr>
                <w:rFonts w:ascii="Arial Narrow" w:hAnsi="Arial Narrow" w:cstheme="minorHAnsi"/>
                <w:b/>
                <w:bCs/>
                <w:sz w:val="20"/>
                <w:szCs w:val="20"/>
              </w:rPr>
              <w:t xml:space="preserve">95% </w:t>
            </w:r>
            <w:r w:rsidRPr="00EC57FB">
              <w:rPr>
                <w:rFonts w:ascii="Arial Narrow" w:hAnsi="Arial Narrow" w:cstheme="minorHAnsi"/>
                <w:b/>
                <w:bCs/>
                <w:sz w:val="20"/>
                <w:szCs w:val="20"/>
              </w:rPr>
              <w:t>CI)</w:t>
            </w:r>
          </w:p>
        </w:tc>
      </w:tr>
      <w:tr w:rsidR="006A7BEE" w:rsidRPr="00EC57FB" w14:paraId="50CC1646" w14:textId="77777777" w:rsidTr="00B84349">
        <w:tc>
          <w:tcPr>
            <w:tcW w:w="5000" w:type="pct"/>
            <w:gridSpan w:val="5"/>
            <w:vAlign w:val="center"/>
          </w:tcPr>
          <w:p w14:paraId="2B82B7A6" w14:textId="2B61D60C" w:rsidR="00B84349" w:rsidRPr="00EC57FB" w:rsidRDefault="003C55AC" w:rsidP="00B84349">
            <w:pPr>
              <w:pStyle w:val="BodyText"/>
              <w:keepNext/>
              <w:rPr>
                <w:rFonts w:ascii="Arial Narrow" w:hAnsi="Arial Narrow" w:cstheme="minorHAnsi"/>
                <w:b/>
                <w:bCs/>
                <w:sz w:val="20"/>
                <w:szCs w:val="20"/>
              </w:rPr>
            </w:pPr>
            <w:r w:rsidRPr="00EC57FB">
              <w:rPr>
                <w:rFonts w:ascii="Arial Narrow" w:hAnsi="Arial Narrow" w:cstheme="minorHAnsi"/>
                <w:b/>
                <w:bCs/>
                <w:sz w:val="20"/>
                <w:szCs w:val="20"/>
              </w:rPr>
              <w:t xml:space="preserve">Hospitalisation for RSV-related </w:t>
            </w:r>
            <w:r w:rsidR="00B84349" w:rsidRPr="00EC57FB">
              <w:rPr>
                <w:rFonts w:ascii="Arial Narrow" w:hAnsi="Arial Narrow" w:cstheme="minorHAnsi"/>
                <w:b/>
                <w:bCs/>
                <w:sz w:val="20"/>
                <w:szCs w:val="20"/>
              </w:rPr>
              <w:t>LRTI through to Day 150</w:t>
            </w:r>
            <w:r w:rsidR="00F718A9" w:rsidRPr="00EC57FB">
              <w:rPr>
                <w:rFonts w:ascii="Arial Narrow" w:hAnsi="Arial Narrow" w:cstheme="minorHAnsi"/>
                <w:b/>
                <w:bCs/>
                <w:sz w:val="20"/>
                <w:szCs w:val="20"/>
              </w:rPr>
              <w:t xml:space="preserve"> after initial dose (Season 1)</w:t>
            </w:r>
          </w:p>
        </w:tc>
      </w:tr>
      <w:tr w:rsidR="006A7BEE" w:rsidRPr="00EC57FB" w14:paraId="6B0E9259" w14:textId="77777777" w:rsidTr="00617B36">
        <w:tc>
          <w:tcPr>
            <w:tcW w:w="1240" w:type="pct"/>
            <w:vAlign w:val="center"/>
          </w:tcPr>
          <w:p w14:paraId="7606020D" w14:textId="2B1B62F4" w:rsidR="008D606E" w:rsidRPr="00EC57FB" w:rsidRDefault="0045569A">
            <w:pPr>
              <w:pStyle w:val="BodyText"/>
              <w:keepNext/>
              <w:rPr>
                <w:rFonts w:ascii="Arial Narrow" w:hAnsi="Arial Narrow" w:cstheme="minorHAnsi"/>
                <w:sz w:val="20"/>
                <w:szCs w:val="20"/>
              </w:rPr>
            </w:pPr>
            <w:r w:rsidRPr="00EC57FB">
              <w:rPr>
                <w:rFonts w:ascii="Arial Narrow" w:hAnsi="Arial Narrow" w:cstheme="minorHAnsi"/>
                <w:sz w:val="20"/>
                <w:szCs w:val="20"/>
              </w:rPr>
              <w:t>MEDLEY</w:t>
            </w:r>
          </w:p>
        </w:tc>
        <w:tc>
          <w:tcPr>
            <w:tcW w:w="940" w:type="pct"/>
            <w:vAlign w:val="center"/>
          </w:tcPr>
          <w:p w14:paraId="5F89B0BF" w14:textId="30B3CD34" w:rsidR="008D606E" w:rsidRPr="00EC57FB" w:rsidRDefault="00353EB9" w:rsidP="00696E70">
            <w:pPr>
              <w:pStyle w:val="TableText0"/>
              <w:jc w:val="center"/>
              <w:rPr>
                <w:rFonts w:cstheme="minorHAnsi"/>
                <w:szCs w:val="20"/>
              </w:rPr>
            </w:pPr>
            <w:r w:rsidRPr="00EC57FB">
              <w:t>2/616</w:t>
            </w:r>
            <w:r w:rsidR="00CA2BDF" w:rsidRPr="00EC57FB">
              <w:t xml:space="preserve"> (</w:t>
            </w:r>
            <w:r w:rsidRPr="00EC57FB">
              <w:t>0.3</w:t>
            </w:r>
            <w:r w:rsidR="008D606E" w:rsidRPr="00EC57FB">
              <w:t>%)</w:t>
            </w:r>
          </w:p>
        </w:tc>
        <w:tc>
          <w:tcPr>
            <w:tcW w:w="940" w:type="pct"/>
            <w:vAlign w:val="center"/>
          </w:tcPr>
          <w:p w14:paraId="404E6B53" w14:textId="48E94C7A" w:rsidR="008D606E" w:rsidRPr="00EC57FB" w:rsidRDefault="00353EB9" w:rsidP="00696E70">
            <w:pPr>
              <w:pStyle w:val="TableText0"/>
              <w:jc w:val="center"/>
              <w:rPr>
                <w:rFonts w:cstheme="minorHAnsi"/>
                <w:szCs w:val="20"/>
              </w:rPr>
            </w:pPr>
            <w:r w:rsidRPr="00EC57FB">
              <w:t>2/309</w:t>
            </w:r>
            <w:r w:rsidR="008D606E" w:rsidRPr="00EC57FB">
              <w:t xml:space="preserve"> (</w:t>
            </w:r>
            <w:r w:rsidR="00696E70" w:rsidRPr="00EC57FB">
              <w:t>0.6</w:t>
            </w:r>
            <w:r w:rsidR="008D606E" w:rsidRPr="00EC57FB">
              <w:t>%)</w:t>
            </w:r>
          </w:p>
        </w:tc>
        <w:tc>
          <w:tcPr>
            <w:tcW w:w="940" w:type="pct"/>
            <w:vAlign w:val="center"/>
          </w:tcPr>
          <w:p w14:paraId="65A972D7" w14:textId="71E1A986" w:rsidR="008D606E" w:rsidRPr="00EC57FB" w:rsidRDefault="006C4971" w:rsidP="00696E70">
            <w:pPr>
              <w:pStyle w:val="TableText0"/>
              <w:jc w:val="center"/>
            </w:pPr>
            <w:r w:rsidRPr="00EC57FB">
              <w:t>N/A</w:t>
            </w:r>
          </w:p>
        </w:tc>
        <w:tc>
          <w:tcPr>
            <w:tcW w:w="941" w:type="pct"/>
            <w:vAlign w:val="center"/>
          </w:tcPr>
          <w:p w14:paraId="1B782420" w14:textId="31C639FE" w:rsidR="008D606E" w:rsidRPr="00EC57FB" w:rsidRDefault="005E232A" w:rsidP="00696E70">
            <w:pPr>
              <w:pStyle w:val="TableText0"/>
              <w:jc w:val="center"/>
              <w:rPr>
                <w:rFonts w:cstheme="minorHAnsi"/>
                <w:iCs/>
                <w:szCs w:val="20"/>
              </w:rPr>
            </w:pPr>
            <w:r w:rsidRPr="00EC57FB">
              <w:rPr>
                <w:rFonts w:cstheme="minorHAnsi"/>
                <w:iCs/>
                <w:szCs w:val="20"/>
              </w:rPr>
              <w:t>0.50 (0.07 3.54)</w:t>
            </w:r>
          </w:p>
        </w:tc>
      </w:tr>
      <w:tr w:rsidR="006A7BEE" w:rsidRPr="00EC57FB" w14:paraId="03E6CF02" w14:textId="77777777" w:rsidTr="00617B36">
        <w:tc>
          <w:tcPr>
            <w:tcW w:w="1240" w:type="pct"/>
            <w:vAlign w:val="center"/>
          </w:tcPr>
          <w:p w14:paraId="43855575" w14:textId="4FB32D6B" w:rsidR="006D0ABF" w:rsidRPr="00EC57FB" w:rsidRDefault="00D576EE">
            <w:pPr>
              <w:pStyle w:val="BodyText"/>
              <w:keepNext/>
              <w:rPr>
                <w:rFonts w:ascii="Arial Narrow" w:hAnsi="Arial Narrow" w:cstheme="minorHAnsi"/>
                <w:sz w:val="20"/>
                <w:szCs w:val="20"/>
              </w:rPr>
            </w:pPr>
            <w:r w:rsidRPr="00EC57FB">
              <w:rPr>
                <w:rFonts w:ascii="Arial Narrow" w:hAnsi="Arial Narrow" w:cstheme="minorHAnsi"/>
                <w:sz w:val="20"/>
                <w:szCs w:val="20"/>
              </w:rPr>
              <w:t>I</w:t>
            </w:r>
            <w:r w:rsidR="00617B36" w:rsidRPr="00EC57FB">
              <w:rPr>
                <w:rFonts w:ascii="Arial Narrow" w:hAnsi="Arial Narrow" w:cstheme="minorHAnsi"/>
                <w:sz w:val="20"/>
                <w:szCs w:val="20"/>
              </w:rPr>
              <w:t>M</w:t>
            </w:r>
            <w:r w:rsidRPr="00EC57FB">
              <w:rPr>
                <w:rFonts w:ascii="Arial Narrow" w:hAnsi="Arial Narrow" w:cstheme="minorHAnsi"/>
                <w:sz w:val="20"/>
                <w:szCs w:val="20"/>
              </w:rPr>
              <w:t>pact</w:t>
            </w:r>
            <w:r w:rsidR="00617B36" w:rsidRPr="00EC57FB">
              <w:rPr>
                <w:rFonts w:ascii="Arial Narrow" w:hAnsi="Arial Narrow" w:cstheme="minorHAnsi"/>
                <w:sz w:val="20"/>
                <w:szCs w:val="20"/>
              </w:rPr>
              <w:t xml:space="preserve"> Study Group 1998</w:t>
            </w:r>
          </w:p>
        </w:tc>
        <w:tc>
          <w:tcPr>
            <w:tcW w:w="940" w:type="pct"/>
            <w:vAlign w:val="center"/>
          </w:tcPr>
          <w:p w14:paraId="6D2C2FF0" w14:textId="3966C69B" w:rsidR="006D0ABF" w:rsidRPr="00EC57FB" w:rsidRDefault="00701248" w:rsidP="00696E70">
            <w:pPr>
              <w:pStyle w:val="TableText0"/>
              <w:jc w:val="center"/>
            </w:pPr>
            <w:r w:rsidRPr="00EC57FB">
              <w:t>N/A</w:t>
            </w:r>
          </w:p>
        </w:tc>
        <w:tc>
          <w:tcPr>
            <w:tcW w:w="940" w:type="pct"/>
            <w:vAlign w:val="center"/>
          </w:tcPr>
          <w:p w14:paraId="5337F123" w14:textId="6E017DFA" w:rsidR="006D0ABF" w:rsidRPr="00EC57FB" w:rsidRDefault="008C5EC5" w:rsidP="00696E70">
            <w:pPr>
              <w:pStyle w:val="TableText0"/>
              <w:jc w:val="center"/>
            </w:pPr>
            <w:r w:rsidRPr="00EC57FB">
              <w:t>48/1002</w:t>
            </w:r>
            <w:r w:rsidR="00617943" w:rsidRPr="00EC57FB">
              <w:t xml:space="preserve"> (4.8%)</w:t>
            </w:r>
          </w:p>
        </w:tc>
        <w:tc>
          <w:tcPr>
            <w:tcW w:w="940" w:type="pct"/>
            <w:vAlign w:val="center"/>
          </w:tcPr>
          <w:p w14:paraId="242ABBBC" w14:textId="51BFE074" w:rsidR="006D0ABF" w:rsidRPr="00EC57FB" w:rsidRDefault="008C5EC5" w:rsidP="00696E70">
            <w:pPr>
              <w:pStyle w:val="TableText0"/>
              <w:jc w:val="center"/>
            </w:pPr>
            <w:r w:rsidRPr="00EC57FB">
              <w:t>53/500</w:t>
            </w:r>
            <w:r w:rsidR="00E848CC" w:rsidRPr="00EC57FB">
              <w:t xml:space="preserve"> (10.6%)</w:t>
            </w:r>
          </w:p>
        </w:tc>
        <w:tc>
          <w:tcPr>
            <w:tcW w:w="941" w:type="pct"/>
            <w:vAlign w:val="center"/>
          </w:tcPr>
          <w:p w14:paraId="1670E3FB" w14:textId="11F75BAE" w:rsidR="006D0ABF" w:rsidRPr="00EC57FB" w:rsidRDefault="008034BD" w:rsidP="00696E70">
            <w:pPr>
              <w:pStyle w:val="TableText0"/>
              <w:jc w:val="center"/>
              <w:rPr>
                <w:rFonts w:cstheme="minorHAnsi"/>
                <w:b/>
                <w:bCs w:val="0"/>
                <w:szCs w:val="20"/>
              </w:rPr>
            </w:pPr>
            <w:r w:rsidRPr="00EC57FB">
              <w:rPr>
                <w:rFonts w:cstheme="minorHAnsi"/>
                <w:b/>
                <w:bCs w:val="0"/>
                <w:szCs w:val="20"/>
              </w:rPr>
              <w:t>0.45 (0.</w:t>
            </w:r>
            <w:r w:rsidR="00A8656E" w:rsidRPr="00EC57FB">
              <w:rPr>
                <w:rFonts w:cstheme="minorHAnsi"/>
                <w:b/>
                <w:bCs w:val="0"/>
                <w:szCs w:val="20"/>
              </w:rPr>
              <w:t>28</w:t>
            </w:r>
            <w:r w:rsidR="00823826" w:rsidRPr="00EC57FB">
              <w:rPr>
                <w:rFonts w:cstheme="minorHAnsi"/>
                <w:b/>
                <w:bCs w:val="0"/>
                <w:szCs w:val="20"/>
              </w:rPr>
              <w:t>, 0.6</w:t>
            </w:r>
            <w:r w:rsidR="00396722" w:rsidRPr="00EC57FB">
              <w:rPr>
                <w:rFonts w:cstheme="minorHAnsi"/>
                <w:b/>
                <w:bCs w:val="0"/>
                <w:szCs w:val="20"/>
              </w:rPr>
              <w:t>2</w:t>
            </w:r>
            <w:r w:rsidR="00823826" w:rsidRPr="00EC57FB">
              <w:rPr>
                <w:rFonts w:cstheme="minorHAnsi"/>
                <w:b/>
                <w:bCs w:val="0"/>
                <w:szCs w:val="20"/>
              </w:rPr>
              <w:t>)</w:t>
            </w:r>
          </w:p>
        </w:tc>
      </w:tr>
      <w:tr w:rsidR="006A7BEE" w:rsidRPr="00EC57FB" w14:paraId="759C8152" w14:textId="77777777" w:rsidTr="00617B36">
        <w:tc>
          <w:tcPr>
            <w:tcW w:w="1240" w:type="pct"/>
            <w:vAlign w:val="center"/>
          </w:tcPr>
          <w:p w14:paraId="43968AE1" w14:textId="269914AF" w:rsidR="00D576EE" w:rsidRPr="00EC57FB" w:rsidRDefault="00D576EE">
            <w:pPr>
              <w:pStyle w:val="BodyText"/>
              <w:keepNext/>
              <w:rPr>
                <w:rFonts w:ascii="Arial Narrow" w:hAnsi="Arial Narrow" w:cstheme="minorHAnsi"/>
                <w:sz w:val="20"/>
                <w:szCs w:val="20"/>
              </w:rPr>
            </w:pPr>
            <w:r w:rsidRPr="00EC57FB">
              <w:rPr>
                <w:rFonts w:ascii="Arial Narrow" w:hAnsi="Arial Narrow" w:cstheme="minorHAnsi"/>
                <w:sz w:val="20"/>
                <w:szCs w:val="20"/>
              </w:rPr>
              <w:t>Feltes 2003</w:t>
            </w:r>
          </w:p>
        </w:tc>
        <w:tc>
          <w:tcPr>
            <w:tcW w:w="940" w:type="pct"/>
            <w:vAlign w:val="center"/>
          </w:tcPr>
          <w:p w14:paraId="015AA858" w14:textId="2FE81402" w:rsidR="00D576EE" w:rsidRPr="00EC57FB" w:rsidRDefault="00701248" w:rsidP="00696E70">
            <w:pPr>
              <w:pStyle w:val="TableText0"/>
              <w:jc w:val="center"/>
            </w:pPr>
            <w:r w:rsidRPr="00EC57FB">
              <w:t>N/A</w:t>
            </w:r>
          </w:p>
        </w:tc>
        <w:tc>
          <w:tcPr>
            <w:tcW w:w="940" w:type="pct"/>
            <w:vAlign w:val="center"/>
          </w:tcPr>
          <w:p w14:paraId="0DF8D9D7" w14:textId="32D669B4" w:rsidR="00D576EE" w:rsidRPr="00EC57FB" w:rsidRDefault="00BD1D94" w:rsidP="00696E70">
            <w:pPr>
              <w:pStyle w:val="TableText0"/>
              <w:jc w:val="center"/>
            </w:pPr>
            <w:r w:rsidRPr="00EC57FB">
              <w:t>34/639</w:t>
            </w:r>
            <w:r w:rsidR="00617943" w:rsidRPr="00EC57FB">
              <w:t xml:space="preserve"> (</w:t>
            </w:r>
            <w:r w:rsidR="00E848CC" w:rsidRPr="00EC57FB">
              <w:t>5.3%)</w:t>
            </w:r>
          </w:p>
        </w:tc>
        <w:tc>
          <w:tcPr>
            <w:tcW w:w="940" w:type="pct"/>
            <w:vAlign w:val="center"/>
          </w:tcPr>
          <w:p w14:paraId="1EC9C47B" w14:textId="41E62133" w:rsidR="00D576EE" w:rsidRPr="00EC57FB" w:rsidRDefault="00BD1D94" w:rsidP="00696E70">
            <w:pPr>
              <w:pStyle w:val="TableText0"/>
              <w:jc w:val="center"/>
            </w:pPr>
            <w:r w:rsidRPr="00EC57FB">
              <w:t>63/648</w:t>
            </w:r>
            <w:r w:rsidR="00E848CC" w:rsidRPr="00EC57FB">
              <w:t xml:space="preserve"> (</w:t>
            </w:r>
            <w:r w:rsidR="003C55AC" w:rsidRPr="00EC57FB">
              <w:t>9.7%)</w:t>
            </w:r>
          </w:p>
        </w:tc>
        <w:tc>
          <w:tcPr>
            <w:tcW w:w="941" w:type="pct"/>
            <w:vAlign w:val="center"/>
          </w:tcPr>
          <w:p w14:paraId="3D836A94" w14:textId="380BBCCC" w:rsidR="00D576EE" w:rsidRPr="00EC57FB" w:rsidRDefault="00BD1D94" w:rsidP="00696E70">
            <w:pPr>
              <w:pStyle w:val="TableText0"/>
              <w:jc w:val="center"/>
              <w:rPr>
                <w:rFonts w:cstheme="minorHAnsi"/>
                <w:b/>
                <w:bCs w:val="0"/>
                <w:szCs w:val="20"/>
              </w:rPr>
            </w:pPr>
            <w:r w:rsidRPr="00EC57FB">
              <w:rPr>
                <w:rFonts w:cstheme="minorHAnsi"/>
                <w:b/>
                <w:bCs w:val="0"/>
                <w:szCs w:val="20"/>
              </w:rPr>
              <w:t>0.55 (</w:t>
            </w:r>
            <w:r w:rsidR="00117725" w:rsidRPr="00EC57FB">
              <w:rPr>
                <w:rFonts w:cstheme="minorHAnsi"/>
                <w:b/>
                <w:bCs w:val="0"/>
                <w:szCs w:val="20"/>
              </w:rPr>
              <w:t xml:space="preserve">0.33, </w:t>
            </w:r>
            <w:r w:rsidRPr="00EC57FB">
              <w:rPr>
                <w:rFonts w:cstheme="minorHAnsi"/>
                <w:b/>
                <w:bCs w:val="0"/>
                <w:szCs w:val="20"/>
              </w:rPr>
              <w:t>0.</w:t>
            </w:r>
            <w:r w:rsidR="00087E82" w:rsidRPr="00EC57FB">
              <w:rPr>
                <w:rFonts w:cstheme="minorHAnsi"/>
                <w:b/>
                <w:bCs w:val="0"/>
                <w:szCs w:val="20"/>
              </w:rPr>
              <w:t>7</w:t>
            </w:r>
            <w:r w:rsidRPr="00EC57FB">
              <w:rPr>
                <w:rFonts w:cstheme="minorHAnsi"/>
                <w:b/>
                <w:bCs w:val="0"/>
                <w:szCs w:val="20"/>
              </w:rPr>
              <w:t>7</w:t>
            </w:r>
            <w:r w:rsidR="00117725" w:rsidRPr="00EC57FB">
              <w:rPr>
                <w:rFonts w:cstheme="minorHAnsi"/>
                <w:b/>
                <w:bCs w:val="0"/>
                <w:szCs w:val="20"/>
              </w:rPr>
              <w:t>)</w:t>
            </w:r>
          </w:p>
        </w:tc>
      </w:tr>
      <w:tr w:rsidR="006A7BEE" w:rsidRPr="00EC57FB" w14:paraId="619DBB58" w14:textId="77777777" w:rsidTr="00617B36">
        <w:tc>
          <w:tcPr>
            <w:tcW w:w="4059" w:type="pct"/>
            <w:gridSpan w:val="4"/>
            <w:vAlign w:val="center"/>
          </w:tcPr>
          <w:p w14:paraId="0A47D19D" w14:textId="75C5F378" w:rsidR="00617B36" w:rsidRPr="00EC57FB" w:rsidRDefault="00617B36" w:rsidP="00617B36">
            <w:pPr>
              <w:pStyle w:val="TableText0"/>
              <w:jc w:val="right"/>
              <w:rPr>
                <w:b/>
                <w:bCs w:val="0"/>
              </w:rPr>
            </w:pPr>
            <w:r w:rsidRPr="00EC57FB">
              <w:rPr>
                <w:rFonts w:cstheme="minorHAnsi"/>
                <w:b/>
                <w:bCs w:val="0"/>
                <w:szCs w:val="20"/>
              </w:rPr>
              <w:t>Meta-analysis of palivizumab vs placebo trials</w:t>
            </w:r>
          </w:p>
        </w:tc>
        <w:tc>
          <w:tcPr>
            <w:tcW w:w="941" w:type="pct"/>
            <w:vAlign w:val="center"/>
          </w:tcPr>
          <w:p w14:paraId="00413BBF" w14:textId="630C7D22" w:rsidR="00617B36" w:rsidRPr="00EC57FB" w:rsidRDefault="00000F48" w:rsidP="00696E70">
            <w:pPr>
              <w:pStyle w:val="TableText0"/>
              <w:jc w:val="center"/>
              <w:rPr>
                <w:rFonts w:cstheme="minorHAnsi"/>
                <w:b/>
                <w:bCs w:val="0"/>
                <w:iCs/>
                <w:szCs w:val="20"/>
              </w:rPr>
            </w:pPr>
            <w:r w:rsidRPr="00EC57FB">
              <w:rPr>
                <w:rFonts w:cstheme="minorHAnsi"/>
                <w:b/>
                <w:bCs w:val="0"/>
                <w:iCs/>
                <w:szCs w:val="20"/>
              </w:rPr>
              <w:t>0.49 (0.37, 0.66)</w:t>
            </w:r>
          </w:p>
        </w:tc>
      </w:tr>
      <w:tr w:rsidR="006A7BEE" w:rsidRPr="00EC57FB" w14:paraId="0B385A2E" w14:textId="77777777" w:rsidTr="00617B36">
        <w:tc>
          <w:tcPr>
            <w:tcW w:w="4059" w:type="pct"/>
            <w:gridSpan w:val="4"/>
            <w:vAlign w:val="center"/>
          </w:tcPr>
          <w:p w14:paraId="1FCE2983" w14:textId="61AEF017" w:rsidR="00000F48" w:rsidRPr="00EC57FB" w:rsidRDefault="00706BF9" w:rsidP="00617B36">
            <w:pPr>
              <w:pStyle w:val="TableText0"/>
              <w:jc w:val="right"/>
              <w:rPr>
                <w:rFonts w:cstheme="minorHAnsi"/>
                <w:b/>
                <w:bCs w:val="0"/>
                <w:szCs w:val="20"/>
              </w:rPr>
            </w:pPr>
            <w:r w:rsidRPr="00EC57FB">
              <w:rPr>
                <w:rFonts w:cstheme="minorHAnsi"/>
                <w:b/>
                <w:bCs w:val="0"/>
                <w:szCs w:val="20"/>
              </w:rPr>
              <w:t>ITC nirsevimab vs placebo</w:t>
            </w:r>
          </w:p>
        </w:tc>
        <w:tc>
          <w:tcPr>
            <w:tcW w:w="941" w:type="pct"/>
            <w:vAlign w:val="center"/>
          </w:tcPr>
          <w:p w14:paraId="431B5929" w14:textId="64CAFA37" w:rsidR="00000F48" w:rsidRPr="00EC57FB" w:rsidRDefault="00A5335A" w:rsidP="00696E70">
            <w:pPr>
              <w:pStyle w:val="TableText0"/>
              <w:jc w:val="center"/>
              <w:rPr>
                <w:rFonts w:cstheme="minorHAnsi"/>
                <w:iCs/>
                <w:szCs w:val="20"/>
              </w:rPr>
            </w:pPr>
            <w:r w:rsidRPr="00EC57FB">
              <w:rPr>
                <w:rFonts w:cstheme="minorHAnsi"/>
                <w:iCs/>
                <w:szCs w:val="20"/>
              </w:rPr>
              <w:t>0.25 (0.03, 1.78)</w:t>
            </w:r>
          </w:p>
        </w:tc>
      </w:tr>
      <w:tr w:rsidR="006A7BEE" w:rsidRPr="00EC57FB" w14:paraId="531BA60C" w14:textId="77777777" w:rsidTr="00617B36">
        <w:tc>
          <w:tcPr>
            <w:tcW w:w="4059" w:type="pct"/>
            <w:gridSpan w:val="4"/>
            <w:vAlign w:val="center"/>
          </w:tcPr>
          <w:p w14:paraId="1A1B7740" w14:textId="4071EE3B" w:rsidR="00E70366" w:rsidRPr="00EC57FB" w:rsidRDefault="00E70366" w:rsidP="00617B36">
            <w:pPr>
              <w:pStyle w:val="TableText0"/>
              <w:jc w:val="right"/>
              <w:rPr>
                <w:rFonts w:cstheme="minorHAnsi"/>
                <w:b/>
                <w:bCs w:val="0"/>
                <w:szCs w:val="20"/>
              </w:rPr>
            </w:pPr>
            <w:r w:rsidRPr="00EC57FB">
              <w:rPr>
                <w:rFonts w:cstheme="minorHAnsi"/>
                <w:b/>
                <w:bCs w:val="0"/>
                <w:szCs w:val="20"/>
              </w:rPr>
              <w:t xml:space="preserve">Efficacy of immunisation </w:t>
            </w:r>
            <w:r w:rsidR="00FF0D80" w:rsidRPr="00EC57FB">
              <w:rPr>
                <w:rFonts w:cstheme="minorHAnsi"/>
                <w:b/>
                <w:bCs w:val="0"/>
                <w:szCs w:val="20"/>
              </w:rPr>
              <w:t>[RRR] with nirsevimab vs placebo</w:t>
            </w:r>
          </w:p>
        </w:tc>
        <w:tc>
          <w:tcPr>
            <w:tcW w:w="941" w:type="pct"/>
            <w:vAlign w:val="center"/>
          </w:tcPr>
          <w:p w14:paraId="2ABA9610" w14:textId="3FE9F4DC" w:rsidR="00E70366" w:rsidRPr="00EC57FB" w:rsidRDefault="00FF0D80" w:rsidP="00696E70">
            <w:pPr>
              <w:pStyle w:val="TableText0"/>
              <w:jc w:val="center"/>
              <w:rPr>
                <w:rFonts w:cstheme="minorHAnsi"/>
                <w:iCs/>
                <w:szCs w:val="20"/>
              </w:rPr>
            </w:pPr>
            <w:r w:rsidRPr="00EC57FB">
              <w:rPr>
                <w:rFonts w:cstheme="minorHAnsi"/>
                <w:iCs/>
                <w:szCs w:val="20"/>
              </w:rPr>
              <w:t>75% (-78%, 97%)</w:t>
            </w:r>
          </w:p>
        </w:tc>
      </w:tr>
    </w:tbl>
    <w:p w14:paraId="71DFBBA2" w14:textId="59EF4179" w:rsidR="008D606E" w:rsidRPr="00EC57FB" w:rsidRDefault="00F718A9" w:rsidP="00F718A9">
      <w:pPr>
        <w:pStyle w:val="FooterTableFigure"/>
      </w:pPr>
      <w:r w:rsidRPr="00EC57FB">
        <w:t>Sources: Table 2</w:t>
      </w:r>
      <w:r w:rsidR="00701248" w:rsidRPr="00EC57FB">
        <w:t>7</w:t>
      </w:r>
      <w:r w:rsidRPr="00EC57FB">
        <w:t>, MEDLEY CSR</w:t>
      </w:r>
      <w:r w:rsidR="00396722" w:rsidRPr="00EC57FB">
        <w:t xml:space="preserve">, Table 2 Impact Study Group 1998, </w:t>
      </w:r>
      <w:r w:rsidR="009E386A" w:rsidRPr="00EC57FB">
        <w:t>Table II Feltes 2003</w:t>
      </w:r>
    </w:p>
    <w:p w14:paraId="1EBDD8DD" w14:textId="1003CF99" w:rsidR="00F718A9" w:rsidRPr="00EC57FB" w:rsidRDefault="00F87965" w:rsidP="00F718A9">
      <w:pPr>
        <w:pStyle w:val="FooterTableFigure"/>
      </w:pPr>
      <w:r w:rsidRPr="00EC57FB">
        <w:rPr>
          <w:rFonts w:cstheme="minorHAnsi"/>
          <w:szCs w:val="18"/>
        </w:rPr>
        <w:t xml:space="preserve">Note: </w:t>
      </w:r>
      <w:r w:rsidRPr="00EC57FB">
        <w:rPr>
          <w:rFonts w:cstheme="minorHAnsi"/>
          <w:b/>
          <w:bCs/>
          <w:szCs w:val="18"/>
        </w:rPr>
        <w:t>Bold text</w:t>
      </w:r>
      <w:r w:rsidRPr="00EC57FB">
        <w:rPr>
          <w:rFonts w:cstheme="minorHAnsi"/>
          <w:szCs w:val="18"/>
        </w:rPr>
        <w:t xml:space="preserve"> indicates a statistical difference between arms.</w:t>
      </w:r>
    </w:p>
    <w:p w14:paraId="4E435A96" w14:textId="59AA5D68" w:rsidR="00E6086A" w:rsidRPr="00EC57FB" w:rsidRDefault="00C359CC" w:rsidP="006C56A4">
      <w:pPr>
        <w:pStyle w:val="3-BodyText"/>
        <w:rPr>
          <w:iCs/>
        </w:rPr>
      </w:pPr>
      <w:r w:rsidRPr="00EC57FB">
        <w:t xml:space="preserve">Based on the evidence from the Phase 2b trial, which included </w:t>
      </w:r>
      <w:r w:rsidR="00E71F8E" w:rsidRPr="00EC57FB">
        <w:t>infants who were born at &lt; 32 weeks gestation and</w:t>
      </w:r>
      <w:r w:rsidR="00A80777" w:rsidRPr="00EC57FB">
        <w:t xml:space="preserve"> the evidence from the indirect comparison of nirsevimab and no immunisation, using palivizumab as the common reference,</w:t>
      </w:r>
      <w:r w:rsidR="00F2484A" w:rsidRPr="00EC57FB">
        <w:t xml:space="preserve"> the claim of </w:t>
      </w:r>
      <w:r w:rsidR="00F2484A" w:rsidRPr="00EC57FB">
        <w:lastRenderedPageBreak/>
        <w:t xml:space="preserve">superiority of nirsevimab versus no immunisation </w:t>
      </w:r>
      <w:r w:rsidR="006B30F2" w:rsidRPr="00EC57FB">
        <w:t xml:space="preserve">can be considered reasonable though there is uncertainty around the magnitude of benefit. </w:t>
      </w:r>
      <w:r w:rsidR="007C5E87" w:rsidRPr="00EC57FB">
        <w:t xml:space="preserve">Given the similarity of outcomes </w:t>
      </w:r>
      <w:r w:rsidR="006512FF" w:rsidRPr="00EC57FB">
        <w:t>in healthy infants and infants with risk conditions,</w:t>
      </w:r>
      <w:r w:rsidR="006B30F2" w:rsidRPr="00EC57FB">
        <w:t xml:space="preserve"> it </w:t>
      </w:r>
      <w:r w:rsidR="00964845" w:rsidRPr="00EC57FB">
        <w:t>may be reasonable to hypothesise</w:t>
      </w:r>
      <w:r w:rsidR="006B30F2" w:rsidRPr="00EC57FB">
        <w:t xml:space="preserve"> that</w:t>
      </w:r>
      <w:r w:rsidR="007C5E87" w:rsidRPr="00EC57FB">
        <w:t xml:space="preserve"> risk conditions are a prognostic factor rather than a modifier of treatment effect of nirsevimab.</w:t>
      </w:r>
      <w:r w:rsidR="006C56A4" w:rsidRPr="00EC57FB">
        <w:t xml:space="preserve"> </w:t>
      </w:r>
    </w:p>
    <w:p w14:paraId="289ADDAB" w14:textId="42E97FAC" w:rsidR="00CE43FD" w:rsidRPr="00EC57FB" w:rsidRDefault="00333CB7" w:rsidP="0029468E">
      <w:pPr>
        <w:pStyle w:val="3-BodyText"/>
        <w:rPr>
          <w:iCs/>
        </w:rPr>
      </w:pPr>
      <w:r w:rsidRPr="00EC57FB">
        <w:t xml:space="preserve">No data are presented in the resubmission to inform a comparison of nirsevimab + </w:t>
      </w:r>
      <w:r w:rsidR="00485EA7" w:rsidRPr="00EC57FB">
        <w:t xml:space="preserve">RSVpreF </w:t>
      </w:r>
      <w:r w:rsidR="00713292" w:rsidRPr="00EC57FB">
        <w:t xml:space="preserve">vs </w:t>
      </w:r>
      <w:r w:rsidR="00485EA7" w:rsidRPr="00EC57FB">
        <w:t xml:space="preserve">RSVpreF </w:t>
      </w:r>
      <w:r w:rsidRPr="00EC57FB">
        <w:t>alone in infants with risk conditions</w:t>
      </w:r>
      <w:r w:rsidR="00FE2930" w:rsidRPr="00EC57FB">
        <w:t xml:space="preserve"> </w:t>
      </w:r>
      <w:r w:rsidR="005905BA" w:rsidRPr="00EC57FB">
        <w:t>(</w:t>
      </w:r>
      <w:r w:rsidR="00FE2930" w:rsidRPr="00EC57FB">
        <w:t xml:space="preserve">where the mother had received </w:t>
      </w:r>
      <w:r w:rsidR="00485EA7" w:rsidRPr="00EC57FB">
        <w:t>RSVpreF</w:t>
      </w:r>
      <w:r w:rsidR="00E67D1E" w:rsidRPr="00EC57FB">
        <w:t xml:space="preserve">– Population </w:t>
      </w:r>
      <w:r w:rsidR="00F6046B" w:rsidRPr="00EC57FB">
        <w:t>C</w:t>
      </w:r>
      <w:r w:rsidR="00E67D1E" w:rsidRPr="00EC57FB">
        <w:t>(b)</w:t>
      </w:r>
      <w:r w:rsidR="005905BA" w:rsidRPr="00EC57FB">
        <w:t>)</w:t>
      </w:r>
      <w:r w:rsidRPr="00EC57FB">
        <w:t xml:space="preserve">. A pragmatic (not systematic) search of the literature conducted during the evaluation did not identify any relevant studies </w:t>
      </w:r>
      <w:r w:rsidR="00714133" w:rsidRPr="00EC57FB">
        <w:t xml:space="preserve">investigating use of nirsevimab </w:t>
      </w:r>
      <w:r w:rsidR="00B649C5" w:rsidRPr="00EC57FB">
        <w:t xml:space="preserve">in infants </w:t>
      </w:r>
      <w:r w:rsidR="00714133" w:rsidRPr="00EC57FB">
        <w:t xml:space="preserve">following </w:t>
      </w:r>
      <w:r w:rsidR="005E6D0D" w:rsidRPr="00EC57FB">
        <w:t xml:space="preserve">administration of </w:t>
      </w:r>
      <w:r w:rsidR="00485EA7" w:rsidRPr="00EC57FB">
        <w:t xml:space="preserve">RSVpreF </w:t>
      </w:r>
      <w:r w:rsidR="005E6D0D" w:rsidRPr="00EC57FB">
        <w:t xml:space="preserve">that might </w:t>
      </w:r>
      <w:r w:rsidRPr="00EC57FB">
        <w:t>inform such a compariso</w:t>
      </w:r>
      <w:r w:rsidR="00714133" w:rsidRPr="00EC57FB">
        <w:t>n</w:t>
      </w:r>
      <w:r w:rsidRPr="00EC57FB">
        <w:t>.</w:t>
      </w:r>
    </w:p>
    <w:p w14:paraId="13EA9755" w14:textId="3BD301F2" w:rsidR="00B649C5" w:rsidRPr="00EC57FB" w:rsidRDefault="00333CB7" w:rsidP="00333D2D">
      <w:pPr>
        <w:pStyle w:val="3-BodyText"/>
        <w:rPr>
          <w:iCs/>
        </w:rPr>
      </w:pPr>
      <w:bookmarkStart w:id="98" w:name="_Ref195703871"/>
      <w:r w:rsidRPr="00EC57FB">
        <w:t xml:space="preserve">There is thus no evidence indicating that nirsevimab </w:t>
      </w:r>
      <w:r w:rsidR="00CE43FD" w:rsidRPr="00EC57FB">
        <w:t>in addition to</w:t>
      </w:r>
      <w:r w:rsidRPr="00EC57FB">
        <w:t xml:space="preserve"> </w:t>
      </w:r>
      <w:r w:rsidR="00485EA7" w:rsidRPr="00EC57FB">
        <w:t>RSVpreF maternal</w:t>
      </w:r>
      <w:r w:rsidRPr="00EC57FB">
        <w:t xml:space="preserve"> vaccination confers greater protection against RSV-related illness compared to either maternal RSVpreF vaccination or nirsevimab alone for infants with risk conditions</w:t>
      </w:r>
      <w:bookmarkStart w:id="99" w:name="_Ref188294371"/>
      <w:r w:rsidR="00333D2D" w:rsidRPr="00EC57FB">
        <w:t xml:space="preserve">. </w:t>
      </w:r>
      <w:r w:rsidR="001B6DAB" w:rsidRPr="00EC57FB">
        <w:rPr>
          <w:iCs/>
        </w:rPr>
        <w:t xml:space="preserve">The AIH endorses the use of nirsevimab in high-risk infants entering their first RSV season </w:t>
      </w:r>
      <w:r w:rsidR="001B6DAB" w:rsidRPr="00EC57FB">
        <w:rPr>
          <w:iCs/>
          <w:u w:val="single"/>
        </w:rPr>
        <w:t>regardless</w:t>
      </w:r>
      <w:r w:rsidR="001B6DAB" w:rsidRPr="00EC57FB">
        <w:rPr>
          <w:iCs/>
        </w:rPr>
        <w:t xml:space="preserve"> of maternal vaccination RSVpreF (see </w:t>
      </w:r>
      <w:r w:rsidR="001B6DAB" w:rsidRPr="00EC57FB">
        <w:rPr>
          <w:iCs/>
        </w:rPr>
        <w:fldChar w:fldCharType="begin"/>
      </w:r>
      <w:r w:rsidR="001B6DAB" w:rsidRPr="00EC57FB">
        <w:rPr>
          <w:iCs/>
        </w:rPr>
        <w:instrText xml:space="preserve"> REF _Ref183547805 \h </w:instrText>
      </w:r>
      <w:r w:rsidR="00D56B51" w:rsidRPr="00EC57FB">
        <w:rPr>
          <w:iCs/>
        </w:rPr>
        <w:instrText xml:space="preserve"> \* MERGEFORMAT </w:instrText>
      </w:r>
      <w:r w:rsidR="001B6DAB" w:rsidRPr="00EC57FB">
        <w:rPr>
          <w:iCs/>
        </w:rPr>
      </w:r>
      <w:r w:rsidR="001B6DAB" w:rsidRPr="00EC57FB">
        <w:rPr>
          <w:iCs/>
        </w:rPr>
        <w:fldChar w:fldCharType="separate"/>
      </w:r>
      <w:r w:rsidR="00502C25" w:rsidRPr="00EC57FB">
        <w:t xml:space="preserve">Table </w:t>
      </w:r>
      <w:r w:rsidR="00502C25">
        <w:t>4</w:t>
      </w:r>
      <w:r w:rsidR="001B6DAB" w:rsidRPr="00EC57FB">
        <w:rPr>
          <w:iCs/>
        </w:rPr>
        <w:fldChar w:fldCharType="end"/>
      </w:r>
      <w:r w:rsidR="001B6DAB" w:rsidRPr="00EC57FB">
        <w:rPr>
          <w:iCs/>
        </w:rPr>
        <w:t xml:space="preserve">). </w:t>
      </w:r>
      <w:bookmarkEnd w:id="98"/>
      <w:bookmarkEnd w:id="99"/>
    </w:p>
    <w:p w14:paraId="558DF1D2" w14:textId="494E6C96" w:rsidR="009A1410" w:rsidRPr="00EC57FB" w:rsidRDefault="009A1410" w:rsidP="005751BC">
      <w:pPr>
        <w:spacing w:after="120"/>
        <w:rPr>
          <w:b/>
          <w:bCs/>
        </w:rPr>
      </w:pPr>
      <w:r w:rsidRPr="00EC57FB">
        <w:rPr>
          <w:b/>
          <w:bCs/>
        </w:rPr>
        <w:t xml:space="preserve">Evidence for nirsevimab versus no immunisation in Population </w:t>
      </w:r>
      <w:r w:rsidR="00EB5C68" w:rsidRPr="00EC57FB">
        <w:rPr>
          <w:b/>
          <w:bCs/>
        </w:rPr>
        <w:t xml:space="preserve">D </w:t>
      </w:r>
      <w:r w:rsidRPr="00EC57FB">
        <w:rPr>
          <w:b/>
          <w:bCs/>
        </w:rPr>
        <w:t>(infants with a risk condition entering their second RSV season)</w:t>
      </w:r>
    </w:p>
    <w:p w14:paraId="5FF7B716" w14:textId="4508B7AD" w:rsidR="00270D2E" w:rsidRPr="00EC57FB" w:rsidRDefault="001F0B5E" w:rsidP="00DC4191">
      <w:pPr>
        <w:pStyle w:val="3-BodyText"/>
        <w:numPr>
          <w:ilvl w:val="1"/>
          <w:numId w:val="1"/>
        </w:numPr>
      </w:pPr>
      <w:r w:rsidRPr="00EC57FB">
        <w:rPr>
          <w:color w:val="000000" w:themeColor="text1"/>
        </w:rPr>
        <w:t>The only trial evidence available for</w:t>
      </w:r>
      <w:r w:rsidR="006E325A" w:rsidRPr="00EC57FB">
        <w:rPr>
          <w:color w:val="000000" w:themeColor="text1"/>
        </w:rPr>
        <w:t xml:space="preserve"> nirsevimab for children with risk conditions entering their second RSV season is</w:t>
      </w:r>
      <w:r w:rsidR="001B2C4A" w:rsidRPr="00EC57FB">
        <w:rPr>
          <w:color w:val="000000" w:themeColor="text1"/>
        </w:rPr>
        <w:t xml:space="preserve"> </w:t>
      </w:r>
      <w:r w:rsidR="000F7E27" w:rsidRPr="00EC57FB">
        <w:rPr>
          <w:color w:val="000000" w:themeColor="text1"/>
        </w:rPr>
        <w:t xml:space="preserve">for children with CLD/CHD </w:t>
      </w:r>
      <w:r w:rsidR="00AF2662" w:rsidRPr="00EC57FB">
        <w:rPr>
          <w:color w:val="000000" w:themeColor="text1"/>
        </w:rPr>
        <w:t xml:space="preserve">in </w:t>
      </w:r>
      <w:r w:rsidR="001B2C4A" w:rsidRPr="00EC57FB">
        <w:rPr>
          <w:color w:val="000000" w:themeColor="text1"/>
        </w:rPr>
        <w:t>the MEDLEY trial versus palivizumab. As discussed in paragraph</w:t>
      </w:r>
      <w:r w:rsidR="009C1EA4" w:rsidRPr="00EC57FB">
        <w:rPr>
          <w:color w:val="000000" w:themeColor="text1"/>
        </w:rPr>
        <w:t xml:space="preserve"> </w:t>
      </w:r>
      <w:r w:rsidR="00F02C2E" w:rsidRPr="00EC57FB">
        <w:rPr>
          <w:color w:val="000000" w:themeColor="text1"/>
        </w:rPr>
        <w:fldChar w:fldCharType="begin"/>
      </w:r>
      <w:r w:rsidR="00F02C2E" w:rsidRPr="00EC57FB">
        <w:rPr>
          <w:color w:val="000000" w:themeColor="text1"/>
        </w:rPr>
        <w:instrText xml:space="preserve"> REF _Ref186755121 \r \h </w:instrText>
      </w:r>
      <w:r w:rsidR="007D3F5E" w:rsidRPr="00EC57FB">
        <w:rPr>
          <w:color w:val="000000" w:themeColor="text1"/>
        </w:rPr>
        <w:instrText xml:space="preserve"> \* MERGEFORMAT </w:instrText>
      </w:r>
      <w:r w:rsidR="00F02C2E" w:rsidRPr="00EC57FB">
        <w:rPr>
          <w:color w:val="000000" w:themeColor="text1"/>
        </w:rPr>
      </w:r>
      <w:r w:rsidR="00F02C2E" w:rsidRPr="00EC57FB">
        <w:rPr>
          <w:color w:val="000000" w:themeColor="text1"/>
        </w:rPr>
        <w:fldChar w:fldCharType="separate"/>
      </w:r>
      <w:r w:rsidR="00502C25">
        <w:rPr>
          <w:color w:val="000000" w:themeColor="text1"/>
        </w:rPr>
        <w:t>6.31</w:t>
      </w:r>
      <w:r w:rsidR="00F02C2E" w:rsidRPr="00EC57FB">
        <w:rPr>
          <w:color w:val="000000" w:themeColor="text1"/>
        </w:rPr>
        <w:fldChar w:fldCharType="end"/>
      </w:r>
      <w:r w:rsidR="009C1EA4" w:rsidRPr="00EC57FB">
        <w:rPr>
          <w:color w:val="000000" w:themeColor="text1"/>
        </w:rPr>
        <w:t xml:space="preserve">, the MEDLEY trial was not designed to establish non-inferiority of </w:t>
      </w:r>
      <w:r w:rsidR="00990BDE" w:rsidRPr="00EC57FB">
        <w:rPr>
          <w:color w:val="000000" w:themeColor="text1"/>
        </w:rPr>
        <w:t>nirsevimab versus palivizumab</w:t>
      </w:r>
      <w:r w:rsidR="00F02C2E" w:rsidRPr="00EC57FB">
        <w:rPr>
          <w:color w:val="000000" w:themeColor="text1"/>
        </w:rPr>
        <w:t xml:space="preserve"> from an efficacy perspective</w:t>
      </w:r>
      <w:r w:rsidR="00990BDE" w:rsidRPr="00EC57FB">
        <w:rPr>
          <w:color w:val="000000" w:themeColor="text1"/>
        </w:rPr>
        <w:t xml:space="preserve">. </w:t>
      </w:r>
      <w:bookmarkStart w:id="100" w:name="_Ref169870038"/>
      <w:r w:rsidR="00270D2E" w:rsidRPr="00EC57FB">
        <w:t>The MEDLEY trial gave either palivizumab or nirsevimab to participants entering their second RSV season. Participants who were randomised to nirsevimab in the first season received a single dose of 2 x 100 mg/mL nirsevimab followed by 4</w:t>
      </w:r>
      <w:r w:rsidR="002A02F8">
        <w:t> </w:t>
      </w:r>
      <w:r w:rsidR="00270D2E" w:rsidRPr="00EC57FB">
        <w:t>once monthly doses of placebo to maintain blinding.</w:t>
      </w:r>
      <w:bookmarkEnd w:id="100"/>
      <w:r w:rsidR="00577C66">
        <w:t xml:space="preserve"> </w:t>
      </w:r>
      <w:bookmarkStart w:id="101" w:name="_Ref169870040"/>
      <w:r w:rsidR="00270D2E" w:rsidRPr="00EC57FB">
        <w:t xml:space="preserve">Participants </w:t>
      </w:r>
      <w:bookmarkStart w:id="102" w:name="_Hlk166505441"/>
      <w:r w:rsidR="00270D2E" w:rsidRPr="00EC57FB">
        <w:t xml:space="preserve">who had been randomised to palivizumab for season 1 were re-randomised 1:1 to either nirsevimab or palivizumab. Subjects who were re-randomised to the nirsevimab group received one dose of 2 x 100 mg/mL nirsevimab followed by 4 once monthly doses of placebo, while participants re-randomised to the palivizumab arm received 5 once monthly </w:t>
      </w:r>
      <w:r w:rsidR="002A02F8" w:rsidRPr="00EC57FB">
        <w:t>15</w:t>
      </w:r>
      <w:r w:rsidR="002A02F8">
        <w:t> </w:t>
      </w:r>
      <w:r w:rsidR="00270D2E" w:rsidRPr="00EC57FB">
        <w:t>mg/kg doses of palivizumab</w:t>
      </w:r>
      <w:bookmarkEnd w:id="102"/>
      <w:r w:rsidR="00270D2E" w:rsidRPr="00EC57FB">
        <w:t>.</w:t>
      </w:r>
      <w:bookmarkEnd w:id="101"/>
    </w:p>
    <w:p w14:paraId="3DEB4753" w14:textId="5228E0D0" w:rsidR="001F0B5E" w:rsidRPr="00EC57FB" w:rsidRDefault="000621BB" w:rsidP="00B30EA8">
      <w:pPr>
        <w:pStyle w:val="3-BodyText"/>
        <w:rPr>
          <w:color w:val="000000" w:themeColor="text1"/>
        </w:rPr>
      </w:pPr>
      <w:r w:rsidRPr="00EC57FB">
        <w:rPr>
          <w:color w:val="000000" w:themeColor="text1"/>
        </w:rPr>
        <w:t>Results, as presented in the nirsevimab</w:t>
      </w:r>
      <w:r w:rsidR="002A25CB" w:rsidRPr="00EC57FB">
        <w:rPr>
          <w:color w:val="000000" w:themeColor="text1"/>
        </w:rPr>
        <w:t xml:space="preserve"> July 2024 PSD, are provided in</w:t>
      </w:r>
      <w:r w:rsidR="009020FA" w:rsidRPr="00EC57FB">
        <w:rPr>
          <w:color w:val="000000" w:themeColor="text1"/>
        </w:rPr>
        <w:t xml:space="preserve"> </w:t>
      </w:r>
      <w:r w:rsidR="00FC5371" w:rsidRPr="00EC57FB">
        <w:rPr>
          <w:color w:val="000000" w:themeColor="text1"/>
        </w:rPr>
        <w:fldChar w:fldCharType="begin"/>
      </w:r>
      <w:r w:rsidR="00FC5371" w:rsidRPr="00EC57FB">
        <w:rPr>
          <w:color w:val="000000" w:themeColor="text1"/>
        </w:rPr>
        <w:instrText xml:space="preserve"> REF _Ref187002949 \h </w:instrText>
      </w:r>
      <w:r w:rsidR="007D3F5E" w:rsidRPr="00EC57FB">
        <w:rPr>
          <w:color w:val="000000" w:themeColor="text1"/>
        </w:rPr>
        <w:instrText xml:space="preserve"> \* MERGEFORMAT </w:instrText>
      </w:r>
      <w:r w:rsidR="00FC5371" w:rsidRPr="00EC57FB">
        <w:rPr>
          <w:color w:val="000000" w:themeColor="text1"/>
        </w:rPr>
      </w:r>
      <w:r w:rsidR="00FC5371" w:rsidRPr="00EC57FB">
        <w:rPr>
          <w:color w:val="000000" w:themeColor="text1"/>
        </w:rPr>
        <w:fldChar w:fldCharType="separate"/>
      </w:r>
      <w:r w:rsidR="00502C25" w:rsidRPr="00EC57FB">
        <w:t xml:space="preserve">Table </w:t>
      </w:r>
      <w:r w:rsidR="00502C25">
        <w:t>19</w:t>
      </w:r>
      <w:r w:rsidR="00FC5371" w:rsidRPr="00EC57FB">
        <w:rPr>
          <w:color w:val="000000" w:themeColor="text1"/>
        </w:rPr>
        <w:fldChar w:fldCharType="end"/>
      </w:r>
      <w:r w:rsidR="00FC5371" w:rsidRPr="00EC57FB">
        <w:rPr>
          <w:color w:val="000000" w:themeColor="text1"/>
        </w:rPr>
        <w:t>.</w:t>
      </w:r>
    </w:p>
    <w:p w14:paraId="66F1053F" w14:textId="62EC4442" w:rsidR="002A25CB" w:rsidRPr="00EC57FB" w:rsidRDefault="002A25CB" w:rsidP="00693D0B">
      <w:pPr>
        <w:pStyle w:val="Caption"/>
      </w:pPr>
      <w:bookmarkStart w:id="103" w:name="_Ref187002949"/>
      <w:r w:rsidRPr="00EC57FB">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19</w:t>
      </w:r>
      <w:r w:rsidR="00C51E7C" w:rsidRPr="00EC57FB">
        <w:fldChar w:fldCharType="end"/>
      </w:r>
      <w:bookmarkEnd w:id="103"/>
      <w:r w:rsidRPr="00EC57FB">
        <w:t>: Incidence of MA RSV LRTI in Season 2</w:t>
      </w:r>
    </w:p>
    <w:tbl>
      <w:tblPr>
        <w:tblStyle w:val="TableGrid"/>
        <w:tblW w:w="5000" w:type="pct"/>
        <w:tblLook w:val="04A0" w:firstRow="1" w:lastRow="0" w:firstColumn="1" w:lastColumn="0" w:noHBand="0" w:noVBand="1"/>
      </w:tblPr>
      <w:tblGrid>
        <w:gridCol w:w="2972"/>
        <w:gridCol w:w="2081"/>
        <w:gridCol w:w="2188"/>
        <w:gridCol w:w="1776"/>
      </w:tblGrid>
      <w:tr w:rsidR="002A25CB" w:rsidRPr="00EC57FB" w14:paraId="10F9B24C" w14:textId="77777777">
        <w:tc>
          <w:tcPr>
            <w:tcW w:w="1648" w:type="pct"/>
          </w:tcPr>
          <w:p w14:paraId="47634217" w14:textId="77777777" w:rsidR="002A25CB" w:rsidRPr="00EC57FB" w:rsidRDefault="002A25CB" w:rsidP="00693D0B">
            <w:pPr>
              <w:keepNext/>
              <w:rPr>
                <w:rFonts w:ascii="Arial Narrow" w:hAnsi="Arial Narrow"/>
                <w:b/>
                <w:bCs/>
                <w:sz w:val="20"/>
                <w:szCs w:val="20"/>
              </w:rPr>
            </w:pPr>
            <w:bookmarkStart w:id="104" w:name="_Hlk165462989"/>
          </w:p>
        </w:tc>
        <w:tc>
          <w:tcPr>
            <w:tcW w:w="1154" w:type="pct"/>
            <w:vAlign w:val="center"/>
          </w:tcPr>
          <w:p w14:paraId="45EB3E07" w14:textId="77777777" w:rsidR="002A25CB" w:rsidRPr="00EC57FB" w:rsidRDefault="002A25CB" w:rsidP="00693D0B">
            <w:pPr>
              <w:keepNext/>
              <w:jc w:val="center"/>
              <w:rPr>
                <w:rFonts w:ascii="Arial Narrow" w:hAnsi="Arial Narrow"/>
                <w:b/>
                <w:bCs/>
                <w:sz w:val="20"/>
                <w:szCs w:val="20"/>
              </w:rPr>
            </w:pPr>
            <w:r w:rsidRPr="00EC57FB">
              <w:rPr>
                <w:rFonts w:ascii="Arial Narrow" w:hAnsi="Arial Narrow"/>
                <w:b/>
                <w:bCs/>
                <w:sz w:val="20"/>
                <w:szCs w:val="20"/>
              </w:rPr>
              <w:t>NIRS/NIRS (N = 180)</w:t>
            </w:r>
          </w:p>
          <w:p w14:paraId="6CB76BEE" w14:textId="77777777" w:rsidR="002A25CB" w:rsidRPr="00EC57FB" w:rsidRDefault="002A25CB" w:rsidP="00693D0B">
            <w:pPr>
              <w:keepNext/>
              <w:jc w:val="center"/>
              <w:rPr>
                <w:rFonts w:ascii="Arial Narrow" w:hAnsi="Arial Narrow"/>
                <w:b/>
                <w:bCs/>
                <w:sz w:val="20"/>
                <w:szCs w:val="20"/>
              </w:rPr>
            </w:pPr>
            <w:r w:rsidRPr="00EC57FB">
              <w:rPr>
                <w:rFonts w:ascii="Arial Narrow" w:hAnsi="Arial Narrow"/>
                <w:b/>
                <w:bCs/>
                <w:sz w:val="20"/>
                <w:szCs w:val="20"/>
              </w:rPr>
              <w:t>n (%)</w:t>
            </w:r>
          </w:p>
        </w:tc>
        <w:tc>
          <w:tcPr>
            <w:tcW w:w="1213" w:type="pct"/>
            <w:vAlign w:val="center"/>
          </w:tcPr>
          <w:p w14:paraId="53B47E0C" w14:textId="77777777" w:rsidR="002A25CB" w:rsidRPr="00EC57FB" w:rsidRDefault="002A25CB" w:rsidP="00693D0B">
            <w:pPr>
              <w:keepNext/>
              <w:jc w:val="center"/>
              <w:rPr>
                <w:rFonts w:ascii="Arial Narrow" w:hAnsi="Arial Narrow"/>
                <w:b/>
                <w:bCs/>
                <w:sz w:val="20"/>
                <w:szCs w:val="20"/>
              </w:rPr>
            </w:pPr>
            <w:r w:rsidRPr="00EC57FB">
              <w:rPr>
                <w:rFonts w:ascii="Arial Narrow" w:hAnsi="Arial Narrow"/>
                <w:b/>
                <w:bCs/>
                <w:sz w:val="20"/>
                <w:szCs w:val="20"/>
              </w:rPr>
              <w:t>PALI/PALI (N = 42)</w:t>
            </w:r>
          </w:p>
          <w:p w14:paraId="4E54847A" w14:textId="77777777" w:rsidR="002A25CB" w:rsidRPr="00EC57FB" w:rsidRDefault="002A25CB" w:rsidP="00693D0B">
            <w:pPr>
              <w:keepNext/>
              <w:jc w:val="center"/>
              <w:rPr>
                <w:rFonts w:ascii="Arial Narrow" w:hAnsi="Arial Narrow"/>
                <w:b/>
                <w:bCs/>
                <w:sz w:val="20"/>
                <w:szCs w:val="20"/>
              </w:rPr>
            </w:pPr>
            <w:r w:rsidRPr="00EC57FB">
              <w:rPr>
                <w:rFonts w:ascii="Arial Narrow" w:hAnsi="Arial Narrow"/>
                <w:b/>
                <w:bCs/>
                <w:sz w:val="20"/>
                <w:szCs w:val="20"/>
              </w:rPr>
              <w:t>n (%)</w:t>
            </w:r>
          </w:p>
        </w:tc>
        <w:tc>
          <w:tcPr>
            <w:tcW w:w="985" w:type="pct"/>
            <w:vAlign w:val="center"/>
          </w:tcPr>
          <w:p w14:paraId="1B6B084D" w14:textId="77777777" w:rsidR="002A25CB" w:rsidRPr="00EC57FB" w:rsidRDefault="002A25CB" w:rsidP="00693D0B">
            <w:pPr>
              <w:keepNext/>
              <w:jc w:val="center"/>
              <w:rPr>
                <w:rFonts w:ascii="Arial Narrow" w:hAnsi="Arial Narrow"/>
                <w:b/>
                <w:bCs/>
                <w:sz w:val="20"/>
                <w:szCs w:val="20"/>
              </w:rPr>
            </w:pPr>
            <w:r w:rsidRPr="00EC57FB">
              <w:rPr>
                <w:rFonts w:ascii="Arial Narrow" w:hAnsi="Arial Narrow"/>
                <w:b/>
                <w:bCs/>
                <w:sz w:val="20"/>
                <w:szCs w:val="20"/>
              </w:rPr>
              <w:t>PALI/NIRS (N = 40)</w:t>
            </w:r>
          </w:p>
          <w:p w14:paraId="742A2C7D" w14:textId="77777777" w:rsidR="002A25CB" w:rsidRPr="00EC57FB" w:rsidRDefault="002A25CB" w:rsidP="00693D0B">
            <w:pPr>
              <w:keepNext/>
              <w:jc w:val="center"/>
              <w:rPr>
                <w:rFonts w:ascii="Arial Narrow" w:hAnsi="Arial Narrow"/>
                <w:b/>
                <w:bCs/>
                <w:sz w:val="20"/>
                <w:szCs w:val="20"/>
              </w:rPr>
            </w:pPr>
            <w:r w:rsidRPr="00EC57FB">
              <w:rPr>
                <w:rFonts w:ascii="Arial Narrow" w:hAnsi="Arial Narrow"/>
                <w:b/>
                <w:bCs/>
                <w:sz w:val="20"/>
                <w:szCs w:val="20"/>
              </w:rPr>
              <w:t>n (%)</w:t>
            </w:r>
          </w:p>
        </w:tc>
      </w:tr>
      <w:tr w:rsidR="002A25CB" w:rsidRPr="00EC57FB" w14:paraId="0CBBBCA7" w14:textId="77777777">
        <w:tc>
          <w:tcPr>
            <w:tcW w:w="1648" w:type="pct"/>
            <w:vAlign w:val="center"/>
          </w:tcPr>
          <w:p w14:paraId="5639BCE3" w14:textId="77777777" w:rsidR="002A25CB" w:rsidRPr="00EC57FB" w:rsidRDefault="002A25CB" w:rsidP="00693D0B">
            <w:pPr>
              <w:keepNext/>
              <w:rPr>
                <w:rFonts w:ascii="Arial Narrow" w:hAnsi="Arial Narrow"/>
                <w:sz w:val="20"/>
                <w:szCs w:val="20"/>
              </w:rPr>
            </w:pPr>
            <w:r w:rsidRPr="00EC57FB">
              <w:rPr>
                <w:rFonts w:ascii="Arial Narrow" w:hAnsi="Arial Narrow"/>
                <w:sz w:val="20"/>
                <w:szCs w:val="20"/>
              </w:rPr>
              <w:t>Through 150 days post first dose</w:t>
            </w:r>
          </w:p>
        </w:tc>
        <w:tc>
          <w:tcPr>
            <w:tcW w:w="1154" w:type="pct"/>
            <w:vAlign w:val="center"/>
          </w:tcPr>
          <w:p w14:paraId="001041E9" w14:textId="77777777" w:rsidR="002A25CB" w:rsidRPr="00EC57FB" w:rsidRDefault="002A25CB" w:rsidP="00693D0B">
            <w:pPr>
              <w:keepNext/>
              <w:jc w:val="center"/>
              <w:rPr>
                <w:rFonts w:ascii="Arial Narrow" w:hAnsi="Arial Narrow"/>
                <w:sz w:val="20"/>
                <w:szCs w:val="20"/>
              </w:rPr>
            </w:pPr>
            <w:r w:rsidRPr="00EC57FB">
              <w:rPr>
                <w:rFonts w:ascii="Arial Narrow" w:hAnsi="Arial Narrow"/>
                <w:sz w:val="20"/>
                <w:szCs w:val="20"/>
              </w:rPr>
              <w:t>0</w:t>
            </w:r>
          </w:p>
        </w:tc>
        <w:tc>
          <w:tcPr>
            <w:tcW w:w="1213" w:type="pct"/>
            <w:vAlign w:val="center"/>
          </w:tcPr>
          <w:p w14:paraId="0ABD3B46" w14:textId="77777777" w:rsidR="002A25CB" w:rsidRPr="00EC57FB" w:rsidRDefault="002A25CB" w:rsidP="00693D0B">
            <w:pPr>
              <w:keepNext/>
              <w:jc w:val="center"/>
              <w:rPr>
                <w:rFonts w:ascii="Arial Narrow" w:hAnsi="Arial Narrow"/>
                <w:sz w:val="20"/>
                <w:szCs w:val="20"/>
              </w:rPr>
            </w:pPr>
            <w:r w:rsidRPr="00EC57FB">
              <w:rPr>
                <w:rFonts w:ascii="Arial Narrow" w:hAnsi="Arial Narrow"/>
                <w:sz w:val="20"/>
                <w:szCs w:val="20"/>
              </w:rPr>
              <w:t>0</w:t>
            </w:r>
          </w:p>
        </w:tc>
        <w:tc>
          <w:tcPr>
            <w:tcW w:w="985" w:type="pct"/>
            <w:vAlign w:val="center"/>
          </w:tcPr>
          <w:p w14:paraId="1897A5AE" w14:textId="77777777" w:rsidR="002A25CB" w:rsidRPr="00EC57FB" w:rsidRDefault="002A25CB" w:rsidP="00693D0B">
            <w:pPr>
              <w:keepNext/>
              <w:jc w:val="center"/>
              <w:rPr>
                <w:rFonts w:ascii="Arial Narrow" w:hAnsi="Arial Narrow"/>
                <w:sz w:val="20"/>
                <w:szCs w:val="20"/>
              </w:rPr>
            </w:pPr>
            <w:r w:rsidRPr="00EC57FB">
              <w:rPr>
                <w:rFonts w:ascii="Arial Narrow" w:hAnsi="Arial Narrow"/>
                <w:sz w:val="20"/>
                <w:szCs w:val="20"/>
              </w:rPr>
              <w:t>0</w:t>
            </w:r>
          </w:p>
        </w:tc>
      </w:tr>
      <w:tr w:rsidR="002A25CB" w:rsidRPr="00EC57FB" w14:paraId="08261B45" w14:textId="77777777">
        <w:tc>
          <w:tcPr>
            <w:tcW w:w="1648" w:type="pct"/>
            <w:vAlign w:val="center"/>
          </w:tcPr>
          <w:p w14:paraId="19411C0B" w14:textId="77777777" w:rsidR="002A25CB" w:rsidRPr="00EC57FB" w:rsidRDefault="002A25CB" w:rsidP="00693D0B">
            <w:pPr>
              <w:keepNext/>
              <w:rPr>
                <w:rFonts w:ascii="Arial Narrow" w:hAnsi="Arial Narrow"/>
                <w:sz w:val="20"/>
                <w:szCs w:val="20"/>
              </w:rPr>
            </w:pPr>
            <w:r w:rsidRPr="00EC57FB">
              <w:rPr>
                <w:rFonts w:ascii="Arial Narrow" w:hAnsi="Arial Narrow"/>
                <w:sz w:val="20"/>
                <w:szCs w:val="20"/>
              </w:rPr>
              <w:t xml:space="preserve">From 151 to 360 days post first dose </w:t>
            </w:r>
            <w:r w:rsidRPr="00EC57FB">
              <w:rPr>
                <w:rFonts w:ascii="Arial Narrow" w:hAnsi="Arial Narrow"/>
                <w:sz w:val="20"/>
                <w:szCs w:val="20"/>
                <w:vertAlign w:val="superscript"/>
              </w:rPr>
              <w:t>a</w:t>
            </w:r>
          </w:p>
        </w:tc>
        <w:tc>
          <w:tcPr>
            <w:tcW w:w="1154" w:type="pct"/>
            <w:vAlign w:val="center"/>
          </w:tcPr>
          <w:p w14:paraId="71DD9D51" w14:textId="77777777" w:rsidR="002A25CB" w:rsidRPr="00EC57FB" w:rsidRDefault="002A25CB" w:rsidP="00693D0B">
            <w:pPr>
              <w:keepNext/>
              <w:jc w:val="center"/>
              <w:rPr>
                <w:rFonts w:ascii="Arial Narrow" w:hAnsi="Arial Narrow"/>
                <w:sz w:val="20"/>
                <w:szCs w:val="20"/>
              </w:rPr>
            </w:pPr>
            <w:r w:rsidRPr="00EC57FB">
              <w:rPr>
                <w:rFonts w:ascii="Arial Narrow" w:hAnsi="Arial Narrow"/>
                <w:sz w:val="20"/>
                <w:szCs w:val="20"/>
              </w:rPr>
              <w:t>0</w:t>
            </w:r>
          </w:p>
        </w:tc>
        <w:tc>
          <w:tcPr>
            <w:tcW w:w="1213" w:type="pct"/>
            <w:vAlign w:val="center"/>
          </w:tcPr>
          <w:p w14:paraId="5DE91378" w14:textId="77777777" w:rsidR="002A25CB" w:rsidRPr="00EC57FB" w:rsidRDefault="002A25CB" w:rsidP="00693D0B">
            <w:pPr>
              <w:keepNext/>
              <w:jc w:val="center"/>
              <w:rPr>
                <w:rFonts w:ascii="Arial Narrow" w:hAnsi="Arial Narrow"/>
                <w:sz w:val="20"/>
                <w:szCs w:val="20"/>
              </w:rPr>
            </w:pPr>
            <w:r w:rsidRPr="00EC57FB">
              <w:rPr>
                <w:rFonts w:ascii="Arial Narrow" w:hAnsi="Arial Narrow"/>
                <w:sz w:val="20"/>
                <w:szCs w:val="20"/>
              </w:rPr>
              <w:t xml:space="preserve">1/40 (2.5) </w:t>
            </w:r>
          </w:p>
        </w:tc>
        <w:tc>
          <w:tcPr>
            <w:tcW w:w="985" w:type="pct"/>
            <w:vAlign w:val="center"/>
          </w:tcPr>
          <w:p w14:paraId="519CD1B6" w14:textId="77777777" w:rsidR="002A25CB" w:rsidRPr="00EC57FB" w:rsidRDefault="002A25CB" w:rsidP="00693D0B">
            <w:pPr>
              <w:keepNext/>
              <w:jc w:val="center"/>
              <w:rPr>
                <w:rFonts w:ascii="Arial Narrow" w:hAnsi="Arial Narrow"/>
                <w:sz w:val="20"/>
                <w:szCs w:val="20"/>
              </w:rPr>
            </w:pPr>
            <w:r w:rsidRPr="00EC57FB">
              <w:rPr>
                <w:rFonts w:ascii="Arial Narrow" w:hAnsi="Arial Narrow"/>
                <w:sz w:val="20"/>
                <w:szCs w:val="20"/>
              </w:rPr>
              <w:t xml:space="preserve">1/40 (2.5) </w:t>
            </w:r>
          </w:p>
        </w:tc>
      </w:tr>
      <w:tr w:rsidR="002A25CB" w:rsidRPr="00EC57FB" w14:paraId="61EBCAF3" w14:textId="77777777">
        <w:tc>
          <w:tcPr>
            <w:tcW w:w="1648" w:type="pct"/>
            <w:vAlign w:val="center"/>
          </w:tcPr>
          <w:p w14:paraId="38F0EBFA" w14:textId="77777777" w:rsidR="002A25CB" w:rsidRPr="00EC57FB" w:rsidRDefault="002A25CB" w:rsidP="00693D0B">
            <w:pPr>
              <w:keepNext/>
              <w:rPr>
                <w:rFonts w:ascii="Arial Narrow" w:hAnsi="Arial Narrow"/>
                <w:sz w:val="20"/>
                <w:szCs w:val="20"/>
              </w:rPr>
            </w:pPr>
            <w:r w:rsidRPr="00EC57FB">
              <w:rPr>
                <w:rFonts w:ascii="Arial Narrow" w:hAnsi="Arial Narrow"/>
                <w:sz w:val="20"/>
                <w:szCs w:val="20"/>
              </w:rPr>
              <w:t>Through 360 days post first dose</w:t>
            </w:r>
          </w:p>
        </w:tc>
        <w:tc>
          <w:tcPr>
            <w:tcW w:w="1154" w:type="pct"/>
            <w:vAlign w:val="center"/>
          </w:tcPr>
          <w:p w14:paraId="0D999B5B" w14:textId="77777777" w:rsidR="002A25CB" w:rsidRPr="00EC57FB" w:rsidRDefault="002A25CB" w:rsidP="00693D0B">
            <w:pPr>
              <w:keepNext/>
              <w:jc w:val="center"/>
              <w:rPr>
                <w:rFonts w:ascii="Arial Narrow" w:hAnsi="Arial Narrow"/>
                <w:sz w:val="20"/>
                <w:szCs w:val="20"/>
              </w:rPr>
            </w:pPr>
            <w:r w:rsidRPr="00EC57FB">
              <w:rPr>
                <w:rFonts w:ascii="Arial Narrow" w:hAnsi="Arial Narrow"/>
                <w:sz w:val="20"/>
                <w:szCs w:val="20"/>
              </w:rPr>
              <w:t>0</w:t>
            </w:r>
          </w:p>
        </w:tc>
        <w:tc>
          <w:tcPr>
            <w:tcW w:w="1213" w:type="pct"/>
            <w:vAlign w:val="center"/>
          </w:tcPr>
          <w:p w14:paraId="58E9BB1D" w14:textId="77777777" w:rsidR="002A25CB" w:rsidRPr="00EC57FB" w:rsidRDefault="002A25CB" w:rsidP="00693D0B">
            <w:pPr>
              <w:keepNext/>
              <w:jc w:val="center"/>
              <w:rPr>
                <w:rFonts w:ascii="Arial Narrow" w:hAnsi="Arial Narrow"/>
                <w:sz w:val="20"/>
                <w:szCs w:val="20"/>
              </w:rPr>
            </w:pPr>
            <w:r w:rsidRPr="00EC57FB">
              <w:rPr>
                <w:rFonts w:ascii="Arial Narrow" w:hAnsi="Arial Narrow"/>
                <w:sz w:val="20"/>
                <w:szCs w:val="20"/>
              </w:rPr>
              <w:t xml:space="preserve">1 (2.4) </w:t>
            </w:r>
          </w:p>
        </w:tc>
        <w:tc>
          <w:tcPr>
            <w:tcW w:w="985" w:type="pct"/>
            <w:vAlign w:val="center"/>
          </w:tcPr>
          <w:p w14:paraId="19BC2533" w14:textId="77777777" w:rsidR="002A25CB" w:rsidRPr="00EC57FB" w:rsidRDefault="002A25CB" w:rsidP="00693D0B">
            <w:pPr>
              <w:keepNext/>
              <w:jc w:val="center"/>
              <w:rPr>
                <w:rFonts w:ascii="Arial Narrow" w:hAnsi="Arial Narrow"/>
                <w:sz w:val="20"/>
                <w:szCs w:val="20"/>
              </w:rPr>
            </w:pPr>
            <w:r w:rsidRPr="00EC57FB">
              <w:rPr>
                <w:rFonts w:ascii="Arial Narrow" w:hAnsi="Arial Narrow"/>
                <w:sz w:val="20"/>
                <w:szCs w:val="20"/>
              </w:rPr>
              <w:t xml:space="preserve">1 (2.5) </w:t>
            </w:r>
          </w:p>
        </w:tc>
      </w:tr>
    </w:tbl>
    <w:bookmarkEnd w:id="104"/>
    <w:p w14:paraId="2DD5B9AD" w14:textId="77777777" w:rsidR="002A25CB" w:rsidRPr="00EC57FB" w:rsidRDefault="002A25CB" w:rsidP="00FB629D">
      <w:pPr>
        <w:pStyle w:val="TableFigureFooter"/>
        <w:keepNext/>
        <w:jc w:val="both"/>
      </w:pPr>
      <w:r w:rsidRPr="00EC57FB">
        <w:t>Source: Table 30, p123 of the MEDLEY CSR</w:t>
      </w:r>
    </w:p>
    <w:p w14:paraId="7B40DCD0" w14:textId="77777777" w:rsidR="002A25CB" w:rsidRPr="00EC57FB" w:rsidRDefault="002A25CB" w:rsidP="00FB629D">
      <w:pPr>
        <w:pStyle w:val="TableFigureFooter"/>
        <w:keepNext/>
        <w:contextualSpacing/>
        <w:jc w:val="both"/>
      </w:pPr>
      <w:r w:rsidRPr="00EC57FB">
        <w:t>CSR = clinical study report; MA RSV LRTI = medically attended respiratory syncytial virus associated lower respiratory tract infection; NIRS = nirsevimab; PALI = palivizumab.</w:t>
      </w:r>
    </w:p>
    <w:p w14:paraId="026415E5" w14:textId="42DD5944" w:rsidR="002A25CB" w:rsidRPr="00FB629D" w:rsidRDefault="00BF3739" w:rsidP="00FB629D">
      <w:pPr>
        <w:pStyle w:val="TableFigureFooter"/>
        <w:spacing w:after="120"/>
        <w:jc w:val="both"/>
      </w:pPr>
      <w:r w:rsidRPr="00FB629D">
        <w:rPr>
          <w:vertAlign w:val="superscript"/>
        </w:rPr>
        <w:t>a</w:t>
      </w:r>
      <w:r w:rsidR="00657259" w:rsidRPr="00FB629D">
        <w:t xml:space="preserve"> </w:t>
      </w:r>
      <w:r w:rsidR="003B36A9" w:rsidRPr="00FB629D">
        <w:t>T</w:t>
      </w:r>
      <w:r w:rsidR="002A25CB" w:rsidRPr="00FB629D">
        <w:t>he incidence rate was calculated using the number of ITT subjects followed for at least 151 days post first dose as a denominato</w:t>
      </w:r>
      <w:r w:rsidR="00C86A6E" w:rsidRPr="00FB629D">
        <w:t>r.</w:t>
      </w:r>
    </w:p>
    <w:p w14:paraId="20B12AE6" w14:textId="1C838F93" w:rsidR="002A25CB" w:rsidRPr="00EC57FB" w:rsidRDefault="00DB716C" w:rsidP="001933F2">
      <w:pPr>
        <w:pStyle w:val="3-BodyText"/>
      </w:pPr>
      <w:bookmarkStart w:id="105" w:name="_Ref188294310"/>
      <w:r w:rsidRPr="00EC57FB">
        <w:lastRenderedPageBreak/>
        <w:t xml:space="preserve">The potential </w:t>
      </w:r>
      <w:r w:rsidR="00F06EA1" w:rsidRPr="00EC57FB">
        <w:t>to</w:t>
      </w:r>
      <w:r w:rsidRPr="00EC57FB">
        <w:t xml:space="preserve"> conduct an </w:t>
      </w:r>
      <w:r w:rsidR="001933F2" w:rsidRPr="00EC57FB">
        <w:t>indirect comparison</w:t>
      </w:r>
      <w:r w:rsidR="00670846" w:rsidRPr="00EC57FB">
        <w:t xml:space="preserve"> </w:t>
      </w:r>
      <w:r w:rsidR="00072BD5" w:rsidRPr="00EC57FB">
        <w:t>to placebo (for no immunisation)</w:t>
      </w:r>
      <w:r w:rsidR="005C3B5D" w:rsidRPr="00EC57FB">
        <w:t xml:space="preserve">, using palivizumab as the common reference, </w:t>
      </w:r>
      <w:r w:rsidR="00A94113" w:rsidRPr="00EC57FB">
        <w:t>was not</w:t>
      </w:r>
      <w:r w:rsidRPr="00EC57FB">
        <w:t xml:space="preserve"> investigated</w:t>
      </w:r>
      <w:r w:rsidR="00D345F4" w:rsidRPr="00EC57FB">
        <w:t xml:space="preserve"> </w:t>
      </w:r>
      <w:r w:rsidR="00A94113" w:rsidRPr="00EC57FB">
        <w:t xml:space="preserve">in the resubmission. </w:t>
      </w:r>
      <w:r w:rsidR="0059294F" w:rsidRPr="00EC57FB">
        <w:t>However, a</w:t>
      </w:r>
      <w:r w:rsidR="00A94113" w:rsidRPr="00EC57FB">
        <w:t xml:space="preserve"> pragmatic search of the literature </w:t>
      </w:r>
      <w:r w:rsidR="0059294F" w:rsidRPr="00EC57FB">
        <w:t xml:space="preserve">during the evaluation </w:t>
      </w:r>
      <w:r w:rsidR="00A94113" w:rsidRPr="00EC57FB">
        <w:t>did not identify</w:t>
      </w:r>
      <w:r w:rsidR="000D1FE7" w:rsidRPr="00EC57FB">
        <w:t xml:space="preserve"> any trials </w:t>
      </w:r>
      <w:r w:rsidR="000E2BD8" w:rsidRPr="00EC57FB">
        <w:t xml:space="preserve">comparing </w:t>
      </w:r>
      <w:r w:rsidR="0059294F" w:rsidRPr="00EC57FB">
        <w:t>palivizumab and placebo (for no immunisation) in children with risk conditions entering their second RSV season.</w:t>
      </w:r>
      <w:bookmarkEnd w:id="105"/>
    </w:p>
    <w:p w14:paraId="7BD18CCD" w14:textId="2F09EF80" w:rsidR="004D077D" w:rsidRPr="00EC57FB" w:rsidRDefault="004D077D" w:rsidP="004D077D">
      <w:pPr>
        <w:pStyle w:val="3-BodyText"/>
      </w:pPr>
      <w:r w:rsidRPr="00EC57FB">
        <w:t xml:space="preserve">The primary source of evidence presented in the resubmission to support use of nirsevimab in </w:t>
      </w:r>
      <w:r w:rsidR="0085402E" w:rsidRPr="00EC57FB">
        <w:t>children</w:t>
      </w:r>
      <w:r w:rsidRPr="00EC57FB">
        <w:t xml:space="preserve"> with risk conditions </w:t>
      </w:r>
      <w:r w:rsidR="00B02306" w:rsidRPr="00EC57FB">
        <w:t xml:space="preserve">experiencing their second season of RSV </w:t>
      </w:r>
      <w:r w:rsidRPr="00EC57FB">
        <w:t xml:space="preserve">was preliminary data from state </w:t>
      </w:r>
      <w:r w:rsidR="00C82E8D" w:rsidRPr="00EC57FB">
        <w:t xml:space="preserve">nirsevimab </w:t>
      </w:r>
      <w:r w:rsidRPr="00EC57FB">
        <w:t>programs in Western Australia</w:t>
      </w:r>
      <w:r w:rsidR="008843EC" w:rsidRPr="00EC57FB">
        <w:t xml:space="preserve"> (WA)</w:t>
      </w:r>
      <w:r w:rsidRPr="00EC57FB">
        <w:t xml:space="preserve"> and New South Wales</w:t>
      </w:r>
      <w:r w:rsidR="008843EC" w:rsidRPr="00EC57FB">
        <w:t xml:space="preserve"> (NSW)</w:t>
      </w:r>
      <w:r w:rsidRPr="00EC57FB">
        <w:t>.</w:t>
      </w:r>
      <w:r w:rsidR="00DD331C" w:rsidRPr="00EC57FB">
        <w:t xml:space="preserve"> The results from the NSW program are discussed in paragraphs</w:t>
      </w:r>
      <w:r w:rsidR="003E0CF5" w:rsidRPr="00EC57FB">
        <w:t xml:space="preserve"> </w:t>
      </w:r>
      <w:r w:rsidR="00FF24A1" w:rsidRPr="00EC57FB">
        <w:fldChar w:fldCharType="begin"/>
      </w:r>
      <w:r w:rsidR="00FF24A1" w:rsidRPr="00EC57FB">
        <w:instrText xml:space="preserve"> REF _Ref187061488 \r \h </w:instrText>
      </w:r>
      <w:r w:rsidR="00FF24A1" w:rsidRPr="00EC57FB">
        <w:fldChar w:fldCharType="separate"/>
      </w:r>
      <w:r w:rsidR="00502C25">
        <w:t>6.33</w:t>
      </w:r>
      <w:r w:rsidR="00FF24A1" w:rsidRPr="00EC57FB">
        <w:fldChar w:fldCharType="end"/>
      </w:r>
      <w:r w:rsidR="00FF24A1" w:rsidRPr="00EC57FB">
        <w:t xml:space="preserve"> and </w:t>
      </w:r>
      <w:r w:rsidR="00FF24A1" w:rsidRPr="00EC57FB">
        <w:fldChar w:fldCharType="begin"/>
      </w:r>
      <w:r w:rsidR="00FF24A1" w:rsidRPr="00EC57FB">
        <w:instrText xml:space="preserve"> REF _Ref187061491 \r \h </w:instrText>
      </w:r>
      <w:r w:rsidR="00FF24A1" w:rsidRPr="00EC57FB">
        <w:fldChar w:fldCharType="separate"/>
      </w:r>
      <w:r w:rsidR="00502C25">
        <w:t>6.34</w:t>
      </w:r>
      <w:r w:rsidR="00FF24A1" w:rsidRPr="00EC57FB">
        <w:fldChar w:fldCharType="end"/>
      </w:r>
      <w:r w:rsidR="00FF24A1" w:rsidRPr="00EC57FB">
        <w:t>.</w:t>
      </w:r>
    </w:p>
    <w:p w14:paraId="31137F8C" w14:textId="07E8E25A" w:rsidR="004D077D" w:rsidRPr="00EC57FB" w:rsidRDefault="004D077D" w:rsidP="004D077D">
      <w:pPr>
        <w:pStyle w:val="3-BodyText"/>
      </w:pPr>
      <w:bookmarkStart w:id="106" w:name="_Ref187081489"/>
      <w:r w:rsidRPr="00EC57FB">
        <w:t xml:space="preserve">As noted in </w:t>
      </w:r>
      <w:r w:rsidRPr="00EC57FB">
        <w:fldChar w:fldCharType="begin"/>
      </w:r>
      <w:r w:rsidRPr="00EC57FB">
        <w:instrText xml:space="preserve"> REF _Ref185177458 \h </w:instrText>
      </w:r>
      <w:r w:rsidRPr="00EC57FB">
        <w:fldChar w:fldCharType="separate"/>
      </w:r>
      <w:r w:rsidR="00502C25" w:rsidRPr="00EC57FB">
        <w:t xml:space="preserve">Table </w:t>
      </w:r>
      <w:r w:rsidR="00502C25">
        <w:rPr>
          <w:noProof/>
        </w:rPr>
        <w:t>8</w:t>
      </w:r>
      <w:r w:rsidRPr="00EC57FB">
        <w:fldChar w:fldCharType="end"/>
      </w:r>
      <w:r w:rsidRPr="00EC57FB">
        <w:t xml:space="preserve">, the REVIVE study is an observational test-negative case-control cohort study </w:t>
      </w:r>
      <w:r w:rsidR="005F44F0" w:rsidRPr="00EC57FB">
        <w:t xml:space="preserve">of </w:t>
      </w:r>
      <w:r w:rsidR="00A6752E" w:rsidRPr="00EC57FB">
        <w:t xml:space="preserve">hospitalised </w:t>
      </w:r>
      <w:r w:rsidR="005F44F0" w:rsidRPr="00EC57FB">
        <w:t>children</w:t>
      </w:r>
      <w:r w:rsidR="0059314F" w:rsidRPr="00EC57FB">
        <w:t xml:space="preserve">. </w:t>
      </w:r>
      <w:r w:rsidR="008E099E" w:rsidRPr="00EC57FB">
        <w:t xml:space="preserve">The study </w:t>
      </w:r>
      <w:r w:rsidR="00EC729E" w:rsidRPr="00EC57FB">
        <w:t>classified</w:t>
      </w:r>
      <w:r w:rsidR="008E099E" w:rsidRPr="00EC57FB">
        <w:t xml:space="preserve"> hospitalisation</w:t>
      </w:r>
      <w:r w:rsidR="00EC729E" w:rsidRPr="00EC57FB">
        <w:t>s according to whether</w:t>
      </w:r>
      <w:r w:rsidR="00AF04F7" w:rsidRPr="00EC57FB">
        <w:t xml:space="preserve"> the child had </w:t>
      </w:r>
      <w:r w:rsidR="008E099E" w:rsidRPr="00EC57FB">
        <w:t>RSV-ass</w:t>
      </w:r>
      <w:r w:rsidR="00EC729E" w:rsidRPr="00EC57FB">
        <w:t>ociated illness</w:t>
      </w:r>
      <w:r w:rsidR="00AF04F7" w:rsidRPr="00EC57FB">
        <w:t xml:space="preserve"> or not and whether the child had received nirsevimab or not</w:t>
      </w:r>
      <w:r w:rsidR="00584FF3" w:rsidRPr="00EC57FB">
        <w:t xml:space="preserve"> and compared rates of RSV-associated hospitalisation in those immunised versus those not immunised. </w:t>
      </w:r>
      <w:r w:rsidR="00524B16" w:rsidRPr="00EC57FB">
        <w:t xml:space="preserve">The study </w:t>
      </w:r>
      <w:r w:rsidR="00A1709E" w:rsidRPr="00EC57FB">
        <w:t xml:space="preserve">thus </w:t>
      </w:r>
      <w:r w:rsidR="00524B16" w:rsidRPr="00EC57FB">
        <w:t xml:space="preserve">examined the effectiveness of the </w:t>
      </w:r>
      <w:r w:rsidRPr="00EC57FB">
        <w:t xml:space="preserve">Western Australian </w:t>
      </w:r>
      <w:r w:rsidR="00524B16" w:rsidRPr="00EC57FB">
        <w:t xml:space="preserve">nirsevimab </w:t>
      </w:r>
      <w:r w:rsidRPr="00EC57FB">
        <w:t>immunisation program that offered nirsevimab to all infants aged &lt;</w:t>
      </w:r>
      <w:r w:rsidR="001C0ECA">
        <w:t> </w:t>
      </w:r>
      <w:r w:rsidRPr="00EC57FB">
        <w:t xml:space="preserve">12 months entering their first RSV season and to children aged &lt; 24 months with risk conditions </w:t>
      </w:r>
      <w:r w:rsidR="00E714D3" w:rsidRPr="00EC57FB">
        <w:t>(including Aboriginal and Torres</w:t>
      </w:r>
      <w:r w:rsidR="00B41BCC" w:rsidRPr="00EC57FB">
        <w:t xml:space="preserve"> Strait Islander children) </w:t>
      </w:r>
      <w:r w:rsidRPr="00EC57FB">
        <w:t xml:space="preserve">entering their second RSV season. The </w:t>
      </w:r>
      <w:r w:rsidR="00A1709E" w:rsidRPr="00EC57FB">
        <w:t xml:space="preserve">key </w:t>
      </w:r>
      <w:r w:rsidRPr="00EC57FB">
        <w:t>result</w:t>
      </w:r>
      <w:r w:rsidR="0085402E" w:rsidRPr="00EC57FB">
        <w:t>s</w:t>
      </w:r>
      <w:r w:rsidRPr="00EC57FB">
        <w:t xml:space="preserve"> from the REVIVE study conducted in Western Australia are summarised in </w:t>
      </w:r>
      <w:r w:rsidR="00354337" w:rsidRPr="00EC57FB">
        <w:fldChar w:fldCharType="begin"/>
      </w:r>
      <w:r w:rsidR="00354337" w:rsidRPr="00EC57FB">
        <w:instrText xml:space="preserve"> REF _Ref187061550 \h </w:instrText>
      </w:r>
      <w:r w:rsidR="00354337" w:rsidRPr="00EC57FB">
        <w:fldChar w:fldCharType="separate"/>
      </w:r>
      <w:r w:rsidR="00502C25" w:rsidRPr="00EC57FB">
        <w:t xml:space="preserve">Table </w:t>
      </w:r>
      <w:r w:rsidR="00502C25">
        <w:rPr>
          <w:noProof/>
        </w:rPr>
        <w:t>20</w:t>
      </w:r>
      <w:r w:rsidR="00354337" w:rsidRPr="00EC57FB">
        <w:fldChar w:fldCharType="end"/>
      </w:r>
      <w:r w:rsidR="00B03FE6" w:rsidRPr="00EC57FB">
        <w:t xml:space="preserve">. Results are shown separately for infants entering their first RSV season and those entering their second RSV season. </w:t>
      </w:r>
      <w:r w:rsidR="00EB6677" w:rsidRPr="00EC57FB">
        <w:t>T</w:t>
      </w:r>
      <w:r w:rsidR="00B03FE6" w:rsidRPr="00EC57FB">
        <w:t xml:space="preserve">he </w:t>
      </w:r>
      <w:r w:rsidR="009A2324" w:rsidRPr="00EC57FB">
        <w:t xml:space="preserve">results </w:t>
      </w:r>
      <w:r w:rsidR="007048E8" w:rsidRPr="00EC57FB">
        <w:t xml:space="preserve">for the infants entering their first RSV season are consistent with the final results </w:t>
      </w:r>
      <w:r w:rsidR="00DC4A94" w:rsidRPr="00EC57FB">
        <w:t>from the MELODY trial. The</w:t>
      </w:r>
      <w:r w:rsidR="00B03FE6" w:rsidRPr="00EC57FB">
        <w:t xml:space="preserve"> </w:t>
      </w:r>
      <w:r w:rsidR="0055797B" w:rsidRPr="00EC57FB">
        <w:t xml:space="preserve">point estimate for </w:t>
      </w:r>
      <w:r w:rsidR="009D1CB5" w:rsidRPr="00EC57FB">
        <w:t>the</w:t>
      </w:r>
      <w:r w:rsidR="0055797B" w:rsidRPr="00EC57FB">
        <w:t xml:space="preserve"> </w:t>
      </w:r>
      <w:r w:rsidR="00875764" w:rsidRPr="00EC57FB">
        <w:t xml:space="preserve">effectiveness of </w:t>
      </w:r>
      <w:r w:rsidR="00982556" w:rsidRPr="00EC57FB">
        <w:t xml:space="preserve">nirsevimab in children </w:t>
      </w:r>
      <w:r w:rsidR="002B63FA" w:rsidRPr="00EC57FB">
        <w:t xml:space="preserve">entering </w:t>
      </w:r>
      <w:r w:rsidR="00982556" w:rsidRPr="00EC57FB">
        <w:t xml:space="preserve">their second RSV season </w:t>
      </w:r>
      <w:r w:rsidR="00E30EC1" w:rsidRPr="00EC57FB">
        <w:t xml:space="preserve">trended toward being </w:t>
      </w:r>
      <w:r w:rsidR="0055797B" w:rsidRPr="00EC57FB">
        <w:t>lower than observed in the cohort of children experiencing their first RSV season and did not reach statistical significance.</w:t>
      </w:r>
      <w:bookmarkEnd w:id="106"/>
    </w:p>
    <w:p w14:paraId="6FE09457" w14:textId="316BB235" w:rsidR="00E30EC1" w:rsidRPr="00EC57FB" w:rsidRDefault="00A32D80" w:rsidP="005160DA">
      <w:pPr>
        <w:pStyle w:val="3-BodyText"/>
      </w:pPr>
      <w:r w:rsidRPr="00EC57FB">
        <w:t xml:space="preserve">The evidence supporting a claim that nirsevimab is superior </w:t>
      </w:r>
      <w:r w:rsidR="00385658" w:rsidRPr="00EC57FB">
        <w:t>to no immunisation in preventing RSV-related hospitalisations</w:t>
      </w:r>
      <w:r w:rsidR="0031178B" w:rsidRPr="00EC57FB">
        <w:t xml:space="preserve"> in Population D</w:t>
      </w:r>
      <w:r w:rsidR="00385658" w:rsidRPr="00EC57FB">
        <w:t xml:space="preserve"> </w:t>
      </w:r>
      <w:r w:rsidR="00B4248B" w:rsidRPr="00EC57FB">
        <w:t xml:space="preserve">is, overall, weak. There is also </w:t>
      </w:r>
      <w:r w:rsidR="005B45C9" w:rsidRPr="00EC57FB">
        <w:t xml:space="preserve">a high degree of uncertainty regarding the incidence of RSV-related illness in </w:t>
      </w:r>
      <w:r w:rsidR="00637DD5" w:rsidRPr="00EC57FB">
        <w:t xml:space="preserve">children </w:t>
      </w:r>
      <w:r w:rsidR="0007219A" w:rsidRPr="00EC57FB">
        <w:t xml:space="preserve">with risk conditions </w:t>
      </w:r>
      <w:r w:rsidR="00637DD5" w:rsidRPr="00EC57FB">
        <w:t>entering their second RSV season.</w:t>
      </w:r>
      <w:r w:rsidR="0031178B" w:rsidRPr="00EC57FB">
        <w:t xml:space="preserve"> </w:t>
      </w:r>
    </w:p>
    <w:p w14:paraId="6430E69A" w14:textId="5AF831E8" w:rsidR="00A1709E" w:rsidRPr="00EC57FB" w:rsidRDefault="00A1709E" w:rsidP="001C0ECA">
      <w:pPr>
        <w:pStyle w:val="Caption"/>
      </w:pPr>
      <w:bookmarkStart w:id="107" w:name="_Ref187061550"/>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20</w:t>
      </w:r>
      <w:r w:rsidR="00C51E7C" w:rsidRPr="00EC57FB">
        <w:fldChar w:fldCharType="end"/>
      </w:r>
      <w:bookmarkEnd w:id="107"/>
      <w:r w:rsidRPr="00EC57FB">
        <w:t xml:space="preserve">: </w:t>
      </w:r>
      <w:r w:rsidR="00FC5DD6" w:rsidRPr="00EC57FB">
        <w:t>Number of children h</w:t>
      </w:r>
      <w:r w:rsidR="00D6187B" w:rsidRPr="00EC57FB">
        <w:t>ospitalis</w:t>
      </w:r>
      <w:r w:rsidR="00FC5DD6" w:rsidRPr="00EC57FB">
        <w:t>ed</w:t>
      </w:r>
      <w:r w:rsidR="007C36C9" w:rsidRPr="00EC57FB">
        <w:t xml:space="preserve"> in WA by nirsevimab immunisation status and RSV status</w:t>
      </w:r>
      <w:r w:rsidR="00FC5DD6" w:rsidRPr="00EC57FB">
        <w:t>, with associated estimates of nirsevimab effectiveness</w:t>
      </w:r>
    </w:p>
    <w:tbl>
      <w:tblPr>
        <w:tblStyle w:val="TableGrid"/>
        <w:tblW w:w="0" w:type="auto"/>
        <w:tblCellMar>
          <w:left w:w="85" w:type="dxa"/>
          <w:right w:w="28" w:type="dxa"/>
        </w:tblCellMar>
        <w:tblLook w:val="04A0" w:firstRow="1" w:lastRow="0" w:firstColumn="1" w:lastColumn="0" w:noHBand="0" w:noVBand="1"/>
      </w:tblPr>
      <w:tblGrid>
        <w:gridCol w:w="795"/>
        <w:gridCol w:w="1105"/>
        <w:gridCol w:w="1106"/>
        <w:gridCol w:w="1105"/>
        <w:gridCol w:w="1106"/>
        <w:gridCol w:w="1284"/>
        <w:gridCol w:w="1284"/>
        <w:gridCol w:w="1232"/>
      </w:tblGrid>
      <w:tr w:rsidR="00FC5DD6" w:rsidRPr="00EC57FB" w14:paraId="0E05FB9C" w14:textId="77777777" w:rsidTr="008003DB">
        <w:tc>
          <w:tcPr>
            <w:tcW w:w="795" w:type="dxa"/>
            <w:vMerge w:val="restart"/>
            <w:vAlign w:val="center"/>
          </w:tcPr>
          <w:p w14:paraId="06BB5ED2" w14:textId="0D87FFFE" w:rsidR="00FC5DD6" w:rsidRPr="00EC57FB" w:rsidRDefault="00FC5DD6" w:rsidP="001C0ECA">
            <w:pPr>
              <w:pStyle w:val="TableText0"/>
              <w:rPr>
                <w:b/>
                <w:bCs w:val="0"/>
              </w:rPr>
            </w:pPr>
            <w:r w:rsidRPr="00EC57FB">
              <w:rPr>
                <w:b/>
                <w:bCs w:val="0"/>
              </w:rPr>
              <w:t>Cohort</w:t>
            </w:r>
          </w:p>
        </w:tc>
        <w:tc>
          <w:tcPr>
            <w:tcW w:w="2211" w:type="dxa"/>
            <w:gridSpan w:val="2"/>
            <w:vAlign w:val="center"/>
          </w:tcPr>
          <w:p w14:paraId="465D11EC" w14:textId="438090DB" w:rsidR="00FC5DD6" w:rsidRPr="00EC57FB" w:rsidRDefault="00FC5DD6" w:rsidP="001C0ECA">
            <w:pPr>
              <w:pStyle w:val="TableText0"/>
              <w:jc w:val="center"/>
              <w:rPr>
                <w:b/>
                <w:bCs w:val="0"/>
              </w:rPr>
            </w:pPr>
            <w:r w:rsidRPr="00EC57FB">
              <w:rPr>
                <w:b/>
                <w:bCs w:val="0"/>
              </w:rPr>
              <w:t>RSV negative</w:t>
            </w:r>
          </w:p>
        </w:tc>
        <w:tc>
          <w:tcPr>
            <w:tcW w:w="2211" w:type="dxa"/>
            <w:gridSpan w:val="2"/>
            <w:vAlign w:val="center"/>
          </w:tcPr>
          <w:p w14:paraId="455C6500" w14:textId="1522682C" w:rsidR="00FC5DD6" w:rsidRPr="00EC57FB" w:rsidRDefault="00FC5DD6" w:rsidP="001C0ECA">
            <w:pPr>
              <w:pStyle w:val="TableText0"/>
              <w:jc w:val="center"/>
              <w:rPr>
                <w:b/>
                <w:bCs w:val="0"/>
              </w:rPr>
            </w:pPr>
            <w:r w:rsidRPr="00EC57FB">
              <w:rPr>
                <w:b/>
                <w:bCs w:val="0"/>
              </w:rPr>
              <w:t>RSV positive</w:t>
            </w:r>
          </w:p>
        </w:tc>
        <w:tc>
          <w:tcPr>
            <w:tcW w:w="1284" w:type="dxa"/>
            <w:vMerge w:val="restart"/>
            <w:vAlign w:val="center"/>
          </w:tcPr>
          <w:p w14:paraId="36916EC5" w14:textId="77777777" w:rsidR="00FC5DD6" w:rsidRPr="00EC57FB" w:rsidRDefault="00FC5DD6" w:rsidP="001C0ECA">
            <w:pPr>
              <w:pStyle w:val="TableText0"/>
              <w:jc w:val="center"/>
              <w:rPr>
                <w:b/>
                <w:bCs w:val="0"/>
              </w:rPr>
            </w:pPr>
            <w:r w:rsidRPr="00EC57FB">
              <w:rPr>
                <w:b/>
                <w:bCs w:val="0"/>
              </w:rPr>
              <w:t>OR</w:t>
            </w:r>
          </w:p>
          <w:p w14:paraId="049B8599" w14:textId="04534E97" w:rsidR="00FC5DD6" w:rsidRPr="00EC57FB" w:rsidRDefault="00FC5DD6" w:rsidP="001C0ECA">
            <w:pPr>
              <w:pStyle w:val="TableText0"/>
              <w:jc w:val="center"/>
              <w:rPr>
                <w:b/>
                <w:bCs w:val="0"/>
              </w:rPr>
            </w:pPr>
            <w:r w:rsidRPr="00EC57FB">
              <w:rPr>
                <w:b/>
                <w:bCs w:val="0"/>
              </w:rPr>
              <w:t>(95% CI)</w:t>
            </w:r>
          </w:p>
        </w:tc>
        <w:tc>
          <w:tcPr>
            <w:tcW w:w="1284" w:type="dxa"/>
            <w:vMerge w:val="restart"/>
            <w:vAlign w:val="center"/>
          </w:tcPr>
          <w:p w14:paraId="5D60F4D4" w14:textId="5790FC4A" w:rsidR="00FC5DD6" w:rsidRPr="00EC57FB" w:rsidRDefault="00FC5DD6" w:rsidP="001C0ECA">
            <w:pPr>
              <w:pStyle w:val="TableText0"/>
              <w:jc w:val="center"/>
              <w:rPr>
                <w:b/>
                <w:bCs w:val="0"/>
              </w:rPr>
            </w:pPr>
            <w:r w:rsidRPr="00EC57FB">
              <w:rPr>
                <w:b/>
                <w:bCs w:val="0"/>
              </w:rPr>
              <w:t>Adjusted OR</w:t>
            </w:r>
            <w:r w:rsidR="00022EB4" w:rsidRPr="00EC57FB">
              <w:rPr>
                <w:b/>
                <w:bCs w:val="0"/>
                <w:vertAlign w:val="superscript"/>
              </w:rPr>
              <w:t>a</w:t>
            </w:r>
            <w:r w:rsidRPr="00EC57FB">
              <w:rPr>
                <w:b/>
                <w:bCs w:val="0"/>
              </w:rPr>
              <w:t xml:space="preserve"> (95% CI)</w:t>
            </w:r>
          </w:p>
        </w:tc>
        <w:tc>
          <w:tcPr>
            <w:tcW w:w="1232" w:type="dxa"/>
            <w:vMerge w:val="restart"/>
            <w:vAlign w:val="center"/>
          </w:tcPr>
          <w:p w14:paraId="12D7DF82" w14:textId="4FAD1342" w:rsidR="00FC5DD6" w:rsidRPr="00EC57FB" w:rsidRDefault="00FC5DD6" w:rsidP="001C0ECA">
            <w:pPr>
              <w:pStyle w:val="TableText0"/>
              <w:jc w:val="center"/>
              <w:rPr>
                <w:b/>
                <w:bCs w:val="0"/>
              </w:rPr>
            </w:pPr>
            <w:r w:rsidRPr="00EC57FB">
              <w:rPr>
                <w:b/>
                <w:bCs w:val="0"/>
              </w:rPr>
              <w:t>Nirsevimab effectiveness</w:t>
            </w:r>
            <w:r w:rsidR="00022EB4" w:rsidRPr="00EC57FB">
              <w:rPr>
                <w:b/>
                <w:bCs w:val="0"/>
                <w:vertAlign w:val="superscript"/>
              </w:rPr>
              <w:t>a</w:t>
            </w:r>
          </w:p>
          <w:p w14:paraId="6B9D5655" w14:textId="7EA641D0" w:rsidR="00FC5DD6" w:rsidRPr="00EC57FB" w:rsidRDefault="00FC5DD6" w:rsidP="001C0ECA">
            <w:pPr>
              <w:pStyle w:val="TableText0"/>
              <w:jc w:val="center"/>
              <w:rPr>
                <w:b/>
                <w:bCs w:val="0"/>
              </w:rPr>
            </w:pPr>
            <w:r w:rsidRPr="00EC57FB">
              <w:rPr>
                <w:b/>
                <w:bCs w:val="0"/>
              </w:rPr>
              <w:t>(95%CI)</w:t>
            </w:r>
          </w:p>
        </w:tc>
      </w:tr>
      <w:tr w:rsidR="00FC5DD6" w:rsidRPr="00EC57FB" w14:paraId="0681DFDC" w14:textId="77777777" w:rsidTr="008003DB">
        <w:tc>
          <w:tcPr>
            <w:tcW w:w="795" w:type="dxa"/>
            <w:vMerge/>
          </w:tcPr>
          <w:p w14:paraId="1692458C" w14:textId="77777777" w:rsidR="00FC5DD6" w:rsidRPr="00EC57FB" w:rsidRDefault="00FC5DD6" w:rsidP="001C0ECA">
            <w:pPr>
              <w:pStyle w:val="TableText0"/>
            </w:pPr>
          </w:p>
        </w:tc>
        <w:tc>
          <w:tcPr>
            <w:tcW w:w="1105" w:type="dxa"/>
            <w:vAlign w:val="center"/>
          </w:tcPr>
          <w:p w14:paraId="0482D658" w14:textId="29960EC3" w:rsidR="00FC5DD6" w:rsidRPr="00EC57FB" w:rsidRDefault="00FC5DD6" w:rsidP="001C0ECA">
            <w:pPr>
              <w:pStyle w:val="TableText0"/>
              <w:jc w:val="center"/>
              <w:rPr>
                <w:b/>
                <w:bCs w:val="0"/>
              </w:rPr>
            </w:pPr>
            <w:r w:rsidRPr="00EC57FB">
              <w:rPr>
                <w:b/>
                <w:bCs w:val="0"/>
              </w:rPr>
              <w:t>Nirsevimab immunised</w:t>
            </w:r>
          </w:p>
        </w:tc>
        <w:tc>
          <w:tcPr>
            <w:tcW w:w="1106" w:type="dxa"/>
            <w:vAlign w:val="center"/>
          </w:tcPr>
          <w:p w14:paraId="2A659036" w14:textId="2CFB0F4D" w:rsidR="00FC5DD6" w:rsidRPr="00EC57FB" w:rsidRDefault="00FC5DD6" w:rsidP="001C0ECA">
            <w:pPr>
              <w:pStyle w:val="TableText0"/>
              <w:jc w:val="center"/>
              <w:rPr>
                <w:b/>
                <w:bCs w:val="0"/>
              </w:rPr>
            </w:pPr>
            <w:r w:rsidRPr="00EC57FB">
              <w:rPr>
                <w:b/>
                <w:bCs w:val="0"/>
              </w:rPr>
              <w:t>Not immunised</w:t>
            </w:r>
          </w:p>
        </w:tc>
        <w:tc>
          <w:tcPr>
            <w:tcW w:w="1105" w:type="dxa"/>
            <w:vAlign w:val="center"/>
          </w:tcPr>
          <w:p w14:paraId="155A41D5" w14:textId="6D4450B3" w:rsidR="00FC5DD6" w:rsidRPr="00EC57FB" w:rsidRDefault="00FC5DD6" w:rsidP="001C0ECA">
            <w:pPr>
              <w:pStyle w:val="TableText0"/>
              <w:jc w:val="center"/>
              <w:rPr>
                <w:b/>
                <w:bCs w:val="0"/>
              </w:rPr>
            </w:pPr>
            <w:r w:rsidRPr="00EC57FB">
              <w:rPr>
                <w:b/>
                <w:bCs w:val="0"/>
              </w:rPr>
              <w:t>Nirsevimab immunised</w:t>
            </w:r>
          </w:p>
        </w:tc>
        <w:tc>
          <w:tcPr>
            <w:tcW w:w="1106" w:type="dxa"/>
            <w:vAlign w:val="center"/>
          </w:tcPr>
          <w:p w14:paraId="429C5687" w14:textId="70D8CC4D" w:rsidR="00FC5DD6" w:rsidRPr="00EC57FB" w:rsidRDefault="00FC5DD6" w:rsidP="001C0ECA">
            <w:pPr>
              <w:pStyle w:val="TableText0"/>
              <w:jc w:val="center"/>
              <w:rPr>
                <w:b/>
                <w:bCs w:val="0"/>
              </w:rPr>
            </w:pPr>
            <w:r w:rsidRPr="00EC57FB">
              <w:rPr>
                <w:b/>
                <w:bCs w:val="0"/>
              </w:rPr>
              <w:t>Not immunised</w:t>
            </w:r>
          </w:p>
        </w:tc>
        <w:tc>
          <w:tcPr>
            <w:tcW w:w="1284" w:type="dxa"/>
            <w:vMerge/>
          </w:tcPr>
          <w:p w14:paraId="02B06432" w14:textId="108F5B38" w:rsidR="00FC5DD6" w:rsidRPr="00EC57FB" w:rsidRDefault="00FC5DD6" w:rsidP="001C0ECA">
            <w:pPr>
              <w:pStyle w:val="TableText0"/>
            </w:pPr>
          </w:p>
        </w:tc>
        <w:tc>
          <w:tcPr>
            <w:tcW w:w="1284" w:type="dxa"/>
            <w:vMerge/>
          </w:tcPr>
          <w:p w14:paraId="44007BE6" w14:textId="62033E4D" w:rsidR="00FC5DD6" w:rsidRPr="00EC57FB" w:rsidRDefault="00FC5DD6" w:rsidP="001C0ECA">
            <w:pPr>
              <w:pStyle w:val="TableText0"/>
            </w:pPr>
          </w:p>
        </w:tc>
        <w:tc>
          <w:tcPr>
            <w:tcW w:w="1232" w:type="dxa"/>
            <w:vMerge/>
          </w:tcPr>
          <w:p w14:paraId="619E0710" w14:textId="68DFC575" w:rsidR="00FC5DD6" w:rsidRPr="00EC57FB" w:rsidRDefault="00FC5DD6" w:rsidP="001C0ECA">
            <w:pPr>
              <w:pStyle w:val="TableText0"/>
            </w:pPr>
          </w:p>
        </w:tc>
      </w:tr>
      <w:tr w:rsidR="00592A13" w:rsidRPr="00EC57FB" w14:paraId="71397AE8" w14:textId="77777777" w:rsidTr="008003DB">
        <w:tc>
          <w:tcPr>
            <w:tcW w:w="795" w:type="dxa"/>
            <w:vAlign w:val="center"/>
          </w:tcPr>
          <w:p w14:paraId="3F75B5BE" w14:textId="4051565E" w:rsidR="00592A13" w:rsidRPr="00EC57FB" w:rsidRDefault="00496683" w:rsidP="001C0ECA">
            <w:pPr>
              <w:pStyle w:val="TableText0"/>
            </w:pPr>
            <w:r w:rsidRPr="00EC57FB">
              <w:t>Y1</w:t>
            </w:r>
          </w:p>
        </w:tc>
        <w:tc>
          <w:tcPr>
            <w:tcW w:w="1105" w:type="dxa"/>
            <w:vAlign w:val="center"/>
          </w:tcPr>
          <w:p w14:paraId="21CA040E" w14:textId="1F361D29" w:rsidR="00592A13" w:rsidRPr="005C6BAE" w:rsidRDefault="00592A13" w:rsidP="001C0ECA">
            <w:pPr>
              <w:pStyle w:val="TableText0"/>
              <w:jc w:val="center"/>
            </w:pPr>
            <w:r w:rsidRPr="005C6BAE">
              <w:t>39</w:t>
            </w:r>
          </w:p>
        </w:tc>
        <w:tc>
          <w:tcPr>
            <w:tcW w:w="1106" w:type="dxa"/>
            <w:vAlign w:val="center"/>
          </w:tcPr>
          <w:p w14:paraId="5E0A523E" w14:textId="7A096CD5" w:rsidR="00592A13" w:rsidRPr="005C6BAE" w:rsidRDefault="00592A13" w:rsidP="001C0ECA">
            <w:pPr>
              <w:pStyle w:val="TableText0"/>
              <w:jc w:val="center"/>
            </w:pPr>
            <w:r w:rsidRPr="005C6BAE">
              <w:t>25</w:t>
            </w:r>
          </w:p>
        </w:tc>
        <w:tc>
          <w:tcPr>
            <w:tcW w:w="1105" w:type="dxa"/>
            <w:vAlign w:val="center"/>
          </w:tcPr>
          <w:p w14:paraId="4D020777" w14:textId="56A11765" w:rsidR="00592A13" w:rsidRPr="005C6BAE" w:rsidRDefault="00592A13" w:rsidP="001C0ECA">
            <w:pPr>
              <w:pStyle w:val="TableText0"/>
              <w:jc w:val="center"/>
            </w:pPr>
            <w:r w:rsidRPr="005C6BAE">
              <w:t>30</w:t>
            </w:r>
          </w:p>
        </w:tc>
        <w:tc>
          <w:tcPr>
            <w:tcW w:w="1106" w:type="dxa"/>
            <w:vAlign w:val="center"/>
          </w:tcPr>
          <w:p w14:paraId="61E52C22" w14:textId="7D0B6CCF" w:rsidR="00592A13" w:rsidRPr="005C6BAE" w:rsidRDefault="00592A13" w:rsidP="001C0ECA">
            <w:pPr>
              <w:pStyle w:val="TableText0"/>
              <w:jc w:val="center"/>
            </w:pPr>
            <w:r w:rsidRPr="005C6BAE">
              <w:t>87</w:t>
            </w:r>
          </w:p>
        </w:tc>
        <w:tc>
          <w:tcPr>
            <w:tcW w:w="1284" w:type="dxa"/>
            <w:vAlign w:val="center"/>
          </w:tcPr>
          <w:p w14:paraId="48CC09F4" w14:textId="77777777" w:rsidR="00592A13" w:rsidRPr="005C6BAE" w:rsidRDefault="00592A13" w:rsidP="001C0ECA">
            <w:pPr>
              <w:pStyle w:val="TableText0"/>
              <w:jc w:val="center"/>
              <w:rPr>
                <w:b/>
                <w:bCs w:val="0"/>
              </w:rPr>
            </w:pPr>
            <w:r w:rsidRPr="005C6BAE">
              <w:rPr>
                <w:b/>
                <w:bCs w:val="0"/>
              </w:rPr>
              <w:t>0.221</w:t>
            </w:r>
          </w:p>
          <w:p w14:paraId="2FDAEE44" w14:textId="56A6A849" w:rsidR="00654C99" w:rsidRPr="005C6BAE" w:rsidRDefault="00654C99" w:rsidP="001C0ECA">
            <w:pPr>
              <w:pStyle w:val="TableText0"/>
              <w:jc w:val="center"/>
              <w:rPr>
                <w:b/>
                <w:bCs w:val="0"/>
              </w:rPr>
            </w:pPr>
            <w:r w:rsidRPr="005C6BAE">
              <w:rPr>
                <w:b/>
                <w:bCs w:val="0"/>
              </w:rPr>
              <w:t>(0.115, 0.424)</w:t>
            </w:r>
          </w:p>
        </w:tc>
        <w:tc>
          <w:tcPr>
            <w:tcW w:w="1284" w:type="dxa"/>
            <w:vAlign w:val="center"/>
          </w:tcPr>
          <w:p w14:paraId="449C8B73" w14:textId="77777777" w:rsidR="00733A37" w:rsidRPr="005C6BAE" w:rsidRDefault="00733A37" w:rsidP="001C0ECA">
            <w:pPr>
              <w:pStyle w:val="TableText0"/>
              <w:jc w:val="center"/>
              <w:rPr>
                <w:b/>
                <w:bCs w:val="0"/>
              </w:rPr>
            </w:pPr>
            <w:r w:rsidRPr="005C6BAE">
              <w:rPr>
                <w:b/>
                <w:bCs w:val="0"/>
              </w:rPr>
              <w:t>0.161</w:t>
            </w:r>
          </w:p>
          <w:p w14:paraId="7CF37F57" w14:textId="449E930B" w:rsidR="00592A13" w:rsidRPr="005C6BAE" w:rsidRDefault="00733A37" w:rsidP="001C0ECA">
            <w:pPr>
              <w:pStyle w:val="TableText0"/>
              <w:jc w:val="center"/>
              <w:rPr>
                <w:b/>
                <w:bCs w:val="0"/>
              </w:rPr>
            </w:pPr>
            <w:r w:rsidRPr="005C6BAE">
              <w:rPr>
                <w:b/>
                <w:bCs w:val="0"/>
              </w:rPr>
              <w:t>(0.076, 0.339)</w:t>
            </w:r>
          </w:p>
        </w:tc>
        <w:tc>
          <w:tcPr>
            <w:tcW w:w="1232" w:type="dxa"/>
            <w:vAlign w:val="center"/>
          </w:tcPr>
          <w:p w14:paraId="001DEFC3" w14:textId="77777777" w:rsidR="003C29F7" w:rsidRPr="005C6BAE" w:rsidRDefault="003C29F7" w:rsidP="001C0ECA">
            <w:pPr>
              <w:pStyle w:val="TableText0"/>
              <w:jc w:val="center"/>
              <w:rPr>
                <w:b/>
                <w:bCs w:val="0"/>
              </w:rPr>
            </w:pPr>
            <w:r w:rsidRPr="005C6BAE">
              <w:rPr>
                <w:b/>
                <w:bCs w:val="0"/>
              </w:rPr>
              <w:t>83.9%</w:t>
            </w:r>
          </w:p>
          <w:p w14:paraId="2469283D" w14:textId="1783BE1F" w:rsidR="00592A13" w:rsidRPr="005C6BAE" w:rsidRDefault="003C29F7" w:rsidP="001C0ECA">
            <w:pPr>
              <w:pStyle w:val="TableText0"/>
              <w:jc w:val="center"/>
              <w:rPr>
                <w:b/>
                <w:bCs w:val="0"/>
              </w:rPr>
            </w:pPr>
            <w:r w:rsidRPr="005C6BAE">
              <w:rPr>
                <w:b/>
                <w:bCs w:val="0"/>
              </w:rPr>
              <w:t>(66.1, 92.4)</w:t>
            </w:r>
          </w:p>
        </w:tc>
      </w:tr>
      <w:tr w:rsidR="005B4D81" w:rsidRPr="00EC57FB" w14:paraId="53370C61" w14:textId="77777777" w:rsidTr="008003DB">
        <w:tc>
          <w:tcPr>
            <w:tcW w:w="795" w:type="dxa"/>
            <w:vAlign w:val="center"/>
          </w:tcPr>
          <w:p w14:paraId="452D12D0" w14:textId="378DFBCB" w:rsidR="005B4D81" w:rsidRPr="00EC57FB" w:rsidRDefault="00496683" w:rsidP="001C0ECA">
            <w:pPr>
              <w:pStyle w:val="TableText0"/>
            </w:pPr>
            <w:r w:rsidRPr="00EC57FB">
              <w:t>Y2</w:t>
            </w:r>
          </w:p>
        </w:tc>
        <w:tc>
          <w:tcPr>
            <w:tcW w:w="1105" w:type="dxa"/>
            <w:vAlign w:val="center"/>
          </w:tcPr>
          <w:p w14:paraId="6D378B34" w14:textId="4A5D0E09" w:rsidR="005B4D81" w:rsidRPr="005C6BAE" w:rsidRDefault="005B4D81" w:rsidP="001C0ECA">
            <w:pPr>
              <w:pStyle w:val="TableText0"/>
              <w:jc w:val="center"/>
            </w:pPr>
            <w:r w:rsidRPr="005C6BAE">
              <w:t>3</w:t>
            </w:r>
          </w:p>
        </w:tc>
        <w:tc>
          <w:tcPr>
            <w:tcW w:w="1106" w:type="dxa"/>
            <w:vAlign w:val="center"/>
          </w:tcPr>
          <w:p w14:paraId="06E43B56" w14:textId="6EF04C1A" w:rsidR="005B4D81" w:rsidRPr="005C6BAE" w:rsidRDefault="005B4D81" w:rsidP="001C0ECA">
            <w:pPr>
              <w:pStyle w:val="TableText0"/>
              <w:jc w:val="center"/>
            </w:pPr>
            <w:r w:rsidRPr="005C6BAE">
              <w:t>5</w:t>
            </w:r>
          </w:p>
        </w:tc>
        <w:tc>
          <w:tcPr>
            <w:tcW w:w="1105" w:type="dxa"/>
            <w:vAlign w:val="center"/>
          </w:tcPr>
          <w:p w14:paraId="7CC50604" w14:textId="13A483AC" w:rsidR="005B4D81" w:rsidRPr="005C6BAE" w:rsidRDefault="005B4D81" w:rsidP="001C0ECA">
            <w:pPr>
              <w:pStyle w:val="TableText0"/>
              <w:jc w:val="center"/>
            </w:pPr>
            <w:r w:rsidRPr="005C6BAE">
              <w:t>3</w:t>
            </w:r>
          </w:p>
        </w:tc>
        <w:tc>
          <w:tcPr>
            <w:tcW w:w="1106" w:type="dxa"/>
            <w:vAlign w:val="center"/>
          </w:tcPr>
          <w:p w14:paraId="2D84B500" w14:textId="295C2BA3" w:rsidR="005B4D81" w:rsidRPr="005C6BAE" w:rsidRDefault="005B4D81" w:rsidP="001C0ECA">
            <w:pPr>
              <w:pStyle w:val="TableText0"/>
              <w:jc w:val="center"/>
            </w:pPr>
            <w:r w:rsidRPr="005C6BAE">
              <w:t>29</w:t>
            </w:r>
          </w:p>
        </w:tc>
        <w:tc>
          <w:tcPr>
            <w:tcW w:w="1284" w:type="dxa"/>
            <w:vAlign w:val="center"/>
          </w:tcPr>
          <w:p w14:paraId="5C5E2609" w14:textId="77777777" w:rsidR="00BE07D9" w:rsidRPr="005C6BAE" w:rsidRDefault="00BE07D9" w:rsidP="001C0ECA">
            <w:pPr>
              <w:pStyle w:val="TableText0"/>
              <w:jc w:val="center"/>
            </w:pPr>
            <w:r w:rsidRPr="005C6BAE">
              <w:t>0.172</w:t>
            </w:r>
          </w:p>
          <w:p w14:paraId="57208A0E" w14:textId="22E61F02" w:rsidR="005B4D81" w:rsidRPr="005C6BAE" w:rsidRDefault="00BE07D9" w:rsidP="001C0ECA">
            <w:pPr>
              <w:pStyle w:val="TableText0"/>
              <w:jc w:val="center"/>
            </w:pPr>
            <w:r w:rsidRPr="005C6BAE">
              <w:t>(0.027, 1.108)</w:t>
            </w:r>
          </w:p>
        </w:tc>
        <w:tc>
          <w:tcPr>
            <w:tcW w:w="1284" w:type="dxa"/>
            <w:vAlign w:val="center"/>
          </w:tcPr>
          <w:p w14:paraId="0280DF38" w14:textId="77777777" w:rsidR="00884CFF" w:rsidRPr="005C6BAE" w:rsidRDefault="00884CFF" w:rsidP="001C0ECA">
            <w:pPr>
              <w:pStyle w:val="TableText0"/>
              <w:jc w:val="center"/>
            </w:pPr>
            <w:r w:rsidRPr="005C6BAE">
              <w:t>0.312</w:t>
            </w:r>
          </w:p>
          <w:p w14:paraId="165D18C0" w14:textId="2500198C" w:rsidR="005B4D81" w:rsidRPr="005C6BAE" w:rsidRDefault="00884CFF" w:rsidP="001C0ECA">
            <w:pPr>
              <w:pStyle w:val="TableText0"/>
              <w:jc w:val="center"/>
            </w:pPr>
            <w:r w:rsidRPr="005C6BAE">
              <w:t>(0.011, 8.47)</w:t>
            </w:r>
          </w:p>
        </w:tc>
        <w:tc>
          <w:tcPr>
            <w:tcW w:w="1232" w:type="dxa"/>
            <w:vAlign w:val="center"/>
          </w:tcPr>
          <w:p w14:paraId="3D70FCDC" w14:textId="77777777" w:rsidR="00BE00B8" w:rsidRPr="005C6BAE" w:rsidRDefault="00BE00B8" w:rsidP="001C0ECA">
            <w:pPr>
              <w:pStyle w:val="TableText0"/>
              <w:jc w:val="center"/>
            </w:pPr>
            <w:r w:rsidRPr="005C6BAE">
              <w:t>68.9%</w:t>
            </w:r>
          </w:p>
          <w:p w14:paraId="0C8B332D" w14:textId="32A14AE1" w:rsidR="005B4D81" w:rsidRPr="005C6BAE" w:rsidRDefault="00BE00B8" w:rsidP="001C0ECA">
            <w:pPr>
              <w:pStyle w:val="TableText0"/>
              <w:jc w:val="center"/>
            </w:pPr>
            <w:r w:rsidRPr="005C6BAE">
              <w:t>(&lt;0, 98.9%)</w:t>
            </w:r>
          </w:p>
        </w:tc>
      </w:tr>
    </w:tbl>
    <w:p w14:paraId="7EE2E419" w14:textId="147A4A9E" w:rsidR="00D40759" w:rsidRDefault="00643B53" w:rsidP="005F19F0">
      <w:pPr>
        <w:pStyle w:val="TableFigureFooter"/>
        <w:keepNext/>
        <w:keepLines/>
        <w:jc w:val="both"/>
        <w:rPr>
          <w:vertAlign w:val="superscript"/>
        </w:rPr>
      </w:pPr>
      <w:r w:rsidRPr="00EC57FB">
        <w:t>Source: Table 2.5.8 on p84 of the resubmission</w:t>
      </w:r>
    </w:p>
    <w:p w14:paraId="2CAC570E" w14:textId="5F0C88A4" w:rsidR="00D40759" w:rsidRDefault="00022EB4" w:rsidP="005F19F0">
      <w:pPr>
        <w:pStyle w:val="TableFigureFooter"/>
        <w:keepNext/>
        <w:keepLines/>
        <w:jc w:val="both"/>
      </w:pPr>
      <w:r w:rsidRPr="00EC57FB">
        <w:rPr>
          <w:vertAlign w:val="superscript"/>
        </w:rPr>
        <w:t>a</w:t>
      </w:r>
      <w:r w:rsidR="00A72160" w:rsidRPr="00EC57FB">
        <w:t xml:space="preserve"> Adjusted by age group, sex, Aboriginality, comorbidity, preterm birth, grouped by month</w:t>
      </w:r>
      <w:r w:rsidRPr="00EC57FB">
        <w:t>.</w:t>
      </w:r>
    </w:p>
    <w:p w14:paraId="73C77594" w14:textId="328D3936" w:rsidR="00AA2FD4" w:rsidRPr="00EC57FB" w:rsidRDefault="00482FBE" w:rsidP="005F19F0">
      <w:pPr>
        <w:pStyle w:val="TableFigureFooter"/>
        <w:keepNext/>
        <w:keepLines/>
        <w:jc w:val="both"/>
      </w:pPr>
      <w:r w:rsidRPr="00EC57FB">
        <w:t>aOR</w:t>
      </w:r>
      <w:r w:rsidR="009957B0" w:rsidRPr="00EC57FB">
        <w:t xml:space="preserve"> </w:t>
      </w:r>
      <w:r w:rsidRPr="00EC57FB">
        <w:t>=</w:t>
      </w:r>
      <w:r w:rsidR="009957B0" w:rsidRPr="00EC57FB">
        <w:t xml:space="preserve"> </w:t>
      </w:r>
      <w:r w:rsidRPr="00EC57FB">
        <w:t>adjusted odd ratio; CI = confidence interval; RSV</w:t>
      </w:r>
      <w:r w:rsidR="009957B0" w:rsidRPr="00EC57FB">
        <w:t xml:space="preserve"> </w:t>
      </w:r>
      <w:r w:rsidRPr="00EC57FB">
        <w:t>=</w:t>
      </w:r>
      <w:r w:rsidR="009957B0" w:rsidRPr="00EC57FB">
        <w:t xml:space="preserve"> </w:t>
      </w:r>
      <w:r w:rsidRPr="00EC57FB">
        <w:t>respiratory syncytial virus, OR</w:t>
      </w:r>
      <w:r w:rsidR="009957B0" w:rsidRPr="00EC57FB">
        <w:t xml:space="preserve"> </w:t>
      </w:r>
      <w:r w:rsidRPr="00EC57FB">
        <w:t>=</w:t>
      </w:r>
      <w:r w:rsidR="009957B0" w:rsidRPr="00EC57FB">
        <w:t xml:space="preserve"> </w:t>
      </w:r>
      <w:r w:rsidRPr="00EC57FB">
        <w:t>odds ratio</w:t>
      </w:r>
      <w:r w:rsidR="0077442A" w:rsidRPr="00EC57FB">
        <w:t xml:space="preserve">; </w:t>
      </w:r>
      <w:r w:rsidR="009957B0" w:rsidRPr="00EC57FB">
        <w:t>Y1 = all infants &lt;1 year entering their first season, Y2 = infants &lt;2 years entering their second season who remain at risk of severe RSV disease, including Aboriginal and Torres Strait Islander children</w:t>
      </w:r>
    </w:p>
    <w:p w14:paraId="495D3726" w14:textId="245A1FD2" w:rsidR="00D40759" w:rsidRPr="00D40759" w:rsidRDefault="008D4348" w:rsidP="005F19F0">
      <w:pPr>
        <w:pStyle w:val="TableFigureFooter"/>
        <w:keepNext/>
        <w:keepLines/>
      </w:pPr>
      <w:r w:rsidRPr="00EC57FB">
        <w:t xml:space="preserve">Note: </w:t>
      </w:r>
      <w:r w:rsidRPr="00EC57FB">
        <w:rPr>
          <w:b/>
          <w:bCs/>
        </w:rPr>
        <w:t>Bold text</w:t>
      </w:r>
      <w:r w:rsidRPr="00EC57FB">
        <w:t xml:space="preserve"> indicates a statistical difference between arms.</w:t>
      </w:r>
    </w:p>
    <w:p w14:paraId="67D39EAE" w14:textId="308380F9" w:rsidR="008F6DB1" w:rsidRPr="00EC57FB" w:rsidRDefault="00D40759" w:rsidP="00D40759">
      <w:pPr>
        <w:pStyle w:val="TableFigureFooter"/>
        <w:spacing w:after="120"/>
        <w:jc w:val="both"/>
      </w:pPr>
      <w:r w:rsidRPr="00D40759">
        <w:rPr>
          <w:i/>
          <w:iCs/>
        </w:rPr>
        <w:t>Note that the results presented in Table 20 are derived from ad-hoc analyses conducted by the authors of Wadia et al. (2025) for the applicant specifically for the purposes of informing the PBAC consideration. These analyses are not the final data from the authors of Wadia et al. (2025) study.</w:t>
      </w:r>
      <w:r w:rsidR="007071D2">
        <w:rPr>
          <w:i/>
          <w:iCs/>
        </w:rPr>
        <w:t xml:space="preserve"> </w:t>
      </w:r>
      <w:r w:rsidRPr="00D40759">
        <w:rPr>
          <w:i/>
          <w:iCs/>
        </w:rPr>
        <w:t xml:space="preserve">Interpretation of the results and their application should therefore be limited to seeking to understand the basis for the PBAC outcome and should not be used for any other purpose. Wadia et al. (2025) has since been published in the Journal of Infection, incorporating the complete cohort and updated, validated data at </w:t>
      </w:r>
      <w:hyperlink r:id="rId31" w:history="1">
        <w:r w:rsidRPr="00D40759">
          <w:rPr>
            <w:rStyle w:val="Hyperlink"/>
            <w:i/>
            <w:iCs/>
          </w:rPr>
          <w:t>https://doi.org/10.1016/j.jinf.2025.106466</w:t>
        </w:r>
      </w:hyperlink>
      <w:r w:rsidRPr="00D40759">
        <w:rPr>
          <w:i/>
          <w:iCs/>
        </w:rPr>
        <w:t xml:space="preserve">. </w:t>
      </w:r>
    </w:p>
    <w:p w14:paraId="2FC42B5A" w14:textId="77947B03" w:rsidR="008F6DB1" w:rsidRPr="00EC57FB" w:rsidRDefault="008F6DB1" w:rsidP="005460C1">
      <w:pPr>
        <w:pStyle w:val="3-BodyText"/>
        <w:rPr>
          <w:iCs/>
        </w:rPr>
      </w:pPr>
      <w:r w:rsidRPr="00EC57FB">
        <w:rPr>
          <w:iCs/>
        </w:rPr>
        <w:t xml:space="preserve">The PSCR noted </w:t>
      </w:r>
      <w:r w:rsidRPr="00EC57FB">
        <w:rPr>
          <w:rFonts w:eastAsiaTheme="minorEastAsia"/>
          <w:iCs/>
        </w:rPr>
        <w:t>data from the WA state immunisation program (REVIVE) have now been published by Wadia et al.</w:t>
      </w:r>
      <w:r w:rsidRPr="00EC57FB">
        <w:rPr>
          <w:rStyle w:val="FootnoteReference"/>
          <w:rFonts w:eastAsiaTheme="minorEastAsia"/>
          <w:iCs/>
        </w:rPr>
        <w:footnoteReference w:id="16"/>
      </w:r>
      <w:r w:rsidR="00577C66">
        <w:rPr>
          <w:rFonts w:eastAsiaTheme="minorEastAsia"/>
          <w:iCs/>
        </w:rPr>
        <w:t xml:space="preserve"> </w:t>
      </w:r>
      <w:r w:rsidRPr="00EC57FB">
        <w:rPr>
          <w:iCs/>
        </w:rPr>
        <w:t xml:space="preserve">The investigators report a high VE of 98.7% (95% CI: 60.1% to 99.9%) for children entering their second RSV season. </w:t>
      </w:r>
      <w:r w:rsidR="00FB2EF7" w:rsidRPr="00EC57FB">
        <w:rPr>
          <w:iCs/>
        </w:rPr>
        <w:t>T</w:t>
      </w:r>
      <w:r w:rsidRPr="00EC57FB">
        <w:rPr>
          <w:iCs/>
        </w:rPr>
        <w:t>he results should be interpreted with caution due to the very small sample size (only 8 immunised children in the Y2 cohort</w:t>
      </w:r>
      <w:r w:rsidR="00062422" w:rsidRPr="00EC57FB">
        <w:rPr>
          <w:iCs/>
        </w:rPr>
        <w:t xml:space="preserve"> as </w:t>
      </w:r>
      <w:r w:rsidR="00A66104" w:rsidRPr="00EC57FB">
        <w:rPr>
          <w:iCs/>
        </w:rPr>
        <w:t>reported in Wadia et al. (2025)</w:t>
      </w:r>
      <w:r w:rsidR="00D524AD" w:rsidRPr="00EC57FB">
        <w:rPr>
          <w:iCs/>
        </w:rPr>
        <w:t xml:space="preserve">, </w:t>
      </w:r>
      <w:r w:rsidR="00D20A9C" w:rsidRPr="00EC57FB">
        <w:rPr>
          <w:iCs/>
        </w:rPr>
        <w:t xml:space="preserve">noting </w:t>
      </w:r>
      <w:r w:rsidR="00D20A9C" w:rsidRPr="005C6BAE">
        <w:rPr>
          <w:iCs/>
        </w:rPr>
        <w:t xml:space="preserve">that data for </w:t>
      </w:r>
      <w:r w:rsidR="00D524AD" w:rsidRPr="005C6BAE">
        <w:rPr>
          <w:iCs/>
        </w:rPr>
        <w:t xml:space="preserve">6 </w:t>
      </w:r>
      <w:r w:rsidR="00A66104" w:rsidRPr="005C6BAE">
        <w:rPr>
          <w:iCs/>
        </w:rPr>
        <w:t>immunised</w:t>
      </w:r>
      <w:r w:rsidR="00A66104" w:rsidRPr="00EC57FB">
        <w:rPr>
          <w:iCs/>
        </w:rPr>
        <w:t xml:space="preserve"> children </w:t>
      </w:r>
      <w:r w:rsidR="00D20A9C" w:rsidRPr="00EC57FB">
        <w:rPr>
          <w:iCs/>
        </w:rPr>
        <w:t xml:space="preserve">was reported </w:t>
      </w:r>
      <w:r w:rsidR="00D524AD" w:rsidRPr="00EC57FB">
        <w:rPr>
          <w:iCs/>
        </w:rPr>
        <w:t xml:space="preserve">in </w:t>
      </w:r>
      <w:r w:rsidR="00D524AD" w:rsidRPr="00EC57FB">
        <w:rPr>
          <w:iCs/>
        </w:rPr>
        <w:fldChar w:fldCharType="begin"/>
      </w:r>
      <w:r w:rsidR="00D524AD" w:rsidRPr="00EC57FB">
        <w:rPr>
          <w:iCs/>
        </w:rPr>
        <w:instrText xml:space="preserve"> REF _Ref187061550 \h  \* MERGEFORMAT </w:instrText>
      </w:r>
      <w:r w:rsidR="00D524AD" w:rsidRPr="00EC57FB">
        <w:rPr>
          <w:iCs/>
        </w:rPr>
      </w:r>
      <w:r w:rsidR="00D524AD" w:rsidRPr="00EC57FB">
        <w:rPr>
          <w:iCs/>
        </w:rPr>
        <w:fldChar w:fldCharType="separate"/>
      </w:r>
      <w:r w:rsidR="00502C25" w:rsidRPr="00502C25">
        <w:rPr>
          <w:iCs/>
        </w:rPr>
        <w:t>Table 20</w:t>
      </w:r>
      <w:r w:rsidR="00D524AD" w:rsidRPr="00EC57FB">
        <w:rPr>
          <w:iCs/>
        </w:rPr>
        <w:fldChar w:fldCharType="end"/>
      </w:r>
      <w:r w:rsidR="00D20A9C" w:rsidRPr="00EC57FB">
        <w:rPr>
          <w:iCs/>
        </w:rPr>
        <w:t>)</w:t>
      </w:r>
      <w:r w:rsidR="00B03359">
        <w:rPr>
          <w:rStyle w:val="FootnoteReference"/>
          <w:iCs/>
        </w:rPr>
        <w:footnoteReference w:id="17"/>
      </w:r>
      <w:r w:rsidRPr="00EC57FB">
        <w:rPr>
          <w:iCs/>
        </w:rPr>
        <w:t xml:space="preserve">. </w:t>
      </w:r>
    </w:p>
    <w:p w14:paraId="1452C351" w14:textId="0D19F1B0" w:rsidR="00B60939" w:rsidRPr="00EC57FB" w:rsidRDefault="00B60939" w:rsidP="00D86231">
      <w:pPr>
        <w:pStyle w:val="4-SubsectionHeading"/>
      </w:pPr>
      <w:bookmarkStart w:id="108" w:name="_Toc22897642"/>
      <w:bookmarkStart w:id="109" w:name="_Toc188619262"/>
      <w:r w:rsidRPr="00EC57FB">
        <w:t>Comparative harms</w:t>
      </w:r>
      <w:bookmarkEnd w:id="108"/>
      <w:bookmarkEnd w:id="109"/>
    </w:p>
    <w:p w14:paraId="32B9C897" w14:textId="49134E43" w:rsidR="00E53A13" w:rsidRPr="00EC57FB" w:rsidRDefault="0073224F" w:rsidP="0089059C">
      <w:pPr>
        <w:pStyle w:val="3-BodyText"/>
        <w:rPr>
          <w:iCs/>
        </w:rPr>
      </w:pPr>
      <w:r w:rsidRPr="00EC57FB">
        <w:rPr>
          <w:color w:val="000000" w:themeColor="text1"/>
        </w:rPr>
        <w:t>The resubmission present</w:t>
      </w:r>
      <w:r w:rsidR="00D8295A" w:rsidRPr="00EC57FB">
        <w:rPr>
          <w:color w:val="000000" w:themeColor="text1"/>
        </w:rPr>
        <w:t>ed</w:t>
      </w:r>
      <w:r w:rsidRPr="00EC57FB">
        <w:rPr>
          <w:color w:val="000000" w:themeColor="text1"/>
        </w:rPr>
        <w:t xml:space="preserve"> </w:t>
      </w:r>
      <w:r w:rsidR="0055164F" w:rsidRPr="00EC57FB">
        <w:rPr>
          <w:color w:val="000000" w:themeColor="text1"/>
        </w:rPr>
        <w:t>the</w:t>
      </w:r>
      <w:r w:rsidR="00964647" w:rsidRPr="00EC57FB">
        <w:rPr>
          <w:color w:val="000000" w:themeColor="text1"/>
        </w:rPr>
        <w:t xml:space="preserve"> same </w:t>
      </w:r>
      <w:r w:rsidRPr="00EC57FB">
        <w:rPr>
          <w:color w:val="000000" w:themeColor="text1"/>
        </w:rPr>
        <w:t>analyses of safety data from the</w:t>
      </w:r>
      <w:r w:rsidR="004C0532" w:rsidRPr="00EC57FB">
        <w:rPr>
          <w:color w:val="000000" w:themeColor="text1"/>
        </w:rPr>
        <w:t xml:space="preserve"> MELODY, Phase 2b</w:t>
      </w:r>
      <w:r w:rsidR="00964647" w:rsidRPr="00EC57FB">
        <w:rPr>
          <w:color w:val="000000" w:themeColor="text1"/>
        </w:rPr>
        <w:t xml:space="preserve"> and </w:t>
      </w:r>
      <w:r w:rsidR="004C0532" w:rsidRPr="00EC57FB">
        <w:rPr>
          <w:color w:val="000000" w:themeColor="text1"/>
        </w:rPr>
        <w:t xml:space="preserve">MEDLEY </w:t>
      </w:r>
      <w:r w:rsidR="00EE0925" w:rsidRPr="00EC57FB">
        <w:rPr>
          <w:color w:val="000000" w:themeColor="text1"/>
        </w:rPr>
        <w:t>trials</w:t>
      </w:r>
      <w:r w:rsidR="00964647" w:rsidRPr="00EC57FB">
        <w:rPr>
          <w:color w:val="000000" w:themeColor="text1"/>
        </w:rPr>
        <w:t xml:space="preserve"> as presented in the first submission.</w:t>
      </w:r>
      <w:r w:rsidR="00C10262" w:rsidRPr="00EC57FB">
        <w:rPr>
          <w:color w:val="000000" w:themeColor="text1"/>
        </w:rPr>
        <w:t xml:space="preserve"> The analyses are </w:t>
      </w:r>
      <w:r w:rsidR="004F0DA0" w:rsidRPr="00EC57FB">
        <w:rPr>
          <w:color w:val="000000" w:themeColor="text1"/>
        </w:rPr>
        <w:t>provided in</w:t>
      </w:r>
      <w:r w:rsidR="00661B23" w:rsidRPr="00EC57FB">
        <w:rPr>
          <w:color w:val="000000" w:themeColor="text1"/>
        </w:rPr>
        <w:t xml:space="preserve"> Table 22</w:t>
      </w:r>
      <w:r w:rsidR="002D1EBA" w:rsidRPr="00EC57FB">
        <w:rPr>
          <w:color w:val="000000" w:themeColor="text1"/>
        </w:rPr>
        <w:t xml:space="preserve">, </w:t>
      </w:r>
      <w:r w:rsidR="00DA2473" w:rsidRPr="00EC57FB">
        <w:rPr>
          <w:color w:val="000000" w:themeColor="text1"/>
        </w:rPr>
        <w:t>Table 23 and Table 2</w:t>
      </w:r>
      <w:r w:rsidR="0089059C" w:rsidRPr="00EC57FB">
        <w:rPr>
          <w:color w:val="000000" w:themeColor="text1"/>
        </w:rPr>
        <w:t xml:space="preserve">4. </w:t>
      </w:r>
      <w:r w:rsidR="00FA4ECC" w:rsidRPr="00EC57FB">
        <w:t xml:space="preserve">The incidence of AEs in the final analysis of MELODY was approximately consistent with the incidence reported in </w:t>
      </w:r>
      <w:r w:rsidR="00FA4ECC" w:rsidRPr="00EC57FB">
        <w:rPr>
          <w:color w:val="000000" w:themeColor="text1"/>
        </w:rPr>
        <w:fldChar w:fldCharType="begin"/>
      </w:r>
      <w:r w:rsidR="00FA4ECC" w:rsidRPr="00EC57FB">
        <w:rPr>
          <w:color w:val="000000" w:themeColor="text1"/>
        </w:rPr>
        <w:instrText xml:space="preserve"> REF _Ref188239033 \h  \* MERGEFORMAT </w:instrText>
      </w:r>
      <w:r w:rsidR="00FA4ECC" w:rsidRPr="00EC57FB">
        <w:rPr>
          <w:color w:val="000000" w:themeColor="text1"/>
        </w:rPr>
      </w:r>
      <w:r w:rsidR="00FA4ECC" w:rsidRPr="00EC57FB">
        <w:rPr>
          <w:color w:val="000000" w:themeColor="text1"/>
        </w:rPr>
        <w:fldChar w:fldCharType="separate"/>
      </w:r>
      <w:r w:rsidR="00502C25" w:rsidRPr="00EC57FB">
        <w:t xml:space="preserve">Table </w:t>
      </w:r>
      <w:r w:rsidR="00502C25">
        <w:t>24</w:t>
      </w:r>
      <w:r w:rsidR="00FA4ECC" w:rsidRPr="00EC57FB">
        <w:rPr>
          <w:color w:val="000000" w:themeColor="text1"/>
        </w:rPr>
        <w:fldChar w:fldCharType="end"/>
      </w:r>
      <w:r w:rsidR="00FA4ECC" w:rsidRPr="00EC57FB">
        <w:t>.</w:t>
      </w:r>
    </w:p>
    <w:p w14:paraId="599F2B99" w14:textId="722D4B40" w:rsidR="006545A8" w:rsidRPr="00EC57FB" w:rsidRDefault="00873E9A" w:rsidP="00715946">
      <w:pPr>
        <w:pStyle w:val="TableFigureHeading"/>
        <w:keepLines/>
        <w:rPr>
          <w:rStyle w:val="CommentReference"/>
          <w:b/>
          <w:szCs w:val="24"/>
        </w:rPr>
      </w:pPr>
      <w:bookmarkStart w:id="110" w:name="_Ref188242846"/>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21</w:t>
      </w:r>
      <w:r w:rsidR="00C51E7C" w:rsidRPr="00EC57FB">
        <w:fldChar w:fldCharType="end"/>
      </w:r>
      <w:bookmarkEnd w:id="110"/>
      <w:r w:rsidR="001C7240" w:rsidRPr="00EC57FB">
        <w:t>:</w:t>
      </w:r>
      <w:r w:rsidR="006545A8" w:rsidRPr="00EC57FB">
        <w:t xml:space="preserve"> </w:t>
      </w:r>
      <w:r w:rsidR="00B52EA2" w:rsidRPr="00EC57FB">
        <w:rPr>
          <w:rStyle w:val="CommentReference"/>
          <w:b/>
          <w:szCs w:val="24"/>
        </w:rPr>
        <w:t>Incidence of ke</w:t>
      </w:r>
      <w:r w:rsidR="006545A8" w:rsidRPr="00EC57FB">
        <w:rPr>
          <w:rStyle w:val="CommentReference"/>
          <w:b/>
          <w:szCs w:val="24"/>
        </w:rPr>
        <w:t xml:space="preserve">y adverse events in the MELODY trial through 360 days </w:t>
      </w:r>
      <w:r w:rsidR="00B52EA2" w:rsidRPr="00EC57FB">
        <w:rPr>
          <w:rStyle w:val="CommentReference"/>
          <w:b/>
          <w:szCs w:val="24"/>
        </w:rPr>
        <w:t>post-injection</w:t>
      </w:r>
    </w:p>
    <w:tbl>
      <w:tblPr>
        <w:tblStyle w:val="LightList-Accent31"/>
        <w:tblW w:w="5000" w:type="pct"/>
        <w:tblBorders>
          <w:top w:val="single" w:sz="4" w:space="0" w:color="auto"/>
          <w:left w:val="single" w:sz="4" w:space="0" w:color="auto"/>
          <w:bottom w:val="single" w:sz="4" w:space="0" w:color="auto"/>
          <w:right w:val="single" w:sz="4" w:space="0" w:color="auto"/>
          <w:insideH w:val="single" w:sz="8" w:space="0" w:color="91AFD3"/>
          <w:insideV w:val="single" w:sz="4" w:space="0" w:color="auto"/>
        </w:tblBorders>
        <w:tblLook w:val="04A0" w:firstRow="1" w:lastRow="0" w:firstColumn="1" w:lastColumn="0" w:noHBand="0" w:noVBand="1"/>
      </w:tblPr>
      <w:tblGrid>
        <w:gridCol w:w="3979"/>
        <w:gridCol w:w="1901"/>
        <w:gridCol w:w="1623"/>
        <w:gridCol w:w="1514"/>
      </w:tblGrid>
      <w:tr w:rsidR="000751D6" w:rsidRPr="00EC57FB" w14:paraId="0F000709" w14:textId="77777777" w:rsidTr="009F52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5861C6" w14:textId="77777777" w:rsidR="006545A8" w:rsidRPr="00EC57FB" w:rsidRDefault="006545A8">
            <w:pPr>
              <w:pStyle w:val="TableText0"/>
              <w:rPr>
                <w:color w:val="auto"/>
                <w:szCs w:val="20"/>
                <w:lang w:val="en-AU"/>
              </w:rPr>
            </w:pPr>
            <w:r w:rsidRPr="00EC57FB">
              <w:rPr>
                <w:color w:val="auto"/>
                <w:szCs w:val="20"/>
                <w:lang w:val="en-AU"/>
              </w:rPr>
              <w:t>Adverse event</w:t>
            </w:r>
          </w:p>
        </w:tc>
        <w:tc>
          <w:tcPr>
            <w:tcW w:w="0" w:type="auto"/>
            <w:vAlign w:val="center"/>
            <w:hideMark/>
          </w:tcPr>
          <w:p w14:paraId="3BABD6ED" w14:textId="7F2BCE7D" w:rsidR="006545A8" w:rsidRPr="00EC57FB" w:rsidRDefault="006545A8" w:rsidP="006545A8">
            <w:pPr>
              <w:pStyle w:val="TableText0"/>
              <w:jc w:val="center"/>
              <w:cnfStyle w:val="100000000000" w:firstRow="1" w:lastRow="0" w:firstColumn="0" w:lastColumn="0" w:oddVBand="0" w:evenVBand="0" w:oddHBand="0" w:evenHBand="0" w:firstRowFirstColumn="0" w:firstRowLastColumn="0" w:lastRowFirstColumn="0" w:lastRowLastColumn="0"/>
              <w:rPr>
                <w:b w:val="0"/>
                <w:bCs/>
                <w:szCs w:val="20"/>
                <w:lang w:val="en-AU"/>
              </w:rPr>
            </w:pPr>
            <w:r w:rsidRPr="00EC57FB">
              <w:rPr>
                <w:color w:val="auto"/>
                <w:szCs w:val="20"/>
                <w:lang w:val="en-AU"/>
              </w:rPr>
              <w:t>Nirsevimab (N=987)</w:t>
            </w:r>
          </w:p>
          <w:p w14:paraId="4A610E73" w14:textId="27E5B08A" w:rsidR="006545A8" w:rsidRPr="00EC57FB" w:rsidRDefault="006545A8" w:rsidP="006545A8">
            <w:pPr>
              <w:pStyle w:val="TableText0"/>
              <w:jc w:val="center"/>
              <w:cnfStyle w:val="100000000000" w:firstRow="1" w:lastRow="0" w:firstColumn="0" w:lastColumn="0" w:oddVBand="0" w:evenVBand="0" w:oddHBand="0" w:evenHBand="0" w:firstRowFirstColumn="0" w:firstRowLastColumn="0" w:lastRowFirstColumn="0" w:lastRowLastColumn="0"/>
              <w:rPr>
                <w:color w:val="auto"/>
                <w:szCs w:val="20"/>
                <w:lang w:val="en-AU"/>
              </w:rPr>
            </w:pPr>
            <w:r w:rsidRPr="00EC57FB">
              <w:rPr>
                <w:color w:val="auto"/>
                <w:szCs w:val="20"/>
                <w:lang w:val="en-AU"/>
              </w:rPr>
              <w:t>n (%)</w:t>
            </w:r>
          </w:p>
        </w:tc>
        <w:tc>
          <w:tcPr>
            <w:tcW w:w="0" w:type="auto"/>
            <w:vAlign w:val="center"/>
            <w:hideMark/>
          </w:tcPr>
          <w:p w14:paraId="08742F24" w14:textId="19CD0D5C" w:rsidR="006545A8" w:rsidRPr="00EC57FB" w:rsidRDefault="006545A8" w:rsidP="006545A8">
            <w:pPr>
              <w:pStyle w:val="TableText0"/>
              <w:jc w:val="center"/>
              <w:cnfStyle w:val="100000000000" w:firstRow="1" w:lastRow="0" w:firstColumn="0" w:lastColumn="0" w:oddVBand="0" w:evenVBand="0" w:oddHBand="0" w:evenHBand="0" w:firstRowFirstColumn="0" w:firstRowLastColumn="0" w:lastRowFirstColumn="0" w:lastRowLastColumn="0"/>
              <w:rPr>
                <w:b w:val="0"/>
                <w:bCs/>
                <w:szCs w:val="20"/>
                <w:lang w:val="en-AU"/>
              </w:rPr>
            </w:pPr>
            <w:r w:rsidRPr="00EC57FB">
              <w:rPr>
                <w:color w:val="auto"/>
                <w:szCs w:val="20"/>
                <w:lang w:val="en-AU"/>
              </w:rPr>
              <w:t>Placebo (N=491)</w:t>
            </w:r>
          </w:p>
          <w:p w14:paraId="6C4137FD" w14:textId="63A3AEAA" w:rsidR="006545A8" w:rsidRPr="00EC57FB" w:rsidRDefault="006545A8" w:rsidP="006545A8">
            <w:pPr>
              <w:pStyle w:val="TableText0"/>
              <w:jc w:val="center"/>
              <w:cnfStyle w:val="100000000000" w:firstRow="1" w:lastRow="0" w:firstColumn="0" w:lastColumn="0" w:oddVBand="0" w:evenVBand="0" w:oddHBand="0" w:evenHBand="0" w:firstRowFirstColumn="0" w:firstRowLastColumn="0" w:lastRowFirstColumn="0" w:lastRowLastColumn="0"/>
              <w:rPr>
                <w:color w:val="auto"/>
                <w:szCs w:val="20"/>
                <w:lang w:val="en-AU"/>
              </w:rPr>
            </w:pPr>
            <w:r w:rsidRPr="00EC57FB">
              <w:rPr>
                <w:color w:val="auto"/>
                <w:szCs w:val="20"/>
                <w:lang w:val="en-AU"/>
              </w:rPr>
              <w:t>n (%)</w:t>
            </w:r>
          </w:p>
        </w:tc>
        <w:tc>
          <w:tcPr>
            <w:tcW w:w="0" w:type="auto"/>
            <w:vAlign w:val="center"/>
            <w:hideMark/>
          </w:tcPr>
          <w:p w14:paraId="1D0DE2CB" w14:textId="1215D76F" w:rsidR="006545A8" w:rsidRPr="00EC57FB" w:rsidRDefault="006545A8" w:rsidP="006545A8">
            <w:pPr>
              <w:pStyle w:val="TableText0"/>
              <w:jc w:val="center"/>
              <w:cnfStyle w:val="100000000000" w:firstRow="1" w:lastRow="0" w:firstColumn="0" w:lastColumn="0" w:oddVBand="0" w:evenVBand="0" w:oddHBand="0" w:evenHBand="0" w:firstRowFirstColumn="0" w:firstRowLastColumn="0" w:lastRowFirstColumn="0" w:lastRowLastColumn="0"/>
              <w:rPr>
                <w:b w:val="0"/>
                <w:bCs/>
                <w:szCs w:val="20"/>
                <w:lang w:val="en-AU"/>
              </w:rPr>
            </w:pPr>
            <w:r w:rsidRPr="00EC57FB">
              <w:rPr>
                <w:color w:val="auto"/>
                <w:szCs w:val="20"/>
                <w:lang w:val="en-AU"/>
              </w:rPr>
              <w:t>Total (N=1,478)</w:t>
            </w:r>
          </w:p>
          <w:p w14:paraId="38C23F38" w14:textId="0712B598" w:rsidR="006545A8" w:rsidRPr="00EC57FB" w:rsidRDefault="006545A8" w:rsidP="006545A8">
            <w:pPr>
              <w:pStyle w:val="TableText0"/>
              <w:jc w:val="center"/>
              <w:cnfStyle w:val="100000000000" w:firstRow="1" w:lastRow="0" w:firstColumn="0" w:lastColumn="0" w:oddVBand="0" w:evenVBand="0" w:oddHBand="0" w:evenHBand="0" w:firstRowFirstColumn="0" w:firstRowLastColumn="0" w:lastRowFirstColumn="0" w:lastRowLastColumn="0"/>
              <w:rPr>
                <w:color w:val="auto"/>
                <w:szCs w:val="20"/>
                <w:lang w:val="en-AU"/>
              </w:rPr>
            </w:pPr>
            <w:r w:rsidRPr="00EC57FB">
              <w:rPr>
                <w:color w:val="auto"/>
                <w:szCs w:val="20"/>
                <w:lang w:val="en-AU"/>
              </w:rPr>
              <w:t>n (%)</w:t>
            </w:r>
          </w:p>
        </w:tc>
      </w:tr>
      <w:tr w:rsidR="002878B2" w:rsidRPr="00EC57FB" w14:paraId="2969DE58"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0F1AA6E2" w14:textId="77777777" w:rsidR="006545A8" w:rsidRPr="00EC57FB" w:rsidRDefault="006545A8">
            <w:pPr>
              <w:pStyle w:val="TableText0"/>
              <w:rPr>
                <w:b w:val="0"/>
                <w:bCs/>
                <w:szCs w:val="20"/>
                <w:lang w:val="en-AU"/>
              </w:rPr>
            </w:pPr>
            <w:r w:rsidRPr="00EC57FB">
              <w:rPr>
                <w:b w:val="0"/>
                <w:bCs/>
                <w:szCs w:val="20"/>
                <w:lang w:val="en-AU"/>
              </w:rPr>
              <w:t xml:space="preserve">≥1 AE </w:t>
            </w:r>
          </w:p>
        </w:tc>
        <w:tc>
          <w:tcPr>
            <w:tcW w:w="0" w:type="auto"/>
            <w:shd w:val="clear" w:color="auto" w:fill="B8CCE4"/>
            <w:vAlign w:val="center"/>
          </w:tcPr>
          <w:p w14:paraId="0C80F1F0"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863 (87.4)</w:t>
            </w:r>
          </w:p>
        </w:tc>
        <w:tc>
          <w:tcPr>
            <w:tcW w:w="0" w:type="auto"/>
            <w:shd w:val="clear" w:color="auto" w:fill="B8CCE4"/>
            <w:vAlign w:val="center"/>
          </w:tcPr>
          <w:p w14:paraId="49CE42C1"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426 (86.8)</w:t>
            </w:r>
          </w:p>
        </w:tc>
        <w:tc>
          <w:tcPr>
            <w:tcW w:w="0" w:type="auto"/>
            <w:shd w:val="clear" w:color="auto" w:fill="B8CCE4"/>
            <w:vAlign w:val="center"/>
          </w:tcPr>
          <w:p w14:paraId="08E3B34B"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1,289 (87.2)</w:t>
            </w:r>
          </w:p>
        </w:tc>
      </w:tr>
      <w:tr w:rsidR="002878B2" w:rsidRPr="00EC57FB" w14:paraId="6FE44AD5" w14:textId="77777777" w:rsidTr="009F522E">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23ED7FEF" w14:textId="77777777" w:rsidR="006545A8" w:rsidRPr="00EC57FB" w:rsidRDefault="006545A8">
            <w:pPr>
              <w:pStyle w:val="TableText0"/>
              <w:ind w:left="164"/>
              <w:rPr>
                <w:b w:val="0"/>
                <w:bCs/>
                <w:szCs w:val="20"/>
                <w:lang w:val="en-AU"/>
              </w:rPr>
            </w:pPr>
            <w:r w:rsidRPr="00EC57FB">
              <w:rPr>
                <w:b w:val="0"/>
                <w:bCs/>
                <w:szCs w:val="20"/>
                <w:lang w:val="en-AU"/>
              </w:rPr>
              <w:t>≤1-day post-dose</w:t>
            </w:r>
          </w:p>
        </w:tc>
        <w:tc>
          <w:tcPr>
            <w:tcW w:w="0" w:type="auto"/>
            <w:shd w:val="clear" w:color="auto" w:fill="B8CCE4"/>
            <w:vAlign w:val="center"/>
          </w:tcPr>
          <w:p w14:paraId="6951A919"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18 (1.8)</w:t>
            </w:r>
          </w:p>
        </w:tc>
        <w:tc>
          <w:tcPr>
            <w:tcW w:w="0" w:type="auto"/>
            <w:shd w:val="clear" w:color="auto" w:fill="B8CCE4"/>
            <w:vAlign w:val="center"/>
          </w:tcPr>
          <w:p w14:paraId="7CD1038A"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3 (0.6)</w:t>
            </w:r>
          </w:p>
        </w:tc>
        <w:tc>
          <w:tcPr>
            <w:tcW w:w="0" w:type="auto"/>
            <w:shd w:val="clear" w:color="auto" w:fill="B8CCE4"/>
            <w:vAlign w:val="center"/>
          </w:tcPr>
          <w:p w14:paraId="7981AEB4"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21 (1.4)</w:t>
            </w:r>
          </w:p>
        </w:tc>
      </w:tr>
      <w:tr w:rsidR="002878B2" w:rsidRPr="00EC57FB" w14:paraId="483B2F89"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5D84F05C" w14:textId="77777777" w:rsidR="006545A8" w:rsidRPr="00EC57FB" w:rsidRDefault="006545A8">
            <w:pPr>
              <w:pStyle w:val="TableText0"/>
              <w:ind w:left="164"/>
              <w:rPr>
                <w:b w:val="0"/>
                <w:bCs/>
                <w:szCs w:val="20"/>
                <w:lang w:val="en-AU"/>
              </w:rPr>
            </w:pPr>
            <w:r w:rsidRPr="00EC57FB">
              <w:rPr>
                <w:b w:val="0"/>
                <w:bCs/>
                <w:szCs w:val="20"/>
                <w:lang w:val="en-AU"/>
              </w:rPr>
              <w:t>≤3 days post-dose</w:t>
            </w:r>
          </w:p>
        </w:tc>
        <w:tc>
          <w:tcPr>
            <w:tcW w:w="0" w:type="auto"/>
            <w:shd w:val="clear" w:color="auto" w:fill="B8CCE4"/>
            <w:vAlign w:val="center"/>
          </w:tcPr>
          <w:p w14:paraId="5005F2E1"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56 (5.7)</w:t>
            </w:r>
          </w:p>
        </w:tc>
        <w:tc>
          <w:tcPr>
            <w:tcW w:w="0" w:type="auto"/>
            <w:shd w:val="clear" w:color="auto" w:fill="B8CCE4"/>
            <w:vAlign w:val="center"/>
          </w:tcPr>
          <w:p w14:paraId="0F438C71"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23 (4.7)</w:t>
            </w:r>
          </w:p>
        </w:tc>
        <w:tc>
          <w:tcPr>
            <w:tcW w:w="0" w:type="auto"/>
            <w:shd w:val="clear" w:color="auto" w:fill="B8CCE4"/>
            <w:vAlign w:val="center"/>
          </w:tcPr>
          <w:p w14:paraId="2D6F7157"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79 (5.3)</w:t>
            </w:r>
          </w:p>
        </w:tc>
      </w:tr>
      <w:tr w:rsidR="002878B2" w:rsidRPr="00EC57FB" w14:paraId="30CE2A62" w14:textId="77777777" w:rsidTr="009F522E">
        <w:tc>
          <w:tcPr>
            <w:cnfStyle w:val="001000000000" w:firstRow="0" w:lastRow="0" w:firstColumn="1" w:lastColumn="0" w:oddVBand="0" w:evenVBand="0" w:oddHBand="0" w:evenHBand="0" w:firstRowFirstColumn="0" w:firstRowLastColumn="0" w:lastRowFirstColumn="0" w:lastRowLastColumn="0"/>
            <w:tcW w:w="0" w:type="auto"/>
            <w:shd w:val="clear" w:color="auto" w:fill="B8CCE4"/>
            <w:hideMark/>
          </w:tcPr>
          <w:p w14:paraId="0C18C31E" w14:textId="77777777" w:rsidR="006545A8" w:rsidRPr="00EC57FB" w:rsidRDefault="006545A8">
            <w:pPr>
              <w:pStyle w:val="TableText0"/>
              <w:ind w:left="164"/>
              <w:rPr>
                <w:b w:val="0"/>
                <w:bCs/>
                <w:szCs w:val="20"/>
                <w:lang w:val="en-AU"/>
              </w:rPr>
            </w:pPr>
            <w:r w:rsidRPr="00EC57FB">
              <w:rPr>
                <w:b w:val="0"/>
                <w:bCs/>
                <w:szCs w:val="20"/>
                <w:lang w:val="en-AU"/>
              </w:rPr>
              <w:t>≤7 days post-dose</w:t>
            </w:r>
          </w:p>
        </w:tc>
        <w:tc>
          <w:tcPr>
            <w:tcW w:w="0" w:type="auto"/>
            <w:shd w:val="clear" w:color="auto" w:fill="B8CCE4"/>
            <w:vAlign w:val="center"/>
            <w:hideMark/>
          </w:tcPr>
          <w:p w14:paraId="2D02088D"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132 (13.4)</w:t>
            </w:r>
          </w:p>
        </w:tc>
        <w:tc>
          <w:tcPr>
            <w:tcW w:w="0" w:type="auto"/>
            <w:shd w:val="clear" w:color="auto" w:fill="B8CCE4"/>
            <w:vAlign w:val="center"/>
            <w:hideMark/>
          </w:tcPr>
          <w:p w14:paraId="420EDAF8"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63 (12.8)</w:t>
            </w:r>
          </w:p>
        </w:tc>
        <w:tc>
          <w:tcPr>
            <w:tcW w:w="0" w:type="auto"/>
            <w:shd w:val="clear" w:color="auto" w:fill="B8CCE4"/>
            <w:vAlign w:val="center"/>
            <w:hideMark/>
          </w:tcPr>
          <w:p w14:paraId="4EF33C73"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195 (13.2)</w:t>
            </w:r>
          </w:p>
        </w:tc>
      </w:tr>
      <w:tr w:rsidR="002878B2" w:rsidRPr="00EC57FB" w14:paraId="7A85DBEA"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43DA5504" w14:textId="77777777" w:rsidR="006545A8" w:rsidRPr="00EC57FB" w:rsidRDefault="006545A8">
            <w:pPr>
              <w:pStyle w:val="TableText0"/>
              <w:ind w:left="164"/>
              <w:rPr>
                <w:b w:val="0"/>
                <w:bCs/>
                <w:szCs w:val="20"/>
                <w:lang w:val="en-AU"/>
              </w:rPr>
            </w:pPr>
            <w:r w:rsidRPr="00EC57FB">
              <w:rPr>
                <w:b w:val="0"/>
                <w:bCs/>
                <w:szCs w:val="20"/>
                <w:lang w:val="en-AU"/>
              </w:rPr>
              <w:t>≤14 days post-dose</w:t>
            </w:r>
          </w:p>
        </w:tc>
        <w:tc>
          <w:tcPr>
            <w:tcW w:w="0" w:type="auto"/>
            <w:shd w:val="clear" w:color="auto" w:fill="B8CCE4"/>
            <w:vAlign w:val="center"/>
          </w:tcPr>
          <w:p w14:paraId="29FC42E9"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279 (28.3)</w:t>
            </w:r>
          </w:p>
        </w:tc>
        <w:tc>
          <w:tcPr>
            <w:tcW w:w="0" w:type="auto"/>
            <w:shd w:val="clear" w:color="auto" w:fill="B8CCE4"/>
            <w:vAlign w:val="center"/>
          </w:tcPr>
          <w:p w14:paraId="4D9FB0EC"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119 (24.2)</w:t>
            </w:r>
          </w:p>
        </w:tc>
        <w:tc>
          <w:tcPr>
            <w:tcW w:w="0" w:type="auto"/>
            <w:shd w:val="clear" w:color="auto" w:fill="B8CCE4"/>
            <w:vAlign w:val="center"/>
          </w:tcPr>
          <w:p w14:paraId="02532421"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398 (26.9)</w:t>
            </w:r>
          </w:p>
        </w:tc>
      </w:tr>
      <w:tr w:rsidR="002878B2" w:rsidRPr="00EC57FB" w14:paraId="4A17E390" w14:textId="77777777" w:rsidTr="009F522E">
        <w:tc>
          <w:tcPr>
            <w:cnfStyle w:val="001000000000" w:firstRow="0" w:lastRow="0" w:firstColumn="1" w:lastColumn="0" w:oddVBand="0" w:evenVBand="0" w:oddHBand="0" w:evenHBand="0" w:firstRowFirstColumn="0" w:firstRowLastColumn="0" w:lastRowFirstColumn="0" w:lastRowLastColumn="0"/>
            <w:tcW w:w="0" w:type="auto"/>
            <w:shd w:val="clear" w:color="auto" w:fill="B8CCE4"/>
            <w:hideMark/>
          </w:tcPr>
          <w:p w14:paraId="225C1F53" w14:textId="77777777" w:rsidR="006545A8" w:rsidRPr="00EC57FB" w:rsidRDefault="006545A8">
            <w:pPr>
              <w:pStyle w:val="TableText0"/>
              <w:ind w:left="164"/>
              <w:rPr>
                <w:b w:val="0"/>
                <w:bCs/>
                <w:szCs w:val="20"/>
                <w:lang w:val="en-AU"/>
              </w:rPr>
            </w:pPr>
            <w:r w:rsidRPr="00EC57FB">
              <w:rPr>
                <w:b w:val="0"/>
                <w:bCs/>
                <w:szCs w:val="20"/>
                <w:lang w:val="en-AU"/>
              </w:rPr>
              <w:t>≥1 AE considered related to IP</w:t>
            </w:r>
          </w:p>
        </w:tc>
        <w:tc>
          <w:tcPr>
            <w:tcW w:w="0" w:type="auto"/>
            <w:shd w:val="clear" w:color="auto" w:fill="B8CCE4"/>
            <w:vAlign w:val="center"/>
            <w:hideMark/>
          </w:tcPr>
          <w:p w14:paraId="432A8726"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10 (1.0)</w:t>
            </w:r>
          </w:p>
        </w:tc>
        <w:tc>
          <w:tcPr>
            <w:tcW w:w="0" w:type="auto"/>
            <w:shd w:val="clear" w:color="auto" w:fill="B8CCE4"/>
            <w:vAlign w:val="center"/>
            <w:hideMark/>
          </w:tcPr>
          <w:p w14:paraId="518F8808"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7 (1.4)</w:t>
            </w:r>
          </w:p>
        </w:tc>
        <w:tc>
          <w:tcPr>
            <w:tcW w:w="0" w:type="auto"/>
            <w:shd w:val="clear" w:color="auto" w:fill="B8CCE4"/>
            <w:vAlign w:val="center"/>
            <w:hideMark/>
          </w:tcPr>
          <w:p w14:paraId="0A6282D6"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17 (1.2)</w:t>
            </w:r>
          </w:p>
        </w:tc>
      </w:tr>
      <w:tr w:rsidR="002878B2" w:rsidRPr="00EC57FB" w14:paraId="7B108E81"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7E89FD48" w14:textId="77777777" w:rsidR="006545A8" w:rsidRPr="00EC57FB" w:rsidRDefault="006545A8">
            <w:pPr>
              <w:pStyle w:val="TableText0"/>
              <w:rPr>
                <w:b w:val="0"/>
                <w:bCs/>
                <w:szCs w:val="20"/>
                <w:lang w:val="en-AU"/>
              </w:rPr>
            </w:pPr>
            <w:r w:rsidRPr="00EC57FB">
              <w:rPr>
                <w:b w:val="0"/>
                <w:bCs/>
                <w:szCs w:val="20"/>
                <w:lang w:val="en-AU"/>
              </w:rPr>
              <w:t>≥1 skin reaction related to IP</w:t>
            </w:r>
          </w:p>
        </w:tc>
        <w:tc>
          <w:tcPr>
            <w:tcW w:w="0" w:type="auto"/>
            <w:shd w:val="clear" w:color="auto" w:fill="B8CCE4"/>
            <w:vAlign w:val="center"/>
          </w:tcPr>
          <w:p w14:paraId="0EC6A175"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4 (0.4)</w:t>
            </w:r>
          </w:p>
        </w:tc>
        <w:tc>
          <w:tcPr>
            <w:tcW w:w="0" w:type="auto"/>
            <w:shd w:val="clear" w:color="auto" w:fill="B8CCE4"/>
            <w:vAlign w:val="center"/>
          </w:tcPr>
          <w:p w14:paraId="752CAF63"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2 (0.4)</w:t>
            </w:r>
          </w:p>
        </w:tc>
        <w:tc>
          <w:tcPr>
            <w:tcW w:w="0" w:type="auto"/>
            <w:shd w:val="clear" w:color="auto" w:fill="B8CCE4"/>
            <w:vAlign w:val="center"/>
          </w:tcPr>
          <w:p w14:paraId="4E515769"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6 (0.4)</w:t>
            </w:r>
          </w:p>
        </w:tc>
      </w:tr>
      <w:tr w:rsidR="002878B2" w:rsidRPr="00EC57FB" w14:paraId="1C5A3E34" w14:textId="77777777" w:rsidTr="009F522E">
        <w:tc>
          <w:tcPr>
            <w:cnfStyle w:val="001000000000" w:firstRow="0" w:lastRow="0" w:firstColumn="1" w:lastColumn="0" w:oddVBand="0" w:evenVBand="0" w:oddHBand="0" w:evenHBand="0" w:firstRowFirstColumn="0" w:firstRowLastColumn="0" w:lastRowFirstColumn="0" w:lastRowLastColumn="0"/>
            <w:tcW w:w="0" w:type="auto"/>
            <w:shd w:val="clear" w:color="auto" w:fill="B8CCE4"/>
            <w:hideMark/>
          </w:tcPr>
          <w:p w14:paraId="254F964B" w14:textId="77777777" w:rsidR="006545A8" w:rsidRPr="00EC57FB" w:rsidRDefault="006545A8">
            <w:pPr>
              <w:pStyle w:val="TableText0"/>
              <w:rPr>
                <w:b w:val="0"/>
                <w:bCs/>
                <w:szCs w:val="20"/>
                <w:lang w:val="en-AU"/>
              </w:rPr>
            </w:pPr>
            <w:r w:rsidRPr="00EC57FB">
              <w:rPr>
                <w:b w:val="0"/>
                <w:bCs/>
                <w:szCs w:val="20"/>
                <w:lang w:val="en-AU"/>
              </w:rPr>
              <w:t>≥1 AE of ≥Grade 3 severity</w:t>
            </w:r>
          </w:p>
        </w:tc>
        <w:tc>
          <w:tcPr>
            <w:tcW w:w="0" w:type="auto"/>
            <w:shd w:val="clear" w:color="auto" w:fill="B8CCE4"/>
            <w:vAlign w:val="center"/>
            <w:hideMark/>
          </w:tcPr>
          <w:p w14:paraId="7945752A"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36 (3.6)</w:t>
            </w:r>
          </w:p>
        </w:tc>
        <w:tc>
          <w:tcPr>
            <w:tcW w:w="0" w:type="auto"/>
            <w:shd w:val="clear" w:color="auto" w:fill="B8CCE4"/>
            <w:vAlign w:val="center"/>
            <w:hideMark/>
          </w:tcPr>
          <w:p w14:paraId="78ACB5C1"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21 (4.3)</w:t>
            </w:r>
          </w:p>
        </w:tc>
        <w:tc>
          <w:tcPr>
            <w:tcW w:w="0" w:type="auto"/>
            <w:shd w:val="clear" w:color="auto" w:fill="B8CCE4"/>
            <w:vAlign w:val="center"/>
            <w:hideMark/>
          </w:tcPr>
          <w:p w14:paraId="14C5A3BA"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57 (3.9)</w:t>
            </w:r>
          </w:p>
        </w:tc>
      </w:tr>
      <w:tr w:rsidR="002878B2" w:rsidRPr="00EC57FB" w14:paraId="1A9FC5A2"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hideMark/>
          </w:tcPr>
          <w:p w14:paraId="573B5C56" w14:textId="77777777" w:rsidR="006545A8" w:rsidRPr="00EC57FB" w:rsidRDefault="006545A8">
            <w:pPr>
              <w:pStyle w:val="TableText0"/>
              <w:rPr>
                <w:b w:val="0"/>
                <w:bCs/>
                <w:szCs w:val="20"/>
                <w:lang w:val="en-AU"/>
              </w:rPr>
            </w:pPr>
            <w:r w:rsidRPr="00EC57FB">
              <w:rPr>
                <w:b w:val="0"/>
                <w:bCs/>
                <w:szCs w:val="20"/>
                <w:lang w:val="en-AU"/>
              </w:rPr>
              <w:t>≥1 SAE</w:t>
            </w:r>
            <w:r w:rsidRPr="00EC57FB">
              <w:rPr>
                <w:b w:val="0"/>
                <w:bCs/>
                <w:szCs w:val="20"/>
                <w:vertAlign w:val="superscript"/>
                <w:lang w:val="en-AU"/>
              </w:rPr>
              <w:t>c</w:t>
            </w:r>
          </w:p>
        </w:tc>
        <w:tc>
          <w:tcPr>
            <w:tcW w:w="0" w:type="auto"/>
            <w:shd w:val="clear" w:color="auto" w:fill="B8CCE4"/>
            <w:vAlign w:val="center"/>
            <w:hideMark/>
          </w:tcPr>
          <w:p w14:paraId="1B523645"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67 (6.8)</w:t>
            </w:r>
          </w:p>
        </w:tc>
        <w:tc>
          <w:tcPr>
            <w:tcW w:w="0" w:type="auto"/>
            <w:shd w:val="clear" w:color="auto" w:fill="B8CCE4"/>
            <w:vAlign w:val="center"/>
            <w:hideMark/>
          </w:tcPr>
          <w:p w14:paraId="3BF8C58A"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36 (7.3)</w:t>
            </w:r>
          </w:p>
        </w:tc>
        <w:tc>
          <w:tcPr>
            <w:tcW w:w="0" w:type="auto"/>
            <w:shd w:val="clear" w:color="auto" w:fill="B8CCE4"/>
            <w:vAlign w:val="center"/>
            <w:hideMark/>
          </w:tcPr>
          <w:p w14:paraId="51BF1C1E"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103 (7.0)</w:t>
            </w:r>
          </w:p>
        </w:tc>
      </w:tr>
      <w:tr w:rsidR="002878B2" w:rsidRPr="00EC57FB" w14:paraId="415C2141" w14:textId="77777777" w:rsidTr="009F522E">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30A35CC9" w14:textId="77777777" w:rsidR="006545A8" w:rsidRPr="00EC57FB" w:rsidRDefault="006545A8">
            <w:pPr>
              <w:pStyle w:val="TableText0"/>
              <w:ind w:left="164"/>
              <w:rPr>
                <w:b w:val="0"/>
                <w:bCs/>
                <w:szCs w:val="20"/>
                <w:lang w:val="en-AU"/>
              </w:rPr>
            </w:pPr>
            <w:r w:rsidRPr="00EC57FB">
              <w:rPr>
                <w:b w:val="0"/>
                <w:bCs/>
                <w:szCs w:val="20"/>
                <w:lang w:val="en-AU"/>
              </w:rPr>
              <w:t>Considered related to trial drug</w:t>
            </w:r>
          </w:p>
        </w:tc>
        <w:tc>
          <w:tcPr>
            <w:tcW w:w="0" w:type="auto"/>
            <w:shd w:val="clear" w:color="auto" w:fill="B8CCE4"/>
            <w:vAlign w:val="center"/>
          </w:tcPr>
          <w:p w14:paraId="062B68FC"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0</w:t>
            </w:r>
          </w:p>
        </w:tc>
        <w:tc>
          <w:tcPr>
            <w:tcW w:w="0" w:type="auto"/>
            <w:shd w:val="clear" w:color="auto" w:fill="B8CCE4"/>
            <w:vAlign w:val="center"/>
          </w:tcPr>
          <w:p w14:paraId="4A67367B"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0</w:t>
            </w:r>
          </w:p>
        </w:tc>
        <w:tc>
          <w:tcPr>
            <w:tcW w:w="0" w:type="auto"/>
            <w:shd w:val="clear" w:color="auto" w:fill="B8CCE4"/>
            <w:vAlign w:val="center"/>
          </w:tcPr>
          <w:p w14:paraId="74A1E997"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0</w:t>
            </w:r>
          </w:p>
        </w:tc>
      </w:tr>
      <w:tr w:rsidR="002878B2" w:rsidRPr="00EC57FB" w14:paraId="2F2FC6CA"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hideMark/>
          </w:tcPr>
          <w:p w14:paraId="35646FAE" w14:textId="77777777" w:rsidR="006545A8" w:rsidRPr="00EC57FB" w:rsidRDefault="006545A8">
            <w:pPr>
              <w:pStyle w:val="TableText0"/>
              <w:rPr>
                <w:b w:val="0"/>
                <w:bCs/>
                <w:szCs w:val="20"/>
                <w:lang w:val="en-AU"/>
              </w:rPr>
            </w:pPr>
            <w:r w:rsidRPr="00EC57FB">
              <w:rPr>
                <w:b w:val="0"/>
                <w:bCs/>
                <w:szCs w:val="20"/>
                <w:lang w:val="en-AU"/>
              </w:rPr>
              <w:t>Any AE with outcome death</w:t>
            </w:r>
            <w:r w:rsidRPr="00EC57FB">
              <w:rPr>
                <w:b w:val="0"/>
                <w:bCs/>
                <w:szCs w:val="20"/>
                <w:vertAlign w:val="superscript"/>
                <w:lang w:val="en-AU"/>
              </w:rPr>
              <w:t>a</w:t>
            </w:r>
            <w:r w:rsidRPr="00EC57FB">
              <w:rPr>
                <w:b w:val="0"/>
                <w:bCs/>
                <w:szCs w:val="20"/>
                <w:lang w:val="en-AU"/>
              </w:rPr>
              <w:t xml:space="preserve"> (Grade 5 severity)</w:t>
            </w:r>
          </w:p>
        </w:tc>
        <w:tc>
          <w:tcPr>
            <w:tcW w:w="0" w:type="auto"/>
            <w:shd w:val="clear" w:color="auto" w:fill="B8CCE4"/>
            <w:vAlign w:val="center"/>
            <w:hideMark/>
          </w:tcPr>
          <w:p w14:paraId="691D2467"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3 (0.3)</w:t>
            </w:r>
          </w:p>
        </w:tc>
        <w:tc>
          <w:tcPr>
            <w:tcW w:w="0" w:type="auto"/>
            <w:shd w:val="clear" w:color="auto" w:fill="B8CCE4"/>
            <w:vAlign w:val="center"/>
            <w:hideMark/>
          </w:tcPr>
          <w:p w14:paraId="1E0A6B1F"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0</w:t>
            </w:r>
          </w:p>
        </w:tc>
        <w:tc>
          <w:tcPr>
            <w:tcW w:w="0" w:type="auto"/>
            <w:shd w:val="clear" w:color="auto" w:fill="B8CCE4"/>
            <w:vAlign w:val="center"/>
            <w:hideMark/>
          </w:tcPr>
          <w:p w14:paraId="10BC46BA"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3 (0.2)</w:t>
            </w:r>
          </w:p>
        </w:tc>
      </w:tr>
      <w:tr w:rsidR="002878B2" w:rsidRPr="00EC57FB" w14:paraId="054E82A3" w14:textId="77777777" w:rsidTr="009F522E">
        <w:tc>
          <w:tcPr>
            <w:cnfStyle w:val="001000000000" w:firstRow="0" w:lastRow="0" w:firstColumn="1" w:lastColumn="0" w:oddVBand="0" w:evenVBand="0" w:oddHBand="0" w:evenHBand="0" w:firstRowFirstColumn="0" w:firstRowLastColumn="0" w:lastRowFirstColumn="0" w:lastRowLastColumn="0"/>
            <w:tcW w:w="0" w:type="auto"/>
            <w:shd w:val="clear" w:color="auto" w:fill="B8CCE4"/>
            <w:hideMark/>
          </w:tcPr>
          <w:p w14:paraId="5CC89366" w14:textId="77777777" w:rsidR="006545A8" w:rsidRPr="00EC57FB" w:rsidRDefault="006545A8">
            <w:pPr>
              <w:pStyle w:val="TableText0"/>
              <w:rPr>
                <w:b w:val="0"/>
                <w:bCs/>
                <w:szCs w:val="20"/>
                <w:lang w:val="en-AU"/>
              </w:rPr>
            </w:pPr>
            <w:r w:rsidRPr="00EC57FB">
              <w:rPr>
                <w:b w:val="0"/>
                <w:bCs/>
                <w:szCs w:val="20"/>
                <w:lang w:val="en-AU"/>
              </w:rPr>
              <w:t>≥1 AE of special interest</w:t>
            </w:r>
            <w:r w:rsidRPr="00EC57FB">
              <w:rPr>
                <w:b w:val="0"/>
                <w:bCs/>
                <w:szCs w:val="20"/>
                <w:vertAlign w:val="superscript"/>
                <w:lang w:val="en-AU"/>
              </w:rPr>
              <w:t>b</w:t>
            </w:r>
          </w:p>
        </w:tc>
        <w:tc>
          <w:tcPr>
            <w:tcW w:w="0" w:type="auto"/>
            <w:shd w:val="clear" w:color="auto" w:fill="B8CCE4"/>
            <w:vAlign w:val="center"/>
            <w:hideMark/>
          </w:tcPr>
          <w:p w14:paraId="15CBA2D9"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1 (0.1)</w:t>
            </w:r>
          </w:p>
        </w:tc>
        <w:tc>
          <w:tcPr>
            <w:tcW w:w="0" w:type="auto"/>
            <w:shd w:val="clear" w:color="auto" w:fill="B8CCE4"/>
            <w:vAlign w:val="center"/>
            <w:hideMark/>
          </w:tcPr>
          <w:p w14:paraId="40331CCC"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0</w:t>
            </w:r>
          </w:p>
        </w:tc>
        <w:tc>
          <w:tcPr>
            <w:tcW w:w="0" w:type="auto"/>
            <w:shd w:val="clear" w:color="auto" w:fill="B8CCE4"/>
            <w:vAlign w:val="center"/>
            <w:hideMark/>
          </w:tcPr>
          <w:p w14:paraId="03E4A045"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1 (0.1)</w:t>
            </w:r>
          </w:p>
        </w:tc>
      </w:tr>
      <w:tr w:rsidR="002878B2" w:rsidRPr="00EC57FB" w14:paraId="31B1982E"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hideMark/>
          </w:tcPr>
          <w:p w14:paraId="16532B89" w14:textId="77777777" w:rsidR="006545A8" w:rsidRPr="00EC57FB" w:rsidRDefault="006545A8">
            <w:pPr>
              <w:pStyle w:val="TableText0"/>
              <w:rPr>
                <w:b w:val="0"/>
                <w:bCs/>
                <w:szCs w:val="20"/>
                <w:lang w:val="en-AU"/>
              </w:rPr>
            </w:pPr>
            <w:r w:rsidRPr="00EC57FB">
              <w:rPr>
                <w:b w:val="0"/>
                <w:bCs/>
                <w:szCs w:val="20"/>
                <w:lang w:val="en-AU"/>
              </w:rPr>
              <w:t>≥1 AE related to COVID-19</w:t>
            </w:r>
          </w:p>
        </w:tc>
        <w:tc>
          <w:tcPr>
            <w:tcW w:w="0" w:type="auto"/>
            <w:shd w:val="clear" w:color="auto" w:fill="B8CCE4"/>
            <w:vAlign w:val="center"/>
            <w:hideMark/>
          </w:tcPr>
          <w:p w14:paraId="0FB9D1DB"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7 (0.7)</w:t>
            </w:r>
          </w:p>
        </w:tc>
        <w:tc>
          <w:tcPr>
            <w:tcW w:w="0" w:type="auto"/>
            <w:shd w:val="clear" w:color="auto" w:fill="B8CCE4"/>
            <w:vAlign w:val="center"/>
            <w:hideMark/>
          </w:tcPr>
          <w:p w14:paraId="66B4830B"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7 (1.4)</w:t>
            </w:r>
          </w:p>
        </w:tc>
        <w:tc>
          <w:tcPr>
            <w:tcW w:w="0" w:type="auto"/>
            <w:shd w:val="clear" w:color="auto" w:fill="B8CCE4"/>
            <w:vAlign w:val="center"/>
            <w:hideMark/>
          </w:tcPr>
          <w:p w14:paraId="36141796"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14 (0.9)</w:t>
            </w:r>
          </w:p>
        </w:tc>
      </w:tr>
      <w:tr w:rsidR="002878B2" w:rsidRPr="00EC57FB" w14:paraId="5FFC5B09" w14:textId="77777777" w:rsidTr="009F522E">
        <w:trPr>
          <w:trHeight w:val="7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26E09BCE" w14:textId="77777777" w:rsidR="006545A8" w:rsidRPr="00EC57FB" w:rsidRDefault="006545A8">
            <w:pPr>
              <w:pStyle w:val="TableText0"/>
              <w:ind w:left="164"/>
              <w:rPr>
                <w:b w:val="0"/>
                <w:bCs/>
                <w:szCs w:val="20"/>
                <w:lang w:val="en-AU"/>
              </w:rPr>
            </w:pPr>
            <w:r w:rsidRPr="00EC57FB">
              <w:rPr>
                <w:b w:val="0"/>
                <w:bCs/>
                <w:szCs w:val="20"/>
                <w:lang w:val="en-AU"/>
              </w:rPr>
              <w:t>Confirmed COVID-19 case</w:t>
            </w:r>
          </w:p>
        </w:tc>
        <w:tc>
          <w:tcPr>
            <w:tcW w:w="0" w:type="auto"/>
            <w:shd w:val="clear" w:color="auto" w:fill="B8CCE4"/>
            <w:vAlign w:val="center"/>
          </w:tcPr>
          <w:p w14:paraId="11C5FFD0"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6 (0.6)</w:t>
            </w:r>
          </w:p>
        </w:tc>
        <w:tc>
          <w:tcPr>
            <w:tcW w:w="0" w:type="auto"/>
            <w:shd w:val="clear" w:color="auto" w:fill="B8CCE4"/>
            <w:vAlign w:val="center"/>
          </w:tcPr>
          <w:p w14:paraId="73F37719"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6 (1.2)</w:t>
            </w:r>
          </w:p>
        </w:tc>
        <w:tc>
          <w:tcPr>
            <w:tcW w:w="0" w:type="auto"/>
            <w:shd w:val="clear" w:color="auto" w:fill="B8CCE4"/>
            <w:vAlign w:val="center"/>
          </w:tcPr>
          <w:p w14:paraId="5E2CDE2F" w14:textId="77777777" w:rsidR="006545A8" w:rsidRPr="00EC57FB" w:rsidRDefault="006545A8" w:rsidP="006545A8">
            <w:pPr>
              <w:pStyle w:val="TableText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12 (0.8)</w:t>
            </w:r>
          </w:p>
        </w:tc>
      </w:tr>
      <w:tr w:rsidR="002878B2" w:rsidRPr="00EC57FB" w14:paraId="30D83B31"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1C3ED832" w14:textId="77777777" w:rsidR="006545A8" w:rsidRPr="00EC57FB" w:rsidRDefault="006545A8">
            <w:pPr>
              <w:pStyle w:val="TableText0"/>
              <w:ind w:left="164"/>
              <w:rPr>
                <w:b w:val="0"/>
                <w:bCs/>
                <w:szCs w:val="20"/>
                <w:lang w:val="en-AU"/>
              </w:rPr>
            </w:pPr>
            <w:r w:rsidRPr="00EC57FB">
              <w:rPr>
                <w:b w:val="0"/>
                <w:bCs/>
                <w:szCs w:val="20"/>
                <w:lang w:val="en-AU"/>
              </w:rPr>
              <w:t>Suspected to be related to COVID-19</w:t>
            </w:r>
          </w:p>
        </w:tc>
        <w:tc>
          <w:tcPr>
            <w:tcW w:w="0" w:type="auto"/>
            <w:shd w:val="clear" w:color="auto" w:fill="B8CCE4"/>
            <w:vAlign w:val="center"/>
          </w:tcPr>
          <w:p w14:paraId="31F8AB24"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1 (0.1)</w:t>
            </w:r>
          </w:p>
        </w:tc>
        <w:tc>
          <w:tcPr>
            <w:tcW w:w="0" w:type="auto"/>
            <w:shd w:val="clear" w:color="auto" w:fill="B8CCE4"/>
            <w:vAlign w:val="center"/>
          </w:tcPr>
          <w:p w14:paraId="2BCA47AA"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1 (0.2)</w:t>
            </w:r>
          </w:p>
        </w:tc>
        <w:tc>
          <w:tcPr>
            <w:tcW w:w="0" w:type="auto"/>
            <w:shd w:val="clear" w:color="auto" w:fill="B8CCE4"/>
            <w:vAlign w:val="center"/>
          </w:tcPr>
          <w:p w14:paraId="0A2C1875" w14:textId="77777777" w:rsidR="006545A8" w:rsidRPr="00EC57FB" w:rsidRDefault="006545A8" w:rsidP="006545A8">
            <w:pPr>
              <w:pStyle w:val="TableText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2 (0.1)</w:t>
            </w:r>
          </w:p>
        </w:tc>
      </w:tr>
    </w:tbl>
    <w:p w14:paraId="63A89CF7" w14:textId="23D7B0E0" w:rsidR="006545A8" w:rsidRPr="00EC57FB" w:rsidRDefault="006545A8" w:rsidP="00715946">
      <w:pPr>
        <w:pStyle w:val="FooterTableFigure"/>
        <w:keepNext/>
        <w:keepLines/>
      </w:pPr>
      <w:r w:rsidRPr="00EC57FB">
        <w:t>Source: Table 2.5.</w:t>
      </w:r>
      <w:r w:rsidR="00BE244B" w:rsidRPr="00EC57FB">
        <w:t>15</w:t>
      </w:r>
      <w:r w:rsidRPr="00EC57FB">
        <w:t>, p</w:t>
      </w:r>
      <w:r w:rsidR="00BE244B" w:rsidRPr="00EC57FB">
        <w:t>93</w:t>
      </w:r>
      <w:r w:rsidRPr="00EC57FB">
        <w:t xml:space="preserve"> of the </w:t>
      </w:r>
      <w:r w:rsidR="00BE244B" w:rsidRPr="00EC57FB">
        <w:t>re</w:t>
      </w:r>
      <w:r w:rsidRPr="00EC57FB">
        <w:t>submission</w:t>
      </w:r>
    </w:p>
    <w:p w14:paraId="73564F00" w14:textId="51219F6C" w:rsidR="007E73F5" w:rsidRPr="00EC57FB" w:rsidRDefault="007E73F5" w:rsidP="00715946">
      <w:pPr>
        <w:pStyle w:val="FooterTableFigure"/>
        <w:keepNext/>
        <w:keepLines/>
        <w:rPr>
          <w:sz w:val="20"/>
        </w:rPr>
      </w:pPr>
      <w:r w:rsidRPr="00EC57FB">
        <w:t>Blue shading is indicative of information previously considered by the PBAC.</w:t>
      </w:r>
    </w:p>
    <w:p w14:paraId="569AABF6" w14:textId="77777777" w:rsidR="006545A8" w:rsidRPr="00EC57FB" w:rsidRDefault="006545A8" w:rsidP="00715946">
      <w:pPr>
        <w:pStyle w:val="FooterTableFigure"/>
        <w:keepNext/>
        <w:keepLines/>
        <w:rPr>
          <w:rFonts w:eastAsia="Calibri"/>
        </w:rPr>
      </w:pPr>
      <w:r w:rsidRPr="00EC57FB">
        <w:rPr>
          <w:rFonts w:eastAsia="Calibri"/>
        </w:rPr>
        <w:t>AE = adverse event; COVID-19 = coronavirus disease 2019; SAE = serious adverse event; IP = investigational product.</w:t>
      </w:r>
    </w:p>
    <w:p w14:paraId="06C3DC5B" w14:textId="77777777" w:rsidR="006545A8" w:rsidRPr="00EC57FB" w:rsidRDefault="006545A8" w:rsidP="00715946">
      <w:pPr>
        <w:pStyle w:val="FooterTableFigure"/>
        <w:keepNext/>
        <w:keepLines/>
        <w:rPr>
          <w:rFonts w:eastAsia="Calibri"/>
        </w:rPr>
      </w:pPr>
      <w:r w:rsidRPr="00EC57FB">
        <w:rPr>
          <w:rFonts w:eastAsia="Calibri"/>
          <w:vertAlign w:val="superscript"/>
        </w:rPr>
        <w:t>a</w:t>
      </w:r>
      <w:r w:rsidRPr="00EC57FB">
        <w:rPr>
          <w:rFonts w:eastAsia="Calibri"/>
        </w:rPr>
        <w:t xml:space="preserve"> No deaths were considered related to the trial drug by blinded investigators.</w:t>
      </w:r>
    </w:p>
    <w:p w14:paraId="22E93653" w14:textId="77777777" w:rsidR="006545A8" w:rsidRPr="00EC57FB" w:rsidRDefault="006545A8" w:rsidP="00715946">
      <w:pPr>
        <w:pStyle w:val="FooterTableFigure"/>
        <w:keepNext/>
        <w:keepLines/>
        <w:rPr>
          <w:rFonts w:eastAsia="Calibri"/>
        </w:rPr>
      </w:pPr>
      <w:r w:rsidRPr="00EC57FB">
        <w:rPr>
          <w:rFonts w:eastAsia="Calibri"/>
          <w:vertAlign w:val="superscript"/>
        </w:rPr>
        <w:t>b</w:t>
      </w:r>
      <w:r w:rsidRPr="00EC57FB">
        <w:rPr>
          <w:rFonts w:eastAsia="Calibri"/>
        </w:rPr>
        <w:t xml:space="preserve"> AEs of special interest included hypersensitivity, immune complex disease and thrombocytopenia.</w:t>
      </w:r>
    </w:p>
    <w:p w14:paraId="35561FEB" w14:textId="206C6208" w:rsidR="00754979" w:rsidRPr="00EC57FB" w:rsidRDefault="006545A8" w:rsidP="001C0ECA">
      <w:pPr>
        <w:pStyle w:val="FooterTableFigure"/>
        <w:keepLines/>
        <w:rPr>
          <w:rFonts w:eastAsia="Calibri"/>
        </w:rPr>
      </w:pPr>
      <w:r w:rsidRPr="00EC57FB">
        <w:rPr>
          <w:rFonts w:eastAsia="Calibri"/>
          <w:vertAlign w:val="superscript"/>
        </w:rPr>
        <w:t>c</w:t>
      </w:r>
      <w:r w:rsidRPr="00EC57FB">
        <w:rPr>
          <w:rFonts w:eastAsia="Calibri"/>
        </w:rPr>
        <w:t xml:space="preserve"> SAEs were defined as death, events that were life-threatening or required inpatient hospitalisation, events that prolonged hospitalisation, events that were persistent or that were associated with clinically significant disability or incapacity or events that were considered to be of medical significance.</w:t>
      </w:r>
      <w:bookmarkStart w:id="111" w:name="_Ref188242848"/>
    </w:p>
    <w:p w14:paraId="32E56B7C" w14:textId="327AC04D" w:rsidR="001C7240" w:rsidRPr="00EC57FB" w:rsidRDefault="00873E9A" w:rsidP="00754979">
      <w:pPr>
        <w:pStyle w:val="Caption"/>
        <w:widowControl w:val="0"/>
        <w:rPr>
          <w:rFonts w:cstheme="minorHAnsi"/>
        </w:rPr>
      </w:pPr>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22</w:t>
      </w:r>
      <w:r w:rsidR="00C51E7C" w:rsidRPr="00EC57FB">
        <w:fldChar w:fldCharType="end"/>
      </w:r>
      <w:bookmarkEnd w:id="111"/>
      <w:r w:rsidR="001C7240" w:rsidRPr="00EC57FB">
        <w:t xml:space="preserve">: </w:t>
      </w:r>
      <w:r w:rsidR="00B52EA2" w:rsidRPr="00EC57FB">
        <w:t>Incidence of a</w:t>
      </w:r>
      <w:r w:rsidR="001C7240" w:rsidRPr="00EC57FB">
        <w:rPr>
          <w:rFonts w:cstheme="minorHAnsi"/>
        </w:rPr>
        <w:t>dverse events in</w:t>
      </w:r>
      <w:r w:rsidR="00B52EA2" w:rsidRPr="00EC57FB">
        <w:rPr>
          <w:rFonts w:cstheme="minorHAnsi"/>
        </w:rPr>
        <w:t xml:space="preserve"> the</w:t>
      </w:r>
      <w:r w:rsidR="001C7240" w:rsidRPr="00EC57FB">
        <w:rPr>
          <w:rFonts w:cstheme="minorHAnsi"/>
        </w:rPr>
        <w:t xml:space="preserve"> </w:t>
      </w:r>
      <w:bookmarkStart w:id="112" w:name="_Toc143187257"/>
      <w:r w:rsidR="001C7240" w:rsidRPr="00EC57FB">
        <w:rPr>
          <w:rFonts w:cstheme="minorHAnsi"/>
        </w:rPr>
        <w:t xml:space="preserve">Phase </w:t>
      </w:r>
      <w:r w:rsidR="00B52EA2" w:rsidRPr="00EC57FB">
        <w:rPr>
          <w:rFonts w:cstheme="minorHAnsi"/>
        </w:rPr>
        <w:t>2</w:t>
      </w:r>
      <w:r w:rsidR="001C7240" w:rsidRPr="00EC57FB">
        <w:rPr>
          <w:rFonts w:cstheme="minorHAnsi"/>
        </w:rPr>
        <w:t>b Study</w:t>
      </w:r>
      <w:bookmarkEnd w:id="112"/>
    </w:p>
    <w:tbl>
      <w:tblPr>
        <w:tblStyle w:val="LightList-Accent31"/>
        <w:tblW w:w="5000" w:type="pct"/>
        <w:tblInd w:w="-5" w:type="dxa"/>
        <w:tblBorders>
          <w:top w:val="single" w:sz="4" w:space="0" w:color="auto"/>
          <w:left w:val="single" w:sz="4" w:space="0" w:color="auto"/>
          <w:bottom w:val="single" w:sz="4" w:space="0" w:color="auto"/>
          <w:right w:val="single" w:sz="4" w:space="0" w:color="auto"/>
          <w:insideH w:val="single" w:sz="8" w:space="0" w:color="91AFD3"/>
          <w:insideV w:val="single" w:sz="4" w:space="0" w:color="auto"/>
        </w:tblBorders>
        <w:tblLook w:val="04A0" w:firstRow="1" w:lastRow="0" w:firstColumn="1" w:lastColumn="0" w:noHBand="0" w:noVBand="1"/>
      </w:tblPr>
      <w:tblGrid>
        <w:gridCol w:w="4555"/>
        <w:gridCol w:w="2407"/>
        <w:gridCol w:w="2055"/>
      </w:tblGrid>
      <w:tr w:rsidR="00541CEE" w:rsidRPr="00EC57FB" w14:paraId="13DA2AB1" w14:textId="77777777" w:rsidTr="007549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594100" w14:textId="77777777" w:rsidR="001C7240" w:rsidRPr="00EC57FB" w:rsidRDefault="001C7240" w:rsidP="00754979">
            <w:pPr>
              <w:pStyle w:val="TableText0"/>
              <w:widowControl w:val="0"/>
              <w:rPr>
                <w:color w:val="auto"/>
                <w:szCs w:val="20"/>
                <w:vertAlign w:val="superscript"/>
                <w:lang w:val="en-AU"/>
              </w:rPr>
            </w:pPr>
            <w:r w:rsidRPr="00EC57FB">
              <w:rPr>
                <w:color w:val="auto"/>
                <w:szCs w:val="20"/>
                <w:lang w:val="en-AU"/>
              </w:rPr>
              <w:t>Adverse event</w:t>
            </w:r>
            <w:r w:rsidRPr="00EC57FB">
              <w:rPr>
                <w:color w:val="auto"/>
                <w:szCs w:val="20"/>
                <w:vertAlign w:val="superscript"/>
                <w:lang w:val="en-AU"/>
              </w:rPr>
              <w:t>a</w:t>
            </w:r>
          </w:p>
        </w:tc>
        <w:tc>
          <w:tcPr>
            <w:tcW w:w="0" w:type="auto"/>
            <w:vAlign w:val="center"/>
          </w:tcPr>
          <w:p w14:paraId="491F6561" w14:textId="1EB35D93" w:rsidR="001C7240" w:rsidRPr="00EC57FB" w:rsidRDefault="001C7240" w:rsidP="00754979">
            <w:pPr>
              <w:pStyle w:val="TableText0"/>
              <w:widowControl w:val="0"/>
              <w:jc w:val="center"/>
              <w:cnfStyle w:val="100000000000" w:firstRow="1" w:lastRow="0" w:firstColumn="0" w:lastColumn="0" w:oddVBand="0" w:evenVBand="0" w:oddHBand="0" w:evenHBand="0" w:firstRowFirstColumn="0" w:firstRowLastColumn="0" w:lastRowFirstColumn="0" w:lastRowLastColumn="0"/>
              <w:rPr>
                <w:b w:val="0"/>
                <w:bCs/>
                <w:color w:val="auto"/>
                <w:szCs w:val="20"/>
                <w:lang w:val="en-AU"/>
              </w:rPr>
            </w:pPr>
            <w:r w:rsidRPr="00EC57FB">
              <w:rPr>
                <w:color w:val="auto"/>
                <w:szCs w:val="20"/>
                <w:lang w:val="en-AU"/>
              </w:rPr>
              <w:t>Nirsevimab (</w:t>
            </w:r>
            <w:r w:rsidR="00B52EA2" w:rsidRPr="00EC57FB">
              <w:rPr>
                <w:color w:val="auto"/>
                <w:szCs w:val="20"/>
                <w:lang w:val="en-AU"/>
              </w:rPr>
              <w:t>N</w:t>
            </w:r>
            <w:r w:rsidRPr="00EC57FB">
              <w:rPr>
                <w:color w:val="auto"/>
                <w:szCs w:val="20"/>
                <w:lang w:val="en-AU"/>
              </w:rPr>
              <w:t>=969)</w:t>
            </w:r>
          </w:p>
          <w:p w14:paraId="548125E9" w14:textId="4BDA13D4" w:rsidR="001C7240" w:rsidRPr="00EC57FB" w:rsidRDefault="00B52EA2" w:rsidP="00754979">
            <w:pPr>
              <w:pStyle w:val="TableText0"/>
              <w:widowControl w:val="0"/>
              <w:jc w:val="center"/>
              <w:cnfStyle w:val="100000000000" w:firstRow="1" w:lastRow="0" w:firstColumn="0" w:lastColumn="0" w:oddVBand="0" w:evenVBand="0" w:oddHBand="0" w:evenHBand="0" w:firstRowFirstColumn="0" w:firstRowLastColumn="0" w:lastRowFirstColumn="0" w:lastRowLastColumn="0"/>
              <w:rPr>
                <w:color w:val="auto"/>
                <w:szCs w:val="20"/>
                <w:lang w:val="en-AU"/>
              </w:rPr>
            </w:pPr>
            <w:r w:rsidRPr="00EC57FB">
              <w:rPr>
                <w:color w:val="auto"/>
                <w:szCs w:val="20"/>
                <w:lang w:val="en-AU"/>
              </w:rPr>
              <w:t>n</w:t>
            </w:r>
            <w:r w:rsidR="001C7240" w:rsidRPr="00EC57FB">
              <w:rPr>
                <w:color w:val="auto"/>
                <w:szCs w:val="20"/>
                <w:lang w:val="en-AU"/>
              </w:rPr>
              <w:t xml:space="preserve"> (%)</w:t>
            </w:r>
          </w:p>
        </w:tc>
        <w:tc>
          <w:tcPr>
            <w:tcW w:w="0" w:type="auto"/>
            <w:vAlign w:val="center"/>
            <w:hideMark/>
          </w:tcPr>
          <w:p w14:paraId="79983628" w14:textId="6710DA4E" w:rsidR="001C7240" w:rsidRPr="00EC57FB" w:rsidRDefault="001C7240" w:rsidP="00754979">
            <w:pPr>
              <w:pStyle w:val="TableText0"/>
              <w:widowControl w:val="0"/>
              <w:jc w:val="center"/>
              <w:cnfStyle w:val="100000000000" w:firstRow="1" w:lastRow="0" w:firstColumn="0" w:lastColumn="0" w:oddVBand="0" w:evenVBand="0" w:oddHBand="0" w:evenHBand="0" w:firstRowFirstColumn="0" w:firstRowLastColumn="0" w:lastRowFirstColumn="0" w:lastRowLastColumn="0"/>
              <w:rPr>
                <w:b w:val="0"/>
                <w:bCs/>
                <w:color w:val="auto"/>
                <w:szCs w:val="20"/>
                <w:lang w:val="en-AU"/>
              </w:rPr>
            </w:pPr>
            <w:r w:rsidRPr="00EC57FB">
              <w:rPr>
                <w:color w:val="auto"/>
                <w:szCs w:val="20"/>
                <w:lang w:val="en-AU"/>
              </w:rPr>
              <w:t>Placebo (</w:t>
            </w:r>
            <w:r w:rsidR="00B52EA2" w:rsidRPr="00EC57FB">
              <w:rPr>
                <w:color w:val="auto"/>
                <w:szCs w:val="20"/>
                <w:lang w:val="en-AU"/>
              </w:rPr>
              <w:t>N</w:t>
            </w:r>
            <w:r w:rsidRPr="00EC57FB">
              <w:rPr>
                <w:color w:val="auto"/>
                <w:szCs w:val="20"/>
                <w:lang w:val="en-AU"/>
              </w:rPr>
              <w:t>=479)</w:t>
            </w:r>
          </w:p>
          <w:p w14:paraId="5F62868E" w14:textId="6F7C8BCB" w:rsidR="001C7240" w:rsidRPr="00EC57FB" w:rsidRDefault="00B52EA2" w:rsidP="00754979">
            <w:pPr>
              <w:pStyle w:val="TableText0"/>
              <w:widowControl w:val="0"/>
              <w:jc w:val="center"/>
              <w:cnfStyle w:val="100000000000" w:firstRow="1" w:lastRow="0" w:firstColumn="0" w:lastColumn="0" w:oddVBand="0" w:evenVBand="0" w:oddHBand="0" w:evenHBand="0" w:firstRowFirstColumn="0" w:firstRowLastColumn="0" w:lastRowFirstColumn="0" w:lastRowLastColumn="0"/>
              <w:rPr>
                <w:color w:val="auto"/>
                <w:szCs w:val="20"/>
                <w:lang w:val="en-AU"/>
              </w:rPr>
            </w:pPr>
            <w:r w:rsidRPr="00EC57FB">
              <w:rPr>
                <w:color w:val="auto"/>
                <w:szCs w:val="20"/>
                <w:lang w:val="en-AU"/>
              </w:rPr>
              <w:t>n</w:t>
            </w:r>
            <w:r w:rsidR="001C7240" w:rsidRPr="00EC57FB">
              <w:rPr>
                <w:color w:val="auto"/>
                <w:szCs w:val="20"/>
                <w:lang w:val="en-AU"/>
              </w:rPr>
              <w:t xml:space="preserve"> (%)</w:t>
            </w:r>
          </w:p>
        </w:tc>
      </w:tr>
      <w:tr w:rsidR="00754979" w:rsidRPr="00EC57FB" w14:paraId="00550A17" w14:textId="77777777" w:rsidTr="0075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22D4D8B8" w14:textId="77777777" w:rsidR="001C7240" w:rsidRPr="00EC57FB" w:rsidRDefault="001C7240" w:rsidP="00754979">
            <w:pPr>
              <w:pStyle w:val="TableText0"/>
              <w:widowControl w:val="0"/>
              <w:rPr>
                <w:b w:val="0"/>
                <w:bCs/>
                <w:szCs w:val="20"/>
                <w:lang w:val="en-AU"/>
              </w:rPr>
            </w:pPr>
            <w:r w:rsidRPr="00EC57FB">
              <w:rPr>
                <w:b w:val="0"/>
                <w:bCs/>
                <w:szCs w:val="20"/>
                <w:lang w:val="en-AU"/>
              </w:rPr>
              <w:t xml:space="preserve">≥1 AE </w:t>
            </w:r>
          </w:p>
        </w:tc>
        <w:tc>
          <w:tcPr>
            <w:tcW w:w="0" w:type="auto"/>
            <w:shd w:val="clear" w:color="auto" w:fill="B8CCE4"/>
            <w:vAlign w:val="center"/>
          </w:tcPr>
          <w:p w14:paraId="5A8AD924"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834 (86.2%)</w:t>
            </w:r>
          </w:p>
        </w:tc>
        <w:tc>
          <w:tcPr>
            <w:tcW w:w="0" w:type="auto"/>
            <w:shd w:val="clear" w:color="auto" w:fill="B8CCE4"/>
            <w:vAlign w:val="center"/>
          </w:tcPr>
          <w:p w14:paraId="1BB9332A"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416 (86.8%)</w:t>
            </w:r>
          </w:p>
        </w:tc>
      </w:tr>
      <w:tr w:rsidR="00C62008" w:rsidRPr="00EC57FB" w14:paraId="57717073" w14:textId="77777777" w:rsidTr="00754979">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51E12BCB" w14:textId="77777777" w:rsidR="001C7240" w:rsidRPr="00EC57FB" w:rsidRDefault="001C7240" w:rsidP="00754979">
            <w:pPr>
              <w:pStyle w:val="TableText0"/>
              <w:widowControl w:val="0"/>
              <w:ind w:left="164"/>
              <w:rPr>
                <w:b w:val="0"/>
                <w:bCs/>
                <w:szCs w:val="20"/>
                <w:lang w:val="en-AU"/>
              </w:rPr>
            </w:pPr>
            <w:r w:rsidRPr="00EC57FB">
              <w:rPr>
                <w:b w:val="0"/>
                <w:bCs/>
                <w:szCs w:val="20"/>
                <w:lang w:val="en-AU"/>
              </w:rPr>
              <w:t>≤1-day post-dose</w:t>
            </w:r>
          </w:p>
        </w:tc>
        <w:tc>
          <w:tcPr>
            <w:tcW w:w="0" w:type="auto"/>
            <w:shd w:val="clear" w:color="auto" w:fill="B8CCE4"/>
            <w:vAlign w:val="center"/>
          </w:tcPr>
          <w:p w14:paraId="4659DBBE" w14:textId="77777777"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24 (2.5%)</w:t>
            </w:r>
          </w:p>
        </w:tc>
        <w:tc>
          <w:tcPr>
            <w:tcW w:w="0" w:type="auto"/>
            <w:shd w:val="clear" w:color="auto" w:fill="B8CCE4"/>
            <w:vAlign w:val="center"/>
          </w:tcPr>
          <w:p w14:paraId="004FEF6E" w14:textId="77777777"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12 (2.5%)</w:t>
            </w:r>
          </w:p>
        </w:tc>
      </w:tr>
      <w:tr w:rsidR="00754979" w:rsidRPr="00EC57FB" w14:paraId="2FC9DB74" w14:textId="77777777" w:rsidTr="0075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hideMark/>
          </w:tcPr>
          <w:p w14:paraId="5AF8EA9B" w14:textId="77777777" w:rsidR="001C7240" w:rsidRPr="00EC57FB" w:rsidRDefault="001C7240" w:rsidP="00754979">
            <w:pPr>
              <w:pStyle w:val="TableText0"/>
              <w:widowControl w:val="0"/>
              <w:ind w:left="164"/>
              <w:rPr>
                <w:b w:val="0"/>
                <w:bCs/>
                <w:szCs w:val="20"/>
                <w:lang w:val="en-AU"/>
              </w:rPr>
            </w:pPr>
            <w:r w:rsidRPr="00EC57FB">
              <w:rPr>
                <w:b w:val="0"/>
                <w:bCs/>
                <w:szCs w:val="20"/>
                <w:lang w:val="en-AU"/>
              </w:rPr>
              <w:t>≤7 days post-dose</w:t>
            </w:r>
          </w:p>
        </w:tc>
        <w:tc>
          <w:tcPr>
            <w:tcW w:w="0" w:type="auto"/>
            <w:shd w:val="clear" w:color="auto" w:fill="B8CCE4"/>
            <w:vAlign w:val="center"/>
          </w:tcPr>
          <w:p w14:paraId="1A4D0FFD"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121 (12.5%)</w:t>
            </w:r>
          </w:p>
        </w:tc>
        <w:tc>
          <w:tcPr>
            <w:tcW w:w="0" w:type="auto"/>
            <w:shd w:val="clear" w:color="auto" w:fill="B8CCE4"/>
            <w:vAlign w:val="center"/>
          </w:tcPr>
          <w:p w14:paraId="196B1423"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73 (15.2%)</w:t>
            </w:r>
          </w:p>
        </w:tc>
      </w:tr>
      <w:tr w:rsidR="00C62008" w:rsidRPr="00EC57FB" w14:paraId="2DC68C3B" w14:textId="77777777" w:rsidTr="00754979">
        <w:tc>
          <w:tcPr>
            <w:cnfStyle w:val="001000000000" w:firstRow="0" w:lastRow="0" w:firstColumn="1" w:lastColumn="0" w:oddVBand="0" w:evenVBand="0" w:oddHBand="0" w:evenHBand="0" w:firstRowFirstColumn="0" w:firstRowLastColumn="0" w:lastRowFirstColumn="0" w:lastRowLastColumn="0"/>
            <w:tcW w:w="0" w:type="auto"/>
            <w:shd w:val="clear" w:color="auto" w:fill="B8CCE4"/>
            <w:hideMark/>
          </w:tcPr>
          <w:p w14:paraId="089B3024" w14:textId="77777777" w:rsidR="001C7240" w:rsidRPr="00EC57FB" w:rsidRDefault="001C7240" w:rsidP="00754979">
            <w:pPr>
              <w:pStyle w:val="TableText0"/>
              <w:widowControl w:val="0"/>
              <w:ind w:left="164"/>
              <w:rPr>
                <w:b w:val="0"/>
                <w:bCs/>
                <w:szCs w:val="20"/>
                <w:lang w:val="en-AU"/>
              </w:rPr>
            </w:pPr>
            <w:r w:rsidRPr="00EC57FB">
              <w:rPr>
                <w:b w:val="0"/>
                <w:bCs/>
                <w:szCs w:val="20"/>
                <w:lang w:val="en-AU"/>
              </w:rPr>
              <w:t>≥1 AE considered related to IP</w:t>
            </w:r>
          </w:p>
        </w:tc>
        <w:tc>
          <w:tcPr>
            <w:tcW w:w="0" w:type="auto"/>
            <w:shd w:val="clear" w:color="auto" w:fill="B8CCE4"/>
            <w:vAlign w:val="center"/>
          </w:tcPr>
          <w:p w14:paraId="44928FAC" w14:textId="77777777"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22 (2.3%)</w:t>
            </w:r>
          </w:p>
        </w:tc>
        <w:tc>
          <w:tcPr>
            <w:tcW w:w="0" w:type="auto"/>
            <w:shd w:val="clear" w:color="auto" w:fill="B8CCE4"/>
            <w:vAlign w:val="center"/>
          </w:tcPr>
          <w:p w14:paraId="459E94F9" w14:textId="77777777"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10 (2.1%)</w:t>
            </w:r>
          </w:p>
        </w:tc>
      </w:tr>
      <w:tr w:rsidR="00754979" w:rsidRPr="00EC57FB" w14:paraId="30F64B47" w14:textId="77777777" w:rsidTr="0075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hideMark/>
          </w:tcPr>
          <w:p w14:paraId="161499A4" w14:textId="77777777" w:rsidR="001C7240" w:rsidRPr="00EC57FB" w:rsidRDefault="001C7240" w:rsidP="00754979">
            <w:pPr>
              <w:pStyle w:val="TableText0"/>
              <w:widowControl w:val="0"/>
              <w:rPr>
                <w:b w:val="0"/>
                <w:bCs/>
                <w:szCs w:val="20"/>
                <w:lang w:val="en-AU"/>
              </w:rPr>
            </w:pPr>
            <w:r w:rsidRPr="00EC57FB">
              <w:rPr>
                <w:b w:val="0"/>
                <w:bCs/>
                <w:szCs w:val="20"/>
                <w:lang w:val="en-AU"/>
              </w:rPr>
              <w:t>≥1 AE of ≥Grade 3 severity</w:t>
            </w:r>
            <w:r w:rsidRPr="00EC57FB">
              <w:rPr>
                <w:b w:val="0"/>
                <w:bCs/>
                <w:szCs w:val="20"/>
                <w:vertAlign w:val="superscript"/>
                <w:lang w:val="en-AU"/>
              </w:rPr>
              <w:t>b</w:t>
            </w:r>
          </w:p>
        </w:tc>
        <w:tc>
          <w:tcPr>
            <w:tcW w:w="0" w:type="auto"/>
            <w:shd w:val="clear" w:color="auto" w:fill="B8CCE4"/>
            <w:vAlign w:val="center"/>
          </w:tcPr>
          <w:p w14:paraId="2F56D8C2"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77 (8.0%)</w:t>
            </w:r>
          </w:p>
        </w:tc>
        <w:tc>
          <w:tcPr>
            <w:tcW w:w="0" w:type="auto"/>
            <w:shd w:val="clear" w:color="auto" w:fill="B8CCE4"/>
            <w:vAlign w:val="center"/>
          </w:tcPr>
          <w:p w14:paraId="31C65C73"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60 (12.5%)</w:t>
            </w:r>
          </w:p>
        </w:tc>
      </w:tr>
      <w:tr w:rsidR="00C62008" w:rsidRPr="00EC57FB" w14:paraId="3E842807" w14:textId="77777777" w:rsidTr="00754979">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1536AEF4" w14:textId="77777777" w:rsidR="001C7240" w:rsidRPr="00EC57FB" w:rsidRDefault="001C7240" w:rsidP="00754979">
            <w:pPr>
              <w:pStyle w:val="TableText0"/>
              <w:widowControl w:val="0"/>
              <w:rPr>
                <w:b w:val="0"/>
                <w:bCs/>
                <w:szCs w:val="20"/>
                <w:lang w:val="en-AU"/>
              </w:rPr>
            </w:pPr>
            <w:r w:rsidRPr="00EC57FB">
              <w:rPr>
                <w:b w:val="0"/>
                <w:bCs/>
                <w:szCs w:val="20"/>
                <w:lang w:val="en-AU"/>
              </w:rPr>
              <w:t>Death</w:t>
            </w:r>
            <w:r w:rsidRPr="00EC57FB">
              <w:rPr>
                <w:b w:val="0"/>
                <w:bCs/>
                <w:szCs w:val="20"/>
                <w:vertAlign w:val="superscript"/>
                <w:lang w:val="en-AU"/>
              </w:rPr>
              <w:t>c</w:t>
            </w:r>
            <w:r w:rsidRPr="00EC57FB">
              <w:rPr>
                <w:b w:val="0"/>
                <w:bCs/>
                <w:szCs w:val="20"/>
                <w:lang w:val="en-AU"/>
              </w:rPr>
              <w:t xml:space="preserve"> (grade 5 severity</w:t>
            </w:r>
            <w:r w:rsidRPr="00EC57FB">
              <w:rPr>
                <w:b w:val="0"/>
                <w:bCs/>
                <w:szCs w:val="20"/>
                <w:vertAlign w:val="superscript"/>
                <w:lang w:val="en-AU"/>
              </w:rPr>
              <w:t>b</w:t>
            </w:r>
            <w:r w:rsidRPr="00EC57FB">
              <w:rPr>
                <w:b w:val="0"/>
                <w:bCs/>
                <w:szCs w:val="20"/>
                <w:lang w:val="en-AU"/>
              </w:rPr>
              <w:t>)</w:t>
            </w:r>
          </w:p>
        </w:tc>
        <w:tc>
          <w:tcPr>
            <w:tcW w:w="0" w:type="auto"/>
            <w:shd w:val="clear" w:color="auto" w:fill="B8CCE4"/>
            <w:vAlign w:val="center"/>
          </w:tcPr>
          <w:p w14:paraId="6DE293E4" w14:textId="77777777"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2 (0.2%)</w:t>
            </w:r>
          </w:p>
        </w:tc>
        <w:tc>
          <w:tcPr>
            <w:tcW w:w="0" w:type="auto"/>
            <w:shd w:val="clear" w:color="auto" w:fill="B8CCE4"/>
            <w:vAlign w:val="center"/>
          </w:tcPr>
          <w:p w14:paraId="28507615" w14:textId="77777777"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3 (0.6%)</w:t>
            </w:r>
          </w:p>
        </w:tc>
      </w:tr>
      <w:tr w:rsidR="00754979" w:rsidRPr="00EC57FB" w14:paraId="40ABBE33" w14:textId="77777777" w:rsidTr="0075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hideMark/>
          </w:tcPr>
          <w:p w14:paraId="684C93AD" w14:textId="77777777" w:rsidR="001C7240" w:rsidRPr="00EC57FB" w:rsidRDefault="001C7240" w:rsidP="00754979">
            <w:pPr>
              <w:pStyle w:val="TableText0"/>
              <w:widowControl w:val="0"/>
              <w:rPr>
                <w:b w:val="0"/>
                <w:bCs/>
                <w:szCs w:val="20"/>
                <w:lang w:val="en-AU"/>
              </w:rPr>
            </w:pPr>
            <w:r w:rsidRPr="00EC57FB">
              <w:rPr>
                <w:b w:val="0"/>
                <w:bCs/>
                <w:szCs w:val="20"/>
                <w:lang w:val="en-AU"/>
              </w:rPr>
              <w:t>≥1 SAE</w:t>
            </w:r>
            <w:r w:rsidRPr="00EC57FB">
              <w:rPr>
                <w:b w:val="0"/>
                <w:bCs/>
                <w:szCs w:val="20"/>
                <w:vertAlign w:val="superscript"/>
                <w:lang w:val="en-AU"/>
              </w:rPr>
              <w:t>d</w:t>
            </w:r>
          </w:p>
        </w:tc>
        <w:tc>
          <w:tcPr>
            <w:tcW w:w="0" w:type="auto"/>
            <w:shd w:val="clear" w:color="auto" w:fill="B8CCE4"/>
            <w:vAlign w:val="center"/>
          </w:tcPr>
          <w:p w14:paraId="5CCA4DE8"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108 (11.2%)</w:t>
            </w:r>
          </w:p>
        </w:tc>
        <w:tc>
          <w:tcPr>
            <w:tcW w:w="0" w:type="auto"/>
            <w:shd w:val="clear" w:color="auto" w:fill="B8CCE4"/>
            <w:vAlign w:val="center"/>
          </w:tcPr>
          <w:p w14:paraId="581B9300"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81 (16.9%)</w:t>
            </w:r>
          </w:p>
        </w:tc>
      </w:tr>
      <w:tr w:rsidR="00C62008" w:rsidRPr="00EC57FB" w14:paraId="5E301A99" w14:textId="77777777" w:rsidTr="00754979">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0C10573B" w14:textId="77777777" w:rsidR="001C7240" w:rsidRPr="00EC57FB" w:rsidRDefault="001C7240" w:rsidP="00754979">
            <w:pPr>
              <w:pStyle w:val="TableText0"/>
              <w:widowControl w:val="0"/>
              <w:rPr>
                <w:b w:val="0"/>
                <w:bCs/>
                <w:szCs w:val="20"/>
                <w:lang w:val="en-AU"/>
              </w:rPr>
            </w:pPr>
            <w:r w:rsidRPr="00EC57FB">
              <w:rPr>
                <w:b w:val="0"/>
                <w:bCs/>
                <w:szCs w:val="20"/>
                <w:lang w:val="en-AU"/>
              </w:rPr>
              <w:t>≥1 SAE</w:t>
            </w:r>
            <w:r w:rsidRPr="00EC57FB">
              <w:rPr>
                <w:b w:val="0"/>
                <w:bCs/>
                <w:szCs w:val="20"/>
                <w:vertAlign w:val="superscript"/>
                <w:lang w:val="en-AU"/>
              </w:rPr>
              <w:t xml:space="preserve">d </w:t>
            </w:r>
            <w:r w:rsidRPr="00EC57FB">
              <w:rPr>
                <w:b w:val="0"/>
                <w:bCs/>
                <w:szCs w:val="20"/>
                <w:lang w:val="en-AU"/>
              </w:rPr>
              <w:t>or ≥Grade 3 severity</w:t>
            </w:r>
            <w:r w:rsidRPr="00EC57FB">
              <w:rPr>
                <w:b w:val="0"/>
                <w:bCs/>
                <w:szCs w:val="20"/>
                <w:vertAlign w:val="superscript"/>
                <w:lang w:val="en-AU"/>
              </w:rPr>
              <w:t>b</w:t>
            </w:r>
          </w:p>
        </w:tc>
        <w:tc>
          <w:tcPr>
            <w:tcW w:w="0" w:type="auto"/>
            <w:shd w:val="clear" w:color="auto" w:fill="B8CCE4"/>
            <w:vAlign w:val="center"/>
          </w:tcPr>
          <w:p w14:paraId="69EF2C0D" w14:textId="77777777"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124 (12.8%)</w:t>
            </w:r>
          </w:p>
        </w:tc>
        <w:tc>
          <w:tcPr>
            <w:tcW w:w="0" w:type="auto"/>
            <w:shd w:val="clear" w:color="auto" w:fill="B8CCE4"/>
            <w:vAlign w:val="center"/>
          </w:tcPr>
          <w:p w14:paraId="1779E2B7" w14:textId="77777777"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92 (19.2%)</w:t>
            </w:r>
          </w:p>
        </w:tc>
      </w:tr>
      <w:tr w:rsidR="00754979" w:rsidRPr="00EC57FB" w14:paraId="2E9E388E" w14:textId="77777777" w:rsidTr="0075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76F3B1C6" w14:textId="77777777" w:rsidR="001C7240" w:rsidRPr="00EC57FB" w:rsidRDefault="001C7240" w:rsidP="00754979">
            <w:pPr>
              <w:pStyle w:val="TableText0"/>
              <w:widowControl w:val="0"/>
              <w:rPr>
                <w:b w:val="0"/>
                <w:bCs/>
                <w:szCs w:val="20"/>
                <w:lang w:val="en-AU"/>
              </w:rPr>
            </w:pPr>
            <w:r w:rsidRPr="00EC57FB">
              <w:rPr>
                <w:b w:val="0"/>
                <w:bCs/>
                <w:szCs w:val="20"/>
                <w:lang w:val="en-AU"/>
              </w:rPr>
              <w:t>≥1 SAE</w:t>
            </w:r>
            <w:r w:rsidRPr="00EC57FB">
              <w:rPr>
                <w:b w:val="0"/>
                <w:bCs/>
                <w:szCs w:val="20"/>
                <w:vertAlign w:val="superscript"/>
                <w:lang w:val="en-AU"/>
              </w:rPr>
              <w:t>d</w:t>
            </w:r>
            <w:r w:rsidRPr="00EC57FB">
              <w:rPr>
                <w:b w:val="0"/>
                <w:bCs/>
                <w:szCs w:val="20"/>
                <w:lang w:val="en-AU"/>
              </w:rPr>
              <w:t xml:space="preserve"> related to trial drug</w:t>
            </w:r>
          </w:p>
        </w:tc>
        <w:tc>
          <w:tcPr>
            <w:tcW w:w="0" w:type="auto"/>
            <w:shd w:val="clear" w:color="auto" w:fill="B8CCE4"/>
            <w:vAlign w:val="center"/>
          </w:tcPr>
          <w:p w14:paraId="7DF7FD2D"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0</w:t>
            </w:r>
          </w:p>
        </w:tc>
        <w:tc>
          <w:tcPr>
            <w:tcW w:w="0" w:type="auto"/>
            <w:shd w:val="clear" w:color="auto" w:fill="B8CCE4"/>
            <w:vAlign w:val="center"/>
          </w:tcPr>
          <w:p w14:paraId="2DB8981E"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0</w:t>
            </w:r>
          </w:p>
        </w:tc>
      </w:tr>
      <w:tr w:rsidR="00C62008" w:rsidRPr="00EC57FB" w14:paraId="2C07D87F" w14:textId="77777777" w:rsidTr="00754979">
        <w:tc>
          <w:tcPr>
            <w:cnfStyle w:val="001000000000" w:firstRow="0" w:lastRow="0" w:firstColumn="1" w:lastColumn="0" w:oddVBand="0" w:evenVBand="0" w:oddHBand="0" w:evenHBand="0" w:firstRowFirstColumn="0" w:firstRowLastColumn="0" w:lastRowFirstColumn="0" w:lastRowLastColumn="0"/>
            <w:tcW w:w="0" w:type="auto"/>
            <w:shd w:val="clear" w:color="auto" w:fill="B8CCE4"/>
            <w:hideMark/>
          </w:tcPr>
          <w:p w14:paraId="160FDDFA" w14:textId="77777777" w:rsidR="001C7240" w:rsidRPr="00EC57FB" w:rsidRDefault="001C7240" w:rsidP="00754979">
            <w:pPr>
              <w:pStyle w:val="TableText0"/>
              <w:widowControl w:val="0"/>
              <w:rPr>
                <w:b w:val="0"/>
                <w:bCs/>
                <w:szCs w:val="20"/>
                <w:lang w:val="en-AU"/>
              </w:rPr>
            </w:pPr>
            <w:r w:rsidRPr="00EC57FB">
              <w:rPr>
                <w:b w:val="0"/>
                <w:bCs/>
                <w:szCs w:val="20"/>
                <w:lang w:val="en-AU"/>
              </w:rPr>
              <w:t>≥1 AE of special interest</w:t>
            </w:r>
            <w:r w:rsidRPr="00EC57FB">
              <w:rPr>
                <w:b w:val="0"/>
                <w:bCs/>
                <w:szCs w:val="20"/>
                <w:vertAlign w:val="superscript"/>
                <w:lang w:val="en-AU"/>
              </w:rPr>
              <w:t>b</w:t>
            </w:r>
          </w:p>
        </w:tc>
        <w:tc>
          <w:tcPr>
            <w:tcW w:w="0" w:type="auto"/>
            <w:shd w:val="clear" w:color="auto" w:fill="B8CCE4"/>
            <w:vAlign w:val="center"/>
          </w:tcPr>
          <w:p w14:paraId="79C38979" w14:textId="77777777"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5 (0.5%)</w:t>
            </w:r>
          </w:p>
        </w:tc>
        <w:tc>
          <w:tcPr>
            <w:tcW w:w="0" w:type="auto"/>
            <w:shd w:val="clear" w:color="auto" w:fill="B8CCE4"/>
            <w:vAlign w:val="center"/>
          </w:tcPr>
          <w:p w14:paraId="5D7DD600" w14:textId="77777777"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3 (0.6%)</w:t>
            </w:r>
          </w:p>
        </w:tc>
      </w:tr>
      <w:tr w:rsidR="00754979" w:rsidRPr="00EC57FB" w14:paraId="1D0A7C80" w14:textId="77777777" w:rsidTr="0075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50F857D8" w14:textId="77777777" w:rsidR="001C7240" w:rsidRPr="00EC57FB" w:rsidRDefault="001C7240" w:rsidP="00754979">
            <w:pPr>
              <w:pStyle w:val="TableText0"/>
              <w:widowControl w:val="0"/>
              <w:rPr>
                <w:b w:val="0"/>
                <w:bCs/>
                <w:szCs w:val="20"/>
                <w:lang w:val="en-AU"/>
              </w:rPr>
            </w:pPr>
            <w:r w:rsidRPr="00EC57FB">
              <w:rPr>
                <w:b w:val="0"/>
                <w:bCs/>
                <w:szCs w:val="20"/>
                <w:lang w:val="en-AU"/>
              </w:rPr>
              <w:t>≥1 AESI related to IP</w:t>
            </w:r>
          </w:p>
        </w:tc>
        <w:tc>
          <w:tcPr>
            <w:tcW w:w="0" w:type="auto"/>
            <w:shd w:val="clear" w:color="auto" w:fill="B8CCE4"/>
            <w:vAlign w:val="center"/>
          </w:tcPr>
          <w:p w14:paraId="624EDCBF"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5 (0.5%)</w:t>
            </w:r>
          </w:p>
        </w:tc>
        <w:tc>
          <w:tcPr>
            <w:tcW w:w="0" w:type="auto"/>
            <w:shd w:val="clear" w:color="auto" w:fill="B8CCE4"/>
            <w:vAlign w:val="center"/>
          </w:tcPr>
          <w:p w14:paraId="06777F14"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3 (0.6%)</w:t>
            </w:r>
          </w:p>
        </w:tc>
      </w:tr>
      <w:tr w:rsidR="00C62008" w:rsidRPr="00EC57FB" w14:paraId="6EB260F5" w14:textId="77777777" w:rsidTr="00754979">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54798DB1" w14:textId="77777777" w:rsidR="001C7240" w:rsidRPr="00EC57FB" w:rsidRDefault="001C7240" w:rsidP="00754979">
            <w:pPr>
              <w:pStyle w:val="TableText0"/>
              <w:widowControl w:val="0"/>
              <w:rPr>
                <w:b w:val="0"/>
                <w:bCs/>
                <w:szCs w:val="20"/>
                <w:lang w:val="en-AU"/>
              </w:rPr>
            </w:pPr>
            <w:r w:rsidRPr="00EC57FB">
              <w:rPr>
                <w:b w:val="0"/>
                <w:bCs/>
                <w:szCs w:val="20"/>
                <w:lang w:val="en-AU"/>
              </w:rPr>
              <w:t>≥1 skin reaction</w:t>
            </w:r>
          </w:p>
        </w:tc>
        <w:tc>
          <w:tcPr>
            <w:tcW w:w="0" w:type="auto"/>
            <w:shd w:val="clear" w:color="auto" w:fill="B8CCE4"/>
            <w:vAlign w:val="center"/>
          </w:tcPr>
          <w:p w14:paraId="563D9BB0" w14:textId="77777777"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318 (32.9%)</w:t>
            </w:r>
          </w:p>
        </w:tc>
        <w:tc>
          <w:tcPr>
            <w:tcW w:w="0" w:type="auto"/>
            <w:shd w:val="clear" w:color="auto" w:fill="B8CCE4"/>
            <w:vAlign w:val="center"/>
          </w:tcPr>
          <w:p w14:paraId="148A875B" w14:textId="73BAEF1D"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148 (30.9%)</w:t>
            </w:r>
          </w:p>
        </w:tc>
      </w:tr>
      <w:tr w:rsidR="00754979" w:rsidRPr="00EC57FB" w14:paraId="18EDA41F" w14:textId="77777777" w:rsidTr="0075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7DD40032" w14:textId="77777777" w:rsidR="001C7240" w:rsidRPr="00EC57FB" w:rsidRDefault="001C7240" w:rsidP="00754979">
            <w:pPr>
              <w:pStyle w:val="TableText0"/>
              <w:widowControl w:val="0"/>
              <w:rPr>
                <w:b w:val="0"/>
                <w:bCs/>
                <w:szCs w:val="20"/>
                <w:lang w:val="en-AU"/>
              </w:rPr>
            </w:pPr>
            <w:r w:rsidRPr="00EC57FB">
              <w:rPr>
                <w:b w:val="0"/>
                <w:bCs/>
                <w:szCs w:val="20"/>
                <w:lang w:val="en-AU"/>
              </w:rPr>
              <w:t>≥1 IP related skin reaction</w:t>
            </w:r>
          </w:p>
        </w:tc>
        <w:tc>
          <w:tcPr>
            <w:tcW w:w="0" w:type="auto"/>
            <w:shd w:val="clear" w:color="auto" w:fill="B8CCE4"/>
            <w:vAlign w:val="center"/>
          </w:tcPr>
          <w:p w14:paraId="49186BA2"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9 (0.9%)</w:t>
            </w:r>
          </w:p>
        </w:tc>
        <w:tc>
          <w:tcPr>
            <w:tcW w:w="0" w:type="auto"/>
            <w:shd w:val="clear" w:color="auto" w:fill="B8CCE4"/>
            <w:vAlign w:val="center"/>
          </w:tcPr>
          <w:p w14:paraId="48E60E3A" w14:textId="65741D20"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4 (0.8%)</w:t>
            </w:r>
          </w:p>
        </w:tc>
      </w:tr>
      <w:tr w:rsidR="00C62008" w:rsidRPr="00EC57FB" w14:paraId="7E79D4D2" w14:textId="77777777" w:rsidTr="00754979">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2B9B3AA3" w14:textId="77777777" w:rsidR="001C7240" w:rsidRPr="00EC57FB" w:rsidRDefault="001C7240" w:rsidP="00754979">
            <w:pPr>
              <w:pStyle w:val="TableText0"/>
              <w:widowControl w:val="0"/>
              <w:rPr>
                <w:b w:val="0"/>
                <w:bCs/>
                <w:szCs w:val="20"/>
                <w:lang w:val="en-AU"/>
              </w:rPr>
            </w:pPr>
            <w:r w:rsidRPr="00EC57FB">
              <w:rPr>
                <w:b w:val="0"/>
                <w:bCs/>
                <w:szCs w:val="20"/>
                <w:lang w:val="en-AU"/>
              </w:rPr>
              <w:t>≥1 skin hypersensitivity reaction</w:t>
            </w:r>
          </w:p>
        </w:tc>
        <w:tc>
          <w:tcPr>
            <w:tcW w:w="0" w:type="auto"/>
            <w:shd w:val="clear" w:color="auto" w:fill="B8CCE4"/>
            <w:vAlign w:val="center"/>
          </w:tcPr>
          <w:p w14:paraId="7D254964" w14:textId="77777777"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5 (0.5%)</w:t>
            </w:r>
          </w:p>
        </w:tc>
        <w:tc>
          <w:tcPr>
            <w:tcW w:w="0" w:type="auto"/>
            <w:shd w:val="clear" w:color="auto" w:fill="B8CCE4"/>
            <w:vAlign w:val="center"/>
          </w:tcPr>
          <w:p w14:paraId="1A7D7ACA" w14:textId="328E3C8D"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3 (0.6%)</w:t>
            </w:r>
          </w:p>
        </w:tc>
      </w:tr>
      <w:tr w:rsidR="00754979" w:rsidRPr="00EC57FB" w14:paraId="06F67CF9" w14:textId="77777777" w:rsidTr="0075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52BA4E5E" w14:textId="77777777" w:rsidR="001C7240" w:rsidRPr="00EC57FB" w:rsidRDefault="001C7240" w:rsidP="00754979">
            <w:pPr>
              <w:pStyle w:val="TableText0"/>
              <w:widowControl w:val="0"/>
              <w:rPr>
                <w:b w:val="0"/>
                <w:bCs/>
                <w:szCs w:val="20"/>
                <w:lang w:val="en-AU"/>
              </w:rPr>
            </w:pPr>
            <w:r w:rsidRPr="00EC57FB">
              <w:rPr>
                <w:b w:val="0"/>
                <w:bCs/>
                <w:szCs w:val="20"/>
                <w:lang w:val="en-AU"/>
              </w:rPr>
              <w:t>≥1 IP related skin hypersensitivity reaction</w:t>
            </w:r>
          </w:p>
        </w:tc>
        <w:tc>
          <w:tcPr>
            <w:tcW w:w="0" w:type="auto"/>
            <w:shd w:val="clear" w:color="auto" w:fill="B8CCE4"/>
            <w:vAlign w:val="center"/>
          </w:tcPr>
          <w:p w14:paraId="505D3AE6"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5 (0.5%)</w:t>
            </w:r>
          </w:p>
        </w:tc>
        <w:tc>
          <w:tcPr>
            <w:tcW w:w="0" w:type="auto"/>
            <w:shd w:val="clear" w:color="auto" w:fill="B8CCE4"/>
            <w:vAlign w:val="center"/>
          </w:tcPr>
          <w:p w14:paraId="23A95FB9" w14:textId="15B5C498"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3 (0.6%)</w:t>
            </w:r>
          </w:p>
        </w:tc>
      </w:tr>
      <w:tr w:rsidR="00C62008" w:rsidRPr="00EC57FB" w14:paraId="1662CB1E" w14:textId="77777777" w:rsidTr="00754979">
        <w:tc>
          <w:tcPr>
            <w:cnfStyle w:val="001000000000" w:firstRow="0" w:lastRow="0" w:firstColumn="1" w:lastColumn="0" w:oddVBand="0" w:evenVBand="0" w:oddHBand="0" w:evenHBand="0" w:firstRowFirstColumn="0" w:firstRowLastColumn="0" w:lastRowFirstColumn="0" w:lastRowLastColumn="0"/>
            <w:tcW w:w="0" w:type="auto"/>
            <w:shd w:val="clear" w:color="auto" w:fill="B8CCE4"/>
          </w:tcPr>
          <w:p w14:paraId="6A15E388" w14:textId="77777777" w:rsidR="001C7240" w:rsidRPr="00EC57FB" w:rsidRDefault="001C7240" w:rsidP="00754979">
            <w:pPr>
              <w:pStyle w:val="TableText0"/>
              <w:widowControl w:val="0"/>
              <w:rPr>
                <w:b w:val="0"/>
                <w:bCs/>
                <w:szCs w:val="20"/>
                <w:lang w:val="en-AU"/>
              </w:rPr>
            </w:pPr>
            <w:r w:rsidRPr="00EC57FB">
              <w:rPr>
                <w:b w:val="0"/>
                <w:bCs/>
                <w:szCs w:val="20"/>
                <w:lang w:val="en-AU"/>
              </w:rPr>
              <w:t>≥1 NOCD</w:t>
            </w:r>
          </w:p>
        </w:tc>
        <w:tc>
          <w:tcPr>
            <w:tcW w:w="0" w:type="auto"/>
            <w:shd w:val="clear" w:color="auto" w:fill="B8CCE4"/>
            <w:vAlign w:val="center"/>
          </w:tcPr>
          <w:p w14:paraId="64C6BAA3" w14:textId="77777777"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4 (0.4%)</w:t>
            </w:r>
          </w:p>
        </w:tc>
        <w:tc>
          <w:tcPr>
            <w:tcW w:w="0" w:type="auto"/>
            <w:shd w:val="clear" w:color="auto" w:fill="B8CCE4"/>
            <w:vAlign w:val="center"/>
          </w:tcPr>
          <w:p w14:paraId="36F2DE13" w14:textId="7943A6C0" w:rsidR="001C7240" w:rsidRPr="00EC57FB" w:rsidRDefault="001C7240" w:rsidP="00754979">
            <w:pPr>
              <w:pStyle w:val="TableText0"/>
              <w:widowControl w:val="0"/>
              <w:jc w:val="center"/>
              <w:cnfStyle w:val="000000000000" w:firstRow="0" w:lastRow="0" w:firstColumn="0" w:lastColumn="0" w:oddVBand="0" w:evenVBand="0" w:oddHBand="0" w:evenHBand="0" w:firstRowFirstColumn="0" w:firstRowLastColumn="0" w:lastRowFirstColumn="0" w:lastRowLastColumn="0"/>
              <w:rPr>
                <w:szCs w:val="20"/>
                <w:lang w:val="en-AU"/>
              </w:rPr>
            </w:pPr>
            <w:r w:rsidRPr="00EC57FB">
              <w:rPr>
                <w:szCs w:val="20"/>
                <w:lang w:val="en-AU"/>
              </w:rPr>
              <w:t>4 (0.8%)</w:t>
            </w:r>
          </w:p>
        </w:tc>
      </w:tr>
      <w:tr w:rsidR="00754979" w:rsidRPr="00EC57FB" w14:paraId="1303CA95" w14:textId="77777777" w:rsidTr="0075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hideMark/>
          </w:tcPr>
          <w:p w14:paraId="58A0058A" w14:textId="77777777" w:rsidR="001C7240" w:rsidRPr="00EC57FB" w:rsidRDefault="001C7240" w:rsidP="00754979">
            <w:pPr>
              <w:pStyle w:val="TableText0"/>
              <w:widowControl w:val="0"/>
              <w:rPr>
                <w:b w:val="0"/>
                <w:bCs/>
                <w:szCs w:val="20"/>
                <w:lang w:val="en-AU"/>
              </w:rPr>
            </w:pPr>
            <w:r w:rsidRPr="00EC57FB">
              <w:rPr>
                <w:b w:val="0"/>
                <w:bCs/>
                <w:szCs w:val="20"/>
                <w:lang w:val="en-AU"/>
              </w:rPr>
              <w:t>≥1 IP related NOCD</w:t>
            </w:r>
          </w:p>
        </w:tc>
        <w:tc>
          <w:tcPr>
            <w:tcW w:w="0" w:type="auto"/>
            <w:shd w:val="clear" w:color="auto" w:fill="B8CCE4"/>
            <w:vAlign w:val="center"/>
          </w:tcPr>
          <w:p w14:paraId="0E016676"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0</w:t>
            </w:r>
          </w:p>
        </w:tc>
        <w:tc>
          <w:tcPr>
            <w:tcW w:w="0" w:type="auto"/>
            <w:shd w:val="clear" w:color="auto" w:fill="B8CCE4"/>
            <w:vAlign w:val="center"/>
          </w:tcPr>
          <w:p w14:paraId="66C482D9" w14:textId="77777777" w:rsidR="001C7240" w:rsidRPr="00EC57FB" w:rsidRDefault="001C7240" w:rsidP="00754979">
            <w:pPr>
              <w:pStyle w:val="TableText0"/>
              <w:widowControl w:val="0"/>
              <w:jc w:val="center"/>
              <w:cnfStyle w:val="000000100000" w:firstRow="0" w:lastRow="0" w:firstColumn="0" w:lastColumn="0" w:oddVBand="0" w:evenVBand="0" w:oddHBand="1" w:evenHBand="0" w:firstRowFirstColumn="0" w:firstRowLastColumn="0" w:lastRowFirstColumn="0" w:lastRowLastColumn="0"/>
              <w:rPr>
                <w:szCs w:val="20"/>
                <w:lang w:val="en-AU"/>
              </w:rPr>
            </w:pPr>
            <w:r w:rsidRPr="00EC57FB">
              <w:rPr>
                <w:szCs w:val="20"/>
                <w:lang w:val="en-AU"/>
              </w:rPr>
              <w:t>0</w:t>
            </w:r>
          </w:p>
        </w:tc>
      </w:tr>
    </w:tbl>
    <w:p w14:paraId="7C99E4F5" w14:textId="6C7B577D" w:rsidR="001C7240" w:rsidRPr="00EC57FB" w:rsidRDefault="001C7240" w:rsidP="00754979">
      <w:pPr>
        <w:pStyle w:val="FooterTableFigure"/>
        <w:keepNext/>
        <w:keepLines/>
        <w:widowControl w:val="0"/>
      </w:pPr>
      <w:r w:rsidRPr="00EC57FB">
        <w:t>Source: Table 2.5.1</w:t>
      </w:r>
      <w:r w:rsidR="005A052C" w:rsidRPr="00EC57FB">
        <w:t>6</w:t>
      </w:r>
      <w:r w:rsidRPr="00EC57FB">
        <w:t>, p</w:t>
      </w:r>
      <w:r w:rsidR="005A052C" w:rsidRPr="00EC57FB">
        <w:t>94</w:t>
      </w:r>
      <w:r w:rsidRPr="00EC57FB">
        <w:t xml:space="preserve"> of the </w:t>
      </w:r>
      <w:r w:rsidR="005A052C" w:rsidRPr="00EC57FB">
        <w:t>re</w:t>
      </w:r>
      <w:r w:rsidRPr="00EC57FB">
        <w:t>submission.</w:t>
      </w:r>
    </w:p>
    <w:p w14:paraId="66AF231E" w14:textId="05E0AAA2" w:rsidR="007E73F5" w:rsidRPr="00EC57FB" w:rsidRDefault="007E73F5" w:rsidP="00754979">
      <w:pPr>
        <w:pStyle w:val="FooterTableFigure"/>
        <w:keepNext/>
        <w:keepLines/>
        <w:widowControl w:val="0"/>
      </w:pPr>
      <w:r w:rsidRPr="00EC57FB">
        <w:t>Blue shading is indicative of information previously considered by the PBAC.</w:t>
      </w:r>
    </w:p>
    <w:p w14:paraId="36F18F67" w14:textId="77777777" w:rsidR="001C7240" w:rsidRPr="00EC57FB" w:rsidRDefault="001C7240" w:rsidP="00754979">
      <w:pPr>
        <w:pStyle w:val="FooterTableFigure"/>
        <w:keepNext/>
        <w:keepLines/>
        <w:widowControl w:val="0"/>
      </w:pPr>
      <w:r w:rsidRPr="00EC57FB">
        <w:t xml:space="preserve">AE = adverse event; AESI = adverse event of special interest; IP = investigational product; NOCD = new onset chronic disease; SAE = serious adverse event. </w:t>
      </w:r>
    </w:p>
    <w:p w14:paraId="6C173AC2" w14:textId="77777777" w:rsidR="001C7240" w:rsidRPr="00EC57FB" w:rsidRDefault="001C7240" w:rsidP="00754979">
      <w:pPr>
        <w:pStyle w:val="FooterTableFigure"/>
        <w:keepNext/>
        <w:keepLines/>
        <w:widowControl w:val="0"/>
      </w:pPr>
      <w:r w:rsidRPr="00EC57FB">
        <w:t>Note: Events that occurred after 360 days post dose were excluded.</w:t>
      </w:r>
    </w:p>
    <w:p w14:paraId="5236043C" w14:textId="77777777" w:rsidR="001C7240" w:rsidRPr="00EC57FB" w:rsidRDefault="001C7240" w:rsidP="00754979">
      <w:pPr>
        <w:pStyle w:val="FooterTableFigure"/>
        <w:keepNext/>
        <w:keepLines/>
        <w:widowControl w:val="0"/>
      </w:pPr>
      <w:r w:rsidRPr="00EC57FB">
        <w:rPr>
          <w:vertAlign w:val="superscript"/>
        </w:rPr>
        <w:t>a</w:t>
      </w:r>
      <w:r w:rsidRPr="00EC57FB">
        <w:t xml:space="preserve"> Subjects were counted once for each category regardless of the number of events.</w:t>
      </w:r>
    </w:p>
    <w:p w14:paraId="7D4D5107" w14:textId="77777777" w:rsidR="001C7240" w:rsidRPr="00EC57FB" w:rsidRDefault="001C7240" w:rsidP="00754979">
      <w:pPr>
        <w:pStyle w:val="FooterTableFigure"/>
        <w:keepNext/>
        <w:keepLines/>
        <w:widowControl w:val="0"/>
      </w:pPr>
      <w:r w:rsidRPr="00EC57FB">
        <w:rPr>
          <w:vertAlign w:val="superscript"/>
        </w:rPr>
        <w:t>b</w:t>
      </w:r>
      <w:r w:rsidRPr="00EC57FB">
        <w:t xml:space="preserve"> Grade 3: severe, Grade 4: life-threatening, Grade 5: fatal.</w:t>
      </w:r>
    </w:p>
    <w:p w14:paraId="1A2A7494" w14:textId="77777777" w:rsidR="001C7240" w:rsidRPr="00EC57FB" w:rsidRDefault="001C7240" w:rsidP="00754979">
      <w:pPr>
        <w:pStyle w:val="FooterTableFigure"/>
        <w:keepNext/>
        <w:keepLines/>
        <w:widowControl w:val="0"/>
      </w:pPr>
      <w:r w:rsidRPr="00EC57FB">
        <w:rPr>
          <w:vertAlign w:val="superscript"/>
        </w:rPr>
        <w:t>c</w:t>
      </w:r>
      <w:r w:rsidRPr="00EC57FB">
        <w:t xml:space="preserve"> One additional death occurred in the placebo group after 360 days post dose.</w:t>
      </w:r>
    </w:p>
    <w:p w14:paraId="1C61DF03" w14:textId="1443A6B4" w:rsidR="00754979" w:rsidRPr="00EC57FB" w:rsidRDefault="001C7240" w:rsidP="00A152B2">
      <w:pPr>
        <w:pStyle w:val="FooterTableFigure"/>
        <w:keepLines/>
      </w:pPr>
      <w:r w:rsidRPr="00EC57FB">
        <w:rPr>
          <w:vertAlign w:val="superscript"/>
        </w:rPr>
        <w:t>d</w:t>
      </w:r>
      <w:r w:rsidRPr="00EC57FB">
        <w:t xml:space="preserve"> Serious adverse event criteria: death, life-threatening, required inpatient hospitali</w:t>
      </w:r>
      <w:r w:rsidR="008616E5" w:rsidRPr="00EC57FB">
        <w:t>s</w:t>
      </w:r>
      <w:r w:rsidRPr="00EC57FB">
        <w:t>ation, prolongation of existing hospitali</w:t>
      </w:r>
      <w:r w:rsidR="008616E5" w:rsidRPr="00EC57FB">
        <w:t>s</w:t>
      </w:r>
      <w:r w:rsidRPr="00EC57FB">
        <w:t>ation, persistent or significant disability/incapacity, important medical event, congenital anomaly/birth defect (in the offspring of the patient).</w:t>
      </w:r>
      <w:bookmarkStart w:id="113" w:name="_Ref188240748"/>
    </w:p>
    <w:p w14:paraId="60F3F7DB" w14:textId="2C8F7114" w:rsidR="00B52EA2" w:rsidRPr="00EC57FB" w:rsidRDefault="00873E9A" w:rsidP="00754979">
      <w:pPr>
        <w:pStyle w:val="Caption"/>
        <w:widowControl w:val="0"/>
      </w:pPr>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23</w:t>
      </w:r>
      <w:r w:rsidR="00C51E7C" w:rsidRPr="00EC57FB">
        <w:fldChar w:fldCharType="end"/>
      </w:r>
      <w:bookmarkEnd w:id="113"/>
      <w:r w:rsidR="001C7240" w:rsidRPr="00EC57FB">
        <w:t xml:space="preserve">: </w:t>
      </w:r>
      <w:r w:rsidR="00B52EA2" w:rsidRPr="00EC57FB">
        <w:rPr>
          <w:rFonts w:cstheme="minorHAnsi"/>
        </w:rPr>
        <w:t xml:space="preserve">Summary of AEs </w:t>
      </w:r>
      <w:r w:rsidR="007B0579" w:rsidRPr="00EC57FB">
        <w:rPr>
          <w:rFonts w:cstheme="minorHAnsi"/>
        </w:rPr>
        <w:t xml:space="preserve">observed in the MEDLEY trial in the </w:t>
      </w:r>
      <w:r w:rsidR="00B52EA2" w:rsidRPr="00EC57FB">
        <w:rPr>
          <w:rFonts w:cstheme="minorHAnsi"/>
        </w:rPr>
        <w:t>360 days post</w:t>
      </w:r>
      <w:r w:rsidR="00572435" w:rsidRPr="00EC57FB">
        <w:rPr>
          <w:rFonts w:cstheme="minorHAnsi"/>
        </w:rPr>
        <w:t>-</w:t>
      </w:r>
      <w:r w:rsidR="00B52EA2" w:rsidRPr="00EC57FB">
        <w:rPr>
          <w:rFonts w:cstheme="minorHAnsi"/>
        </w:rPr>
        <w:t>dose in Season 1</w:t>
      </w:r>
    </w:p>
    <w:tbl>
      <w:tblPr>
        <w:tblStyle w:val="LightList-Accent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1260"/>
        <w:gridCol w:w="1260"/>
        <w:gridCol w:w="1260"/>
        <w:gridCol w:w="1260"/>
      </w:tblGrid>
      <w:tr w:rsidR="00A92A57" w:rsidRPr="00EC57FB" w14:paraId="28B300B8" w14:textId="77777777" w:rsidTr="00DE5E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0A787A08" w14:textId="77777777" w:rsidR="00B52EA2" w:rsidRPr="00EC57FB" w:rsidRDefault="00B52EA2" w:rsidP="00754979">
            <w:pPr>
              <w:pStyle w:val="Tableheading0"/>
              <w:widowControl w:val="0"/>
              <w:rPr>
                <w:rFonts w:ascii="Arial Narrow" w:hAnsi="Arial Narrow" w:cstheme="minorHAnsi"/>
                <w:b/>
                <w:bCs/>
                <w:color w:val="auto"/>
                <w:lang w:val="en-AU"/>
              </w:rPr>
            </w:pPr>
            <w:r w:rsidRPr="00EC57FB">
              <w:rPr>
                <w:rFonts w:ascii="Arial Narrow" w:hAnsi="Arial Narrow" w:cstheme="minorHAnsi"/>
                <w:b/>
                <w:bCs/>
                <w:color w:val="auto"/>
                <w:lang w:val="en-AU"/>
              </w:rPr>
              <w:t>Adverse events</w:t>
            </w:r>
          </w:p>
        </w:tc>
        <w:tc>
          <w:tcPr>
            <w:tcW w:w="2520" w:type="dxa"/>
            <w:gridSpan w:val="2"/>
            <w:vAlign w:val="center"/>
          </w:tcPr>
          <w:p w14:paraId="4AEE46D8" w14:textId="77777777" w:rsidR="00B52EA2" w:rsidRPr="00EC57FB" w:rsidRDefault="00B52EA2" w:rsidP="00754979">
            <w:pPr>
              <w:pStyle w:val="Tableheading0"/>
              <w:widowControl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bCs/>
                <w:color w:val="auto"/>
                <w:lang w:val="en-AU"/>
              </w:rPr>
            </w:pPr>
            <w:r w:rsidRPr="00EC57FB">
              <w:rPr>
                <w:rFonts w:ascii="Arial Narrow" w:hAnsi="Arial Narrow" w:cstheme="minorHAnsi"/>
                <w:b/>
                <w:bCs/>
                <w:color w:val="auto"/>
                <w:lang w:val="en-AU"/>
              </w:rPr>
              <w:t>Preterm (N=612)</w:t>
            </w:r>
          </w:p>
        </w:tc>
        <w:tc>
          <w:tcPr>
            <w:tcW w:w="2520" w:type="dxa"/>
            <w:gridSpan w:val="2"/>
            <w:vAlign w:val="center"/>
          </w:tcPr>
          <w:p w14:paraId="3220A051" w14:textId="77777777" w:rsidR="00B52EA2" w:rsidRPr="00EC57FB" w:rsidRDefault="00B52EA2" w:rsidP="00754979">
            <w:pPr>
              <w:pStyle w:val="Tableheading0"/>
              <w:widowControl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bCs/>
                <w:color w:val="auto"/>
                <w:lang w:val="en-AU"/>
              </w:rPr>
            </w:pPr>
            <w:r w:rsidRPr="00EC57FB">
              <w:rPr>
                <w:rFonts w:ascii="Arial Narrow" w:hAnsi="Arial Narrow" w:cstheme="minorHAnsi"/>
                <w:b/>
                <w:bCs/>
                <w:color w:val="auto"/>
                <w:lang w:val="en-AU"/>
              </w:rPr>
              <w:t>CHD/CLD (N=306)</w:t>
            </w:r>
          </w:p>
        </w:tc>
      </w:tr>
      <w:tr w:rsidR="002878B2" w:rsidRPr="00EC57FB" w14:paraId="638FE8C7"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tcPr>
          <w:p w14:paraId="762F5CA5" w14:textId="77777777" w:rsidR="00B52EA2" w:rsidRPr="00EC57FB" w:rsidRDefault="00B52EA2" w:rsidP="00754979">
            <w:pPr>
              <w:pStyle w:val="Tableheading0"/>
              <w:widowControl w:val="0"/>
              <w:rPr>
                <w:rFonts w:ascii="Arial Narrow" w:hAnsi="Arial Narrow" w:cstheme="minorHAnsi"/>
                <w:lang w:val="en-AU"/>
              </w:rPr>
            </w:pPr>
          </w:p>
        </w:tc>
        <w:tc>
          <w:tcPr>
            <w:tcW w:w="1260" w:type="dxa"/>
            <w:vAlign w:val="center"/>
          </w:tcPr>
          <w:p w14:paraId="120222ED" w14:textId="01C0E457" w:rsidR="00B52EA2" w:rsidRPr="00EC57FB" w:rsidRDefault="00B52EA2" w:rsidP="00754979">
            <w:pPr>
              <w:pStyle w:val="Tableheading0"/>
              <w:widowControl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lang w:val="en-AU"/>
              </w:rPr>
            </w:pPr>
            <w:r w:rsidRPr="00EC57FB">
              <w:rPr>
                <w:rFonts w:ascii="Arial Narrow" w:hAnsi="Arial Narrow" w:cstheme="minorHAnsi"/>
                <w:lang w:val="en-AU"/>
              </w:rPr>
              <w:t>Nirsevimab</w:t>
            </w:r>
            <w:r w:rsidRPr="00EC57FB">
              <w:rPr>
                <w:rFonts w:ascii="Arial Narrow" w:hAnsi="Arial Narrow" w:cstheme="minorHAnsi"/>
                <w:lang w:val="en-AU"/>
              </w:rPr>
              <w:br/>
              <w:t>(</w:t>
            </w:r>
            <w:r w:rsidR="00DE5E1B" w:rsidRPr="00EC57FB">
              <w:rPr>
                <w:rFonts w:ascii="Arial Narrow" w:hAnsi="Arial Narrow" w:cstheme="minorHAnsi"/>
                <w:lang w:val="en-AU"/>
              </w:rPr>
              <w:t>N</w:t>
            </w:r>
            <w:r w:rsidRPr="00EC57FB">
              <w:rPr>
                <w:rFonts w:ascii="Arial Narrow" w:hAnsi="Arial Narrow" w:cstheme="minorHAnsi"/>
                <w:lang w:val="en-AU"/>
              </w:rPr>
              <w:t>=406)</w:t>
            </w:r>
            <w:r w:rsidRPr="00EC57FB">
              <w:rPr>
                <w:rFonts w:ascii="Arial Narrow" w:hAnsi="Arial Narrow"/>
                <w:lang w:val="en-AU"/>
              </w:rPr>
              <w:t xml:space="preserve"> </w:t>
            </w:r>
            <w:r w:rsidRPr="00EC57FB">
              <w:rPr>
                <w:rFonts w:ascii="Arial Narrow" w:hAnsi="Arial Narrow" w:cstheme="minorHAnsi"/>
                <w:lang w:val="en-AU"/>
              </w:rPr>
              <w:t>n (%)</w:t>
            </w:r>
          </w:p>
        </w:tc>
        <w:tc>
          <w:tcPr>
            <w:tcW w:w="1260" w:type="dxa"/>
            <w:vAlign w:val="center"/>
          </w:tcPr>
          <w:p w14:paraId="770290AC" w14:textId="703A47C2" w:rsidR="00B52EA2" w:rsidRPr="00EC57FB" w:rsidRDefault="00B52EA2" w:rsidP="00754979">
            <w:pPr>
              <w:pStyle w:val="Tableheading0"/>
              <w:widowControl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lang w:val="en-AU"/>
              </w:rPr>
            </w:pPr>
            <w:r w:rsidRPr="00EC57FB">
              <w:rPr>
                <w:rFonts w:ascii="Arial Narrow" w:hAnsi="Arial Narrow" w:cstheme="minorHAnsi"/>
                <w:lang w:val="en-AU"/>
              </w:rPr>
              <w:t>Palivizumab</w:t>
            </w:r>
            <w:r w:rsidRPr="00EC57FB">
              <w:rPr>
                <w:rFonts w:ascii="Arial Narrow" w:hAnsi="Arial Narrow" w:cstheme="minorHAnsi"/>
                <w:lang w:val="en-AU"/>
              </w:rPr>
              <w:br/>
              <w:t>(</w:t>
            </w:r>
            <w:r w:rsidR="00DE5E1B" w:rsidRPr="00EC57FB">
              <w:rPr>
                <w:rFonts w:ascii="Arial Narrow" w:hAnsi="Arial Narrow" w:cstheme="minorHAnsi"/>
                <w:lang w:val="en-AU"/>
              </w:rPr>
              <w:t>N</w:t>
            </w:r>
            <w:r w:rsidRPr="00EC57FB">
              <w:rPr>
                <w:rFonts w:ascii="Arial Narrow" w:hAnsi="Arial Narrow" w:cstheme="minorHAnsi"/>
                <w:lang w:val="en-AU"/>
              </w:rPr>
              <w:t>=206)</w:t>
            </w:r>
            <w:r w:rsidRPr="00EC57FB">
              <w:rPr>
                <w:rFonts w:ascii="Arial Narrow" w:hAnsi="Arial Narrow"/>
                <w:lang w:val="en-AU"/>
              </w:rPr>
              <w:t xml:space="preserve"> </w:t>
            </w:r>
            <w:r w:rsidRPr="00EC57FB">
              <w:rPr>
                <w:rFonts w:ascii="Arial Narrow" w:hAnsi="Arial Narrow" w:cstheme="minorHAnsi"/>
                <w:lang w:val="en-AU"/>
              </w:rPr>
              <w:t>n (%)</w:t>
            </w:r>
          </w:p>
        </w:tc>
        <w:tc>
          <w:tcPr>
            <w:tcW w:w="1260" w:type="dxa"/>
            <w:vAlign w:val="center"/>
          </w:tcPr>
          <w:p w14:paraId="387507A0" w14:textId="5DEFF511" w:rsidR="00B52EA2" w:rsidRPr="00EC57FB" w:rsidRDefault="00B52EA2" w:rsidP="00754979">
            <w:pPr>
              <w:pStyle w:val="Tableheading0"/>
              <w:widowControl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lang w:val="en-AU"/>
              </w:rPr>
            </w:pPr>
            <w:r w:rsidRPr="00EC57FB">
              <w:rPr>
                <w:rFonts w:ascii="Arial Narrow" w:hAnsi="Arial Narrow" w:cstheme="minorHAnsi"/>
                <w:lang w:val="en-AU"/>
              </w:rPr>
              <w:t>Nirsevimab</w:t>
            </w:r>
            <w:r w:rsidRPr="00EC57FB">
              <w:rPr>
                <w:rFonts w:ascii="Arial Narrow" w:hAnsi="Arial Narrow" w:cstheme="minorHAnsi"/>
                <w:lang w:val="en-AU"/>
              </w:rPr>
              <w:br/>
              <w:t>(</w:t>
            </w:r>
            <w:r w:rsidR="000971F7" w:rsidRPr="00EC57FB">
              <w:rPr>
                <w:rFonts w:ascii="Arial Narrow" w:hAnsi="Arial Narrow" w:cstheme="minorHAnsi"/>
                <w:lang w:val="en-AU"/>
              </w:rPr>
              <w:t>N</w:t>
            </w:r>
            <w:r w:rsidRPr="00EC57FB">
              <w:rPr>
                <w:rFonts w:ascii="Arial Narrow" w:hAnsi="Arial Narrow" w:cstheme="minorHAnsi"/>
                <w:lang w:val="en-AU"/>
              </w:rPr>
              <w:t>=208)</w:t>
            </w:r>
            <w:r w:rsidRPr="00EC57FB">
              <w:rPr>
                <w:rFonts w:ascii="Arial Narrow" w:hAnsi="Arial Narrow"/>
                <w:lang w:val="en-AU"/>
              </w:rPr>
              <w:t xml:space="preserve"> </w:t>
            </w:r>
            <w:r w:rsidRPr="00EC57FB">
              <w:rPr>
                <w:rFonts w:ascii="Arial Narrow" w:hAnsi="Arial Narrow" w:cstheme="minorHAnsi"/>
                <w:lang w:val="en-AU"/>
              </w:rPr>
              <w:t>n (%)</w:t>
            </w:r>
          </w:p>
        </w:tc>
        <w:tc>
          <w:tcPr>
            <w:tcW w:w="1260" w:type="dxa"/>
            <w:tcBorders>
              <w:right w:val="single" w:sz="4" w:space="0" w:color="auto"/>
            </w:tcBorders>
            <w:vAlign w:val="center"/>
          </w:tcPr>
          <w:p w14:paraId="7CB269C0" w14:textId="5ECD7C76" w:rsidR="00B52EA2" w:rsidRPr="00EC57FB" w:rsidRDefault="00B52EA2" w:rsidP="00754979">
            <w:pPr>
              <w:pStyle w:val="Tableheading0"/>
              <w:widowControl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lang w:val="en-AU"/>
              </w:rPr>
            </w:pPr>
            <w:r w:rsidRPr="00EC57FB">
              <w:rPr>
                <w:rFonts w:ascii="Arial Narrow" w:hAnsi="Arial Narrow" w:cstheme="minorHAnsi"/>
                <w:lang w:val="en-AU"/>
              </w:rPr>
              <w:t>Palivizumab</w:t>
            </w:r>
            <w:r w:rsidRPr="00EC57FB">
              <w:rPr>
                <w:rFonts w:ascii="Arial Narrow" w:hAnsi="Arial Narrow" w:cstheme="minorHAnsi"/>
                <w:lang w:val="en-AU"/>
              </w:rPr>
              <w:br/>
              <w:t>(</w:t>
            </w:r>
            <w:r w:rsidR="000971F7" w:rsidRPr="00EC57FB">
              <w:rPr>
                <w:rFonts w:ascii="Arial Narrow" w:hAnsi="Arial Narrow" w:cstheme="minorHAnsi"/>
                <w:lang w:val="en-AU"/>
              </w:rPr>
              <w:t>N</w:t>
            </w:r>
            <w:r w:rsidRPr="00EC57FB">
              <w:rPr>
                <w:rFonts w:ascii="Arial Narrow" w:hAnsi="Arial Narrow" w:cstheme="minorHAnsi"/>
                <w:lang w:val="en-AU"/>
              </w:rPr>
              <w:t>=98)</w:t>
            </w:r>
            <w:r w:rsidRPr="00EC57FB">
              <w:rPr>
                <w:rFonts w:ascii="Arial Narrow" w:hAnsi="Arial Narrow"/>
                <w:lang w:val="en-AU"/>
              </w:rPr>
              <w:t xml:space="preserve"> </w:t>
            </w:r>
            <w:r w:rsidRPr="00EC57FB">
              <w:rPr>
                <w:rFonts w:ascii="Arial Narrow" w:hAnsi="Arial Narrow" w:cstheme="minorHAnsi"/>
                <w:lang w:val="en-AU"/>
              </w:rPr>
              <w:t>n (%)</w:t>
            </w:r>
          </w:p>
        </w:tc>
      </w:tr>
      <w:tr w:rsidR="002878B2" w:rsidRPr="00EC57FB" w14:paraId="73FDFB68" w14:textId="77777777" w:rsidTr="00DE5E1B">
        <w:tc>
          <w:tcPr>
            <w:cnfStyle w:val="001000000000" w:firstRow="0" w:lastRow="0" w:firstColumn="1" w:lastColumn="0" w:oddVBand="0" w:evenVBand="0" w:oddHBand="0" w:evenHBand="0" w:firstRowFirstColumn="0" w:firstRowLastColumn="0" w:lastRowFirstColumn="0" w:lastRowLastColumn="0"/>
            <w:tcW w:w="0" w:type="auto"/>
          </w:tcPr>
          <w:p w14:paraId="22E20837" w14:textId="77777777" w:rsidR="00B52EA2" w:rsidRPr="00EC57FB" w:rsidRDefault="00B52EA2" w:rsidP="00754979">
            <w:pPr>
              <w:keepNext/>
              <w:keepLines/>
              <w:widowControl w:val="0"/>
              <w:shd w:val="clear" w:color="auto" w:fill="B8CCE4"/>
              <w:rPr>
                <w:rFonts w:ascii="Arial Narrow" w:hAnsi="Arial Narrow" w:cstheme="minorHAnsi"/>
                <w:b w:val="0"/>
                <w:bCs w:val="0"/>
                <w:sz w:val="20"/>
                <w:szCs w:val="20"/>
                <w:lang w:val="en-AU"/>
              </w:rPr>
            </w:pPr>
            <w:r w:rsidRPr="00EC57FB">
              <w:rPr>
                <w:rFonts w:ascii="Arial Narrow" w:hAnsi="Arial Narrow" w:cstheme="minorHAnsi"/>
                <w:b w:val="0"/>
                <w:bCs w:val="0"/>
                <w:sz w:val="20"/>
                <w:szCs w:val="20"/>
                <w:lang w:val="en-AU"/>
              </w:rPr>
              <w:t>≥1 AE</w:t>
            </w:r>
          </w:p>
        </w:tc>
        <w:tc>
          <w:tcPr>
            <w:tcW w:w="1260" w:type="dxa"/>
            <w:vAlign w:val="center"/>
          </w:tcPr>
          <w:p w14:paraId="5461EB5D"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268 (66.0)</w:t>
            </w:r>
          </w:p>
        </w:tc>
        <w:tc>
          <w:tcPr>
            <w:tcW w:w="1260" w:type="dxa"/>
            <w:vAlign w:val="center"/>
          </w:tcPr>
          <w:p w14:paraId="4B8F3044"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134 (65.0)</w:t>
            </w:r>
          </w:p>
        </w:tc>
        <w:tc>
          <w:tcPr>
            <w:tcW w:w="1260" w:type="dxa"/>
            <w:vAlign w:val="center"/>
          </w:tcPr>
          <w:p w14:paraId="4F3B869B"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148 (71.2)</w:t>
            </w:r>
          </w:p>
        </w:tc>
        <w:tc>
          <w:tcPr>
            <w:tcW w:w="1260" w:type="dxa"/>
            <w:vAlign w:val="center"/>
          </w:tcPr>
          <w:p w14:paraId="39A7C359"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72 (73.5)</w:t>
            </w:r>
          </w:p>
        </w:tc>
      </w:tr>
      <w:tr w:rsidR="002878B2" w:rsidRPr="00EC57FB" w14:paraId="3D84E1DD"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tcPr>
          <w:p w14:paraId="71A2A8F5" w14:textId="77777777" w:rsidR="00B52EA2" w:rsidRPr="00EC57FB" w:rsidRDefault="00B52EA2" w:rsidP="00754979">
            <w:pPr>
              <w:keepNext/>
              <w:keepLines/>
              <w:widowControl w:val="0"/>
              <w:shd w:val="clear" w:color="auto" w:fill="B8CCE4"/>
              <w:rPr>
                <w:rFonts w:ascii="Arial Narrow" w:hAnsi="Arial Narrow" w:cstheme="minorHAnsi"/>
                <w:b w:val="0"/>
                <w:bCs w:val="0"/>
                <w:sz w:val="20"/>
                <w:szCs w:val="20"/>
                <w:lang w:val="en-AU"/>
              </w:rPr>
            </w:pPr>
            <w:r w:rsidRPr="00EC57FB">
              <w:rPr>
                <w:rFonts w:ascii="Arial Narrow" w:hAnsi="Arial Narrow" w:cstheme="minorHAnsi"/>
                <w:b w:val="0"/>
                <w:bCs w:val="0"/>
                <w:sz w:val="20"/>
                <w:szCs w:val="20"/>
                <w:lang w:val="en-AU"/>
              </w:rPr>
              <w:t>≥1 TRAE</w:t>
            </w:r>
          </w:p>
        </w:tc>
        <w:tc>
          <w:tcPr>
            <w:tcW w:w="1260" w:type="dxa"/>
            <w:vAlign w:val="center"/>
          </w:tcPr>
          <w:p w14:paraId="0838B9AA"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6 (1.5)</w:t>
            </w:r>
          </w:p>
        </w:tc>
        <w:tc>
          <w:tcPr>
            <w:tcW w:w="1260" w:type="dxa"/>
            <w:vAlign w:val="center"/>
          </w:tcPr>
          <w:p w14:paraId="03376F93"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4 (1.9)</w:t>
            </w:r>
          </w:p>
        </w:tc>
        <w:tc>
          <w:tcPr>
            <w:tcW w:w="1260" w:type="dxa"/>
            <w:vAlign w:val="center"/>
          </w:tcPr>
          <w:p w14:paraId="00C01274"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4 (1.9)</w:t>
            </w:r>
          </w:p>
        </w:tc>
        <w:tc>
          <w:tcPr>
            <w:tcW w:w="1260" w:type="dxa"/>
            <w:tcBorders>
              <w:right w:val="single" w:sz="4" w:space="0" w:color="auto"/>
            </w:tcBorders>
            <w:vAlign w:val="center"/>
          </w:tcPr>
          <w:p w14:paraId="63909A86"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2 (2.0)</w:t>
            </w:r>
          </w:p>
        </w:tc>
      </w:tr>
      <w:tr w:rsidR="002878B2" w:rsidRPr="00EC57FB" w14:paraId="026AD285" w14:textId="77777777" w:rsidTr="00DE5E1B">
        <w:tc>
          <w:tcPr>
            <w:cnfStyle w:val="001000000000" w:firstRow="0" w:lastRow="0" w:firstColumn="1" w:lastColumn="0" w:oddVBand="0" w:evenVBand="0" w:oddHBand="0" w:evenHBand="0" w:firstRowFirstColumn="0" w:firstRowLastColumn="0" w:lastRowFirstColumn="0" w:lastRowLastColumn="0"/>
            <w:tcW w:w="0" w:type="auto"/>
          </w:tcPr>
          <w:p w14:paraId="2DD9A431" w14:textId="77777777" w:rsidR="00B52EA2" w:rsidRPr="00EC57FB" w:rsidRDefault="00B52EA2" w:rsidP="00754979">
            <w:pPr>
              <w:keepNext/>
              <w:keepLines/>
              <w:widowControl w:val="0"/>
              <w:shd w:val="clear" w:color="auto" w:fill="B8CCE4"/>
              <w:rPr>
                <w:rFonts w:ascii="Arial Narrow" w:hAnsi="Arial Narrow" w:cstheme="minorHAnsi"/>
                <w:b w:val="0"/>
                <w:bCs w:val="0"/>
                <w:sz w:val="20"/>
                <w:szCs w:val="20"/>
                <w:vertAlign w:val="superscript"/>
                <w:lang w:val="en-AU"/>
              </w:rPr>
            </w:pPr>
            <w:r w:rsidRPr="00EC57FB">
              <w:rPr>
                <w:rFonts w:ascii="Arial Narrow" w:hAnsi="Arial Narrow" w:cstheme="minorHAnsi"/>
                <w:b w:val="0"/>
                <w:bCs w:val="0"/>
                <w:sz w:val="20"/>
                <w:szCs w:val="20"/>
                <w:lang w:val="en-AU"/>
              </w:rPr>
              <w:t>≥1 AE of Grade ≥3 severity</w:t>
            </w:r>
            <w:r w:rsidRPr="00EC57FB">
              <w:rPr>
                <w:rFonts w:ascii="Arial Narrow" w:hAnsi="Arial Narrow" w:cstheme="minorHAnsi"/>
                <w:b w:val="0"/>
                <w:bCs w:val="0"/>
                <w:sz w:val="20"/>
                <w:szCs w:val="20"/>
                <w:vertAlign w:val="superscript"/>
                <w:lang w:val="en-AU"/>
              </w:rPr>
              <w:t>a</w:t>
            </w:r>
          </w:p>
        </w:tc>
        <w:tc>
          <w:tcPr>
            <w:tcW w:w="1260" w:type="dxa"/>
            <w:vAlign w:val="center"/>
          </w:tcPr>
          <w:p w14:paraId="117CBB87"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14 (3.4)</w:t>
            </w:r>
          </w:p>
        </w:tc>
        <w:tc>
          <w:tcPr>
            <w:tcW w:w="1260" w:type="dxa"/>
            <w:vAlign w:val="center"/>
          </w:tcPr>
          <w:p w14:paraId="7932E7B5"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7 (3.4)</w:t>
            </w:r>
          </w:p>
        </w:tc>
        <w:tc>
          <w:tcPr>
            <w:tcW w:w="1260" w:type="dxa"/>
            <w:vAlign w:val="center"/>
          </w:tcPr>
          <w:p w14:paraId="30EFF767"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30 (14.4)</w:t>
            </w:r>
          </w:p>
        </w:tc>
        <w:tc>
          <w:tcPr>
            <w:tcW w:w="1260" w:type="dxa"/>
            <w:vAlign w:val="center"/>
          </w:tcPr>
          <w:p w14:paraId="00F2EC95"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13 (13.3)</w:t>
            </w:r>
          </w:p>
        </w:tc>
      </w:tr>
      <w:tr w:rsidR="002878B2" w:rsidRPr="00EC57FB" w14:paraId="3E698E1D"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tcPr>
          <w:p w14:paraId="571AE93F" w14:textId="77777777" w:rsidR="00B52EA2" w:rsidRPr="00EC57FB" w:rsidRDefault="00B52EA2" w:rsidP="00754979">
            <w:pPr>
              <w:keepNext/>
              <w:keepLines/>
              <w:widowControl w:val="0"/>
              <w:shd w:val="clear" w:color="auto" w:fill="B8CCE4"/>
              <w:rPr>
                <w:rFonts w:ascii="Arial Narrow" w:hAnsi="Arial Narrow" w:cstheme="minorHAnsi"/>
                <w:b w:val="0"/>
                <w:bCs w:val="0"/>
                <w:sz w:val="20"/>
                <w:szCs w:val="20"/>
                <w:lang w:val="en-AU"/>
              </w:rPr>
            </w:pPr>
            <w:r w:rsidRPr="00EC57FB">
              <w:rPr>
                <w:rFonts w:ascii="Arial Narrow" w:hAnsi="Arial Narrow" w:cstheme="minorHAnsi"/>
                <w:b w:val="0"/>
                <w:bCs w:val="0"/>
                <w:sz w:val="20"/>
                <w:szCs w:val="20"/>
                <w:lang w:val="en-AU"/>
              </w:rPr>
              <w:t>≥1 TRAE of Grade ≥3 severity</w:t>
            </w:r>
            <w:r w:rsidRPr="00EC57FB">
              <w:rPr>
                <w:rFonts w:ascii="Arial Narrow" w:hAnsi="Arial Narrow" w:cstheme="minorHAnsi"/>
                <w:b w:val="0"/>
                <w:bCs w:val="0"/>
                <w:sz w:val="20"/>
                <w:szCs w:val="20"/>
                <w:vertAlign w:val="superscript"/>
                <w:lang w:val="en-AU"/>
              </w:rPr>
              <w:t>a</w:t>
            </w:r>
          </w:p>
        </w:tc>
        <w:tc>
          <w:tcPr>
            <w:tcW w:w="1260" w:type="dxa"/>
            <w:vAlign w:val="center"/>
          </w:tcPr>
          <w:p w14:paraId="3E72EC51"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0</w:t>
            </w:r>
          </w:p>
        </w:tc>
        <w:tc>
          <w:tcPr>
            <w:tcW w:w="1260" w:type="dxa"/>
            <w:vAlign w:val="center"/>
          </w:tcPr>
          <w:p w14:paraId="59E0A329"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0</w:t>
            </w:r>
          </w:p>
        </w:tc>
        <w:tc>
          <w:tcPr>
            <w:tcW w:w="1260" w:type="dxa"/>
            <w:vAlign w:val="center"/>
          </w:tcPr>
          <w:p w14:paraId="19E03D87"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0</w:t>
            </w:r>
          </w:p>
        </w:tc>
        <w:tc>
          <w:tcPr>
            <w:tcW w:w="1260" w:type="dxa"/>
            <w:tcBorders>
              <w:right w:val="single" w:sz="4" w:space="0" w:color="auto"/>
            </w:tcBorders>
            <w:vAlign w:val="center"/>
          </w:tcPr>
          <w:p w14:paraId="4AA53185"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0</w:t>
            </w:r>
          </w:p>
        </w:tc>
      </w:tr>
      <w:tr w:rsidR="002878B2" w:rsidRPr="00EC57FB" w14:paraId="3CC8DAD6" w14:textId="77777777" w:rsidTr="00DE5E1B">
        <w:tc>
          <w:tcPr>
            <w:cnfStyle w:val="001000000000" w:firstRow="0" w:lastRow="0" w:firstColumn="1" w:lastColumn="0" w:oddVBand="0" w:evenVBand="0" w:oddHBand="0" w:evenHBand="0" w:firstRowFirstColumn="0" w:firstRowLastColumn="0" w:lastRowFirstColumn="0" w:lastRowLastColumn="0"/>
            <w:tcW w:w="0" w:type="auto"/>
          </w:tcPr>
          <w:p w14:paraId="727DBD5B" w14:textId="77777777" w:rsidR="00B52EA2" w:rsidRPr="00EC57FB" w:rsidRDefault="00B52EA2" w:rsidP="00754979">
            <w:pPr>
              <w:keepNext/>
              <w:keepLines/>
              <w:widowControl w:val="0"/>
              <w:shd w:val="clear" w:color="auto" w:fill="B8CCE4"/>
              <w:rPr>
                <w:rFonts w:ascii="Arial Narrow" w:hAnsi="Arial Narrow" w:cstheme="minorHAnsi"/>
                <w:b w:val="0"/>
                <w:bCs w:val="0"/>
                <w:sz w:val="20"/>
                <w:szCs w:val="20"/>
                <w:lang w:val="en-AU"/>
              </w:rPr>
            </w:pPr>
            <w:r w:rsidRPr="00EC57FB">
              <w:rPr>
                <w:rFonts w:ascii="Arial Narrow" w:hAnsi="Arial Narrow" w:cstheme="minorHAnsi"/>
                <w:b w:val="0"/>
                <w:bCs w:val="0"/>
                <w:sz w:val="20"/>
                <w:szCs w:val="20"/>
                <w:lang w:val="en-AU"/>
              </w:rPr>
              <w:t>Any AE with outcome of death (Grade 5 severity)</w:t>
            </w:r>
            <w:r w:rsidRPr="00EC57FB">
              <w:rPr>
                <w:rFonts w:ascii="Arial Narrow" w:hAnsi="Arial Narrow" w:cstheme="minorHAnsi"/>
                <w:b w:val="0"/>
                <w:bCs w:val="0"/>
                <w:sz w:val="20"/>
                <w:szCs w:val="20"/>
                <w:vertAlign w:val="superscript"/>
                <w:lang w:val="en-AU"/>
              </w:rPr>
              <w:t xml:space="preserve"> a</w:t>
            </w:r>
          </w:p>
        </w:tc>
        <w:tc>
          <w:tcPr>
            <w:tcW w:w="1260" w:type="dxa"/>
            <w:vAlign w:val="center"/>
          </w:tcPr>
          <w:p w14:paraId="5CD64F8E"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2 (0.5)</w:t>
            </w:r>
          </w:p>
        </w:tc>
        <w:tc>
          <w:tcPr>
            <w:tcW w:w="1260" w:type="dxa"/>
            <w:vAlign w:val="center"/>
          </w:tcPr>
          <w:p w14:paraId="24B6F266"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0</w:t>
            </w:r>
          </w:p>
        </w:tc>
        <w:tc>
          <w:tcPr>
            <w:tcW w:w="1260" w:type="dxa"/>
            <w:vAlign w:val="center"/>
          </w:tcPr>
          <w:p w14:paraId="197DF78B"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3 (1.4)</w:t>
            </w:r>
          </w:p>
        </w:tc>
        <w:tc>
          <w:tcPr>
            <w:tcW w:w="1260" w:type="dxa"/>
            <w:vAlign w:val="center"/>
          </w:tcPr>
          <w:p w14:paraId="108E43B9" w14:textId="38D6CA5B"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1 (1.0)</w:t>
            </w:r>
          </w:p>
        </w:tc>
      </w:tr>
      <w:tr w:rsidR="002878B2" w:rsidRPr="00EC57FB" w14:paraId="50788D55"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tcPr>
          <w:p w14:paraId="00801A4A" w14:textId="77777777" w:rsidR="00B52EA2" w:rsidRPr="00EC57FB" w:rsidRDefault="00B52EA2" w:rsidP="00754979">
            <w:pPr>
              <w:keepNext/>
              <w:keepLines/>
              <w:widowControl w:val="0"/>
              <w:shd w:val="clear" w:color="auto" w:fill="B8CCE4"/>
              <w:rPr>
                <w:rFonts w:ascii="Arial Narrow" w:hAnsi="Arial Narrow" w:cstheme="minorHAnsi"/>
                <w:b w:val="0"/>
                <w:bCs w:val="0"/>
                <w:sz w:val="20"/>
                <w:szCs w:val="20"/>
                <w:vertAlign w:val="superscript"/>
                <w:lang w:val="en-AU"/>
              </w:rPr>
            </w:pPr>
            <w:r w:rsidRPr="00EC57FB">
              <w:rPr>
                <w:rFonts w:ascii="Arial Narrow" w:hAnsi="Arial Narrow" w:cstheme="minorHAnsi"/>
                <w:b w:val="0"/>
                <w:bCs w:val="0"/>
                <w:sz w:val="20"/>
                <w:szCs w:val="20"/>
                <w:lang w:val="en-AU"/>
              </w:rPr>
              <w:t>≥1 SAE</w:t>
            </w:r>
            <w:r w:rsidRPr="00EC57FB">
              <w:rPr>
                <w:rFonts w:ascii="Arial Narrow" w:hAnsi="Arial Narrow" w:cstheme="minorHAnsi"/>
                <w:b w:val="0"/>
                <w:bCs w:val="0"/>
                <w:sz w:val="20"/>
                <w:szCs w:val="20"/>
                <w:vertAlign w:val="superscript"/>
                <w:lang w:val="en-AU"/>
              </w:rPr>
              <w:t>b</w:t>
            </w:r>
          </w:p>
        </w:tc>
        <w:tc>
          <w:tcPr>
            <w:tcW w:w="1260" w:type="dxa"/>
            <w:vAlign w:val="center"/>
          </w:tcPr>
          <w:p w14:paraId="4D7D347E"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28 (6.9)</w:t>
            </w:r>
          </w:p>
        </w:tc>
        <w:tc>
          <w:tcPr>
            <w:tcW w:w="1260" w:type="dxa"/>
            <w:vAlign w:val="center"/>
          </w:tcPr>
          <w:p w14:paraId="575394AC"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11 (5.3)</w:t>
            </w:r>
          </w:p>
        </w:tc>
        <w:tc>
          <w:tcPr>
            <w:tcW w:w="1260" w:type="dxa"/>
            <w:vAlign w:val="center"/>
          </w:tcPr>
          <w:p w14:paraId="3C7B7A0E"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40 (19.2)</w:t>
            </w:r>
          </w:p>
        </w:tc>
        <w:tc>
          <w:tcPr>
            <w:tcW w:w="1260" w:type="dxa"/>
            <w:tcBorders>
              <w:right w:val="single" w:sz="4" w:space="0" w:color="auto"/>
            </w:tcBorders>
            <w:vAlign w:val="center"/>
          </w:tcPr>
          <w:p w14:paraId="68063051"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20 (20.4)</w:t>
            </w:r>
          </w:p>
        </w:tc>
      </w:tr>
      <w:tr w:rsidR="002878B2" w:rsidRPr="00EC57FB" w14:paraId="1B6235FF" w14:textId="77777777" w:rsidTr="00DE5E1B">
        <w:tc>
          <w:tcPr>
            <w:cnfStyle w:val="001000000000" w:firstRow="0" w:lastRow="0" w:firstColumn="1" w:lastColumn="0" w:oddVBand="0" w:evenVBand="0" w:oddHBand="0" w:evenHBand="0" w:firstRowFirstColumn="0" w:firstRowLastColumn="0" w:lastRowFirstColumn="0" w:lastRowLastColumn="0"/>
            <w:tcW w:w="0" w:type="auto"/>
          </w:tcPr>
          <w:p w14:paraId="3BD2E406" w14:textId="77777777" w:rsidR="00B52EA2" w:rsidRPr="00EC57FB" w:rsidRDefault="00B52EA2" w:rsidP="00754979">
            <w:pPr>
              <w:keepNext/>
              <w:keepLines/>
              <w:widowControl w:val="0"/>
              <w:shd w:val="clear" w:color="auto" w:fill="B8CCE4"/>
              <w:rPr>
                <w:rFonts w:ascii="Arial Narrow" w:hAnsi="Arial Narrow" w:cstheme="minorHAnsi"/>
                <w:b w:val="0"/>
                <w:bCs w:val="0"/>
                <w:sz w:val="20"/>
                <w:szCs w:val="20"/>
                <w:lang w:val="en-AU"/>
              </w:rPr>
            </w:pPr>
            <w:r w:rsidRPr="00EC57FB">
              <w:rPr>
                <w:rFonts w:ascii="Arial Narrow" w:hAnsi="Arial Narrow" w:cstheme="minorHAnsi"/>
                <w:b w:val="0"/>
                <w:bCs w:val="0"/>
                <w:sz w:val="20"/>
                <w:szCs w:val="20"/>
                <w:lang w:val="en-AU"/>
              </w:rPr>
              <w:t>≥1 SAE, Grade ≥3 adverse event, or both</w:t>
            </w:r>
            <w:r w:rsidRPr="00EC57FB">
              <w:rPr>
                <w:rFonts w:ascii="Arial Narrow" w:hAnsi="Arial Narrow" w:cstheme="minorHAnsi"/>
                <w:b w:val="0"/>
                <w:bCs w:val="0"/>
                <w:sz w:val="20"/>
                <w:szCs w:val="20"/>
                <w:vertAlign w:val="superscript"/>
                <w:lang w:val="en-AU"/>
              </w:rPr>
              <w:t>a</w:t>
            </w:r>
          </w:p>
        </w:tc>
        <w:tc>
          <w:tcPr>
            <w:tcW w:w="1260" w:type="dxa"/>
            <w:vAlign w:val="center"/>
          </w:tcPr>
          <w:p w14:paraId="24829478"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28 (6.9)</w:t>
            </w:r>
          </w:p>
        </w:tc>
        <w:tc>
          <w:tcPr>
            <w:tcW w:w="1260" w:type="dxa"/>
            <w:vAlign w:val="center"/>
          </w:tcPr>
          <w:p w14:paraId="408694B6"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11 (5.3)</w:t>
            </w:r>
          </w:p>
        </w:tc>
        <w:tc>
          <w:tcPr>
            <w:tcW w:w="1260" w:type="dxa"/>
            <w:vAlign w:val="center"/>
          </w:tcPr>
          <w:p w14:paraId="0603F126"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45 (21.6)</w:t>
            </w:r>
          </w:p>
        </w:tc>
        <w:tc>
          <w:tcPr>
            <w:tcW w:w="1260" w:type="dxa"/>
            <w:vAlign w:val="center"/>
          </w:tcPr>
          <w:p w14:paraId="6046E8EA"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21 (21.4)</w:t>
            </w:r>
          </w:p>
        </w:tc>
      </w:tr>
      <w:tr w:rsidR="002878B2" w:rsidRPr="00EC57FB" w14:paraId="29DED5ED"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tcPr>
          <w:p w14:paraId="21BE3B13" w14:textId="77777777" w:rsidR="00B52EA2" w:rsidRPr="00EC57FB" w:rsidRDefault="00B52EA2" w:rsidP="00754979">
            <w:pPr>
              <w:keepNext/>
              <w:keepLines/>
              <w:widowControl w:val="0"/>
              <w:shd w:val="clear" w:color="auto" w:fill="B8CCE4"/>
              <w:rPr>
                <w:rFonts w:ascii="Arial Narrow" w:hAnsi="Arial Narrow" w:cstheme="minorHAnsi"/>
                <w:b w:val="0"/>
                <w:bCs w:val="0"/>
                <w:sz w:val="20"/>
                <w:szCs w:val="20"/>
                <w:lang w:val="en-AU"/>
              </w:rPr>
            </w:pPr>
            <w:r w:rsidRPr="00EC57FB">
              <w:rPr>
                <w:rFonts w:ascii="Arial Narrow" w:hAnsi="Arial Narrow" w:cstheme="minorHAnsi"/>
                <w:b w:val="0"/>
                <w:bCs w:val="0"/>
                <w:sz w:val="20"/>
                <w:szCs w:val="20"/>
                <w:lang w:val="en-AU"/>
              </w:rPr>
              <w:t>≥1 treatment-related SAE</w:t>
            </w:r>
          </w:p>
        </w:tc>
        <w:tc>
          <w:tcPr>
            <w:tcW w:w="1260" w:type="dxa"/>
            <w:vAlign w:val="center"/>
          </w:tcPr>
          <w:p w14:paraId="19ED0DAA"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0</w:t>
            </w:r>
          </w:p>
        </w:tc>
        <w:tc>
          <w:tcPr>
            <w:tcW w:w="1260" w:type="dxa"/>
            <w:vAlign w:val="center"/>
          </w:tcPr>
          <w:p w14:paraId="3631EA5B"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0</w:t>
            </w:r>
          </w:p>
        </w:tc>
        <w:tc>
          <w:tcPr>
            <w:tcW w:w="1260" w:type="dxa"/>
            <w:vAlign w:val="center"/>
          </w:tcPr>
          <w:p w14:paraId="33F8765B"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0</w:t>
            </w:r>
          </w:p>
        </w:tc>
        <w:tc>
          <w:tcPr>
            <w:tcW w:w="1260" w:type="dxa"/>
            <w:tcBorders>
              <w:right w:val="single" w:sz="4" w:space="0" w:color="auto"/>
            </w:tcBorders>
            <w:vAlign w:val="center"/>
          </w:tcPr>
          <w:p w14:paraId="5DE15DF8"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0</w:t>
            </w:r>
          </w:p>
        </w:tc>
      </w:tr>
      <w:tr w:rsidR="002878B2" w:rsidRPr="00EC57FB" w14:paraId="66FC4E1E" w14:textId="77777777" w:rsidTr="00DE5E1B">
        <w:tc>
          <w:tcPr>
            <w:cnfStyle w:val="001000000000" w:firstRow="0" w:lastRow="0" w:firstColumn="1" w:lastColumn="0" w:oddVBand="0" w:evenVBand="0" w:oddHBand="0" w:evenHBand="0" w:firstRowFirstColumn="0" w:firstRowLastColumn="0" w:lastRowFirstColumn="0" w:lastRowLastColumn="0"/>
            <w:tcW w:w="0" w:type="auto"/>
          </w:tcPr>
          <w:p w14:paraId="64C1AEFA" w14:textId="77777777" w:rsidR="00B52EA2" w:rsidRPr="00EC57FB" w:rsidRDefault="00B52EA2" w:rsidP="00754979">
            <w:pPr>
              <w:keepNext/>
              <w:keepLines/>
              <w:widowControl w:val="0"/>
              <w:shd w:val="clear" w:color="auto" w:fill="B8CCE4"/>
              <w:rPr>
                <w:rFonts w:ascii="Arial Narrow" w:hAnsi="Arial Narrow" w:cstheme="minorHAnsi"/>
                <w:b w:val="0"/>
                <w:bCs w:val="0"/>
                <w:sz w:val="20"/>
                <w:szCs w:val="20"/>
                <w:vertAlign w:val="superscript"/>
                <w:lang w:val="en-AU"/>
              </w:rPr>
            </w:pPr>
            <w:r w:rsidRPr="00EC57FB">
              <w:rPr>
                <w:rFonts w:ascii="Arial Narrow" w:hAnsi="Arial Narrow" w:cstheme="minorHAnsi"/>
                <w:b w:val="0"/>
                <w:bCs w:val="0"/>
                <w:sz w:val="20"/>
                <w:szCs w:val="20"/>
                <w:lang w:val="en-AU"/>
              </w:rPr>
              <w:t>≥1 AESI</w:t>
            </w:r>
            <w:r w:rsidRPr="00EC57FB">
              <w:rPr>
                <w:rFonts w:ascii="Arial Narrow" w:hAnsi="Arial Narrow" w:cstheme="minorHAnsi"/>
                <w:b w:val="0"/>
                <w:bCs w:val="0"/>
                <w:sz w:val="20"/>
                <w:szCs w:val="20"/>
                <w:vertAlign w:val="superscript"/>
                <w:lang w:val="en-AU"/>
              </w:rPr>
              <w:t>c</w:t>
            </w:r>
          </w:p>
        </w:tc>
        <w:tc>
          <w:tcPr>
            <w:tcW w:w="1260" w:type="dxa"/>
            <w:vAlign w:val="center"/>
          </w:tcPr>
          <w:p w14:paraId="75628A67"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1 (0.2)</w:t>
            </w:r>
          </w:p>
        </w:tc>
        <w:tc>
          <w:tcPr>
            <w:tcW w:w="1260" w:type="dxa"/>
            <w:vAlign w:val="center"/>
          </w:tcPr>
          <w:p w14:paraId="60648C99"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0</w:t>
            </w:r>
          </w:p>
        </w:tc>
        <w:tc>
          <w:tcPr>
            <w:tcW w:w="1260" w:type="dxa"/>
            <w:vAlign w:val="center"/>
          </w:tcPr>
          <w:p w14:paraId="0C72BB1A"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1 (0.5)</w:t>
            </w:r>
          </w:p>
        </w:tc>
        <w:tc>
          <w:tcPr>
            <w:tcW w:w="1260" w:type="dxa"/>
            <w:vAlign w:val="center"/>
          </w:tcPr>
          <w:p w14:paraId="28808F0A" w14:textId="77777777" w:rsidR="00B52EA2" w:rsidRPr="00EC57FB" w:rsidRDefault="00B52EA2" w:rsidP="00754979">
            <w:pPr>
              <w:keepNext/>
              <w:keepLines/>
              <w:widowControl w:val="0"/>
              <w:shd w:val="clear" w:color="auto" w:fill="B8CCE4"/>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0</w:t>
            </w:r>
          </w:p>
        </w:tc>
      </w:tr>
      <w:tr w:rsidR="002878B2" w:rsidRPr="00EC57FB" w14:paraId="7690637A" w14:textId="77777777" w:rsidTr="009F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bottom w:val="single" w:sz="4" w:space="0" w:color="auto"/>
            </w:tcBorders>
          </w:tcPr>
          <w:p w14:paraId="784DCCC8" w14:textId="77777777" w:rsidR="00B52EA2" w:rsidRPr="00EC57FB" w:rsidRDefault="00B52EA2" w:rsidP="00754979">
            <w:pPr>
              <w:keepNext/>
              <w:keepLines/>
              <w:widowControl w:val="0"/>
              <w:shd w:val="clear" w:color="auto" w:fill="B8CCE4"/>
              <w:rPr>
                <w:rFonts w:ascii="Arial Narrow" w:hAnsi="Arial Narrow" w:cstheme="minorHAnsi"/>
                <w:b w:val="0"/>
                <w:bCs w:val="0"/>
                <w:sz w:val="20"/>
                <w:szCs w:val="20"/>
                <w:lang w:val="en-AU"/>
              </w:rPr>
            </w:pPr>
            <w:r w:rsidRPr="00EC57FB">
              <w:rPr>
                <w:rFonts w:ascii="Arial Narrow" w:hAnsi="Arial Narrow" w:cstheme="minorHAnsi"/>
                <w:b w:val="0"/>
                <w:bCs w:val="0"/>
                <w:sz w:val="20"/>
                <w:szCs w:val="20"/>
                <w:lang w:val="en-AU"/>
              </w:rPr>
              <w:t>≥1 COVID-19–related adverse event</w:t>
            </w:r>
          </w:p>
        </w:tc>
        <w:tc>
          <w:tcPr>
            <w:tcW w:w="1260" w:type="dxa"/>
            <w:tcBorders>
              <w:bottom w:val="single" w:sz="4" w:space="0" w:color="auto"/>
            </w:tcBorders>
            <w:vAlign w:val="center"/>
          </w:tcPr>
          <w:p w14:paraId="5BB60679"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8 (2.0)</w:t>
            </w:r>
          </w:p>
        </w:tc>
        <w:tc>
          <w:tcPr>
            <w:tcW w:w="1260" w:type="dxa"/>
            <w:tcBorders>
              <w:bottom w:val="single" w:sz="4" w:space="0" w:color="auto"/>
            </w:tcBorders>
            <w:vAlign w:val="center"/>
          </w:tcPr>
          <w:p w14:paraId="7123267F"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1 (0.5)</w:t>
            </w:r>
          </w:p>
        </w:tc>
        <w:tc>
          <w:tcPr>
            <w:tcW w:w="1260" w:type="dxa"/>
            <w:tcBorders>
              <w:bottom w:val="single" w:sz="4" w:space="0" w:color="auto"/>
            </w:tcBorders>
            <w:vAlign w:val="center"/>
          </w:tcPr>
          <w:p w14:paraId="6C88CE78"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2 (1.0)</w:t>
            </w:r>
          </w:p>
        </w:tc>
        <w:tc>
          <w:tcPr>
            <w:tcW w:w="1260" w:type="dxa"/>
            <w:tcBorders>
              <w:bottom w:val="single" w:sz="4" w:space="0" w:color="auto"/>
              <w:right w:val="single" w:sz="4" w:space="0" w:color="auto"/>
            </w:tcBorders>
            <w:vAlign w:val="center"/>
          </w:tcPr>
          <w:p w14:paraId="5765C701" w14:textId="77777777" w:rsidR="00B52EA2" w:rsidRPr="00EC57FB" w:rsidRDefault="00B52EA2" w:rsidP="00754979">
            <w:pPr>
              <w:keepNext/>
              <w:keepLines/>
              <w:widowControl w:val="0"/>
              <w:shd w:val="clear" w:color="auto" w:fill="B8CCE4"/>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EC57FB">
              <w:rPr>
                <w:rFonts w:ascii="Arial Narrow" w:hAnsi="Arial Narrow" w:cstheme="minorHAnsi"/>
                <w:sz w:val="20"/>
                <w:szCs w:val="20"/>
                <w:lang w:val="en-AU"/>
              </w:rPr>
              <w:t>1 (1.0)</w:t>
            </w:r>
          </w:p>
        </w:tc>
      </w:tr>
    </w:tbl>
    <w:p w14:paraId="1C4531AA" w14:textId="45A91535" w:rsidR="00B52EA2" w:rsidRPr="00EC57FB" w:rsidRDefault="00B52EA2" w:rsidP="00754979">
      <w:pPr>
        <w:pStyle w:val="FooterTableFigure"/>
        <w:keepNext/>
        <w:keepLines/>
        <w:widowControl w:val="0"/>
      </w:pPr>
      <w:r w:rsidRPr="00EC57FB">
        <w:t>Source: Table 2.5.</w:t>
      </w:r>
      <w:r w:rsidR="00A82E84" w:rsidRPr="00EC57FB">
        <w:t>17</w:t>
      </w:r>
      <w:r w:rsidRPr="00EC57FB">
        <w:t>, p</w:t>
      </w:r>
      <w:r w:rsidR="00A82E84" w:rsidRPr="00EC57FB">
        <w:t>95</w:t>
      </w:r>
      <w:r w:rsidRPr="00EC57FB">
        <w:t xml:space="preserve"> of the </w:t>
      </w:r>
      <w:r w:rsidR="00A82E84" w:rsidRPr="00EC57FB">
        <w:t>re</w:t>
      </w:r>
      <w:r w:rsidRPr="00EC57FB">
        <w:t>submission.</w:t>
      </w:r>
    </w:p>
    <w:p w14:paraId="5DCDBD2B" w14:textId="55CBA3AE" w:rsidR="007E73F5" w:rsidRPr="00EC57FB" w:rsidRDefault="007E73F5" w:rsidP="00754979">
      <w:pPr>
        <w:pStyle w:val="FooterTableFigure"/>
        <w:keepNext/>
        <w:keepLines/>
        <w:widowControl w:val="0"/>
      </w:pPr>
      <w:r w:rsidRPr="00EC57FB">
        <w:t>Blue shading is indicative of information previously considered by the PBAC.</w:t>
      </w:r>
    </w:p>
    <w:p w14:paraId="258F016E" w14:textId="77777777" w:rsidR="00B52EA2" w:rsidRPr="00EC57FB" w:rsidRDefault="00B52EA2" w:rsidP="00754979">
      <w:pPr>
        <w:pStyle w:val="FooterTableFigure"/>
        <w:keepNext/>
        <w:keepLines/>
        <w:widowControl w:val="0"/>
      </w:pPr>
      <w:r w:rsidRPr="00EC57FB">
        <w:t>AE = adverse event; AESI = adverse event of special interest; CHD = congenital heart disease; CLD = chronic lung disease; COVID-19 = coronavirus disease 2019; SAE = serious adverse event; TRAE = treatment-related adverse event.</w:t>
      </w:r>
    </w:p>
    <w:p w14:paraId="7A36950D" w14:textId="77777777" w:rsidR="00B52EA2" w:rsidRPr="00EC57FB" w:rsidRDefault="00B52EA2" w:rsidP="00754979">
      <w:pPr>
        <w:pStyle w:val="FooterTableFigure"/>
        <w:keepNext/>
        <w:keepLines/>
        <w:widowControl w:val="0"/>
      </w:pPr>
      <w:r w:rsidRPr="00EC57FB">
        <w:rPr>
          <w:rFonts w:cstheme="minorHAnsi"/>
          <w:szCs w:val="18"/>
          <w:vertAlign w:val="superscript"/>
        </w:rPr>
        <w:t>a</w:t>
      </w:r>
      <w:r w:rsidRPr="00EC57FB">
        <w:rPr>
          <w:rFonts w:cstheme="minorHAnsi"/>
          <w:sz w:val="20"/>
          <w:szCs w:val="20"/>
          <w:vertAlign w:val="superscript"/>
        </w:rPr>
        <w:t xml:space="preserve"> </w:t>
      </w:r>
      <w:r w:rsidRPr="00EC57FB">
        <w:t>An AE of Grade 3 denotes a severe event, an adverse event of Grade 4 a life-threatening event, and an AE of Grade 5 a fatal event.</w:t>
      </w:r>
    </w:p>
    <w:p w14:paraId="1B01077D" w14:textId="77777777" w:rsidR="00B52EA2" w:rsidRPr="00EC57FB" w:rsidRDefault="00B52EA2" w:rsidP="00754979">
      <w:pPr>
        <w:pStyle w:val="FooterTableFigure"/>
        <w:keepNext/>
        <w:keepLines/>
        <w:widowControl w:val="0"/>
      </w:pPr>
      <w:r w:rsidRPr="00EC57FB">
        <w:rPr>
          <w:vertAlign w:val="superscript"/>
        </w:rPr>
        <w:t>b</w:t>
      </w:r>
      <w:r w:rsidRPr="00EC57FB">
        <w:t xml:space="preserve"> SAEs were defined as death, events that were life-threatening or required inpatient hospitalisation, events that prolonged hospitalisation, events that were persistent or that were associated with clinically significant disability or incapacity, or events considered to be of medical significance.</w:t>
      </w:r>
    </w:p>
    <w:p w14:paraId="11891251" w14:textId="77777777" w:rsidR="00B52EA2" w:rsidRPr="00EC57FB" w:rsidRDefault="00B52EA2" w:rsidP="00A152B2">
      <w:pPr>
        <w:pStyle w:val="FooterTableFigure"/>
        <w:keepLines/>
      </w:pPr>
      <w:r w:rsidRPr="00EC57FB">
        <w:rPr>
          <w:vertAlign w:val="superscript"/>
        </w:rPr>
        <w:t>c</w:t>
      </w:r>
      <w:r w:rsidRPr="00EC57FB">
        <w:t xml:space="preserve"> AESI included hypersensitivity, immune complex disease, and thrombocytopaenia and was determined based on blinded investigator assessment.</w:t>
      </w:r>
    </w:p>
    <w:p w14:paraId="6CDCCCDE" w14:textId="66FC5A0D" w:rsidR="00964647" w:rsidRPr="00EC57FB" w:rsidRDefault="00964647" w:rsidP="00D86231">
      <w:pPr>
        <w:pStyle w:val="3-BodyText"/>
        <w:rPr>
          <w:color w:val="000000" w:themeColor="text1"/>
        </w:rPr>
      </w:pPr>
      <w:r w:rsidRPr="00EC57FB">
        <w:rPr>
          <w:color w:val="000000" w:themeColor="text1"/>
        </w:rPr>
        <w:t>The resubmission</w:t>
      </w:r>
      <w:r w:rsidR="00C97680" w:rsidRPr="00EC57FB">
        <w:rPr>
          <w:color w:val="000000" w:themeColor="text1"/>
        </w:rPr>
        <w:t xml:space="preserve"> </w:t>
      </w:r>
      <w:r w:rsidR="002D1EBA" w:rsidRPr="00EC57FB">
        <w:rPr>
          <w:color w:val="000000" w:themeColor="text1"/>
        </w:rPr>
        <w:t xml:space="preserve">also </w:t>
      </w:r>
      <w:r w:rsidR="00C97680" w:rsidRPr="00EC57FB">
        <w:rPr>
          <w:color w:val="000000" w:themeColor="text1"/>
        </w:rPr>
        <w:t>present</w:t>
      </w:r>
      <w:r w:rsidR="00A44E2D" w:rsidRPr="00EC57FB">
        <w:rPr>
          <w:color w:val="000000" w:themeColor="text1"/>
        </w:rPr>
        <w:t>ed</w:t>
      </w:r>
      <w:r w:rsidR="00C97680" w:rsidRPr="00EC57FB">
        <w:rPr>
          <w:color w:val="000000" w:themeColor="text1"/>
        </w:rPr>
        <w:t xml:space="preserve"> data from MEDLEY reporting </w:t>
      </w:r>
      <w:r w:rsidR="00EE5ED1" w:rsidRPr="00EC57FB">
        <w:rPr>
          <w:color w:val="000000" w:themeColor="text1"/>
        </w:rPr>
        <w:t xml:space="preserve">adverse event </w:t>
      </w:r>
      <w:r w:rsidR="00F805DA" w:rsidRPr="00EC57FB">
        <w:rPr>
          <w:color w:val="000000" w:themeColor="text1"/>
        </w:rPr>
        <w:t xml:space="preserve">(AE) </w:t>
      </w:r>
      <w:r w:rsidR="00EE5ED1" w:rsidRPr="00EC57FB">
        <w:rPr>
          <w:color w:val="000000" w:themeColor="text1"/>
        </w:rPr>
        <w:t xml:space="preserve">rates for children receiving </w:t>
      </w:r>
      <w:r w:rsidR="00A130F2" w:rsidRPr="00EC57FB">
        <w:rPr>
          <w:color w:val="000000" w:themeColor="text1"/>
        </w:rPr>
        <w:t xml:space="preserve">either nirsevimab or palivizumab in Season 2. Results are summarised in </w:t>
      </w:r>
      <w:r w:rsidR="00F805DA" w:rsidRPr="00EC57FB">
        <w:rPr>
          <w:color w:val="000000" w:themeColor="text1"/>
        </w:rPr>
        <w:fldChar w:fldCharType="begin"/>
      </w:r>
      <w:r w:rsidR="00F805DA" w:rsidRPr="00EC57FB">
        <w:rPr>
          <w:color w:val="000000" w:themeColor="text1"/>
        </w:rPr>
        <w:instrText xml:space="preserve"> REF _Ref188239033 \h </w:instrText>
      </w:r>
      <w:r w:rsidR="00F805DA" w:rsidRPr="00EC57FB">
        <w:rPr>
          <w:color w:val="000000" w:themeColor="text1"/>
        </w:rPr>
      </w:r>
      <w:r w:rsidR="00F805DA" w:rsidRPr="00EC57FB">
        <w:rPr>
          <w:color w:val="000000" w:themeColor="text1"/>
        </w:rPr>
        <w:fldChar w:fldCharType="separate"/>
      </w:r>
      <w:r w:rsidR="00502C25" w:rsidRPr="00EC57FB">
        <w:t xml:space="preserve">Table </w:t>
      </w:r>
      <w:r w:rsidR="00502C25">
        <w:rPr>
          <w:noProof/>
        </w:rPr>
        <w:t>24</w:t>
      </w:r>
      <w:r w:rsidR="00F805DA" w:rsidRPr="00EC57FB">
        <w:rPr>
          <w:color w:val="000000" w:themeColor="text1"/>
        </w:rPr>
        <w:fldChar w:fldCharType="end"/>
      </w:r>
      <w:r w:rsidR="00F805DA" w:rsidRPr="00EC57FB">
        <w:rPr>
          <w:color w:val="000000" w:themeColor="text1"/>
        </w:rPr>
        <w:t>.</w:t>
      </w:r>
      <w:r w:rsidR="00D57BEC" w:rsidRPr="00EC57FB">
        <w:rPr>
          <w:color w:val="000000" w:themeColor="text1"/>
        </w:rPr>
        <w:t xml:space="preserve"> As acknowledged by the resubmission, </w:t>
      </w:r>
      <w:r w:rsidR="003941D9" w:rsidRPr="00EC57FB">
        <w:rPr>
          <w:color w:val="000000" w:themeColor="text1"/>
        </w:rPr>
        <w:t>rates of AEs were nominally higher in the cohorts of children who received nirsevimab in Season 2.</w:t>
      </w:r>
      <w:r w:rsidR="00BB6C20" w:rsidRPr="00EC57FB">
        <w:rPr>
          <w:iCs/>
          <w:color w:val="000000" w:themeColor="text1"/>
        </w:rPr>
        <w:t xml:space="preserve"> </w:t>
      </w:r>
    </w:p>
    <w:p w14:paraId="4E79F07D" w14:textId="7414571C" w:rsidR="00120B48" w:rsidRPr="00EC57FB" w:rsidRDefault="00120B48" w:rsidP="00CF626D">
      <w:pPr>
        <w:pStyle w:val="Caption"/>
      </w:pPr>
      <w:bookmarkStart w:id="114" w:name="_Ref188239033"/>
      <w:r w:rsidRPr="00EC57FB">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24</w:t>
      </w:r>
      <w:r w:rsidR="00C51E7C" w:rsidRPr="00EC57FB">
        <w:fldChar w:fldCharType="end"/>
      </w:r>
      <w:bookmarkEnd w:id="114"/>
      <w:r w:rsidRPr="00EC57FB">
        <w:t xml:space="preserve">: </w:t>
      </w:r>
      <w:r w:rsidR="00F805DA" w:rsidRPr="00EC57FB">
        <w:t xml:space="preserve">Summary of </w:t>
      </w:r>
      <w:r w:rsidR="00333BD8" w:rsidRPr="00EC57FB">
        <w:t>adverse events observed in the MEDLEY trial in the 360 days post-dose in Season 2</w:t>
      </w:r>
    </w:p>
    <w:tbl>
      <w:tblPr>
        <w:tblStyle w:val="TableGrid"/>
        <w:tblW w:w="0" w:type="auto"/>
        <w:tblLook w:val="04A0" w:firstRow="1" w:lastRow="0" w:firstColumn="1" w:lastColumn="0" w:noHBand="0" w:noVBand="1"/>
      </w:tblPr>
      <w:tblGrid>
        <w:gridCol w:w="3964"/>
        <w:gridCol w:w="1684"/>
        <w:gridCol w:w="1684"/>
        <w:gridCol w:w="1685"/>
      </w:tblGrid>
      <w:tr w:rsidR="004E0EC9" w:rsidRPr="00EC57FB" w14:paraId="798188EC" w14:textId="77777777" w:rsidTr="004E0EC9">
        <w:tc>
          <w:tcPr>
            <w:tcW w:w="3964" w:type="dxa"/>
            <w:vMerge w:val="restart"/>
            <w:vAlign w:val="center"/>
          </w:tcPr>
          <w:p w14:paraId="4317721F" w14:textId="3BC2275A" w:rsidR="004E0EC9" w:rsidRPr="00EC57FB" w:rsidRDefault="004E0EC9" w:rsidP="00CF626D">
            <w:pPr>
              <w:pStyle w:val="TableText0"/>
              <w:rPr>
                <w:b/>
                <w:bCs w:val="0"/>
              </w:rPr>
            </w:pPr>
            <w:r w:rsidRPr="00EC57FB">
              <w:rPr>
                <w:b/>
                <w:bCs w:val="0"/>
              </w:rPr>
              <w:t>Subjects with</w:t>
            </w:r>
            <w:r w:rsidRPr="00EC57FB">
              <w:rPr>
                <w:b/>
                <w:bCs w:val="0"/>
                <w:vertAlign w:val="superscript"/>
              </w:rPr>
              <w:t>a</w:t>
            </w:r>
          </w:p>
        </w:tc>
        <w:tc>
          <w:tcPr>
            <w:tcW w:w="5053" w:type="dxa"/>
            <w:gridSpan w:val="3"/>
          </w:tcPr>
          <w:p w14:paraId="07C707C3" w14:textId="3805D72A" w:rsidR="004E0EC9" w:rsidRPr="00EC57FB" w:rsidRDefault="004E0EC9" w:rsidP="00CF626D">
            <w:pPr>
              <w:pStyle w:val="TableText0"/>
              <w:jc w:val="center"/>
              <w:rPr>
                <w:b/>
                <w:bCs w:val="0"/>
              </w:rPr>
            </w:pPr>
            <w:r w:rsidRPr="00EC57FB">
              <w:rPr>
                <w:b/>
                <w:bCs w:val="0"/>
              </w:rPr>
              <w:t>Number (%) of subjects</w:t>
            </w:r>
          </w:p>
        </w:tc>
      </w:tr>
      <w:tr w:rsidR="004E0EC9" w:rsidRPr="00EC57FB" w14:paraId="65AC2772" w14:textId="77777777" w:rsidTr="00864E74">
        <w:tc>
          <w:tcPr>
            <w:tcW w:w="3964" w:type="dxa"/>
            <w:vMerge/>
          </w:tcPr>
          <w:p w14:paraId="7E305658" w14:textId="46A8D964" w:rsidR="004E0EC9" w:rsidRPr="00EC57FB" w:rsidRDefault="004E0EC9" w:rsidP="00CF626D">
            <w:pPr>
              <w:pStyle w:val="TableText0"/>
            </w:pPr>
          </w:p>
        </w:tc>
        <w:tc>
          <w:tcPr>
            <w:tcW w:w="1684" w:type="dxa"/>
          </w:tcPr>
          <w:p w14:paraId="1F6D6089" w14:textId="6BF8810B" w:rsidR="004E0EC9" w:rsidRPr="00EC57FB" w:rsidRDefault="004E0EC9" w:rsidP="00CF626D">
            <w:pPr>
              <w:pStyle w:val="TableText0"/>
              <w:jc w:val="center"/>
              <w:rPr>
                <w:b/>
                <w:bCs w:val="0"/>
              </w:rPr>
            </w:pPr>
            <w:r w:rsidRPr="00EC57FB">
              <w:rPr>
                <w:b/>
                <w:bCs w:val="0"/>
              </w:rPr>
              <w:t>PALI/PALI (n=42)</w:t>
            </w:r>
          </w:p>
        </w:tc>
        <w:tc>
          <w:tcPr>
            <w:tcW w:w="1684" w:type="dxa"/>
          </w:tcPr>
          <w:p w14:paraId="421D3745" w14:textId="377B6843" w:rsidR="004E0EC9" w:rsidRPr="00EC57FB" w:rsidRDefault="004E0EC9" w:rsidP="00CF626D">
            <w:pPr>
              <w:pStyle w:val="TableText0"/>
              <w:jc w:val="center"/>
              <w:rPr>
                <w:b/>
                <w:bCs w:val="0"/>
              </w:rPr>
            </w:pPr>
            <w:r w:rsidRPr="00EC57FB">
              <w:rPr>
                <w:b/>
                <w:bCs w:val="0"/>
              </w:rPr>
              <w:t>PALI/NIRS (n=40)</w:t>
            </w:r>
          </w:p>
        </w:tc>
        <w:tc>
          <w:tcPr>
            <w:tcW w:w="1685" w:type="dxa"/>
          </w:tcPr>
          <w:p w14:paraId="75DE2130" w14:textId="145BABBB" w:rsidR="004E0EC9" w:rsidRPr="00EC57FB" w:rsidRDefault="004E0EC9" w:rsidP="00CF626D">
            <w:pPr>
              <w:pStyle w:val="TableText0"/>
              <w:jc w:val="center"/>
              <w:rPr>
                <w:b/>
                <w:bCs w:val="0"/>
              </w:rPr>
            </w:pPr>
            <w:r w:rsidRPr="00EC57FB">
              <w:rPr>
                <w:b/>
                <w:bCs w:val="0"/>
              </w:rPr>
              <w:t>NIRS/NIRS (n=180)</w:t>
            </w:r>
          </w:p>
        </w:tc>
      </w:tr>
      <w:tr w:rsidR="00864E74" w:rsidRPr="00EC57FB" w14:paraId="27C6330E" w14:textId="77777777" w:rsidTr="00864E74">
        <w:tc>
          <w:tcPr>
            <w:tcW w:w="3964" w:type="dxa"/>
          </w:tcPr>
          <w:p w14:paraId="187227BE" w14:textId="4FBA0B64" w:rsidR="00864E74" w:rsidRPr="00EC57FB" w:rsidRDefault="00864E74" w:rsidP="00CF626D">
            <w:pPr>
              <w:pStyle w:val="TableText0"/>
            </w:pPr>
            <w:r w:rsidRPr="00EC57FB">
              <w:t>≥1 AE</w:t>
            </w:r>
          </w:p>
        </w:tc>
        <w:tc>
          <w:tcPr>
            <w:tcW w:w="1684" w:type="dxa"/>
          </w:tcPr>
          <w:p w14:paraId="6E6B6A01" w14:textId="693ACDFD" w:rsidR="00864E74" w:rsidRPr="00EC57FB" w:rsidRDefault="00864E74" w:rsidP="00CF626D">
            <w:pPr>
              <w:pStyle w:val="TableText0"/>
              <w:jc w:val="center"/>
            </w:pPr>
            <w:r w:rsidRPr="00EC57FB">
              <w:t>29 (69.0)</w:t>
            </w:r>
          </w:p>
        </w:tc>
        <w:tc>
          <w:tcPr>
            <w:tcW w:w="1684" w:type="dxa"/>
          </w:tcPr>
          <w:p w14:paraId="29CE9B3B" w14:textId="0FFD42F9" w:rsidR="00864E74" w:rsidRPr="00EC57FB" w:rsidRDefault="00864E74" w:rsidP="00CF626D">
            <w:pPr>
              <w:pStyle w:val="TableText0"/>
              <w:jc w:val="center"/>
            </w:pPr>
            <w:r w:rsidRPr="00EC57FB">
              <w:t>31 (77.5)</w:t>
            </w:r>
          </w:p>
        </w:tc>
        <w:tc>
          <w:tcPr>
            <w:tcW w:w="1685" w:type="dxa"/>
          </w:tcPr>
          <w:p w14:paraId="7625EB71" w14:textId="73F92F3C" w:rsidR="00864E74" w:rsidRPr="00EC57FB" w:rsidRDefault="00864E74" w:rsidP="00CF626D">
            <w:pPr>
              <w:pStyle w:val="TableText0"/>
              <w:jc w:val="center"/>
            </w:pPr>
            <w:r w:rsidRPr="00EC57FB">
              <w:t>130 (72.2)</w:t>
            </w:r>
          </w:p>
        </w:tc>
      </w:tr>
      <w:tr w:rsidR="00864E74" w:rsidRPr="00EC57FB" w14:paraId="362417ED" w14:textId="77777777" w:rsidTr="00864E74">
        <w:tc>
          <w:tcPr>
            <w:tcW w:w="3964" w:type="dxa"/>
          </w:tcPr>
          <w:p w14:paraId="79A1743A" w14:textId="399608D5" w:rsidR="00864E74" w:rsidRPr="00EC57FB" w:rsidRDefault="00864E74" w:rsidP="00CF626D">
            <w:pPr>
              <w:pStyle w:val="TableText0"/>
            </w:pPr>
            <w:r w:rsidRPr="00EC57FB">
              <w:t>≥1 TRAE</w:t>
            </w:r>
          </w:p>
        </w:tc>
        <w:tc>
          <w:tcPr>
            <w:tcW w:w="1684" w:type="dxa"/>
          </w:tcPr>
          <w:p w14:paraId="41F4D499" w14:textId="4BDDACEB" w:rsidR="00864E74" w:rsidRPr="00EC57FB" w:rsidRDefault="00864E74" w:rsidP="00CF626D">
            <w:pPr>
              <w:pStyle w:val="TableText0"/>
              <w:jc w:val="center"/>
            </w:pPr>
            <w:r w:rsidRPr="00EC57FB">
              <w:t>0</w:t>
            </w:r>
          </w:p>
        </w:tc>
        <w:tc>
          <w:tcPr>
            <w:tcW w:w="1684" w:type="dxa"/>
          </w:tcPr>
          <w:p w14:paraId="688CD16A" w14:textId="123F8F89" w:rsidR="00864E74" w:rsidRPr="00EC57FB" w:rsidRDefault="00864E74" w:rsidP="00CF626D">
            <w:pPr>
              <w:pStyle w:val="TableText0"/>
              <w:jc w:val="center"/>
            </w:pPr>
            <w:r w:rsidRPr="00EC57FB">
              <w:t>0</w:t>
            </w:r>
          </w:p>
        </w:tc>
        <w:tc>
          <w:tcPr>
            <w:tcW w:w="1685" w:type="dxa"/>
          </w:tcPr>
          <w:p w14:paraId="7D4AB58F" w14:textId="2B723E48" w:rsidR="00864E74" w:rsidRPr="00EC57FB" w:rsidRDefault="00864E74" w:rsidP="00CF626D">
            <w:pPr>
              <w:pStyle w:val="TableText0"/>
              <w:jc w:val="center"/>
            </w:pPr>
            <w:r w:rsidRPr="00EC57FB">
              <w:t>0</w:t>
            </w:r>
          </w:p>
        </w:tc>
      </w:tr>
      <w:tr w:rsidR="00864E74" w:rsidRPr="00EC57FB" w14:paraId="781EA883" w14:textId="77777777" w:rsidTr="00864E74">
        <w:tc>
          <w:tcPr>
            <w:tcW w:w="3964" w:type="dxa"/>
          </w:tcPr>
          <w:p w14:paraId="54CB9B44" w14:textId="58CC1CE2" w:rsidR="00864E74" w:rsidRPr="00EC57FB" w:rsidRDefault="00864E74" w:rsidP="00CF626D">
            <w:pPr>
              <w:pStyle w:val="TableText0"/>
            </w:pPr>
            <w:r w:rsidRPr="00EC57FB">
              <w:t>≥1 AE of Grade ≥3 severity</w:t>
            </w:r>
            <w:r w:rsidRPr="00EC57FB">
              <w:rPr>
                <w:vertAlign w:val="superscript"/>
              </w:rPr>
              <w:t>b</w:t>
            </w:r>
          </w:p>
        </w:tc>
        <w:tc>
          <w:tcPr>
            <w:tcW w:w="1684" w:type="dxa"/>
          </w:tcPr>
          <w:p w14:paraId="22106D2D" w14:textId="01FEF8B1" w:rsidR="00864E74" w:rsidRPr="00EC57FB" w:rsidRDefault="00864E74" w:rsidP="00CF626D">
            <w:pPr>
              <w:pStyle w:val="TableText0"/>
              <w:jc w:val="center"/>
            </w:pPr>
            <w:r w:rsidRPr="00EC57FB">
              <w:t>2 (4.8)</w:t>
            </w:r>
          </w:p>
        </w:tc>
        <w:tc>
          <w:tcPr>
            <w:tcW w:w="1684" w:type="dxa"/>
          </w:tcPr>
          <w:p w14:paraId="6B391948" w14:textId="2D97548D" w:rsidR="00864E74" w:rsidRPr="00EC57FB" w:rsidRDefault="00864E74" w:rsidP="00CF626D">
            <w:pPr>
              <w:pStyle w:val="TableText0"/>
              <w:jc w:val="center"/>
            </w:pPr>
            <w:r w:rsidRPr="00EC57FB">
              <w:t>4 (10.0)</w:t>
            </w:r>
          </w:p>
        </w:tc>
        <w:tc>
          <w:tcPr>
            <w:tcW w:w="1685" w:type="dxa"/>
          </w:tcPr>
          <w:p w14:paraId="088BD95E" w14:textId="62FB7218" w:rsidR="00864E74" w:rsidRPr="00EC57FB" w:rsidRDefault="00864E74" w:rsidP="00CF626D">
            <w:pPr>
              <w:pStyle w:val="TableText0"/>
              <w:jc w:val="center"/>
            </w:pPr>
            <w:r w:rsidRPr="00EC57FB">
              <w:t>19 (10.6)</w:t>
            </w:r>
          </w:p>
        </w:tc>
      </w:tr>
      <w:tr w:rsidR="00864E74" w:rsidRPr="00EC57FB" w14:paraId="61CA9E39" w14:textId="77777777" w:rsidTr="00864E74">
        <w:tc>
          <w:tcPr>
            <w:tcW w:w="3964" w:type="dxa"/>
          </w:tcPr>
          <w:p w14:paraId="26AEE54F" w14:textId="6354F74E" w:rsidR="00864E74" w:rsidRPr="00EC57FB" w:rsidRDefault="00864E74" w:rsidP="00CF626D">
            <w:pPr>
              <w:pStyle w:val="TableText0"/>
            </w:pPr>
            <w:r w:rsidRPr="00EC57FB">
              <w:t>≥1 TRAE of Grade ≥3 severity</w:t>
            </w:r>
            <w:r w:rsidRPr="00EC57FB">
              <w:rPr>
                <w:vertAlign w:val="superscript"/>
              </w:rPr>
              <w:t>b</w:t>
            </w:r>
          </w:p>
        </w:tc>
        <w:tc>
          <w:tcPr>
            <w:tcW w:w="1684" w:type="dxa"/>
          </w:tcPr>
          <w:p w14:paraId="1E9FDFAB" w14:textId="4DA05D74" w:rsidR="00864E74" w:rsidRPr="00EC57FB" w:rsidRDefault="00864E74" w:rsidP="00CF626D">
            <w:pPr>
              <w:pStyle w:val="TableText0"/>
              <w:jc w:val="center"/>
            </w:pPr>
            <w:r w:rsidRPr="00EC57FB">
              <w:t>0</w:t>
            </w:r>
          </w:p>
        </w:tc>
        <w:tc>
          <w:tcPr>
            <w:tcW w:w="1684" w:type="dxa"/>
          </w:tcPr>
          <w:p w14:paraId="76546009" w14:textId="1C2DF71F" w:rsidR="00864E74" w:rsidRPr="00EC57FB" w:rsidRDefault="00864E74" w:rsidP="00CF626D">
            <w:pPr>
              <w:pStyle w:val="TableText0"/>
              <w:jc w:val="center"/>
            </w:pPr>
            <w:r w:rsidRPr="00EC57FB">
              <w:t>0</w:t>
            </w:r>
          </w:p>
        </w:tc>
        <w:tc>
          <w:tcPr>
            <w:tcW w:w="1685" w:type="dxa"/>
          </w:tcPr>
          <w:p w14:paraId="1DF52CF6" w14:textId="2A6E1AC8" w:rsidR="00864E74" w:rsidRPr="00EC57FB" w:rsidRDefault="00864E74" w:rsidP="00CF626D">
            <w:pPr>
              <w:pStyle w:val="TableText0"/>
              <w:jc w:val="center"/>
            </w:pPr>
            <w:r w:rsidRPr="00EC57FB">
              <w:t>0</w:t>
            </w:r>
          </w:p>
        </w:tc>
      </w:tr>
      <w:tr w:rsidR="00864E74" w:rsidRPr="00EC57FB" w14:paraId="10DD3411" w14:textId="77777777" w:rsidTr="00864E74">
        <w:tc>
          <w:tcPr>
            <w:tcW w:w="3964" w:type="dxa"/>
          </w:tcPr>
          <w:p w14:paraId="614CE44E" w14:textId="5D063F2D" w:rsidR="00864E74" w:rsidRPr="00EC57FB" w:rsidRDefault="00864E74" w:rsidP="00CF626D">
            <w:pPr>
              <w:pStyle w:val="TableText0"/>
            </w:pPr>
            <w:r w:rsidRPr="00EC57FB">
              <w:t>Any AE with outcome of death (Grade 5 severity)</w:t>
            </w:r>
            <w:r w:rsidRPr="00EC57FB">
              <w:rPr>
                <w:vertAlign w:val="superscript"/>
              </w:rPr>
              <w:t>b</w:t>
            </w:r>
          </w:p>
        </w:tc>
        <w:tc>
          <w:tcPr>
            <w:tcW w:w="1684" w:type="dxa"/>
          </w:tcPr>
          <w:p w14:paraId="5DDF7374" w14:textId="53B276FD" w:rsidR="00864E74" w:rsidRPr="00EC57FB" w:rsidRDefault="00864E74" w:rsidP="00CF626D">
            <w:pPr>
              <w:pStyle w:val="TableText0"/>
              <w:jc w:val="center"/>
            </w:pPr>
            <w:r w:rsidRPr="00EC57FB">
              <w:t>0</w:t>
            </w:r>
          </w:p>
        </w:tc>
        <w:tc>
          <w:tcPr>
            <w:tcW w:w="1684" w:type="dxa"/>
          </w:tcPr>
          <w:p w14:paraId="605D114A" w14:textId="008BB95B" w:rsidR="00864E74" w:rsidRPr="00EC57FB" w:rsidRDefault="00864E74" w:rsidP="00CF626D">
            <w:pPr>
              <w:pStyle w:val="TableText0"/>
              <w:jc w:val="center"/>
            </w:pPr>
            <w:r w:rsidRPr="00EC57FB">
              <w:t>0</w:t>
            </w:r>
          </w:p>
        </w:tc>
        <w:tc>
          <w:tcPr>
            <w:tcW w:w="1685" w:type="dxa"/>
          </w:tcPr>
          <w:p w14:paraId="6D6D3027" w14:textId="0B528BB0" w:rsidR="00864E74" w:rsidRPr="00EC57FB" w:rsidRDefault="00864E74" w:rsidP="00CF626D">
            <w:pPr>
              <w:pStyle w:val="TableText0"/>
              <w:jc w:val="center"/>
            </w:pPr>
            <w:r w:rsidRPr="00EC57FB">
              <w:t>0</w:t>
            </w:r>
          </w:p>
        </w:tc>
      </w:tr>
      <w:tr w:rsidR="00864E74" w:rsidRPr="00EC57FB" w14:paraId="14A08DCD" w14:textId="77777777" w:rsidTr="00864E74">
        <w:tc>
          <w:tcPr>
            <w:tcW w:w="3964" w:type="dxa"/>
          </w:tcPr>
          <w:p w14:paraId="525C4C1A" w14:textId="78C5982E" w:rsidR="00864E74" w:rsidRPr="00EC57FB" w:rsidRDefault="00864E74" w:rsidP="00CF626D">
            <w:pPr>
              <w:pStyle w:val="TableText0"/>
            </w:pPr>
            <w:r w:rsidRPr="00EC57FB">
              <w:t>≥1 Serious AE</w:t>
            </w:r>
            <w:r w:rsidRPr="00EC57FB">
              <w:rPr>
                <w:vertAlign w:val="superscript"/>
              </w:rPr>
              <w:t>c</w:t>
            </w:r>
          </w:p>
        </w:tc>
        <w:tc>
          <w:tcPr>
            <w:tcW w:w="1684" w:type="dxa"/>
          </w:tcPr>
          <w:p w14:paraId="39E07390" w14:textId="21936C2F" w:rsidR="00864E74" w:rsidRPr="00EC57FB" w:rsidRDefault="00864E74" w:rsidP="00CF626D">
            <w:pPr>
              <w:pStyle w:val="TableText0"/>
              <w:jc w:val="center"/>
            </w:pPr>
            <w:r w:rsidRPr="00EC57FB">
              <w:t>2 (4.8)</w:t>
            </w:r>
          </w:p>
        </w:tc>
        <w:tc>
          <w:tcPr>
            <w:tcW w:w="1684" w:type="dxa"/>
          </w:tcPr>
          <w:p w14:paraId="72BE2749" w14:textId="2FAA1214" w:rsidR="00864E74" w:rsidRPr="00EC57FB" w:rsidRDefault="00864E74" w:rsidP="00CF626D">
            <w:pPr>
              <w:pStyle w:val="TableText0"/>
              <w:jc w:val="center"/>
            </w:pPr>
            <w:r w:rsidRPr="00EC57FB">
              <w:t>4 (10.0)</w:t>
            </w:r>
          </w:p>
        </w:tc>
        <w:tc>
          <w:tcPr>
            <w:tcW w:w="1685" w:type="dxa"/>
          </w:tcPr>
          <w:p w14:paraId="03F622C5" w14:textId="4EFAD54E" w:rsidR="00864E74" w:rsidRPr="00EC57FB" w:rsidRDefault="00864E74" w:rsidP="00CF626D">
            <w:pPr>
              <w:pStyle w:val="TableText0"/>
              <w:jc w:val="center"/>
            </w:pPr>
            <w:r w:rsidRPr="00EC57FB">
              <w:t>23 (12.8)</w:t>
            </w:r>
          </w:p>
        </w:tc>
      </w:tr>
      <w:tr w:rsidR="00864E74" w:rsidRPr="00EC57FB" w14:paraId="40CA48C7" w14:textId="77777777" w:rsidTr="00864E74">
        <w:tc>
          <w:tcPr>
            <w:tcW w:w="3964" w:type="dxa"/>
          </w:tcPr>
          <w:p w14:paraId="6E6CA7B8" w14:textId="07D5FA9E" w:rsidR="00864E74" w:rsidRPr="00EC57FB" w:rsidRDefault="00864E74" w:rsidP="00CF626D">
            <w:pPr>
              <w:pStyle w:val="TableText0"/>
            </w:pPr>
            <w:r w:rsidRPr="00EC57FB">
              <w:t>≥1 Serious AE, Grade ≥3 AE, or both</w:t>
            </w:r>
          </w:p>
        </w:tc>
        <w:tc>
          <w:tcPr>
            <w:tcW w:w="1684" w:type="dxa"/>
          </w:tcPr>
          <w:p w14:paraId="596B2B2A" w14:textId="2A845C4A" w:rsidR="00864E74" w:rsidRPr="00EC57FB" w:rsidRDefault="00864E74" w:rsidP="00CF626D">
            <w:pPr>
              <w:pStyle w:val="TableText0"/>
              <w:jc w:val="center"/>
            </w:pPr>
            <w:r w:rsidRPr="00EC57FB">
              <w:t>3 (7.1)</w:t>
            </w:r>
          </w:p>
        </w:tc>
        <w:tc>
          <w:tcPr>
            <w:tcW w:w="1684" w:type="dxa"/>
          </w:tcPr>
          <w:p w14:paraId="7F63C4B1" w14:textId="32D54040" w:rsidR="00864E74" w:rsidRPr="00EC57FB" w:rsidRDefault="00864E74" w:rsidP="00CF626D">
            <w:pPr>
              <w:pStyle w:val="TableText0"/>
              <w:jc w:val="center"/>
            </w:pPr>
            <w:r w:rsidRPr="00EC57FB">
              <w:t>4 (10.0)</w:t>
            </w:r>
          </w:p>
        </w:tc>
        <w:tc>
          <w:tcPr>
            <w:tcW w:w="1685" w:type="dxa"/>
          </w:tcPr>
          <w:p w14:paraId="317DC3B8" w14:textId="750681AE" w:rsidR="00864E74" w:rsidRPr="00EC57FB" w:rsidRDefault="00864E74" w:rsidP="00CF626D">
            <w:pPr>
              <w:pStyle w:val="TableText0"/>
              <w:jc w:val="center"/>
            </w:pPr>
            <w:r w:rsidRPr="00EC57FB">
              <w:t>25 (13.9)</w:t>
            </w:r>
          </w:p>
        </w:tc>
      </w:tr>
      <w:tr w:rsidR="00864E74" w:rsidRPr="00EC57FB" w14:paraId="0D6CE7BC" w14:textId="77777777" w:rsidTr="00864E74">
        <w:tc>
          <w:tcPr>
            <w:tcW w:w="3964" w:type="dxa"/>
          </w:tcPr>
          <w:p w14:paraId="2B56D974" w14:textId="619CF614" w:rsidR="00864E74" w:rsidRPr="00EC57FB" w:rsidRDefault="00864E74" w:rsidP="00CF626D">
            <w:pPr>
              <w:pStyle w:val="TableText0"/>
            </w:pPr>
            <w:r w:rsidRPr="00EC57FB">
              <w:t>≥1 treatment</w:t>
            </w:r>
            <w:r w:rsidR="00BA24E8" w:rsidRPr="00EC57FB">
              <w:t>-</w:t>
            </w:r>
            <w:r w:rsidRPr="00EC57FB">
              <w:t>related serious AE</w:t>
            </w:r>
          </w:p>
        </w:tc>
        <w:tc>
          <w:tcPr>
            <w:tcW w:w="1684" w:type="dxa"/>
          </w:tcPr>
          <w:p w14:paraId="3DE104D7" w14:textId="31DDEDC1" w:rsidR="00864E74" w:rsidRPr="00EC57FB" w:rsidRDefault="00864E74" w:rsidP="00CF626D">
            <w:pPr>
              <w:pStyle w:val="TableText0"/>
              <w:jc w:val="center"/>
            </w:pPr>
            <w:r w:rsidRPr="00EC57FB">
              <w:t>0</w:t>
            </w:r>
          </w:p>
        </w:tc>
        <w:tc>
          <w:tcPr>
            <w:tcW w:w="1684" w:type="dxa"/>
          </w:tcPr>
          <w:p w14:paraId="7C8393CE" w14:textId="29F6C3E8" w:rsidR="00864E74" w:rsidRPr="00EC57FB" w:rsidRDefault="00864E74" w:rsidP="00CF626D">
            <w:pPr>
              <w:pStyle w:val="TableText0"/>
              <w:jc w:val="center"/>
            </w:pPr>
            <w:r w:rsidRPr="00EC57FB">
              <w:t>0</w:t>
            </w:r>
          </w:p>
        </w:tc>
        <w:tc>
          <w:tcPr>
            <w:tcW w:w="1685" w:type="dxa"/>
          </w:tcPr>
          <w:p w14:paraId="5ECA2EA9" w14:textId="7AC656FF" w:rsidR="00864E74" w:rsidRPr="00EC57FB" w:rsidRDefault="00864E74" w:rsidP="00CF626D">
            <w:pPr>
              <w:pStyle w:val="TableText0"/>
              <w:jc w:val="center"/>
            </w:pPr>
            <w:r w:rsidRPr="00EC57FB">
              <w:t>0</w:t>
            </w:r>
          </w:p>
        </w:tc>
      </w:tr>
      <w:tr w:rsidR="00864E74" w:rsidRPr="00EC57FB" w14:paraId="5DCCF25A" w14:textId="77777777" w:rsidTr="00864E74">
        <w:tc>
          <w:tcPr>
            <w:tcW w:w="3964" w:type="dxa"/>
          </w:tcPr>
          <w:p w14:paraId="21B6A502" w14:textId="26046BED" w:rsidR="00864E74" w:rsidRPr="00EC57FB" w:rsidRDefault="00864E74" w:rsidP="00CF626D">
            <w:pPr>
              <w:pStyle w:val="TableText0"/>
            </w:pPr>
            <w:r w:rsidRPr="00EC57FB">
              <w:t>≥1 AESI</w:t>
            </w:r>
          </w:p>
        </w:tc>
        <w:tc>
          <w:tcPr>
            <w:tcW w:w="1684" w:type="dxa"/>
          </w:tcPr>
          <w:p w14:paraId="76E50342" w14:textId="12AD1D2C" w:rsidR="00864E74" w:rsidRPr="00EC57FB" w:rsidRDefault="00864E74" w:rsidP="00CF626D">
            <w:pPr>
              <w:pStyle w:val="TableText0"/>
              <w:jc w:val="center"/>
            </w:pPr>
            <w:r w:rsidRPr="00EC57FB">
              <w:t>0</w:t>
            </w:r>
          </w:p>
        </w:tc>
        <w:tc>
          <w:tcPr>
            <w:tcW w:w="1684" w:type="dxa"/>
          </w:tcPr>
          <w:p w14:paraId="4ABAEA65" w14:textId="1644CBB2" w:rsidR="00864E74" w:rsidRPr="00EC57FB" w:rsidRDefault="00864E74" w:rsidP="00CF626D">
            <w:pPr>
              <w:pStyle w:val="TableText0"/>
              <w:jc w:val="center"/>
            </w:pPr>
            <w:r w:rsidRPr="00EC57FB">
              <w:t>0</w:t>
            </w:r>
          </w:p>
        </w:tc>
        <w:tc>
          <w:tcPr>
            <w:tcW w:w="1685" w:type="dxa"/>
          </w:tcPr>
          <w:p w14:paraId="7FBF026C" w14:textId="684733AB" w:rsidR="00864E74" w:rsidRPr="00EC57FB" w:rsidRDefault="00864E74" w:rsidP="00CF626D">
            <w:pPr>
              <w:pStyle w:val="TableText0"/>
              <w:jc w:val="center"/>
            </w:pPr>
            <w:r w:rsidRPr="00EC57FB">
              <w:t>1 (0.6)</w:t>
            </w:r>
          </w:p>
        </w:tc>
      </w:tr>
      <w:tr w:rsidR="00864E74" w:rsidRPr="00EC57FB" w14:paraId="7E691A4B" w14:textId="77777777" w:rsidTr="00864E74">
        <w:tc>
          <w:tcPr>
            <w:tcW w:w="3964" w:type="dxa"/>
          </w:tcPr>
          <w:p w14:paraId="1A7A501F" w14:textId="0E961651" w:rsidR="00864E74" w:rsidRPr="00EC57FB" w:rsidRDefault="00864E74" w:rsidP="00CF626D">
            <w:pPr>
              <w:pStyle w:val="TableText0"/>
            </w:pPr>
            <w:r w:rsidRPr="00EC57FB">
              <w:t>≥1 COVID 19–related AE</w:t>
            </w:r>
            <w:r w:rsidRPr="00EC57FB">
              <w:rPr>
                <w:vertAlign w:val="superscript"/>
              </w:rPr>
              <w:t>d</w:t>
            </w:r>
          </w:p>
        </w:tc>
        <w:tc>
          <w:tcPr>
            <w:tcW w:w="1684" w:type="dxa"/>
          </w:tcPr>
          <w:p w14:paraId="61607E8A" w14:textId="3A0EA806" w:rsidR="00864E74" w:rsidRPr="00EC57FB" w:rsidRDefault="00864E74" w:rsidP="00CF626D">
            <w:pPr>
              <w:pStyle w:val="TableText0"/>
              <w:jc w:val="center"/>
            </w:pPr>
            <w:r w:rsidRPr="00EC57FB">
              <w:t>7 (16.7)</w:t>
            </w:r>
          </w:p>
        </w:tc>
        <w:tc>
          <w:tcPr>
            <w:tcW w:w="1684" w:type="dxa"/>
          </w:tcPr>
          <w:p w14:paraId="4DE366B3" w14:textId="5F50C0AD" w:rsidR="00864E74" w:rsidRPr="00EC57FB" w:rsidRDefault="00864E74" w:rsidP="00CF626D">
            <w:pPr>
              <w:pStyle w:val="TableText0"/>
              <w:jc w:val="center"/>
            </w:pPr>
            <w:r w:rsidRPr="00EC57FB">
              <w:t>4 (10.0)</w:t>
            </w:r>
          </w:p>
        </w:tc>
        <w:tc>
          <w:tcPr>
            <w:tcW w:w="1685" w:type="dxa"/>
          </w:tcPr>
          <w:p w14:paraId="27E7B074" w14:textId="4E92BA31" w:rsidR="00864E74" w:rsidRPr="00EC57FB" w:rsidRDefault="00864E74" w:rsidP="00CF626D">
            <w:pPr>
              <w:pStyle w:val="TableText0"/>
              <w:jc w:val="center"/>
            </w:pPr>
            <w:r w:rsidRPr="00EC57FB">
              <w:t>23 (12.8)</w:t>
            </w:r>
          </w:p>
        </w:tc>
      </w:tr>
    </w:tbl>
    <w:p w14:paraId="7CAFF562" w14:textId="4186A6DF" w:rsidR="00333BD8" w:rsidRPr="00EC57FB" w:rsidRDefault="00C763B4" w:rsidP="00FB4F62">
      <w:pPr>
        <w:pStyle w:val="TableFigureFooter"/>
        <w:keepNext/>
        <w:keepLines/>
        <w:jc w:val="both"/>
      </w:pPr>
      <w:r w:rsidRPr="00EC57FB">
        <w:t>Source: Table 2.5.18 on p97 of the resubmission</w:t>
      </w:r>
    </w:p>
    <w:p w14:paraId="374F2D2C" w14:textId="77777777" w:rsidR="00BA68DC" w:rsidRPr="00EC57FB" w:rsidRDefault="00BA68DC" w:rsidP="00FB4F62">
      <w:pPr>
        <w:pStyle w:val="TableFigureFooter"/>
        <w:keepNext/>
        <w:keepLines/>
        <w:jc w:val="both"/>
      </w:pPr>
      <w:r w:rsidRPr="00EC57FB">
        <w:t>AE: adverse event, AESI: adverse event of special interest, CHD: congenital heart disease, CLD: chronic lung disease, COVID 19: coronavirus disease 2019, TRAE: treatment related adverse event</w:t>
      </w:r>
    </w:p>
    <w:p w14:paraId="7FB68A54" w14:textId="3B848EFE" w:rsidR="00D20F0E" w:rsidRPr="00EC57FB" w:rsidRDefault="00BA68DC" w:rsidP="00FB4F62">
      <w:pPr>
        <w:pStyle w:val="TableFigureFooter"/>
        <w:keepNext/>
        <w:keepLines/>
        <w:jc w:val="both"/>
      </w:pPr>
      <w:r w:rsidRPr="00EC57FB">
        <w:rPr>
          <w:vertAlign w:val="superscript"/>
        </w:rPr>
        <w:t>a</w:t>
      </w:r>
      <w:r w:rsidRPr="00EC57FB">
        <w:t xml:space="preserve"> Subjects with multiple events in the same category were counted once in that category. Subjects with events in &gt;1 category were counted once in each of those categories</w:t>
      </w:r>
    </w:p>
    <w:p w14:paraId="40B0A809" w14:textId="27C9F9A0" w:rsidR="00D20F0E" w:rsidRPr="00EC57FB" w:rsidRDefault="00BA68DC" w:rsidP="00FB4F62">
      <w:pPr>
        <w:pStyle w:val="TableFigureFooter"/>
        <w:keepNext/>
        <w:keepLines/>
        <w:jc w:val="both"/>
      </w:pPr>
      <w:r w:rsidRPr="00EC57FB">
        <w:rPr>
          <w:vertAlign w:val="superscript"/>
        </w:rPr>
        <w:t>b</w:t>
      </w:r>
      <w:r w:rsidRPr="00EC57FB">
        <w:t xml:space="preserve"> Grade 3: severe; Grade 4: life threatening; Grade 5: fatal</w:t>
      </w:r>
    </w:p>
    <w:p w14:paraId="6AA9AC16" w14:textId="4F1D13F9" w:rsidR="00D20F0E" w:rsidRPr="00EC57FB" w:rsidRDefault="00D20F0E" w:rsidP="00FB4F62">
      <w:pPr>
        <w:pStyle w:val="TableFigureFooter"/>
        <w:keepNext/>
        <w:keepLines/>
        <w:jc w:val="both"/>
      </w:pPr>
      <w:r w:rsidRPr="00EC57FB">
        <w:rPr>
          <w:vertAlign w:val="superscript"/>
        </w:rPr>
        <w:t>c</w:t>
      </w:r>
      <w:r w:rsidR="00BA68DC" w:rsidRPr="00EC57FB">
        <w:t xml:space="preserve"> Serious AE criteria: death, life threatening, required inpatient hospitalisation, prolongation of existing hospitalisation, persistent or significant disability/incapacity, important medical event, congenital anomaly/birth defect (in the offspring of the subject)</w:t>
      </w:r>
    </w:p>
    <w:p w14:paraId="5ACEC34B" w14:textId="557F2565" w:rsidR="00077A77" w:rsidRPr="00EC57FB" w:rsidRDefault="00BA68DC" w:rsidP="00FB4F62">
      <w:pPr>
        <w:pStyle w:val="TableFigureFooter"/>
        <w:keepLines/>
        <w:spacing w:after="120"/>
        <w:jc w:val="both"/>
      </w:pPr>
      <w:r w:rsidRPr="00EC57FB">
        <w:rPr>
          <w:vertAlign w:val="superscript"/>
        </w:rPr>
        <w:t>d</w:t>
      </w:r>
      <w:r w:rsidRPr="00EC57FB">
        <w:t xml:space="preserve"> COVID 19 confirmed events include COVID 19 positive asymptomatic and symptomatic events</w:t>
      </w:r>
    </w:p>
    <w:p w14:paraId="2DAF16D1" w14:textId="49ED12FF" w:rsidR="00B60939" w:rsidRPr="00EC57FB" w:rsidRDefault="00C2431C" w:rsidP="00D86231">
      <w:pPr>
        <w:pStyle w:val="3-BodyText"/>
        <w:rPr>
          <w:color w:val="000000" w:themeColor="text1"/>
        </w:rPr>
      </w:pPr>
      <w:r w:rsidRPr="00EC57FB">
        <w:rPr>
          <w:color w:val="000000" w:themeColor="text1"/>
        </w:rPr>
        <w:lastRenderedPageBreak/>
        <w:t>The PBAC</w:t>
      </w:r>
      <w:r w:rsidR="00F42945" w:rsidRPr="00EC57FB">
        <w:rPr>
          <w:color w:val="000000" w:themeColor="text1"/>
        </w:rPr>
        <w:t>, in its consideration</w:t>
      </w:r>
      <w:r w:rsidR="007F1017" w:rsidRPr="00EC57FB">
        <w:rPr>
          <w:color w:val="000000" w:themeColor="text1"/>
        </w:rPr>
        <w:t xml:space="preserve"> of </w:t>
      </w:r>
      <w:r w:rsidR="00F42945" w:rsidRPr="00EC57FB">
        <w:rPr>
          <w:color w:val="000000" w:themeColor="text1"/>
        </w:rPr>
        <w:t xml:space="preserve">the </w:t>
      </w:r>
      <w:r w:rsidR="003172A2" w:rsidRPr="00EC57FB">
        <w:rPr>
          <w:color w:val="000000" w:themeColor="text1"/>
        </w:rPr>
        <w:t xml:space="preserve">first </w:t>
      </w:r>
      <w:r w:rsidR="00F42945" w:rsidRPr="00EC57FB">
        <w:rPr>
          <w:color w:val="000000" w:themeColor="text1"/>
        </w:rPr>
        <w:t xml:space="preserve">submission in July 2024, considered that nirsevimab </w:t>
      </w:r>
      <w:r w:rsidR="0092099C" w:rsidRPr="00EC57FB">
        <w:rPr>
          <w:color w:val="000000" w:themeColor="text1"/>
        </w:rPr>
        <w:t>was associated with an acceptable safety profile</w:t>
      </w:r>
      <w:r w:rsidR="002865ED" w:rsidRPr="00EC57FB">
        <w:rPr>
          <w:color w:val="000000" w:themeColor="text1"/>
        </w:rPr>
        <w:t>.</w:t>
      </w:r>
      <w:r w:rsidR="00F42945" w:rsidRPr="00EC57FB">
        <w:rPr>
          <w:color w:val="000000" w:themeColor="text1"/>
        </w:rPr>
        <w:t xml:space="preserve"> </w:t>
      </w:r>
    </w:p>
    <w:p w14:paraId="46353BE8" w14:textId="77777777" w:rsidR="00275950" w:rsidRPr="00EC57FB" w:rsidRDefault="00275950" w:rsidP="00275950">
      <w:pPr>
        <w:pStyle w:val="4-SubsectionHeading"/>
      </w:pPr>
      <w:bookmarkStart w:id="115" w:name="_Toc145426900"/>
      <w:bookmarkStart w:id="116" w:name="_Toc22897644"/>
      <w:bookmarkStart w:id="117" w:name="_Toc188619263"/>
      <w:r w:rsidRPr="00EC57FB">
        <w:t>Clinical claim</w:t>
      </w:r>
      <w:bookmarkEnd w:id="115"/>
    </w:p>
    <w:p w14:paraId="03482088" w14:textId="77777777" w:rsidR="00275950" w:rsidRPr="00EC57FB" w:rsidRDefault="00275950" w:rsidP="00275950">
      <w:pPr>
        <w:pStyle w:val="3-BodyText"/>
      </w:pPr>
      <w:r w:rsidRPr="00EC57FB">
        <w:t>The resubmission claimed that:</w:t>
      </w:r>
    </w:p>
    <w:p w14:paraId="0114AE71" w14:textId="77777777" w:rsidR="00275950" w:rsidRPr="00EC57FB" w:rsidRDefault="00275950" w:rsidP="00652C20">
      <w:pPr>
        <w:pStyle w:val="ListParagraph"/>
        <w:numPr>
          <w:ilvl w:val="0"/>
          <w:numId w:val="36"/>
        </w:numPr>
        <w:ind w:left="1077" w:hanging="357"/>
        <w:jc w:val="both"/>
      </w:pPr>
      <w:r w:rsidRPr="00EC57FB">
        <w:t>For infants born during or entering their first RSV season:</w:t>
      </w:r>
    </w:p>
    <w:p w14:paraId="1174DEE7" w14:textId="77777777" w:rsidR="00275950" w:rsidRPr="00EC57FB" w:rsidRDefault="00275950" w:rsidP="00652C20">
      <w:pPr>
        <w:pStyle w:val="ListParagraph"/>
        <w:numPr>
          <w:ilvl w:val="1"/>
          <w:numId w:val="36"/>
        </w:numPr>
        <w:ind w:left="1437" w:hanging="357"/>
        <w:jc w:val="both"/>
      </w:pPr>
      <w:r w:rsidRPr="00EC57FB">
        <w:t>Nirsevimab is superior in terms of effectiveness and non-inferior in terms of safety compared with no immunisation;</w:t>
      </w:r>
    </w:p>
    <w:p w14:paraId="4B97F0B8" w14:textId="77777777" w:rsidR="00275950" w:rsidRPr="00EC57FB" w:rsidRDefault="00275950" w:rsidP="00652C20">
      <w:pPr>
        <w:pStyle w:val="ListParagraph"/>
        <w:numPr>
          <w:ilvl w:val="1"/>
          <w:numId w:val="36"/>
        </w:numPr>
        <w:ind w:left="1437"/>
        <w:jc w:val="both"/>
      </w:pPr>
      <w:r w:rsidRPr="00EC57FB">
        <w:t>Nirsevimab is superior in terms of effectiveness and non-inferior in terms of safety compared with RSVpreF.</w:t>
      </w:r>
    </w:p>
    <w:p w14:paraId="1EFAA163" w14:textId="77777777" w:rsidR="00275950" w:rsidRPr="00EC57FB" w:rsidRDefault="00275950" w:rsidP="00652C20">
      <w:pPr>
        <w:pStyle w:val="ListParagraph"/>
        <w:numPr>
          <w:ilvl w:val="0"/>
          <w:numId w:val="36"/>
        </w:numPr>
        <w:ind w:left="1077" w:hanging="357"/>
        <w:jc w:val="both"/>
      </w:pPr>
      <w:r w:rsidRPr="00EC57FB">
        <w:t>For children up to 24 months who remain vulnerable to severe RSV disease through their second RSV season:</w:t>
      </w:r>
    </w:p>
    <w:p w14:paraId="100E1727" w14:textId="77777777" w:rsidR="00275950" w:rsidRPr="00EC57FB" w:rsidRDefault="00275950" w:rsidP="00652C20">
      <w:pPr>
        <w:pStyle w:val="ListParagraph"/>
        <w:numPr>
          <w:ilvl w:val="1"/>
          <w:numId w:val="36"/>
        </w:numPr>
        <w:ind w:left="1437" w:hanging="357"/>
        <w:jc w:val="both"/>
      </w:pPr>
      <w:r w:rsidRPr="00EC57FB">
        <w:t>Nirsevimab is superior in terms of effectiveness and non-inferior in terms of safety compared with no immunisation.</w:t>
      </w:r>
    </w:p>
    <w:bookmarkEnd w:id="116"/>
    <w:bookmarkEnd w:id="117"/>
    <w:p w14:paraId="5F77CF89" w14:textId="2C6AD1D6" w:rsidR="000369F8" w:rsidRPr="00EC57FB" w:rsidRDefault="00334DC1" w:rsidP="000369F8">
      <w:pPr>
        <w:pStyle w:val="3-BodyText"/>
        <w:rPr>
          <w:color w:val="000000" w:themeColor="text1"/>
        </w:rPr>
      </w:pPr>
      <w:r w:rsidRPr="00EC57FB">
        <w:rPr>
          <w:color w:val="000000" w:themeColor="text1"/>
        </w:rPr>
        <w:t xml:space="preserve">A summary of the </w:t>
      </w:r>
      <w:r w:rsidR="00E61E23" w:rsidRPr="00EC57FB">
        <w:rPr>
          <w:color w:val="000000" w:themeColor="text1"/>
        </w:rPr>
        <w:t>evidence for each</w:t>
      </w:r>
      <w:r w:rsidR="000369F8" w:rsidRPr="00EC57FB">
        <w:rPr>
          <w:color w:val="000000" w:themeColor="text1"/>
        </w:rPr>
        <w:t xml:space="preserve"> population </w:t>
      </w:r>
      <w:r w:rsidR="00706C1D" w:rsidRPr="00EC57FB">
        <w:rPr>
          <w:color w:val="000000" w:themeColor="text1"/>
        </w:rPr>
        <w:t>described in</w:t>
      </w:r>
      <w:r w:rsidR="000369F8" w:rsidRPr="00EC57FB">
        <w:rPr>
          <w:color w:val="000000" w:themeColor="text1"/>
        </w:rPr>
        <w:t xml:space="preserve"> </w:t>
      </w:r>
      <w:r w:rsidR="00706C1D" w:rsidRPr="00EC57FB">
        <w:rPr>
          <w:color w:val="000000" w:themeColor="text1"/>
        </w:rPr>
        <w:fldChar w:fldCharType="begin"/>
      </w:r>
      <w:r w:rsidR="00706C1D" w:rsidRPr="00EC57FB">
        <w:rPr>
          <w:color w:val="000000" w:themeColor="text1"/>
        </w:rPr>
        <w:instrText xml:space="preserve"> REF _Ref188054881 \h </w:instrText>
      </w:r>
      <w:r w:rsidR="005747F8" w:rsidRPr="00EC57FB">
        <w:rPr>
          <w:color w:val="000000" w:themeColor="text1"/>
        </w:rPr>
        <w:instrText xml:space="preserve"> \* MERGEFORMAT </w:instrText>
      </w:r>
      <w:r w:rsidR="00706C1D" w:rsidRPr="00EC57FB">
        <w:rPr>
          <w:color w:val="000000" w:themeColor="text1"/>
        </w:rPr>
      </w:r>
      <w:r w:rsidR="00706C1D" w:rsidRPr="00EC57FB">
        <w:rPr>
          <w:color w:val="000000" w:themeColor="text1"/>
        </w:rPr>
        <w:fldChar w:fldCharType="separate"/>
      </w:r>
      <w:r w:rsidR="00502C25" w:rsidRPr="00EC57FB">
        <w:t xml:space="preserve">Figure </w:t>
      </w:r>
      <w:r w:rsidR="00502C25">
        <w:t>1</w:t>
      </w:r>
      <w:r w:rsidR="00706C1D" w:rsidRPr="00EC57FB">
        <w:rPr>
          <w:color w:val="000000" w:themeColor="text1"/>
        </w:rPr>
        <w:fldChar w:fldCharType="end"/>
      </w:r>
      <w:r w:rsidR="00706C1D" w:rsidRPr="00EC57FB">
        <w:rPr>
          <w:color w:val="000000" w:themeColor="text1"/>
        </w:rPr>
        <w:t xml:space="preserve"> </w:t>
      </w:r>
      <w:r w:rsidRPr="00EC57FB">
        <w:rPr>
          <w:color w:val="000000" w:themeColor="text1"/>
        </w:rPr>
        <w:t xml:space="preserve">is provided </w:t>
      </w:r>
      <w:r w:rsidR="00FD2939" w:rsidRPr="00EC57FB">
        <w:rPr>
          <w:color w:val="000000" w:themeColor="text1"/>
        </w:rPr>
        <w:t xml:space="preserve">in the following paragraphs. </w:t>
      </w:r>
    </w:p>
    <w:p w14:paraId="24FA9B98" w14:textId="23A08A7B" w:rsidR="00114F13" w:rsidRPr="00EC57FB" w:rsidRDefault="00FD2939" w:rsidP="00DC4191">
      <w:pPr>
        <w:pStyle w:val="3-BodyText"/>
        <w:rPr>
          <w:color w:val="000000" w:themeColor="text1"/>
        </w:rPr>
      </w:pPr>
      <w:r w:rsidRPr="00EC57FB">
        <w:rPr>
          <w:color w:val="000000" w:themeColor="text1"/>
          <w:u w:val="single"/>
        </w:rPr>
        <w:t xml:space="preserve">Population </w:t>
      </w:r>
      <w:r w:rsidR="0014164E" w:rsidRPr="00EC57FB">
        <w:rPr>
          <w:color w:val="000000" w:themeColor="text1"/>
          <w:u w:val="single"/>
        </w:rPr>
        <w:t>A</w:t>
      </w:r>
      <w:r w:rsidR="001B67C6" w:rsidRPr="00EC57FB">
        <w:rPr>
          <w:color w:val="000000" w:themeColor="text1"/>
          <w:u w:val="single"/>
        </w:rPr>
        <w:t xml:space="preserve"> – nirsevimab vs no immunisation</w:t>
      </w:r>
      <w:r w:rsidR="00837B0E" w:rsidRPr="00EC57FB">
        <w:rPr>
          <w:color w:val="000000" w:themeColor="text1"/>
          <w:u w:val="single"/>
        </w:rPr>
        <w:t>:</w:t>
      </w:r>
      <w:r w:rsidRPr="00EC57FB">
        <w:rPr>
          <w:color w:val="000000" w:themeColor="text1"/>
        </w:rPr>
        <w:t xml:space="preserve"> </w:t>
      </w:r>
      <w:r w:rsidR="00501E57" w:rsidRPr="00EC57FB">
        <w:rPr>
          <w:color w:val="000000" w:themeColor="text1"/>
        </w:rPr>
        <w:t xml:space="preserve">Regarding </w:t>
      </w:r>
      <w:r w:rsidR="000115D8" w:rsidRPr="00EC57FB">
        <w:rPr>
          <w:color w:val="000000" w:themeColor="text1"/>
        </w:rPr>
        <w:t xml:space="preserve">infants </w:t>
      </w:r>
      <w:r w:rsidR="00CA4B20" w:rsidRPr="00EC57FB">
        <w:rPr>
          <w:color w:val="000000" w:themeColor="text1"/>
        </w:rPr>
        <w:t>experiencing</w:t>
      </w:r>
      <w:r w:rsidR="000115D8" w:rsidRPr="00EC57FB">
        <w:rPr>
          <w:color w:val="000000" w:themeColor="text1"/>
        </w:rPr>
        <w:t xml:space="preserve"> their first RSV </w:t>
      </w:r>
      <w:r w:rsidR="00E90188" w:rsidRPr="00EC57FB">
        <w:rPr>
          <w:color w:val="000000" w:themeColor="text1"/>
        </w:rPr>
        <w:t xml:space="preserve">season </w:t>
      </w:r>
      <w:r w:rsidR="000115D8" w:rsidRPr="00EC57FB">
        <w:rPr>
          <w:color w:val="000000" w:themeColor="text1"/>
        </w:rPr>
        <w:t xml:space="preserve">where the mother did not receive </w:t>
      </w:r>
      <w:r w:rsidR="00485EA7" w:rsidRPr="00EC57FB">
        <w:rPr>
          <w:color w:val="000000" w:themeColor="text1"/>
        </w:rPr>
        <w:t xml:space="preserve">RSVpreF </w:t>
      </w:r>
      <w:r w:rsidR="000115D8" w:rsidRPr="00EC57FB">
        <w:rPr>
          <w:color w:val="000000" w:themeColor="text1"/>
        </w:rPr>
        <w:t>and where the infant does not have a risk condition</w:t>
      </w:r>
      <w:r w:rsidR="006674EA" w:rsidRPr="00EC57FB">
        <w:rPr>
          <w:color w:val="000000" w:themeColor="text1"/>
        </w:rPr>
        <w:t xml:space="preserve">, the resubmission claims superiority of </w:t>
      </w:r>
      <w:r w:rsidR="00241929" w:rsidRPr="00EC57FB">
        <w:rPr>
          <w:color w:val="000000" w:themeColor="text1"/>
        </w:rPr>
        <w:t xml:space="preserve">nirsevimab versus no immunisation. </w:t>
      </w:r>
      <w:r w:rsidR="001F30BB" w:rsidRPr="00EC57FB">
        <w:rPr>
          <w:iCs/>
          <w:color w:val="000000" w:themeColor="text1"/>
        </w:rPr>
        <w:t xml:space="preserve">The evidence from the </w:t>
      </w:r>
      <w:r w:rsidR="00FF430B" w:rsidRPr="00EC57FB">
        <w:rPr>
          <w:iCs/>
          <w:color w:val="000000" w:themeColor="text1"/>
        </w:rPr>
        <w:t xml:space="preserve">final results of the </w:t>
      </w:r>
      <w:r w:rsidR="001F30BB" w:rsidRPr="00EC57FB">
        <w:rPr>
          <w:iCs/>
          <w:color w:val="000000" w:themeColor="text1"/>
        </w:rPr>
        <w:t>MELODY trial</w:t>
      </w:r>
      <w:r w:rsidR="003C0320" w:rsidRPr="00EC57FB">
        <w:rPr>
          <w:iCs/>
          <w:color w:val="000000" w:themeColor="text1"/>
        </w:rPr>
        <w:t xml:space="preserve">, </w:t>
      </w:r>
      <w:r w:rsidR="00493BCF" w:rsidRPr="00EC57FB">
        <w:rPr>
          <w:iCs/>
          <w:color w:val="000000" w:themeColor="text1"/>
        </w:rPr>
        <w:t xml:space="preserve">reported in </w:t>
      </w:r>
      <w:r w:rsidR="00350EE2" w:rsidRPr="00EC57FB">
        <w:rPr>
          <w:iCs/>
          <w:color w:val="000000" w:themeColor="text1"/>
        </w:rPr>
        <w:fldChar w:fldCharType="begin"/>
      </w:r>
      <w:r w:rsidR="00350EE2" w:rsidRPr="00EC57FB">
        <w:rPr>
          <w:iCs/>
          <w:color w:val="000000" w:themeColor="text1"/>
        </w:rPr>
        <w:instrText xml:space="preserve"> REF _Ref164029567 \h  \* MERGEFORMAT </w:instrText>
      </w:r>
      <w:r w:rsidR="00350EE2" w:rsidRPr="00EC57FB">
        <w:rPr>
          <w:iCs/>
          <w:color w:val="000000" w:themeColor="text1"/>
        </w:rPr>
      </w:r>
      <w:r w:rsidR="00350EE2" w:rsidRPr="00EC57FB">
        <w:rPr>
          <w:iCs/>
          <w:color w:val="000000" w:themeColor="text1"/>
        </w:rPr>
        <w:fldChar w:fldCharType="separate"/>
      </w:r>
      <w:r w:rsidR="00502C25" w:rsidRPr="00502C25">
        <w:rPr>
          <w:iCs/>
        </w:rPr>
        <w:t>Table 11</w:t>
      </w:r>
      <w:r w:rsidR="00350EE2" w:rsidRPr="00EC57FB">
        <w:rPr>
          <w:iCs/>
          <w:color w:val="000000" w:themeColor="text1"/>
        </w:rPr>
        <w:fldChar w:fldCharType="end"/>
      </w:r>
      <w:r w:rsidR="00377BAC" w:rsidRPr="00EC57FB">
        <w:rPr>
          <w:iCs/>
          <w:color w:val="000000" w:themeColor="text1"/>
        </w:rPr>
        <w:t xml:space="preserve">, </w:t>
      </w:r>
      <w:r w:rsidR="00FD7FCD" w:rsidRPr="00EC57FB">
        <w:rPr>
          <w:iCs/>
          <w:color w:val="000000" w:themeColor="text1"/>
        </w:rPr>
        <w:t>supports this claim</w:t>
      </w:r>
      <w:r w:rsidR="00C14A26" w:rsidRPr="00EC57FB">
        <w:rPr>
          <w:iCs/>
          <w:color w:val="000000" w:themeColor="text1"/>
        </w:rPr>
        <w:t xml:space="preserve"> through to 150 days after dosing with nirsevimab</w:t>
      </w:r>
      <w:r w:rsidR="00C51604" w:rsidRPr="00EC57FB">
        <w:rPr>
          <w:iCs/>
          <w:color w:val="000000" w:themeColor="text1"/>
        </w:rPr>
        <w:t>, and the PBAC</w:t>
      </w:r>
      <w:r w:rsidR="00D2556B" w:rsidRPr="00EC57FB">
        <w:rPr>
          <w:iCs/>
          <w:color w:val="000000" w:themeColor="text1"/>
        </w:rPr>
        <w:t xml:space="preserve"> has previously</w:t>
      </w:r>
      <w:r w:rsidR="00C51604" w:rsidRPr="00EC57FB">
        <w:rPr>
          <w:iCs/>
          <w:color w:val="000000" w:themeColor="text1"/>
        </w:rPr>
        <w:t xml:space="preserve"> </w:t>
      </w:r>
      <w:r w:rsidR="00D2556B" w:rsidRPr="00EC57FB">
        <w:rPr>
          <w:iCs/>
          <w:snapToGrid w:val="0"/>
        </w:rPr>
        <w:t>accepted</w:t>
      </w:r>
      <w:r w:rsidR="004C13CA" w:rsidRPr="00EC57FB">
        <w:rPr>
          <w:iCs/>
          <w:snapToGrid w:val="0"/>
        </w:rPr>
        <w:t xml:space="preserve"> that nirsevimab </w:t>
      </w:r>
      <w:r w:rsidR="00D2556B" w:rsidRPr="00EC57FB">
        <w:rPr>
          <w:iCs/>
          <w:snapToGrid w:val="0"/>
        </w:rPr>
        <w:t>is</w:t>
      </w:r>
      <w:r w:rsidR="004C13CA" w:rsidRPr="00EC57FB">
        <w:rPr>
          <w:iCs/>
          <w:snapToGrid w:val="0"/>
        </w:rPr>
        <w:t xml:space="preserve"> superior in terms of effectiveness compared to no immunisation</w:t>
      </w:r>
      <w:r w:rsidR="0098254C" w:rsidRPr="00EC57FB">
        <w:rPr>
          <w:iCs/>
          <w:snapToGrid w:val="0"/>
        </w:rPr>
        <w:t xml:space="preserve"> in this population</w:t>
      </w:r>
      <w:r w:rsidR="004C13CA" w:rsidRPr="00EC57FB">
        <w:rPr>
          <w:iCs/>
          <w:snapToGrid w:val="0"/>
        </w:rPr>
        <w:t>, with an acceptable safety profile in the first RSV season</w:t>
      </w:r>
      <w:r w:rsidR="00D2556B" w:rsidRPr="00EC57FB">
        <w:rPr>
          <w:iCs/>
          <w:snapToGrid w:val="0"/>
        </w:rPr>
        <w:t xml:space="preserve"> </w:t>
      </w:r>
      <w:r w:rsidR="00C73D23" w:rsidRPr="00EC57FB">
        <w:rPr>
          <w:iCs/>
          <w:snapToGrid w:val="0"/>
        </w:rPr>
        <w:t>(paragraph 7.1, nirsevimab PSD, July 2024)</w:t>
      </w:r>
      <w:r w:rsidR="00DA76D0" w:rsidRPr="00EC57FB">
        <w:rPr>
          <w:iCs/>
          <w:snapToGrid w:val="0"/>
        </w:rPr>
        <w:t>. The PBAC noted that nirsevimab provides protection for at least 5 months via passive immunisation (paragraph 7.4, nirsevimab PSD, July 2024)</w:t>
      </w:r>
      <w:r w:rsidR="003A1896" w:rsidRPr="00EC57FB">
        <w:rPr>
          <w:iCs/>
          <w:snapToGrid w:val="0"/>
        </w:rPr>
        <w:t>,</w:t>
      </w:r>
      <w:r w:rsidR="00396904" w:rsidRPr="00EC57FB">
        <w:rPr>
          <w:iCs/>
          <w:snapToGrid w:val="0"/>
        </w:rPr>
        <w:t xml:space="preserve"> and the </w:t>
      </w:r>
      <w:r w:rsidR="00396904" w:rsidRPr="00EC57FB">
        <w:rPr>
          <w:iCs/>
          <w:color w:val="000000" w:themeColor="text1"/>
        </w:rPr>
        <w:t>approved nirsevimab PI</w:t>
      </w:r>
      <w:r w:rsidR="00E32F86" w:rsidRPr="00EC57FB">
        <w:rPr>
          <w:iCs/>
          <w:color w:val="000000" w:themeColor="text1"/>
        </w:rPr>
        <w:t xml:space="preserve"> describes the duration of protection</w:t>
      </w:r>
      <w:r w:rsidR="00396904" w:rsidRPr="00EC57FB">
        <w:rPr>
          <w:iCs/>
          <w:color w:val="000000" w:themeColor="text1"/>
        </w:rPr>
        <w:t xml:space="preserve"> as at least 5 months based on clinical and pharmacokinetic data</w:t>
      </w:r>
      <w:r w:rsidR="00C14A26" w:rsidRPr="00EC57FB">
        <w:rPr>
          <w:iCs/>
          <w:color w:val="000000" w:themeColor="text1"/>
        </w:rPr>
        <w:t>.</w:t>
      </w:r>
      <w:r w:rsidR="00A95DAD" w:rsidRPr="00EC57FB">
        <w:rPr>
          <w:iCs/>
          <w:color w:val="000000" w:themeColor="text1"/>
        </w:rPr>
        <w:t xml:space="preserve"> T</w:t>
      </w:r>
      <w:r w:rsidR="00B95B0A" w:rsidRPr="00EC57FB">
        <w:rPr>
          <w:iCs/>
          <w:color w:val="000000" w:themeColor="text1"/>
        </w:rPr>
        <w:t xml:space="preserve">he </w:t>
      </w:r>
      <w:r w:rsidR="00DF5356" w:rsidRPr="00EC57FB">
        <w:rPr>
          <w:iCs/>
          <w:color w:val="000000" w:themeColor="text1"/>
        </w:rPr>
        <w:t>updated</w:t>
      </w:r>
      <w:r w:rsidR="001B5E47" w:rsidRPr="00EC57FB">
        <w:rPr>
          <w:iCs/>
          <w:color w:val="000000" w:themeColor="text1"/>
        </w:rPr>
        <w:t xml:space="preserve"> published</w:t>
      </w:r>
      <w:r w:rsidR="00DF5356" w:rsidRPr="00EC57FB">
        <w:rPr>
          <w:iCs/>
          <w:color w:val="000000" w:themeColor="text1"/>
        </w:rPr>
        <w:t xml:space="preserve"> evidence from the MELODY trial</w:t>
      </w:r>
      <w:r w:rsidR="001B5E47" w:rsidRPr="00EC57FB">
        <w:rPr>
          <w:iCs/>
          <w:color w:val="000000" w:themeColor="text1"/>
        </w:rPr>
        <w:t xml:space="preserve"> (not </w:t>
      </w:r>
      <w:r w:rsidR="00932293" w:rsidRPr="00EC57FB">
        <w:rPr>
          <w:iCs/>
          <w:color w:val="000000" w:themeColor="text1"/>
        </w:rPr>
        <w:t>reported</w:t>
      </w:r>
      <w:r w:rsidR="001B5E47" w:rsidRPr="00EC57FB">
        <w:rPr>
          <w:iCs/>
          <w:color w:val="000000" w:themeColor="text1"/>
        </w:rPr>
        <w:t xml:space="preserve"> in the resubmission)</w:t>
      </w:r>
      <w:r w:rsidR="005A1508" w:rsidRPr="00EC57FB">
        <w:rPr>
          <w:iCs/>
          <w:color w:val="000000" w:themeColor="text1"/>
        </w:rPr>
        <w:t xml:space="preserve">, presented in </w:t>
      </w:r>
      <w:r w:rsidR="00DF26E8" w:rsidRPr="00EC57FB">
        <w:rPr>
          <w:iCs/>
          <w:color w:val="000000" w:themeColor="text1"/>
        </w:rPr>
        <w:fldChar w:fldCharType="begin"/>
      </w:r>
      <w:r w:rsidR="00DF26E8" w:rsidRPr="00EC57FB">
        <w:rPr>
          <w:iCs/>
          <w:color w:val="000000" w:themeColor="text1"/>
        </w:rPr>
        <w:instrText xml:space="preserve"> REF _Ref186917124 \h  \* MERGEFORMAT </w:instrText>
      </w:r>
      <w:r w:rsidR="00DF26E8" w:rsidRPr="00EC57FB">
        <w:rPr>
          <w:iCs/>
          <w:color w:val="000000" w:themeColor="text1"/>
        </w:rPr>
      </w:r>
      <w:r w:rsidR="00DF26E8" w:rsidRPr="00EC57FB">
        <w:rPr>
          <w:iCs/>
          <w:color w:val="000000" w:themeColor="text1"/>
        </w:rPr>
        <w:fldChar w:fldCharType="separate"/>
      </w:r>
      <w:r w:rsidR="00502C25" w:rsidRPr="00502C25">
        <w:rPr>
          <w:iCs/>
        </w:rPr>
        <w:t>Table 12</w:t>
      </w:r>
      <w:r w:rsidR="00DF26E8" w:rsidRPr="00EC57FB">
        <w:rPr>
          <w:iCs/>
          <w:color w:val="000000" w:themeColor="text1"/>
        </w:rPr>
        <w:fldChar w:fldCharType="end"/>
      </w:r>
      <w:r w:rsidR="005A1508" w:rsidRPr="00EC57FB">
        <w:rPr>
          <w:iCs/>
          <w:color w:val="000000" w:themeColor="text1"/>
        </w:rPr>
        <w:t>, indicate</w:t>
      </w:r>
      <w:r w:rsidR="00D93FCF" w:rsidRPr="00EC57FB">
        <w:rPr>
          <w:iCs/>
          <w:color w:val="000000" w:themeColor="text1"/>
        </w:rPr>
        <w:t>s</w:t>
      </w:r>
      <w:r w:rsidR="005A1508" w:rsidRPr="00EC57FB">
        <w:rPr>
          <w:iCs/>
          <w:color w:val="000000" w:themeColor="text1"/>
        </w:rPr>
        <w:t xml:space="preserve"> no statistically significant difference in the effectiveness of nirsevimab beyond 150 days</w:t>
      </w:r>
      <w:r w:rsidR="00BC03AD" w:rsidRPr="00EC57FB">
        <w:rPr>
          <w:iCs/>
          <w:color w:val="000000" w:themeColor="text1"/>
        </w:rPr>
        <w:t xml:space="preserve"> [5 months]</w:t>
      </w:r>
      <w:r w:rsidR="005A1508" w:rsidRPr="00EC57FB">
        <w:rPr>
          <w:iCs/>
          <w:color w:val="000000" w:themeColor="text1"/>
        </w:rPr>
        <w:t xml:space="preserve"> </w:t>
      </w:r>
      <w:r w:rsidR="00C96B3A" w:rsidRPr="00EC57FB">
        <w:rPr>
          <w:iCs/>
          <w:color w:val="000000" w:themeColor="text1"/>
        </w:rPr>
        <w:t>following dosing.</w:t>
      </w:r>
      <w:r w:rsidR="00802AE5" w:rsidRPr="00EC57FB">
        <w:rPr>
          <w:iCs/>
          <w:color w:val="000000" w:themeColor="text1"/>
        </w:rPr>
        <w:t xml:space="preserve"> </w:t>
      </w:r>
      <w:bookmarkStart w:id="118" w:name="_Ref195647851"/>
      <w:r w:rsidR="00275950" w:rsidRPr="00EC57FB">
        <w:rPr>
          <w:rFonts w:eastAsia="Calibri"/>
          <w:iCs/>
        </w:rPr>
        <w:t>The PBAC considered that the conclusion of superior efficacy for nirsevimab versus no immunisation in infants entering their first RSV season where maternal RSVpreF had not been administered was reasonable. The PBAC considered that the results from the analysis of outcomes from the MELODY trial constituted the most relevant and robust evidence upon which estimates of immunisation efficacy of nirsevimab in Season 1 for application in the economic evaluation.</w:t>
      </w:r>
      <w:bookmarkEnd w:id="118"/>
    </w:p>
    <w:p w14:paraId="3D7A4B76" w14:textId="6B55A793" w:rsidR="004F271E" w:rsidRPr="00EC57FB" w:rsidRDefault="007731D5" w:rsidP="00DC4191">
      <w:pPr>
        <w:pStyle w:val="3-BodyText"/>
        <w:rPr>
          <w:color w:val="000000" w:themeColor="text1"/>
        </w:rPr>
      </w:pPr>
      <w:bookmarkStart w:id="119" w:name="_Ref199906544"/>
      <w:bookmarkStart w:id="120" w:name="_Ref199910152"/>
      <w:r w:rsidRPr="00EC57FB">
        <w:rPr>
          <w:color w:val="000000" w:themeColor="text1"/>
          <w:u w:val="single"/>
        </w:rPr>
        <w:t>Population A</w:t>
      </w:r>
      <w:r w:rsidR="0087075B" w:rsidRPr="00EC57FB">
        <w:rPr>
          <w:color w:val="000000" w:themeColor="text1"/>
          <w:u w:val="single"/>
        </w:rPr>
        <w:t xml:space="preserve"> – nirsevimab vs RSVpreF</w:t>
      </w:r>
      <w:r w:rsidR="005747F8" w:rsidRPr="00EC57FB">
        <w:rPr>
          <w:color w:val="000000" w:themeColor="text1"/>
          <w:u w:val="single"/>
        </w:rPr>
        <w:t>:</w:t>
      </w:r>
      <w:r w:rsidR="00577C66">
        <w:rPr>
          <w:color w:val="000000" w:themeColor="text1"/>
        </w:rPr>
        <w:t xml:space="preserve"> </w:t>
      </w:r>
      <w:r w:rsidR="005747F8" w:rsidRPr="00EC57FB">
        <w:rPr>
          <w:color w:val="000000" w:themeColor="text1"/>
        </w:rPr>
        <w:t xml:space="preserve">Regarding the population of healthy infants experiencing their first RSV season (where the mother did not receive RSVpreF), the resubmission relied on an </w:t>
      </w:r>
      <w:r w:rsidR="00E839AF" w:rsidRPr="00EC57FB">
        <w:rPr>
          <w:color w:val="000000" w:themeColor="text1"/>
        </w:rPr>
        <w:t>ITC</w:t>
      </w:r>
      <w:r w:rsidR="005747F8" w:rsidRPr="00EC57FB">
        <w:rPr>
          <w:color w:val="000000" w:themeColor="text1"/>
        </w:rPr>
        <w:t xml:space="preserve"> of </w:t>
      </w:r>
      <w:r w:rsidR="009756B5" w:rsidRPr="00EC57FB">
        <w:rPr>
          <w:color w:val="000000" w:themeColor="text1"/>
        </w:rPr>
        <w:t>nirsevimab and RSVpreF</w:t>
      </w:r>
      <w:r w:rsidR="001D2154" w:rsidRPr="00EC57FB">
        <w:rPr>
          <w:color w:val="000000" w:themeColor="text1"/>
        </w:rPr>
        <w:t xml:space="preserve"> </w:t>
      </w:r>
      <w:r w:rsidR="00871365" w:rsidRPr="00EC57FB">
        <w:rPr>
          <w:color w:val="000000" w:themeColor="text1"/>
        </w:rPr>
        <w:t xml:space="preserve">based on MELODY </w:t>
      </w:r>
      <w:r w:rsidR="00DB373E" w:rsidRPr="00EC57FB">
        <w:rPr>
          <w:color w:val="000000" w:themeColor="text1"/>
        </w:rPr>
        <w:t>(nirsevimab</w:t>
      </w:r>
      <w:r w:rsidR="001D2154" w:rsidRPr="00EC57FB">
        <w:rPr>
          <w:color w:val="000000" w:themeColor="text1"/>
        </w:rPr>
        <w:t xml:space="preserve"> vs</w:t>
      </w:r>
      <w:r w:rsidR="00DB373E" w:rsidRPr="00EC57FB">
        <w:rPr>
          <w:color w:val="000000" w:themeColor="text1"/>
        </w:rPr>
        <w:t xml:space="preserve"> placebo)</w:t>
      </w:r>
      <w:r w:rsidR="000158CA" w:rsidRPr="00EC57FB">
        <w:rPr>
          <w:color w:val="000000" w:themeColor="text1"/>
        </w:rPr>
        <w:t xml:space="preserve"> and </w:t>
      </w:r>
      <w:r w:rsidR="00871365" w:rsidRPr="00EC57FB">
        <w:rPr>
          <w:color w:val="000000" w:themeColor="text1"/>
        </w:rPr>
        <w:t>MATISSE</w:t>
      </w:r>
      <w:r w:rsidR="000C0A10" w:rsidRPr="00EC57FB">
        <w:rPr>
          <w:color w:val="000000" w:themeColor="text1"/>
        </w:rPr>
        <w:t xml:space="preserve"> (RSVpreF vs placebo)</w:t>
      </w:r>
      <w:r w:rsidR="00C55ED8" w:rsidRPr="00EC57FB">
        <w:rPr>
          <w:color w:val="000000" w:themeColor="text1"/>
        </w:rPr>
        <w:t xml:space="preserve"> </w:t>
      </w:r>
      <w:r w:rsidR="00685A23" w:rsidRPr="00EC57FB">
        <w:rPr>
          <w:color w:val="000000" w:themeColor="text1"/>
        </w:rPr>
        <w:t xml:space="preserve">and claimed </w:t>
      </w:r>
      <w:r w:rsidR="00830631" w:rsidRPr="00EC57FB">
        <w:rPr>
          <w:color w:val="000000" w:themeColor="text1"/>
        </w:rPr>
        <w:t>supe</w:t>
      </w:r>
      <w:r w:rsidR="00DB1DF8" w:rsidRPr="00EC57FB">
        <w:rPr>
          <w:color w:val="000000" w:themeColor="text1"/>
        </w:rPr>
        <w:t xml:space="preserve">riority </w:t>
      </w:r>
      <w:r w:rsidR="00DB1DF8" w:rsidRPr="00EC57FB">
        <w:rPr>
          <w:color w:val="000000" w:themeColor="text1"/>
        </w:rPr>
        <w:lastRenderedPageBreak/>
        <w:t xml:space="preserve">over </w:t>
      </w:r>
      <w:r w:rsidR="00485EA7" w:rsidRPr="00EC57FB">
        <w:rPr>
          <w:color w:val="000000" w:themeColor="text1"/>
        </w:rPr>
        <w:t xml:space="preserve">RSVpreF </w:t>
      </w:r>
      <w:r w:rsidR="00F0297D" w:rsidRPr="00EC57FB">
        <w:rPr>
          <w:color w:val="000000" w:themeColor="text1"/>
        </w:rPr>
        <w:t>in this population</w:t>
      </w:r>
      <w:r w:rsidR="00DB1DF8" w:rsidRPr="00EC57FB">
        <w:rPr>
          <w:color w:val="000000" w:themeColor="text1"/>
        </w:rPr>
        <w:t xml:space="preserve">. </w:t>
      </w:r>
      <w:r w:rsidR="00746DE8" w:rsidRPr="00EC57FB">
        <w:rPr>
          <w:color w:val="000000" w:themeColor="text1"/>
        </w:rPr>
        <w:t>T</w:t>
      </w:r>
      <w:r w:rsidR="000A58B6" w:rsidRPr="00EC57FB">
        <w:rPr>
          <w:color w:val="000000" w:themeColor="text1"/>
        </w:rPr>
        <w:t xml:space="preserve">here is </w:t>
      </w:r>
      <w:r w:rsidR="00692449" w:rsidRPr="00EC57FB">
        <w:rPr>
          <w:color w:val="000000" w:themeColor="text1"/>
        </w:rPr>
        <w:t xml:space="preserve">uncertainty regarding </w:t>
      </w:r>
      <w:r w:rsidR="00D0408E" w:rsidRPr="00EC57FB">
        <w:rPr>
          <w:color w:val="000000" w:themeColor="text1"/>
        </w:rPr>
        <w:t xml:space="preserve">the ITC due to </w:t>
      </w:r>
      <w:r w:rsidR="0065399E" w:rsidRPr="00EC57FB">
        <w:rPr>
          <w:color w:val="000000" w:themeColor="text1"/>
        </w:rPr>
        <w:t xml:space="preserve">violation </w:t>
      </w:r>
      <w:r w:rsidR="00ED433B" w:rsidRPr="00EC57FB">
        <w:rPr>
          <w:color w:val="000000" w:themeColor="text1"/>
        </w:rPr>
        <w:t xml:space="preserve">of the </w:t>
      </w:r>
      <w:r w:rsidR="00692449" w:rsidRPr="00EC57FB">
        <w:rPr>
          <w:color w:val="000000" w:themeColor="text1"/>
        </w:rPr>
        <w:t>transitiv</w:t>
      </w:r>
      <w:r w:rsidR="00B7632B" w:rsidRPr="00EC57FB">
        <w:rPr>
          <w:color w:val="000000" w:themeColor="text1"/>
        </w:rPr>
        <w:t xml:space="preserve">ity assumption underpinning </w:t>
      </w:r>
      <w:r w:rsidR="0065399E" w:rsidRPr="00EC57FB">
        <w:rPr>
          <w:color w:val="000000" w:themeColor="text1"/>
        </w:rPr>
        <w:t>the analysis</w:t>
      </w:r>
      <w:r w:rsidR="00F86DA9" w:rsidRPr="00EC57FB">
        <w:rPr>
          <w:color w:val="000000" w:themeColor="text1"/>
        </w:rPr>
        <w:t xml:space="preserve"> and</w:t>
      </w:r>
      <w:r w:rsidR="00447B24" w:rsidRPr="00EC57FB">
        <w:rPr>
          <w:color w:val="000000" w:themeColor="text1"/>
        </w:rPr>
        <w:t xml:space="preserve"> differences across the trial</w:t>
      </w:r>
      <w:r w:rsidR="00A429F5" w:rsidRPr="00EC57FB">
        <w:rPr>
          <w:color w:val="000000" w:themeColor="text1"/>
        </w:rPr>
        <w:t>s in definitions of the MA</w:t>
      </w:r>
      <w:r w:rsidR="00FF7667" w:rsidRPr="00EC57FB">
        <w:rPr>
          <w:color w:val="000000" w:themeColor="text1"/>
        </w:rPr>
        <w:t xml:space="preserve"> RSV</w:t>
      </w:r>
      <w:r w:rsidR="00A429F5" w:rsidRPr="00EC57FB">
        <w:rPr>
          <w:color w:val="000000" w:themeColor="text1"/>
        </w:rPr>
        <w:t xml:space="preserve"> LRTI endpoint.</w:t>
      </w:r>
      <w:r w:rsidR="004E3D19" w:rsidRPr="00EC57FB">
        <w:rPr>
          <w:color w:val="000000" w:themeColor="text1"/>
        </w:rPr>
        <w:t xml:space="preserve"> </w:t>
      </w:r>
      <w:r w:rsidR="001B6DAB" w:rsidRPr="00EC57FB">
        <w:rPr>
          <w:rFonts w:eastAsia="Calibri"/>
          <w:iCs/>
        </w:rPr>
        <w:t>The ESC considered the available evidence insufficient to support a claim that nirsevimab is superior to RSVpreF vaccination due to transitivity issues that arise due to the indirect nature of the comparison</w:t>
      </w:r>
      <w:r w:rsidR="005155AB" w:rsidRPr="00EC57FB">
        <w:rPr>
          <w:rFonts w:eastAsia="Calibri"/>
          <w:iCs/>
        </w:rPr>
        <w:t xml:space="preserve">. </w:t>
      </w:r>
      <w:r w:rsidR="00462D7B" w:rsidRPr="00EC57FB">
        <w:rPr>
          <w:rFonts w:eastAsia="Calibri"/>
          <w:iCs/>
        </w:rPr>
        <w:t>ATAGI advice supported this view, noting “the comparison of nirsevimab and RSVpreF presented in the submission was unreliable, and a conclusion of superior effectiveness is not supported by the data” (ATAGI pre-submission advice, page 11).</w:t>
      </w:r>
      <w:r w:rsidR="00577C66">
        <w:rPr>
          <w:rFonts w:eastAsia="Calibri"/>
          <w:iCs/>
        </w:rPr>
        <w:t xml:space="preserve"> </w:t>
      </w:r>
      <w:r w:rsidR="00275950" w:rsidRPr="00EC57FB">
        <w:rPr>
          <w:rFonts w:eastAsia="Calibri"/>
          <w:iCs/>
        </w:rPr>
        <w:t xml:space="preserve">The PBAC considered the available evidence insufficient to support a claim that nirsevimab is superior to RSVpreF vaccination due to transitivity issues </w:t>
      </w:r>
      <w:r w:rsidR="004F271E" w:rsidRPr="00EC57FB">
        <w:t>between the nirsevimab trials and the RSVpreF trial (MATISSE)</w:t>
      </w:r>
      <w:r w:rsidR="00275950" w:rsidRPr="00EC57FB">
        <w:rPr>
          <w:rFonts w:eastAsia="Calibri"/>
          <w:iCs/>
        </w:rPr>
        <w:t xml:space="preserve">. </w:t>
      </w:r>
      <w:bookmarkEnd w:id="119"/>
      <w:r w:rsidR="004F271E" w:rsidRPr="00EC57FB">
        <w:t>The PBAC noted the lack of direct evidence comparing nirsevimab with RSVpreF, however advised that nirsevimab could be considered non</w:t>
      </w:r>
      <w:r w:rsidR="004F271E" w:rsidRPr="00EC57FB">
        <w:noBreakHyphen/>
        <w:t>inferior to RSVpreF on the basis of the data presented for Season</w:t>
      </w:r>
      <w:r w:rsidR="00652C20">
        <w:t> </w:t>
      </w:r>
      <w:r w:rsidR="004F271E" w:rsidRPr="00EC57FB">
        <w:t>1.</w:t>
      </w:r>
      <w:bookmarkEnd w:id="120"/>
    </w:p>
    <w:p w14:paraId="2BB0F89C" w14:textId="103BB1E2" w:rsidR="001470D2" w:rsidRPr="00EC57FB" w:rsidRDefault="00275533" w:rsidP="00DC4191">
      <w:pPr>
        <w:pStyle w:val="3-BodyText"/>
        <w:rPr>
          <w:iCs/>
          <w:color w:val="000000" w:themeColor="text1"/>
        </w:rPr>
      </w:pPr>
      <w:r w:rsidRPr="00EC57FB">
        <w:rPr>
          <w:color w:val="000000" w:themeColor="text1"/>
          <w:u w:val="single"/>
        </w:rPr>
        <w:t>Population</w:t>
      </w:r>
      <w:r w:rsidR="00FD2939" w:rsidRPr="00EC57FB">
        <w:rPr>
          <w:color w:val="000000" w:themeColor="text1"/>
          <w:u w:val="single"/>
        </w:rPr>
        <w:t xml:space="preserve"> </w:t>
      </w:r>
      <w:r w:rsidR="00456B23" w:rsidRPr="00EC57FB">
        <w:rPr>
          <w:color w:val="000000" w:themeColor="text1"/>
          <w:u w:val="single"/>
        </w:rPr>
        <w:t>B</w:t>
      </w:r>
      <w:r w:rsidR="00FD2939" w:rsidRPr="00EC57FB">
        <w:rPr>
          <w:color w:val="000000" w:themeColor="text1"/>
          <w:u w:val="single"/>
        </w:rPr>
        <w:t>:</w:t>
      </w:r>
      <w:r w:rsidR="00FD2939" w:rsidRPr="00EC57FB">
        <w:rPr>
          <w:color w:val="000000" w:themeColor="text1"/>
        </w:rPr>
        <w:t xml:space="preserve"> </w:t>
      </w:r>
      <w:r w:rsidR="00782AEE" w:rsidRPr="00EC57FB">
        <w:rPr>
          <w:color w:val="000000" w:themeColor="text1"/>
        </w:rPr>
        <w:t xml:space="preserve">Regarding the </w:t>
      </w:r>
      <w:r w:rsidR="001169E4" w:rsidRPr="00EC57FB">
        <w:rPr>
          <w:color w:val="000000" w:themeColor="text1"/>
        </w:rPr>
        <w:t>population of infants</w:t>
      </w:r>
      <w:r w:rsidR="00F805BB" w:rsidRPr="00EC57FB">
        <w:rPr>
          <w:color w:val="000000" w:themeColor="text1"/>
        </w:rPr>
        <w:t xml:space="preserve"> </w:t>
      </w:r>
      <w:r w:rsidR="007E2599" w:rsidRPr="00EC57FB">
        <w:rPr>
          <w:color w:val="000000" w:themeColor="text1"/>
        </w:rPr>
        <w:t>experiencing their first RSV season</w:t>
      </w:r>
      <w:r w:rsidR="00F805BB" w:rsidRPr="00EC57FB">
        <w:rPr>
          <w:color w:val="000000" w:themeColor="text1"/>
        </w:rPr>
        <w:t xml:space="preserve"> </w:t>
      </w:r>
      <w:r w:rsidR="004B1A97" w:rsidRPr="00EC57FB">
        <w:rPr>
          <w:color w:val="000000" w:themeColor="text1"/>
        </w:rPr>
        <w:t>where the mother received RSVpreF but where the immune response to the vaccine (in terms of prevention of RSV disease in the infant) may be impaired</w:t>
      </w:r>
      <w:r w:rsidR="0052332C" w:rsidRPr="00EC57FB">
        <w:rPr>
          <w:color w:val="000000" w:themeColor="text1"/>
        </w:rPr>
        <w:t>, the resubmission claim</w:t>
      </w:r>
      <w:r w:rsidR="00CC1F68" w:rsidRPr="00EC57FB">
        <w:rPr>
          <w:color w:val="000000" w:themeColor="text1"/>
        </w:rPr>
        <w:t>ed</w:t>
      </w:r>
      <w:r w:rsidR="0052332C" w:rsidRPr="00EC57FB">
        <w:rPr>
          <w:color w:val="000000" w:themeColor="text1"/>
        </w:rPr>
        <w:t xml:space="preserve"> superiority of nirsevimab after </w:t>
      </w:r>
      <w:r w:rsidR="00485EA7" w:rsidRPr="00EC57FB">
        <w:rPr>
          <w:color w:val="000000" w:themeColor="text1"/>
        </w:rPr>
        <w:t>RSVpreF maternal</w:t>
      </w:r>
      <w:r w:rsidR="0052332C" w:rsidRPr="00EC57FB">
        <w:rPr>
          <w:color w:val="000000" w:themeColor="text1"/>
        </w:rPr>
        <w:t xml:space="preserve"> vaccination versus </w:t>
      </w:r>
      <w:r w:rsidR="00485EA7" w:rsidRPr="00EC57FB">
        <w:rPr>
          <w:color w:val="000000" w:themeColor="text1"/>
        </w:rPr>
        <w:t>RSVpreF maternal</w:t>
      </w:r>
      <w:r w:rsidR="0052332C" w:rsidRPr="00EC57FB">
        <w:rPr>
          <w:color w:val="000000" w:themeColor="text1"/>
        </w:rPr>
        <w:t xml:space="preserve"> vaccination alone</w:t>
      </w:r>
      <w:r w:rsidR="004315BB" w:rsidRPr="00EC57FB">
        <w:rPr>
          <w:color w:val="000000" w:themeColor="text1"/>
        </w:rPr>
        <w:t xml:space="preserve"> </w:t>
      </w:r>
      <w:r w:rsidR="004315BB" w:rsidRPr="00EC57FB">
        <w:t>(noting that a clinical claim was not made in the submission for this specific population, but it is implicitly part of the nirsevimab vs RSVpreF claim)</w:t>
      </w:r>
      <w:r w:rsidR="0052332C" w:rsidRPr="00EC57FB">
        <w:rPr>
          <w:color w:val="000000" w:themeColor="text1"/>
        </w:rPr>
        <w:t xml:space="preserve">. </w:t>
      </w:r>
      <w:r w:rsidR="006A0D7C" w:rsidRPr="00EC57FB">
        <w:rPr>
          <w:color w:val="000000" w:themeColor="text1"/>
        </w:rPr>
        <w:t>N</w:t>
      </w:r>
      <w:r w:rsidR="00806E99" w:rsidRPr="00EC57FB">
        <w:rPr>
          <w:color w:val="000000" w:themeColor="text1"/>
        </w:rPr>
        <w:t xml:space="preserve">o evidence to support </w:t>
      </w:r>
      <w:r w:rsidR="00FD34FC" w:rsidRPr="00EC57FB">
        <w:rPr>
          <w:color w:val="000000" w:themeColor="text1"/>
        </w:rPr>
        <w:t>this</w:t>
      </w:r>
      <w:r w:rsidR="00806E99" w:rsidRPr="00EC57FB">
        <w:rPr>
          <w:color w:val="000000" w:themeColor="text1"/>
        </w:rPr>
        <w:t xml:space="preserve"> claim </w:t>
      </w:r>
      <w:r w:rsidR="00FD34FC" w:rsidRPr="00EC57FB">
        <w:rPr>
          <w:color w:val="000000" w:themeColor="text1"/>
        </w:rPr>
        <w:t>wa</w:t>
      </w:r>
      <w:r w:rsidR="00806E99" w:rsidRPr="00EC57FB">
        <w:rPr>
          <w:color w:val="000000" w:themeColor="text1"/>
        </w:rPr>
        <w:t>s presented in the resubmission</w:t>
      </w:r>
      <w:r w:rsidR="00AA3C20" w:rsidRPr="00EC57FB">
        <w:rPr>
          <w:color w:val="000000" w:themeColor="text1"/>
        </w:rPr>
        <w:t>.</w:t>
      </w:r>
      <w:r w:rsidR="0041766B" w:rsidRPr="00EC57FB">
        <w:rPr>
          <w:color w:val="000000" w:themeColor="text1"/>
        </w:rPr>
        <w:t xml:space="preserve"> T</w:t>
      </w:r>
      <w:r w:rsidR="00891D3C" w:rsidRPr="00EC57FB">
        <w:rPr>
          <w:color w:val="000000" w:themeColor="text1"/>
        </w:rPr>
        <w:t>he PBAC</w:t>
      </w:r>
      <w:r w:rsidRPr="00EC57FB">
        <w:rPr>
          <w:color w:val="000000" w:themeColor="text1"/>
        </w:rPr>
        <w:t>,</w:t>
      </w:r>
      <w:r w:rsidR="00891D3C" w:rsidRPr="00EC57FB">
        <w:rPr>
          <w:color w:val="000000" w:themeColor="text1"/>
        </w:rPr>
        <w:t xml:space="preserve"> in its consideration of the </w:t>
      </w:r>
      <w:r w:rsidR="003172A2" w:rsidRPr="00EC57FB">
        <w:rPr>
          <w:color w:val="000000" w:themeColor="text1"/>
        </w:rPr>
        <w:t xml:space="preserve">first </w:t>
      </w:r>
      <w:r w:rsidR="00891D3C" w:rsidRPr="00EC57FB">
        <w:rPr>
          <w:color w:val="000000" w:themeColor="text1"/>
        </w:rPr>
        <w:t>submission</w:t>
      </w:r>
      <w:r w:rsidRPr="00EC57FB">
        <w:rPr>
          <w:color w:val="000000" w:themeColor="text1"/>
        </w:rPr>
        <w:t>,</w:t>
      </w:r>
      <w:r w:rsidR="00891D3C" w:rsidRPr="00EC57FB">
        <w:rPr>
          <w:color w:val="000000" w:themeColor="text1"/>
        </w:rPr>
        <w:t xml:space="preserve"> acknowledged that the </w:t>
      </w:r>
      <w:r w:rsidR="00FD2939" w:rsidRPr="00EC57FB">
        <w:rPr>
          <w:color w:val="000000" w:themeColor="text1"/>
        </w:rPr>
        <w:t xml:space="preserve">additional benefits of nirsevimab </w:t>
      </w:r>
      <w:r w:rsidR="00891D3C" w:rsidRPr="00EC57FB">
        <w:rPr>
          <w:color w:val="000000" w:themeColor="text1"/>
        </w:rPr>
        <w:t xml:space="preserve">given in addition to the maternal </w:t>
      </w:r>
      <w:r w:rsidR="00BC5781">
        <w:rPr>
          <w:color w:val="000000" w:themeColor="text1"/>
        </w:rPr>
        <w:t>RSV</w:t>
      </w:r>
      <w:r w:rsidR="00891D3C" w:rsidRPr="00EC57FB">
        <w:rPr>
          <w:color w:val="000000" w:themeColor="text1"/>
        </w:rPr>
        <w:t xml:space="preserve">preF vaccine in this population </w:t>
      </w:r>
      <w:r w:rsidR="00FD2939" w:rsidRPr="00EC57FB">
        <w:rPr>
          <w:color w:val="000000" w:themeColor="text1"/>
        </w:rPr>
        <w:t>would be difficult to assess due to limited data</w:t>
      </w:r>
      <w:r w:rsidR="00891D3C" w:rsidRPr="00EC57FB">
        <w:rPr>
          <w:color w:val="000000" w:themeColor="text1"/>
        </w:rPr>
        <w:t xml:space="preserve"> and</w:t>
      </w:r>
      <w:r w:rsidR="00732F2D" w:rsidRPr="00EC57FB">
        <w:rPr>
          <w:color w:val="000000" w:themeColor="text1"/>
        </w:rPr>
        <w:t xml:space="preserve"> </w:t>
      </w:r>
      <w:r w:rsidR="00FD2939" w:rsidRPr="00EC57FB">
        <w:rPr>
          <w:color w:val="000000" w:themeColor="text1"/>
        </w:rPr>
        <w:t>considered that there may be a small number of instances where it may be clinically appropriate for an infant to receive nirsevimab after the mother had been vaccinated. The PBAC further considered that</w:t>
      </w:r>
      <w:r w:rsidRPr="00EC57FB">
        <w:rPr>
          <w:color w:val="000000" w:themeColor="text1"/>
        </w:rPr>
        <w:t>,</w:t>
      </w:r>
      <w:r w:rsidR="00FD2939" w:rsidRPr="00EC57FB">
        <w:rPr>
          <w:color w:val="000000" w:themeColor="text1"/>
        </w:rPr>
        <w:t xml:space="preserve"> if clinically justified, these infants should not be precluded from accessing nirsevimab</w:t>
      </w:r>
      <w:r w:rsidR="00352AD5" w:rsidRPr="00EC57FB">
        <w:rPr>
          <w:color w:val="000000" w:themeColor="text1"/>
        </w:rPr>
        <w:t xml:space="preserve"> (paragraph 7.10, nirsevi</w:t>
      </w:r>
      <w:r w:rsidR="00D77558" w:rsidRPr="00EC57FB">
        <w:rPr>
          <w:color w:val="000000" w:themeColor="text1"/>
        </w:rPr>
        <w:t>mab PSD, July 2024)</w:t>
      </w:r>
      <w:r w:rsidR="00FD2939" w:rsidRPr="00EC57FB">
        <w:rPr>
          <w:color w:val="000000" w:themeColor="text1"/>
        </w:rPr>
        <w:t>.</w:t>
      </w:r>
      <w:r w:rsidR="00577C66">
        <w:rPr>
          <w:color w:val="000000" w:themeColor="text1"/>
        </w:rPr>
        <w:t xml:space="preserve"> </w:t>
      </w:r>
      <w:r w:rsidR="001470D2" w:rsidRPr="00EC57FB">
        <w:rPr>
          <w:rFonts w:eastAsia="Calibri"/>
          <w:iCs/>
        </w:rPr>
        <w:t xml:space="preserve">The PBAC </w:t>
      </w:r>
      <w:r w:rsidR="004F271E" w:rsidRPr="00EC57FB">
        <w:rPr>
          <w:rFonts w:eastAsia="Calibri"/>
          <w:iCs/>
        </w:rPr>
        <w:t xml:space="preserve">considered </w:t>
      </w:r>
      <w:r w:rsidR="004F271E" w:rsidRPr="00EC57FB">
        <w:t xml:space="preserve">the magnitude of clinical benefit was uncertain </w:t>
      </w:r>
      <w:r w:rsidR="004F271E" w:rsidRPr="00EC57FB">
        <w:rPr>
          <w:rFonts w:eastAsia="Calibri"/>
          <w:iCs/>
        </w:rPr>
        <w:t xml:space="preserve">when </w:t>
      </w:r>
      <w:r w:rsidR="001470D2" w:rsidRPr="00EC57FB">
        <w:rPr>
          <w:rFonts w:eastAsia="Calibri"/>
          <w:iCs/>
        </w:rPr>
        <w:t xml:space="preserve">nirsevimab </w:t>
      </w:r>
      <w:r w:rsidR="004F271E" w:rsidRPr="00EC57FB">
        <w:rPr>
          <w:rFonts w:eastAsia="Calibri"/>
          <w:iCs/>
        </w:rPr>
        <w:t xml:space="preserve">is used </w:t>
      </w:r>
      <w:r w:rsidR="001470D2" w:rsidRPr="00EC57FB">
        <w:rPr>
          <w:rFonts w:eastAsia="Calibri"/>
          <w:iCs/>
        </w:rPr>
        <w:t>after maternal RSVpreF vaccination</w:t>
      </w:r>
      <w:r w:rsidR="004F271E" w:rsidRPr="00EC57FB">
        <w:rPr>
          <w:rFonts w:eastAsia="Calibri"/>
          <w:iCs/>
        </w:rPr>
        <w:t xml:space="preserve">, however consistent with its previous advice </w:t>
      </w:r>
      <w:r w:rsidR="004F271E" w:rsidRPr="00EC57FB">
        <w:t>considered that use of nirsevimab was appropriate in this populations consistent with the AIH recommendations.</w:t>
      </w:r>
      <w:r w:rsidR="00577C66">
        <w:t xml:space="preserve"> </w:t>
      </w:r>
      <w:r w:rsidR="0036000D" w:rsidRPr="00EC57FB">
        <w:t>The PBAC considered it was reasonable to conclude that nirsevimab would provide a meaningful benefit in these infants with suboptimal RSV antibodies despite the mother having received RSVpreF.</w:t>
      </w:r>
    </w:p>
    <w:p w14:paraId="08D23AEF" w14:textId="0B06176E" w:rsidR="00460747" w:rsidRPr="00EC57FB" w:rsidRDefault="007E2599" w:rsidP="007B4DDA">
      <w:pPr>
        <w:pStyle w:val="3-BodyText"/>
        <w:rPr>
          <w:color w:val="000000" w:themeColor="text1"/>
        </w:rPr>
      </w:pPr>
      <w:r w:rsidRPr="00EC57FB">
        <w:rPr>
          <w:color w:val="000000" w:themeColor="text1"/>
          <w:u w:val="single"/>
        </w:rPr>
        <w:t xml:space="preserve">Population </w:t>
      </w:r>
      <w:r w:rsidR="00F6046B" w:rsidRPr="00EC57FB">
        <w:rPr>
          <w:color w:val="000000" w:themeColor="text1"/>
          <w:u w:val="single"/>
        </w:rPr>
        <w:t>C</w:t>
      </w:r>
      <w:r w:rsidRPr="00EC57FB">
        <w:rPr>
          <w:color w:val="000000" w:themeColor="text1"/>
          <w:u w:val="single"/>
        </w:rPr>
        <w:t>(a):</w:t>
      </w:r>
      <w:r w:rsidRPr="00EC57FB">
        <w:rPr>
          <w:color w:val="000000" w:themeColor="text1"/>
        </w:rPr>
        <w:t xml:space="preserve"> Regarding infants with risk conditions experiencing their first RSV season</w:t>
      </w:r>
      <w:r w:rsidR="00EA3FF3" w:rsidRPr="00EC57FB">
        <w:rPr>
          <w:color w:val="000000" w:themeColor="text1"/>
        </w:rPr>
        <w:t xml:space="preserve"> where the mother did not receive the maternal </w:t>
      </w:r>
      <w:r w:rsidR="00C943C6" w:rsidRPr="00EC57FB">
        <w:rPr>
          <w:color w:val="000000" w:themeColor="text1"/>
        </w:rPr>
        <w:t>RSV</w:t>
      </w:r>
      <w:r w:rsidR="00EA3FF3" w:rsidRPr="00EC57FB">
        <w:rPr>
          <w:color w:val="000000" w:themeColor="text1"/>
        </w:rPr>
        <w:t>preF vaccine,</w:t>
      </w:r>
      <w:r w:rsidR="005D5883" w:rsidRPr="00EC57FB">
        <w:rPr>
          <w:color w:val="000000" w:themeColor="text1"/>
        </w:rPr>
        <w:t xml:space="preserve"> the</w:t>
      </w:r>
      <w:r w:rsidR="00DB1D07" w:rsidRPr="00EC57FB">
        <w:rPr>
          <w:color w:val="000000" w:themeColor="text1"/>
        </w:rPr>
        <w:t xml:space="preserve"> resubmission claim</w:t>
      </w:r>
      <w:r w:rsidR="004110F9" w:rsidRPr="00EC57FB">
        <w:rPr>
          <w:color w:val="000000" w:themeColor="text1"/>
        </w:rPr>
        <w:t>ed</w:t>
      </w:r>
      <w:r w:rsidR="00DB1D07" w:rsidRPr="00EC57FB">
        <w:rPr>
          <w:color w:val="000000" w:themeColor="text1"/>
        </w:rPr>
        <w:t xml:space="preserve"> superiority </w:t>
      </w:r>
      <w:r w:rsidR="003F580C" w:rsidRPr="00EC57FB">
        <w:rPr>
          <w:color w:val="000000" w:themeColor="text1"/>
        </w:rPr>
        <w:t xml:space="preserve">of nirsevimab over no immunisation. </w:t>
      </w:r>
      <w:r w:rsidR="00E31023" w:rsidRPr="00EC57FB">
        <w:rPr>
          <w:color w:val="000000" w:themeColor="text1"/>
        </w:rPr>
        <w:t>The MEDLEY</w:t>
      </w:r>
      <w:r w:rsidR="00E1177B" w:rsidRPr="00EC57FB">
        <w:rPr>
          <w:color w:val="000000" w:themeColor="text1"/>
        </w:rPr>
        <w:t xml:space="preserve"> randomised controlled trial in children with risk conditions entering their first RSV season </w:t>
      </w:r>
      <w:r w:rsidR="00E8728A" w:rsidRPr="00EC57FB">
        <w:rPr>
          <w:color w:val="000000" w:themeColor="text1"/>
        </w:rPr>
        <w:t>compared nirsevimab and palivizumab</w:t>
      </w:r>
      <w:r w:rsidR="00601300" w:rsidRPr="00EC57FB">
        <w:rPr>
          <w:color w:val="000000" w:themeColor="text1"/>
        </w:rPr>
        <w:t xml:space="preserve">, although </w:t>
      </w:r>
      <w:r w:rsidR="00F905B6" w:rsidRPr="00EC57FB">
        <w:rPr>
          <w:color w:val="000000" w:themeColor="text1"/>
        </w:rPr>
        <w:t>the trial was no</w:t>
      </w:r>
      <w:r w:rsidR="00196F9B" w:rsidRPr="00EC57FB">
        <w:rPr>
          <w:color w:val="000000" w:themeColor="text1"/>
        </w:rPr>
        <w:t xml:space="preserve">t designed </w:t>
      </w:r>
      <w:r w:rsidR="005D2FFE" w:rsidRPr="00EC57FB">
        <w:rPr>
          <w:color w:val="000000" w:themeColor="text1"/>
        </w:rPr>
        <w:t xml:space="preserve">or powered to </w:t>
      </w:r>
      <w:r w:rsidR="007942EA" w:rsidRPr="00EC57FB">
        <w:rPr>
          <w:color w:val="000000" w:themeColor="text1"/>
        </w:rPr>
        <w:t xml:space="preserve">determine whether nirsevimab was superior or non-inferior to </w:t>
      </w:r>
      <w:r w:rsidR="00CC3E94" w:rsidRPr="00EC57FB">
        <w:rPr>
          <w:color w:val="000000" w:themeColor="text1"/>
        </w:rPr>
        <w:t>palivizumab.</w:t>
      </w:r>
      <w:r w:rsidR="007542A0" w:rsidRPr="00EC57FB">
        <w:rPr>
          <w:color w:val="000000" w:themeColor="text1"/>
        </w:rPr>
        <w:t xml:space="preserve"> </w:t>
      </w:r>
      <w:r w:rsidR="00860FAD" w:rsidRPr="00EC57FB">
        <w:rPr>
          <w:color w:val="000000" w:themeColor="text1"/>
        </w:rPr>
        <w:t>The</w:t>
      </w:r>
      <w:r w:rsidR="0020333F" w:rsidRPr="00EC57FB">
        <w:rPr>
          <w:color w:val="000000" w:themeColor="text1"/>
        </w:rPr>
        <w:t xml:space="preserve"> results of</w:t>
      </w:r>
      <w:r w:rsidR="00210E9E" w:rsidRPr="00EC57FB">
        <w:rPr>
          <w:color w:val="000000" w:themeColor="text1"/>
        </w:rPr>
        <w:t xml:space="preserve"> an</w:t>
      </w:r>
      <w:r w:rsidR="00860FAD" w:rsidRPr="00EC57FB">
        <w:rPr>
          <w:color w:val="000000" w:themeColor="text1"/>
        </w:rPr>
        <w:t xml:space="preserve"> </w:t>
      </w:r>
      <w:r w:rsidR="00B72425" w:rsidRPr="00EC57FB">
        <w:rPr>
          <w:color w:val="000000" w:themeColor="text1"/>
        </w:rPr>
        <w:t xml:space="preserve">ITC </w:t>
      </w:r>
      <w:r w:rsidR="00210E9E" w:rsidRPr="00EC57FB">
        <w:rPr>
          <w:color w:val="000000" w:themeColor="text1"/>
        </w:rPr>
        <w:t xml:space="preserve">conducted during the evaluation </w:t>
      </w:r>
      <w:r w:rsidR="00B72425" w:rsidRPr="00EC57FB">
        <w:rPr>
          <w:color w:val="000000" w:themeColor="text1"/>
        </w:rPr>
        <w:t xml:space="preserve">comparing </w:t>
      </w:r>
      <w:r w:rsidR="00B352F8" w:rsidRPr="00EC57FB">
        <w:rPr>
          <w:color w:val="000000" w:themeColor="text1"/>
        </w:rPr>
        <w:t>nirsevimab and no immunisation</w:t>
      </w:r>
      <w:r w:rsidR="00EB1EC9" w:rsidRPr="00EC57FB">
        <w:rPr>
          <w:color w:val="000000" w:themeColor="text1"/>
        </w:rPr>
        <w:t xml:space="preserve">, using palivizumab as the common reference </w:t>
      </w:r>
      <w:r w:rsidR="002D2E3F" w:rsidRPr="00EC57FB">
        <w:rPr>
          <w:color w:val="000000" w:themeColor="text1"/>
        </w:rPr>
        <w:t xml:space="preserve">were </w:t>
      </w:r>
      <w:r w:rsidR="002704A4" w:rsidRPr="00EC57FB">
        <w:rPr>
          <w:color w:val="000000" w:themeColor="text1"/>
        </w:rPr>
        <w:t>consistent</w:t>
      </w:r>
      <w:r w:rsidR="0089622B" w:rsidRPr="00EC57FB">
        <w:rPr>
          <w:color w:val="000000" w:themeColor="text1"/>
        </w:rPr>
        <w:t xml:space="preserve"> </w:t>
      </w:r>
      <w:r w:rsidR="002704A4" w:rsidRPr="00EC57FB">
        <w:rPr>
          <w:color w:val="000000" w:themeColor="text1"/>
        </w:rPr>
        <w:t>in healthy children</w:t>
      </w:r>
      <w:r w:rsidR="0089622B" w:rsidRPr="00EC57FB">
        <w:rPr>
          <w:color w:val="000000" w:themeColor="text1"/>
        </w:rPr>
        <w:t xml:space="preserve"> </w:t>
      </w:r>
      <w:r w:rsidR="00F05A7B" w:rsidRPr="00EC57FB">
        <w:rPr>
          <w:color w:val="000000" w:themeColor="text1"/>
        </w:rPr>
        <w:t>(</w:t>
      </w:r>
      <w:r w:rsidR="0089622B" w:rsidRPr="00EC57FB">
        <w:rPr>
          <w:color w:val="000000" w:themeColor="text1"/>
        </w:rPr>
        <w:t xml:space="preserve">paragraph </w:t>
      </w:r>
      <w:r w:rsidR="0089622B" w:rsidRPr="00EC57FB">
        <w:rPr>
          <w:color w:val="000000" w:themeColor="text1"/>
        </w:rPr>
        <w:fldChar w:fldCharType="begin"/>
      </w:r>
      <w:r w:rsidR="0089622B" w:rsidRPr="00EC57FB">
        <w:rPr>
          <w:color w:val="000000" w:themeColor="text1"/>
        </w:rPr>
        <w:instrText xml:space="preserve"> REF _Ref187073570 \r \h  \* MERGEFORMAT </w:instrText>
      </w:r>
      <w:r w:rsidR="0089622B" w:rsidRPr="00EC57FB">
        <w:rPr>
          <w:color w:val="000000" w:themeColor="text1"/>
        </w:rPr>
      </w:r>
      <w:r w:rsidR="0089622B" w:rsidRPr="00EC57FB">
        <w:rPr>
          <w:color w:val="000000" w:themeColor="text1"/>
        </w:rPr>
        <w:fldChar w:fldCharType="separate"/>
      </w:r>
      <w:r w:rsidR="00502C25">
        <w:rPr>
          <w:color w:val="000000" w:themeColor="text1"/>
        </w:rPr>
        <w:t>6.35</w:t>
      </w:r>
      <w:r w:rsidR="0089622B" w:rsidRPr="00EC57FB">
        <w:rPr>
          <w:color w:val="000000" w:themeColor="text1"/>
        </w:rPr>
        <w:fldChar w:fldCharType="end"/>
      </w:r>
      <w:r w:rsidR="00F05A7B" w:rsidRPr="00EC57FB">
        <w:rPr>
          <w:color w:val="000000" w:themeColor="text1"/>
        </w:rPr>
        <w:t>)</w:t>
      </w:r>
      <w:r w:rsidR="001130BF" w:rsidRPr="00EC57FB">
        <w:rPr>
          <w:color w:val="000000" w:themeColor="text1"/>
        </w:rPr>
        <w:t>, although</w:t>
      </w:r>
      <w:r w:rsidR="002704A4" w:rsidRPr="00EC57FB">
        <w:rPr>
          <w:color w:val="000000" w:themeColor="text1"/>
        </w:rPr>
        <w:t xml:space="preserve"> the confidence interval </w:t>
      </w:r>
      <w:r w:rsidR="000957E5" w:rsidRPr="00EC57FB">
        <w:rPr>
          <w:color w:val="000000" w:themeColor="text1"/>
        </w:rPr>
        <w:lastRenderedPageBreak/>
        <w:t xml:space="preserve">around the </w:t>
      </w:r>
      <w:r w:rsidR="001130BF" w:rsidRPr="00EC57FB">
        <w:rPr>
          <w:color w:val="000000" w:themeColor="text1"/>
        </w:rPr>
        <w:t xml:space="preserve">efficacy </w:t>
      </w:r>
      <w:r w:rsidR="007747DE" w:rsidRPr="00EC57FB">
        <w:rPr>
          <w:color w:val="000000" w:themeColor="text1"/>
        </w:rPr>
        <w:t>estimate was</w:t>
      </w:r>
      <w:r w:rsidR="002704A4" w:rsidRPr="00EC57FB">
        <w:rPr>
          <w:color w:val="000000" w:themeColor="text1"/>
        </w:rPr>
        <w:t xml:space="preserve"> wide and the difference vs placebo </w:t>
      </w:r>
      <w:r w:rsidR="00CB4DB6" w:rsidRPr="00EC57FB">
        <w:rPr>
          <w:color w:val="000000" w:themeColor="text1"/>
        </w:rPr>
        <w:t xml:space="preserve">was </w:t>
      </w:r>
      <w:r w:rsidR="002704A4" w:rsidRPr="00EC57FB">
        <w:rPr>
          <w:color w:val="000000" w:themeColor="text1"/>
        </w:rPr>
        <w:t>not statistical</w:t>
      </w:r>
      <w:r w:rsidR="00CB4DB6" w:rsidRPr="00EC57FB">
        <w:rPr>
          <w:color w:val="000000" w:themeColor="text1"/>
        </w:rPr>
        <w:t>ly significant</w:t>
      </w:r>
      <w:r w:rsidR="002704A4" w:rsidRPr="00EC57FB">
        <w:rPr>
          <w:color w:val="000000" w:themeColor="text1"/>
        </w:rPr>
        <w:t xml:space="preserve">. </w:t>
      </w:r>
    </w:p>
    <w:p w14:paraId="48BBCF4F" w14:textId="5D9E755F" w:rsidR="002C1E7B" w:rsidRPr="00EC57FB" w:rsidRDefault="00A9261F" w:rsidP="007B4DDA">
      <w:pPr>
        <w:pStyle w:val="3-BodyText"/>
        <w:rPr>
          <w:color w:val="000000" w:themeColor="text1"/>
        </w:rPr>
      </w:pPr>
      <w:r w:rsidRPr="00EC57FB">
        <w:rPr>
          <w:color w:val="000000" w:themeColor="text1"/>
        </w:rPr>
        <w:t xml:space="preserve">The Phase 2b trial included a subgroup of infants with gestational age &gt; 29 weeks to </w:t>
      </w:r>
      <w:r w:rsidRPr="00EC57FB">
        <w:rPr>
          <w:rFonts w:cstheme="minorHAnsi"/>
          <w:color w:val="000000" w:themeColor="text1"/>
        </w:rPr>
        <w:t>≥</w:t>
      </w:r>
      <w:r w:rsidR="002A6DD4" w:rsidRPr="00EC57FB">
        <w:rPr>
          <w:color w:val="000000" w:themeColor="text1"/>
        </w:rPr>
        <w:t> </w:t>
      </w:r>
      <w:r w:rsidRPr="00EC57FB">
        <w:rPr>
          <w:color w:val="000000" w:themeColor="text1"/>
        </w:rPr>
        <w:t xml:space="preserve">32 weeks (34% of infants in the Phase 2b trial) and would be considered to have a risk condition. The effectiveness of nirsevimab in these infants </w:t>
      </w:r>
      <w:r w:rsidR="00565F48" w:rsidRPr="00EC57FB">
        <w:rPr>
          <w:color w:val="000000" w:themeColor="text1"/>
        </w:rPr>
        <w:t>w</w:t>
      </w:r>
      <w:r w:rsidR="001F2872" w:rsidRPr="00EC57FB">
        <w:rPr>
          <w:color w:val="000000" w:themeColor="text1"/>
        </w:rPr>
        <w:t>as</w:t>
      </w:r>
      <w:r w:rsidRPr="00EC57FB">
        <w:rPr>
          <w:color w:val="000000" w:themeColor="text1"/>
        </w:rPr>
        <w:t xml:space="preserve"> </w:t>
      </w:r>
      <w:r w:rsidR="001F2872" w:rsidRPr="00EC57FB">
        <w:rPr>
          <w:color w:val="000000" w:themeColor="text1"/>
        </w:rPr>
        <w:t>similar to</w:t>
      </w:r>
      <w:r w:rsidRPr="00EC57FB">
        <w:rPr>
          <w:color w:val="000000" w:themeColor="text1"/>
        </w:rPr>
        <w:t xml:space="preserve"> the effectiveness observed in the MELODY trial. </w:t>
      </w:r>
    </w:p>
    <w:p w14:paraId="26DBC2E9" w14:textId="449D1FBF" w:rsidR="0036000D" w:rsidRPr="00EC57FB" w:rsidRDefault="00B84CBE">
      <w:pPr>
        <w:pStyle w:val="3-BodyText"/>
        <w:rPr>
          <w:color w:val="000000" w:themeColor="text1"/>
        </w:rPr>
      </w:pPr>
      <w:r w:rsidRPr="00EC57FB">
        <w:t>The evaluation considered that b</w:t>
      </w:r>
      <w:r w:rsidR="0068367F" w:rsidRPr="00EC57FB">
        <w:t>ased</w:t>
      </w:r>
      <w:r w:rsidR="00244A69" w:rsidRPr="00EC57FB">
        <w:t xml:space="preserve"> on the evidence from the Phase 2b trial</w:t>
      </w:r>
      <w:r w:rsidR="00BB473C" w:rsidRPr="00EC57FB">
        <w:t>,</w:t>
      </w:r>
      <w:r w:rsidR="0068367F" w:rsidRPr="00EC57FB">
        <w:t xml:space="preserve"> </w:t>
      </w:r>
      <w:r w:rsidR="002814EB" w:rsidRPr="00EC57FB">
        <w:t xml:space="preserve">and </w:t>
      </w:r>
      <w:r w:rsidR="00244A69" w:rsidRPr="00EC57FB">
        <w:t xml:space="preserve">the evidence from the </w:t>
      </w:r>
      <w:r w:rsidR="00783445" w:rsidRPr="00EC57FB">
        <w:t>ITC</w:t>
      </w:r>
      <w:r w:rsidR="00244A69" w:rsidRPr="00EC57FB">
        <w:t xml:space="preserve"> of nirsevimab and no immunisation using palivizumab as the common reference, the claim of superiority of nirsevimab versus no immunisation </w:t>
      </w:r>
      <w:r w:rsidR="00EA734E" w:rsidRPr="00EC57FB">
        <w:t>in Population C(a)</w:t>
      </w:r>
      <w:r w:rsidR="00244A69" w:rsidRPr="00EC57FB">
        <w:t xml:space="preserve"> can be considered reasonable though there is uncertainty around the magnitude of benefit</w:t>
      </w:r>
      <w:r w:rsidR="000A2EA9" w:rsidRPr="00EC57FB">
        <w:t xml:space="preserve"> (noting that a clinical claim was not made in the submission for this specific population, but it </w:t>
      </w:r>
      <w:r w:rsidR="00585D63" w:rsidRPr="00EC57FB">
        <w:t>is</w:t>
      </w:r>
      <w:r w:rsidR="00585B76" w:rsidRPr="00EC57FB">
        <w:t xml:space="preserve"> implicitly</w:t>
      </w:r>
      <w:r w:rsidR="00585D63" w:rsidRPr="00EC57FB">
        <w:t xml:space="preserve"> part of the </w:t>
      </w:r>
      <w:r w:rsidR="00585B76" w:rsidRPr="00EC57FB">
        <w:t>nirsevimab vs no immunisation claim)</w:t>
      </w:r>
      <w:r w:rsidR="00244A69" w:rsidRPr="00EC57FB">
        <w:t>. Given the similarity of outcomes in healthy infants and infants with risk conditions, it may be reasonable to hypothesise that risk conditions are a prognostic factor rather than a modifier of treatment effect of nirsevimab.</w:t>
      </w:r>
      <w:r w:rsidR="00577C66">
        <w:rPr>
          <w:color w:val="000000" w:themeColor="text1"/>
        </w:rPr>
        <w:t xml:space="preserve"> </w:t>
      </w:r>
      <w:r w:rsidR="0036000D" w:rsidRPr="00EC57FB">
        <w:t xml:space="preserve">The PBAC considered it was reasonable to </w:t>
      </w:r>
      <w:r w:rsidR="00937FBC" w:rsidRPr="00EC57FB">
        <w:t xml:space="preserve">consider efficacy and safety in Population C(a) to be consistent with </w:t>
      </w:r>
      <w:r w:rsidR="0036000D" w:rsidRPr="00EC57FB">
        <w:t xml:space="preserve">Population A, as proposed by the sponsor and accepted by the ESC. </w:t>
      </w:r>
    </w:p>
    <w:p w14:paraId="09E0F39C" w14:textId="7442D429" w:rsidR="0036000D" w:rsidRPr="00EC57FB" w:rsidRDefault="005E258E" w:rsidP="00DC4191">
      <w:pPr>
        <w:pStyle w:val="3-BodyText"/>
      </w:pPr>
      <w:r w:rsidRPr="00EC57FB">
        <w:rPr>
          <w:color w:val="000000" w:themeColor="text1"/>
          <w:u w:val="single"/>
        </w:rPr>
        <w:t xml:space="preserve">Population </w:t>
      </w:r>
      <w:r w:rsidR="00F6046B" w:rsidRPr="00EC57FB">
        <w:rPr>
          <w:color w:val="000000" w:themeColor="text1"/>
          <w:u w:val="single"/>
        </w:rPr>
        <w:t>C</w:t>
      </w:r>
      <w:r w:rsidRPr="00EC57FB">
        <w:rPr>
          <w:color w:val="000000" w:themeColor="text1"/>
          <w:u w:val="single"/>
        </w:rPr>
        <w:t>(</w:t>
      </w:r>
      <w:r w:rsidR="007F2F53" w:rsidRPr="00EC57FB">
        <w:rPr>
          <w:color w:val="000000" w:themeColor="text1"/>
          <w:u w:val="single"/>
        </w:rPr>
        <w:t>b</w:t>
      </w:r>
      <w:r w:rsidRPr="00EC57FB">
        <w:rPr>
          <w:color w:val="000000" w:themeColor="text1"/>
          <w:u w:val="single"/>
        </w:rPr>
        <w:t>):</w:t>
      </w:r>
      <w:r w:rsidRPr="00EC57FB">
        <w:rPr>
          <w:color w:val="000000" w:themeColor="text1"/>
        </w:rPr>
        <w:t xml:space="preserve"> Regarding infants with risk conditions experiencing their first RSV season where the mother </w:t>
      </w:r>
      <w:r w:rsidR="007F2F53" w:rsidRPr="00EC57FB">
        <w:rPr>
          <w:color w:val="000000" w:themeColor="text1"/>
        </w:rPr>
        <w:t>had</w:t>
      </w:r>
      <w:r w:rsidRPr="00EC57FB">
        <w:rPr>
          <w:color w:val="000000" w:themeColor="text1"/>
        </w:rPr>
        <w:t xml:space="preserve"> receive</w:t>
      </w:r>
      <w:r w:rsidR="000A3895" w:rsidRPr="00EC57FB">
        <w:rPr>
          <w:color w:val="000000" w:themeColor="text1"/>
        </w:rPr>
        <w:t>d</w:t>
      </w:r>
      <w:r w:rsidRPr="00EC57FB">
        <w:rPr>
          <w:color w:val="000000" w:themeColor="text1"/>
        </w:rPr>
        <w:t xml:space="preserve"> the maternal </w:t>
      </w:r>
      <w:r w:rsidR="000A2CCD" w:rsidRPr="00EC57FB">
        <w:rPr>
          <w:color w:val="000000" w:themeColor="text1"/>
        </w:rPr>
        <w:t>RSV</w:t>
      </w:r>
      <w:r w:rsidRPr="00EC57FB">
        <w:rPr>
          <w:color w:val="000000" w:themeColor="text1"/>
        </w:rPr>
        <w:t>preF vaccine,</w:t>
      </w:r>
      <w:r w:rsidR="000A3895" w:rsidRPr="00EC57FB">
        <w:rPr>
          <w:color w:val="000000" w:themeColor="text1"/>
        </w:rPr>
        <w:t xml:space="preserve"> the resu</w:t>
      </w:r>
      <w:r w:rsidR="005821C0" w:rsidRPr="00EC57FB">
        <w:rPr>
          <w:color w:val="000000" w:themeColor="text1"/>
        </w:rPr>
        <w:t>bmission claim</w:t>
      </w:r>
      <w:r w:rsidR="00141328" w:rsidRPr="00EC57FB">
        <w:rPr>
          <w:color w:val="000000" w:themeColor="text1"/>
        </w:rPr>
        <w:t>ed</w:t>
      </w:r>
      <w:r w:rsidR="005821C0" w:rsidRPr="00EC57FB">
        <w:rPr>
          <w:color w:val="000000" w:themeColor="text1"/>
        </w:rPr>
        <w:t xml:space="preserve"> superiority </w:t>
      </w:r>
      <w:r w:rsidR="007674BA" w:rsidRPr="00EC57FB">
        <w:rPr>
          <w:color w:val="000000" w:themeColor="text1"/>
        </w:rPr>
        <w:t xml:space="preserve">for the use of both the maternal </w:t>
      </w:r>
      <w:r w:rsidR="000A2CCD" w:rsidRPr="00EC57FB">
        <w:rPr>
          <w:color w:val="000000" w:themeColor="text1"/>
        </w:rPr>
        <w:t>RSV</w:t>
      </w:r>
      <w:r w:rsidR="007674BA" w:rsidRPr="00EC57FB">
        <w:rPr>
          <w:color w:val="000000" w:themeColor="text1"/>
        </w:rPr>
        <w:t>preF</w:t>
      </w:r>
      <w:r w:rsidR="00844973" w:rsidRPr="00EC57FB">
        <w:rPr>
          <w:color w:val="000000" w:themeColor="text1"/>
        </w:rPr>
        <w:t xml:space="preserve"> vaccine and </w:t>
      </w:r>
      <w:r w:rsidR="00E25F4B" w:rsidRPr="00EC57FB">
        <w:rPr>
          <w:color w:val="000000" w:themeColor="text1"/>
        </w:rPr>
        <w:t>nirsevimab versus use of the maternal</w:t>
      </w:r>
      <w:r w:rsidR="00E82B40" w:rsidRPr="00EC57FB">
        <w:rPr>
          <w:color w:val="000000" w:themeColor="text1"/>
        </w:rPr>
        <w:t xml:space="preserve"> </w:t>
      </w:r>
      <w:r w:rsidR="000A2CCD" w:rsidRPr="00EC57FB">
        <w:rPr>
          <w:color w:val="000000" w:themeColor="text1"/>
        </w:rPr>
        <w:t>RSV</w:t>
      </w:r>
      <w:r w:rsidR="00E82B40" w:rsidRPr="00EC57FB">
        <w:rPr>
          <w:color w:val="000000" w:themeColor="text1"/>
        </w:rPr>
        <w:t>preF vaccine alone</w:t>
      </w:r>
      <w:r w:rsidR="00A157B3" w:rsidRPr="00EC57FB">
        <w:rPr>
          <w:color w:val="000000" w:themeColor="text1"/>
        </w:rPr>
        <w:t xml:space="preserve"> </w:t>
      </w:r>
      <w:r w:rsidR="00A157B3" w:rsidRPr="00EC57FB">
        <w:t xml:space="preserve">(noting that a clinical claim was not made in the submission for this specific population, but it is implicitly part of the nirsevimab vs </w:t>
      </w:r>
      <w:r w:rsidR="0099192F" w:rsidRPr="00EC57FB">
        <w:t>RSVpreF</w:t>
      </w:r>
      <w:r w:rsidR="00A157B3" w:rsidRPr="00EC57FB">
        <w:t xml:space="preserve"> claim)</w:t>
      </w:r>
      <w:r w:rsidR="00E82B40" w:rsidRPr="00EC57FB">
        <w:rPr>
          <w:color w:val="000000" w:themeColor="text1"/>
        </w:rPr>
        <w:t xml:space="preserve">. </w:t>
      </w:r>
      <w:r w:rsidR="003963C8" w:rsidRPr="00EC57FB">
        <w:rPr>
          <w:color w:val="000000" w:themeColor="text1"/>
        </w:rPr>
        <w:t xml:space="preserve">No evidence to support this claim was presented in the resubmission and </w:t>
      </w:r>
      <w:r w:rsidR="00B14828" w:rsidRPr="00EC57FB">
        <w:t>a</w:t>
      </w:r>
      <w:r w:rsidR="003963C8" w:rsidRPr="00EC57FB">
        <w:t xml:space="preserve"> pragmatic search of the literature conducted during the evaluation did not identify any </w:t>
      </w:r>
      <w:r w:rsidR="00B14828" w:rsidRPr="00EC57FB">
        <w:t xml:space="preserve">potentially </w:t>
      </w:r>
      <w:r w:rsidR="003963C8" w:rsidRPr="00EC57FB">
        <w:t>relevant studies</w:t>
      </w:r>
      <w:r w:rsidR="00B14828" w:rsidRPr="00EC57FB">
        <w:t>.</w:t>
      </w:r>
      <w:r w:rsidR="003963C8" w:rsidRPr="00EC57FB">
        <w:t xml:space="preserve"> </w:t>
      </w:r>
      <w:r w:rsidR="000A2CCD" w:rsidRPr="00EC57FB">
        <w:rPr>
          <w:iCs/>
        </w:rPr>
        <w:t xml:space="preserve">The ESC agreed with the evaluation that limited data are available to support that </w:t>
      </w:r>
      <w:r w:rsidR="00DF7474" w:rsidRPr="00EC57FB">
        <w:rPr>
          <w:iCs/>
        </w:rPr>
        <w:t>the addition of nirsevim</w:t>
      </w:r>
      <w:r w:rsidR="00BC5781">
        <w:rPr>
          <w:iCs/>
        </w:rPr>
        <w:t>a</w:t>
      </w:r>
      <w:r w:rsidR="00DF7474" w:rsidRPr="00EC57FB">
        <w:rPr>
          <w:iCs/>
        </w:rPr>
        <w:t>b to RSVpreF</w:t>
      </w:r>
      <w:r w:rsidR="000A2CCD" w:rsidRPr="00EC57FB">
        <w:rPr>
          <w:iCs/>
        </w:rPr>
        <w:t xml:space="preserve"> is superior to maternal RSVpreF alone.</w:t>
      </w:r>
      <w:r w:rsidR="00577C66">
        <w:rPr>
          <w:iCs/>
        </w:rPr>
        <w:t xml:space="preserve"> </w:t>
      </w:r>
      <w:r w:rsidR="005155AB" w:rsidRPr="00EC57FB">
        <w:rPr>
          <w:iCs/>
        </w:rPr>
        <w:t xml:space="preserve">The </w:t>
      </w:r>
      <w:r w:rsidR="00274258" w:rsidRPr="00EC57FB">
        <w:rPr>
          <w:iCs/>
        </w:rPr>
        <w:t xml:space="preserve">ESC considered </w:t>
      </w:r>
      <w:r w:rsidR="00674094" w:rsidRPr="00EC57FB">
        <w:rPr>
          <w:iCs/>
        </w:rPr>
        <w:t xml:space="preserve">that from a clinical perspective, </w:t>
      </w:r>
      <w:r w:rsidR="00274258" w:rsidRPr="00EC57FB">
        <w:rPr>
          <w:iCs/>
        </w:rPr>
        <w:t xml:space="preserve">it would be appropriate for infants at high risk of severe RSV </w:t>
      </w:r>
      <w:r w:rsidR="00674094" w:rsidRPr="00EC57FB">
        <w:rPr>
          <w:iCs/>
        </w:rPr>
        <w:t xml:space="preserve">to </w:t>
      </w:r>
      <w:r w:rsidR="00274258" w:rsidRPr="00EC57FB">
        <w:rPr>
          <w:iCs/>
        </w:rPr>
        <w:t>receive nirsevimab as specified in the AIH, including in cases where their mother had received RSVpreF</w:t>
      </w:r>
      <w:r w:rsidR="00FB2988" w:rsidRPr="00EC57FB">
        <w:rPr>
          <w:iCs/>
        </w:rPr>
        <w:t xml:space="preserve">, and noted </w:t>
      </w:r>
      <w:r w:rsidR="005155AB" w:rsidRPr="00EC57FB">
        <w:rPr>
          <w:iCs/>
        </w:rPr>
        <w:t>that ATAGI estimated this to be a small population based on the list of conditions known to result in high rates of hospitalisation following RSV as documented in the AIH.</w:t>
      </w:r>
      <w:r w:rsidR="00577C66">
        <w:rPr>
          <w:iCs/>
        </w:rPr>
        <w:t xml:space="preserve"> </w:t>
      </w:r>
      <w:r w:rsidR="0036000D" w:rsidRPr="00EC57FB">
        <w:t>The PBAC agreed with the ATAGI advice that noted the magnitude of the effectiveness of nirsevimab following maternal vaccination vs maternal vaccination alone was difficult to predict, and will change depending on the timing of the birth with respect to the first RSV season, however, it was plausible that nirsevimab will reduce the risk of RSV hospitalisations in infants who are at the highest risk of hospitalisation from RSV (Population C(b)).</w:t>
      </w:r>
      <w:r w:rsidR="00577C66">
        <w:t xml:space="preserve"> </w:t>
      </w:r>
    </w:p>
    <w:p w14:paraId="5AB458C7" w14:textId="19F8F66A" w:rsidR="001470D2" w:rsidRPr="00EC57FB" w:rsidRDefault="00A723F7" w:rsidP="001470D2">
      <w:pPr>
        <w:pStyle w:val="3-BodyText"/>
        <w:rPr>
          <w:rFonts w:eastAsia="Calibri"/>
          <w:iCs/>
        </w:rPr>
      </w:pPr>
      <w:r w:rsidRPr="00EC57FB">
        <w:rPr>
          <w:u w:val="single"/>
        </w:rPr>
        <w:t xml:space="preserve">Population </w:t>
      </w:r>
      <w:r w:rsidR="00BC5E97" w:rsidRPr="00EC57FB">
        <w:rPr>
          <w:u w:val="single"/>
        </w:rPr>
        <w:t>D</w:t>
      </w:r>
      <w:r w:rsidRPr="00EC57FB">
        <w:rPr>
          <w:u w:val="single"/>
        </w:rPr>
        <w:t>:</w:t>
      </w:r>
      <w:r w:rsidRPr="00EC57FB">
        <w:t xml:space="preserve"> </w:t>
      </w:r>
      <w:r w:rsidRPr="00EC57FB">
        <w:rPr>
          <w:color w:val="000000" w:themeColor="text1"/>
        </w:rPr>
        <w:t xml:space="preserve">Regarding infants with risk conditions experiencing their </w:t>
      </w:r>
      <w:r w:rsidR="00A45304" w:rsidRPr="00EC57FB">
        <w:rPr>
          <w:color w:val="000000" w:themeColor="text1"/>
        </w:rPr>
        <w:t>second</w:t>
      </w:r>
      <w:r w:rsidRPr="00EC57FB">
        <w:rPr>
          <w:color w:val="000000" w:themeColor="text1"/>
        </w:rPr>
        <w:t xml:space="preserve"> RSV</w:t>
      </w:r>
      <w:r w:rsidR="00A45304" w:rsidRPr="00EC57FB">
        <w:rPr>
          <w:color w:val="000000" w:themeColor="text1"/>
        </w:rPr>
        <w:t xml:space="preserve"> season</w:t>
      </w:r>
      <w:r w:rsidRPr="00EC57FB">
        <w:rPr>
          <w:color w:val="000000" w:themeColor="text1"/>
        </w:rPr>
        <w:t>,</w:t>
      </w:r>
      <w:r w:rsidR="00035B1C" w:rsidRPr="00EC57FB">
        <w:rPr>
          <w:color w:val="000000" w:themeColor="text1"/>
        </w:rPr>
        <w:t xml:space="preserve"> the resubmission claim</w:t>
      </w:r>
      <w:r w:rsidR="003666F0" w:rsidRPr="00EC57FB">
        <w:rPr>
          <w:color w:val="000000" w:themeColor="text1"/>
        </w:rPr>
        <w:t>ed</w:t>
      </w:r>
      <w:r w:rsidR="00035B1C" w:rsidRPr="00EC57FB">
        <w:rPr>
          <w:color w:val="000000" w:themeColor="text1"/>
        </w:rPr>
        <w:t xml:space="preserve"> superiority over no </w:t>
      </w:r>
      <w:r w:rsidR="00A45304" w:rsidRPr="00EC57FB">
        <w:rPr>
          <w:color w:val="000000" w:themeColor="text1"/>
        </w:rPr>
        <w:t xml:space="preserve">immunisation. </w:t>
      </w:r>
      <w:r w:rsidRPr="00EC57FB">
        <w:rPr>
          <w:color w:val="000000" w:themeColor="text1"/>
        </w:rPr>
        <w:t>The</w:t>
      </w:r>
      <w:r w:rsidR="00EA7AF4" w:rsidRPr="00EC57FB">
        <w:rPr>
          <w:color w:val="000000" w:themeColor="text1"/>
        </w:rPr>
        <w:t xml:space="preserve"> MEDLEY trial</w:t>
      </w:r>
      <w:r w:rsidR="00B90E27" w:rsidRPr="00EC57FB">
        <w:rPr>
          <w:color w:val="000000" w:themeColor="text1"/>
        </w:rPr>
        <w:t xml:space="preserve"> versus palivizumab included </w:t>
      </w:r>
      <w:r w:rsidRPr="00EC57FB">
        <w:rPr>
          <w:color w:val="000000" w:themeColor="text1"/>
        </w:rPr>
        <w:t xml:space="preserve">children </w:t>
      </w:r>
      <w:r w:rsidR="00B90E27" w:rsidRPr="00EC57FB">
        <w:rPr>
          <w:color w:val="000000" w:themeColor="text1"/>
        </w:rPr>
        <w:t xml:space="preserve">with CLD/CHD </w:t>
      </w:r>
      <w:r w:rsidRPr="00EC57FB">
        <w:rPr>
          <w:color w:val="000000" w:themeColor="text1"/>
        </w:rPr>
        <w:t xml:space="preserve">entering their second RSV season. </w:t>
      </w:r>
      <w:r w:rsidR="003D5F50" w:rsidRPr="00EC57FB">
        <w:rPr>
          <w:color w:val="000000" w:themeColor="text1"/>
        </w:rPr>
        <w:t>As discussed in paragraph</w:t>
      </w:r>
      <w:r w:rsidR="00D13905" w:rsidRPr="00EC57FB">
        <w:rPr>
          <w:color w:val="000000" w:themeColor="text1"/>
        </w:rPr>
        <w:t xml:space="preserve"> </w:t>
      </w:r>
      <w:r w:rsidR="00D13905" w:rsidRPr="00EC57FB">
        <w:rPr>
          <w:color w:val="000000" w:themeColor="text1"/>
        </w:rPr>
        <w:fldChar w:fldCharType="begin"/>
      </w:r>
      <w:r w:rsidR="00D13905" w:rsidRPr="00EC57FB">
        <w:rPr>
          <w:color w:val="000000" w:themeColor="text1"/>
        </w:rPr>
        <w:instrText xml:space="preserve"> REF _Ref187081489 \r \h </w:instrText>
      </w:r>
      <w:r w:rsidR="005747F8" w:rsidRPr="00EC57FB">
        <w:rPr>
          <w:color w:val="000000" w:themeColor="text1"/>
        </w:rPr>
        <w:instrText xml:space="preserve"> \* MERGEFORMAT </w:instrText>
      </w:r>
      <w:r w:rsidR="00D13905" w:rsidRPr="00EC57FB">
        <w:rPr>
          <w:color w:val="000000" w:themeColor="text1"/>
        </w:rPr>
      </w:r>
      <w:r w:rsidR="00D13905" w:rsidRPr="00EC57FB">
        <w:rPr>
          <w:color w:val="000000" w:themeColor="text1"/>
        </w:rPr>
        <w:fldChar w:fldCharType="separate"/>
      </w:r>
      <w:r w:rsidR="00502C25">
        <w:rPr>
          <w:color w:val="000000" w:themeColor="text1"/>
        </w:rPr>
        <w:t>6.43</w:t>
      </w:r>
      <w:r w:rsidR="00D13905" w:rsidRPr="00EC57FB">
        <w:rPr>
          <w:color w:val="000000" w:themeColor="text1"/>
        </w:rPr>
        <w:fldChar w:fldCharType="end"/>
      </w:r>
      <w:r w:rsidR="00E47566" w:rsidRPr="00EC57FB">
        <w:rPr>
          <w:color w:val="000000" w:themeColor="text1"/>
        </w:rPr>
        <w:t>, t</w:t>
      </w:r>
      <w:r w:rsidR="004D4798" w:rsidRPr="00EC57FB">
        <w:t xml:space="preserve">he primary source of evidence presented in the resubmission </w:t>
      </w:r>
      <w:r w:rsidR="00C725A1" w:rsidRPr="00EC57FB">
        <w:t>for this population</w:t>
      </w:r>
      <w:r w:rsidR="004D4798" w:rsidRPr="00EC57FB">
        <w:t xml:space="preserve"> was data from </w:t>
      </w:r>
      <w:r w:rsidR="000A651C" w:rsidRPr="00EC57FB">
        <w:t xml:space="preserve">a </w:t>
      </w:r>
      <w:r w:rsidR="004D4798" w:rsidRPr="00EC57FB">
        <w:t>state program in WA</w:t>
      </w:r>
      <w:r w:rsidR="00056941" w:rsidRPr="00EC57FB">
        <w:t xml:space="preserve">. </w:t>
      </w:r>
      <w:r w:rsidR="004D4798" w:rsidRPr="00EC57FB">
        <w:t xml:space="preserve">The point </w:t>
      </w:r>
      <w:r w:rsidR="004D4798" w:rsidRPr="00EC57FB">
        <w:lastRenderedPageBreak/>
        <w:t>estimate for the effectiveness of nirsevimab</w:t>
      </w:r>
      <w:r w:rsidR="000E0965" w:rsidRPr="00EC57FB">
        <w:t xml:space="preserve"> did not reach statistical significance</w:t>
      </w:r>
      <w:r w:rsidR="000E0965" w:rsidRPr="00EC57FB" w:rsidDel="000E0965">
        <w:t xml:space="preserve"> </w:t>
      </w:r>
      <w:r w:rsidR="000E0965" w:rsidRPr="00EC57FB">
        <w:t xml:space="preserve">and </w:t>
      </w:r>
      <w:r w:rsidR="004D4798" w:rsidRPr="00EC57FB">
        <w:t>was lower than observed in the cohort of children experiencing their first RSV season.</w:t>
      </w:r>
      <w:r w:rsidR="00577C66">
        <w:t xml:space="preserve"> </w:t>
      </w:r>
      <w:r w:rsidR="001470D2" w:rsidRPr="00EC57FB">
        <w:rPr>
          <w:rFonts w:eastAsia="Calibri"/>
          <w:iCs/>
        </w:rPr>
        <w:t xml:space="preserve">The PBAC </w:t>
      </w:r>
      <w:r w:rsidR="00634E33" w:rsidRPr="00EC57FB">
        <w:rPr>
          <w:rFonts w:eastAsia="Calibri"/>
          <w:iCs/>
        </w:rPr>
        <w:t xml:space="preserve">noted </w:t>
      </w:r>
      <w:r w:rsidR="001470D2" w:rsidRPr="00EC57FB">
        <w:rPr>
          <w:rFonts w:eastAsia="Calibri"/>
          <w:iCs/>
        </w:rPr>
        <w:t xml:space="preserve">the evidence to support efficacy of nirsevimab in Season 2 was limited. </w:t>
      </w:r>
    </w:p>
    <w:p w14:paraId="7F613CD1" w14:textId="3FE5355A" w:rsidR="005F7588" w:rsidRPr="00EC57FB" w:rsidRDefault="005F7588" w:rsidP="00661B23">
      <w:pPr>
        <w:pStyle w:val="3-BodyText"/>
        <w:rPr>
          <w:iCs/>
          <w:color w:val="000000" w:themeColor="text1"/>
        </w:rPr>
      </w:pPr>
      <w:bookmarkStart w:id="121" w:name="_Ref195706874"/>
      <w:bookmarkStart w:id="122" w:name="_Ref196218609"/>
      <w:r w:rsidRPr="00EC57FB">
        <w:rPr>
          <w:rFonts w:eastAsia="Calibri"/>
        </w:rPr>
        <w:t xml:space="preserve">The </w:t>
      </w:r>
      <w:r w:rsidR="00C120DA" w:rsidRPr="00EC57FB">
        <w:rPr>
          <w:rFonts w:eastAsia="Calibri"/>
        </w:rPr>
        <w:t>re</w:t>
      </w:r>
      <w:r w:rsidRPr="00EC57FB">
        <w:rPr>
          <w:rFonts w:eastAsia="Calibri"/>
        </w:rPr>
        <w:t xml:space="preserve">submission described </w:t>
      </w:r>
      <w:r w:rsidR="00CE4DF4" w:rsidRPr="00EC57FB">
        <w:rPr>
          <w:rFonts w:eastAsia="Calibri"/>
        </w:rPr>
        <w:t xml:space="preserve">nirsevimab </w:t>
      </w:r>
      <w:r w:rsidRPr="00EC57FB">
        <w:rPr>
          <w:rFonts w:eastAsia="Calibri"/>
        </w:rPr>
        <w:t>as non-inferior</w:t>
      </w:r>
      <w:r w:rsidR="00CE4DF4" w:rsidRPr="00EC57FB">
        <w:rPr>
          <w:rFonts w:eastAsia="Calibri"/>
        </w:rPr>
        <w:t xml:space="preserve"> to </w:t>
      </w:r>
      <w:r w:rsidR="00A84D60" w:rsidRPr="00EC57FB">
        <w:rPr>
          <w:rFonts w:eastAsia="Calibri"/>
        </w:rPr>
        <w:t>no</w:t>
      </w:r>
      <w:r w:rsidR="00CE4DF4" w:rsidRPr="00EC57FB">
        <w:rPr>
          <w:rFonts w:eastAsia="Calibri"/>
        </w:rPr>
        <w:t xml:space="preserve"> immunisation</w:t>
      </w:r>
      <w:r w:rsidRPr="00EC57FB">
        <w:rPr>
          <w:rFonts w:eastAsia="Calibri"/>
        </w:rPr>
        <w:t xml:space="preserve"> in term</w:t>
      </w:r>
      <w:r w:rsidR="00156F8F" w:rsidRPr="00EC57FB">
        <w:rPr>
          <w:rFonts w:eastAsia="Calibri"/>
        </w:rPr>
        <w:t>s</w:t>
      </w:r>
      <w:r w:rsidRPr="00EC57FB">
        <w:rPr>
          <w:rFonts w:eastAsia="Calibri"/>
        </w:rPr>
        <w:t xml:space="preserve"> of safety. </w:t>
      </w:r>
      <w:r w:rsidR="006503AA" w:rsidRPr="00EC57FB">
        <w:rPr>
          <w:iCs/>
          <w:color w:val="000000" w:themeColor="text1"/>
        </w:rPr>
        <w:t xml:space="preserve">Consistent with the </w:t>
      </w:r>
      <w:r w:rsidR="00CE4DF4" w:rsidRPr="00EC57FB">
        <w:rPr>
          <w:iCs/>
          <w:color w:val="000000" w:themeColor="text1"/>
        </w:rPr>
        <w:t>PBAC</w:t>
      </w:r>
      <w:r w:rsidR="006503AA" w:rsidRPr="00EC57FB">
        <w:rPr>
          <w:iCs/>
          <w:color w:val="000000" w:themeColor="text1"/>
        </w:rPr>
        <w:t xml:space="preserve">’s finding in July </w:t>
      </w:r>
      <w:r w:rsidR="008F16A7" w:rsidRPr="00EC57FB">
        <w:rPr>
          <w:iCs/>
          <w:color w:val="000000" w:themeColor="text1"/>
        </w:rPr>
        <w:t>2024</w:t>
      </w:r>
      <w:r w:rsidR="00CE4DF4" w:rsidRPr="00EC57FB">
        <w:rPr>
          <w:iCs/>
          <w:color w:val="000000" w:themeColor="text1"/>
        </w:rPr>
        <w:t xml:space="preserve">, </w:t>
      </w:r>
      <w:r w:rsidR="008F16A7" w:rsidRPr="00EC57FB">
        <w:rPr>
          <w:iCs/>
          <w:color w:val="000000" w:themeColor="text1"/>
        </w:rPr>
        <w:t>ESC</w:t>
      </w:r>
      <w:r w:rsidR="00CE4DF4" w:rsidRPr="00EC57FB">
        <w:rPr>
          <w:iCs/>
          <w:color w:val="000000" w:themeColor="text1"/>
        </w:rPr>
        <w:t xml:space="preserve"> considered that nirsevimab was associated with an acceptable safety profile</w:t>
      </w:r>
      <w:r w:rsidR="005F476F" w:rsidRPr="00EC57FB">
        <w:rPr>
          <w:iCs/>
          <w:color w:val="000000" w:themeColor="text1"/>
        </w:rPr>
        <w:t>.</w:t>
      </w:r>
      <w:r w:rsidR="000F7128" w:rsidRPr="00EC57FB">
        <w:rPr>
          <w:iCs/>
          <w:color w:val="000000" w:themeColor="text1"/>
        </w:rPr>
        <w:t xml:space="preserve"> </w:t>
      </w:r>
      <w:r w:rsidR="000F7128" w:rsidRPr="00EC57FB">
        <w:rPr>
          <w:color w:val="000000" w:themeColor="text1"/>
        </w:rPr>
        <w:t>Based on the evidence presented</w:t>
      </w:r>
      <w:r w:rsidR="005F74E7" w:rsidRPr="00EC57FB">
        <w:rPr>
          <w:color w:val="000000" w:themeColor="text1"/>
        </w:rPr>
        <w:t xml:space="preserve"> in</w:t>
      </w:r>
      <w:r w:rsidR="00661B23" w:rsidRPr="00EC57FB">
        <w:rPr>
          <w:color w:val="000000" w:themeColor="text1"/>
        </w:rPr>
        <w:t xml:space="preserve"> Table 22, Table 23</w:t>
      </w:r>
      <w:r w:rsidR="00AF03B4" w:rsidRPr="00EC57FB">
        <w:rPr>
          <w:color w:val="000000" w:themeColor="text1"/>
        </w:rPr>
        <w:t>,</w:t>
      </w:r>
      <w:r w:rsidR="00661B23" w:rsidRPr="00EC57FB">
        <w:rPr>
          <w:color w:val="000000" w:themeColor="text1"/>
        </w:rPr>
        <w:t xml:space="preserve"> Table 24</w:t>
      </w:r>
      <w:r w:rsidR="00F62165" w:rsidRPr="00EC57FB">
        <w:rPr>
          <w:color w:val="000000" w:themeColor="text1"/>
        </w:rPr>
        <w:t xml:space="preserve">, and </w:t>
      </w:r>
      <w:r w:rsidR="00F62165" w:rsidRPr="00EC57FB">
        <w:rPr>
          <w:color w:val="000000" w:themeColor="text1"/>
        </w:rPr>
        <w:fldChar w:fldCharType="begin"/>
      </w:r>
      <w:r w:rsidR="00F62165" w:rsidRPr="00EC57FB">
        <w:rPr>
          <w:color w:val="000000" w:themeColor="text1"/>
        </w:rPr>
        <w:instrText xml:space="preserve"> REF _Ref188239033 \h  \* MERGEFORMAT </w:instrText>
      </w:r>
      <w:r w:rsidR="00F62165" w:rsidRPr="00EC57FB">
        <w:rPr>
          <w:color w:val="000000" w:themeColor="text1"/>
        </w:rPr>
      </w:r>
      <w:r w:rsidR="00F62165" w:rsidRPr="00EC57FB">
        <w:rPr>
          <w:color w:val="000000" w:themeColor="text1"/>
        </w:rPr>
        <w:fldChar w:fldCharType="separate"/>
      </w:r>
      <w:r w:rsidR="00502C25" w:rsidRPr="00EC57FB">
        <w:t xml:space="preserve">Table </w:t>
      </w:r>
      <w:r w:rsidR="00502C25">
        <w:t>24</w:t>
      </w:r>
      <w:r w:rsidR="00F62165" w:rsidRPr="00EC57FB">
        <w:rPr>
          <w:color w:val="000000" w:themeColor="text1"/>
        </w:rPr>
        <w:fldChar w:fldCharType="end"/>
      </w:r>
      <w:r w:rsidR="000F7128" w:rsidRPr="00EC57FB">
        <w:rPr>
          <w:color w:val="000000" w:themeColor="text1"/>
        </w:rPr>
        <w:t xml:space="preserve">, </w:t>
      </w:r>
      <w:r w:rsidR="005F74E7" w:rsidRPr="00EC57FB">
        <w:rPr>
          <w:color w:val="000000" w:themeColor="text1"/>
        </w:rPr>
        <w:t xml:space="preserve">this conclusion </w:t>
      </w:r>
      <w:r w:rsidR="004F5632" w:rsidRPr="00EC57FB">
        <w:rPr>
          <w:color w:val="000000" w:themeColor="text1"/>
        </w:rPr>
        <w:t xml:space="preserve">remains </w:t>
      </w:r>
      <w:r w:rsidR="005F74E7" w:rsidRPr="00EC57FB">
        <w:rPr>
          <w:color w:val="000000" w:themeColor="text1"/>
        </w:rPr>
        <w:t>appropriate.</w:t>
      </w:r>
      <w:r w:rsidR="005460F9" w:rsidRPr="00EC57FB">
        <w:rPr>
          <w:color w:val="000000" w:themeColor="text1"/>
        </w:rPr>
        <w:t xml:space="preserve"> </w:t>
      </w:r>
      <w:r w:rsidR="005460F9" w:rsidRPr="00EC57FB">
        <w:rPr>
          <w:iCs/>
          <w:color w:val="000000" w:themeColor="text1"/>
        </w:rPr>
        <w:t xml:space="preserve">The </w:t>
      </w:r>
      <w:r w:rsidR="001470D2" w:rsidRPr="00EC57FB">
        <w:rPr>
          <w:iCs/>
          <w:color w:val="000000" w:themeColor="text1"/>
        </w:rPr>
        <w:t>PBAC</w:t>
      </w:r>
      <w:r w:rsidR="005460F9" w:rsidRPr="00EC57FB">
        <w:rPr>
          <w:iCs/>
          <w:color w:val="000000" w:themeColor="text1"/>
        </w:rPr>
        <w:t xml:space="preserve"> considered the clinical safety claim was reasonable.</w:t>
      </w:r>
      <w:bookmarkEnd w:id="121"/>
      <w:bookmarkEnd w:id="122"/>
    </w:p>
    <w:p w14:paraId="6BD45D45" w14:textId="27B17239" w:rsidR="009A24A9" w:rsidRPr="00AD64CF" w:rsidRDefault="003E575B" w:rsidP="00AD64CF">
      <w:pPr>
        <w:pStyle w:val="3-BodyText"/>
        <w:rPr>
          <w:color w:val="000000" w:themeColor="text1"/>
        </w:rPr>
      </w:pPr>
      <w:bookmarkStart w:id="123" w:name="_Ref195706922"/>
      <w:r w:rsidRPr="00EC57FB">
        <w:rPr>
          <w:color w:val="000000" w:themeColor="text1"/>
        </w:rPr>
        <w:t>Th</w:t>
      </w:r>
      <w:r w:rsidR="00C120DA" w:rsidRPr="00EC57FB">
        <w:rPr>
          <w:color w:val="000000" w:themeColor="text1"/>
        </w:rPr>
        <w:t>e resubmission described n</w:t>
      </w:r>
      <w:r w:rsidR="00C120DA" w:rsidRPr="00EC57FB">
        <w:t>irsevimab as non-inferior to RSVpreF in terms of safety.</w:t>
      </w:r>
      <w:r w:rsidR="00C120DA" w:rsidRPr="00EC57FB">
        <w:rPr>
          <w:color w:val="000000" w:themeColor="text1"/>
        </w:rPr>
        <w:t xml:space="preserve"> </w:t>
      </w:r>
      <w:r w:rsidR="00C120DA" w:rsidRPr="00EC57FB">
        <w:rPr>
          <w:iCs/>
          <w:color w:val="000000" w:themeColor="text1"/>
        </w:rPr>
        <w:t xml:space="preserve">The </w:t>
      </w:r>
      <w:r w:rsidR="001470D2" w:rsidRPr="00EC57FB">
        <w:rPr>
          <w:iCs/>
          <w:color w:val="000000" w:themeColor="text1"/>
        </w:rPr>
        <w:t>PBAC</w:t>
      </w:r>
      <w:r w:rsidR="00C120DA" w:rsidRPr="00EC57FB">
        <w:rPr>
          <w:iCs/>
          <w:color w:val="000000" w:themeColor="text1"/>
        </w:rPr>
        <w:t xml:space="preserve"> considered the clinical safety claim was </w:t>
      </w:r>
      <w:r w:rsidR="00F35B09" w:rsidRPr="00EC57FB">
        <w:rPr>
          <w:iCs/>
          <w:color w:val="000000" w:themeColor="text1"/>
        </w:rPr>
        <w:t>reasonable</w:t>
      </w:r>
      <w:r w:rsidR="00C120DA" w:rsidRPr="00EC57FB">
        <w:rPr>
          <w:iCs/>
          <w:color w:val="000000" w:themeColor="text1"/>
        </w:rPr>
        <w:t>.</w:t>
      </w:r>
      <w:bookmarkEnd w:id="123"/>
      <w:r w:rsidR="00C120DA" w:rsidRPr="00EC57FB">
        <w:rPr>
          <w:iCs/>
          <w:color w:val="000000" w:themeColor="text1"/>
        </w:rPr>
        <w:t xml:space="preserve"> </w:t>
      </w:r>
    </w:p>
    <w:p w14:paraId="74A1172E" w14:textId="128C170E" w:rsidR="00B60939" w:rsidRPr="00EC57FB" w:rsidRDefault="00B60939" w:rsidP="00E9094A">
      <w:pPr>
        <w:pStyle w:val="4-SubsectionHeading"/>
      </w:pPr>
      <w:bookmarkStart w:id="124" w:name="_Toc22897645"/>
      <w:bookmarkStart w:id="125" w:name="_Toc188619264"/>
      <w:r w:rsidRPr="00EC57FB">
        <w:t>Economic analysis</w:t>
      </w:r>
      <w:bookmarkEnd w:id="124"/>
      <w:bookmarkEnd w:id="125"/>
      <w:r w:rsidR="00491B3A" w:rsidRPr="00EC57FB">
        <w:t xml:space="preserve"> </w:t>
      </w:r>
    </w:p>
    <w:p w14:paraId="33AFB759" w14:textId="03592CEE" w:rsidR="00BA49CB" w:rsidRPr="00EC57FB" w:rsidRDefault="006318DC" w:rsidP="00BA49CB">
      <w:pPr>
        <w:pStyle w:val="3-BodyText"/>
        <w:rPr>
          <w:b/>
          <w:bCs/>
        </w:rPr>
      </w:pPr>
      <w:r w:rsidRPr="00EC57FB">
        <w:t xml:space="preserve">Consistent with the </w:t>
      </w:r>
      <w:r w:rsidR="00974AC3" w:rsidRPr="00EC57FB">
        <w:t xml:space="preserve">first </w:t>
      </w:r>
      <w:r w:rsidRPr="00EC57FB">
        <w:t>submission, t</w:t>
      </w:r>
      <w:r w:rsidR="00C7053D" w:rsidRPr="00EC57FB">
        <w:t>he resubmission</w:t>
      </w:r>
      <w:r w:rsidR="002468BD" w:rsidRPr="00EC57FB">
        <w:t xml:space="preserve"> present</w:t>
      </w:r>
      <w:r w:rsidR="00FF2F15" w:rsidRPr="00EC57FB">
        <w:t>ed</w:t>
      </w:r>
      <w:r w:rsidR="002E059C" w:rsidRPr="00EC57FB">
        <w:t xml:space="preserve"> a</w:t>
      </w:r>
      <w:r w:rsidR="002468BD" w:rsidRPr="00EC57FB">
        <w:t xml:space="preserve"> cost-utility</w:t>
      </w:r>
      <w:r w:rsidR="00F40BA7" w:rsidRPr="00EC57FB">
        <w:t xml:space="preserve"> analysis </w:t>
      </w:r>
      <w:r w:rsidR="008B386D" w:rsidRPr="00EC57FB">
        <w:t xml:space="preserve">(CUA) </w:t>
      </w:r>
      <w:r w:rsidR="007305A1" w:rsidRPr="00EC57FB">
        <w:t xml:space="preserve">based on </w:t>
      </w:r>
      <w:r w:rsidR="00FF2F15" w:rsidRPr="00EC57FB">
        <w:t>quality-adjusted life-years (</w:t>
      </w:r>
      <w:r w:rsidR="007305A1" w:rsidRPr="00EC57FB">
        <w:t>QALYs</w:t>
      </w:r>
      <w:r w:rsidR="00FF2F15" w:rsidRPr="00EC57FB">
        <w:t>)</w:t>
      </w:r>
      <w:r w:rsidR="007305A1" w:rsidRPr="00EC57FB">
        <w:t xml:space="preserve"> gained</w:t>
      </w:r>
      <w:r w:rsidR="002E059C" w:rsidRPr="00EC57FB">
        <w:t xml:space="preserve"> </w:t>
      </w:r>
      <w:r w:rsidR="007305A1" w:rsidRPr="00EC57FB">
        <w:t>and cost-effectiveness analys</w:t>
      </w:r>
      <w:r w:rsidR="00662746" w:rsidRPr="00EC57FB">
        <w:t>is</w:t>
      </w:r>
      <w:r w:rsidR="007305A1" w:rsidRPr="00EC57FB">
        <w:t xml:space="preserve"> based on </w:t>
      </w:r>
      <w:r w:rsidRPr="00EC57FB">
        <w:t>life-years (</w:t>
      </w:r>
      <w:r w:rsidR="007305A1" w:rsidRPr="00EC57FB">
        <w:t>L</w:t>
      </w:r>
      <w:r w:rsidR="005F476F" w:rsidRPr="00EC57FB">
        <w:t>Y</w:t>
      </w:r>
      <w:r w:rsidR="007305A1" w:rsidRPr="00EC57FB">
        <w:t>s</w:t>
      </w:r>
      <w:r w:rsidRPr="00EC57FB">
        <w:t>)</w:t>
      </w:r>
      <w:r w:rsidR="007305A1" w:rsidRPr="00EC57FB">
        <w:t xml:space="preserve"> gained</w:t>
      </w:r>
      <w:r w:rsidR="00662746" w:rsidRPr="00EC57FB">
        <w:t>.</w:t>
      </w:r>
      <w:r w:rsidR="00BA49CB" w:rsidRPr="00EC57FB">
        <w:t xml:space="preserve"> In July 2024, the PBAC considered the incremental cost-effectiveness ratio for nirsevimab for the first RSV season to be substantially underestimated and highly uncertain. </w:t>
      </w:r>
    </w:p>
    <w:p w14:paraId="3FBE79BE" w14:textId="4B99886A" w:rsidR="001D6C6D" w:rsidRPr="00EC57FB" w:rsidRDefault="001D6C6D" w:rsidP="001D6C6D">
      <w:pPr>
        <w:pStyle w:val="3-BodyText"/>
        <w:rPr>
          <w:b/>
          <w:bCs/>
        </w:rPr>
      </w:pPr>
      <w:r w:rsidRPr="00EC57FB">
        <w:t>The model presented in the resubmission was used to calculate the cost-effectiveness of nirsevimab relative to placebo (representing no immunisation). In addition,</w:t>
      </w:r>
      <w:r w:rsidR="00577C66">
        <w:t xml:space="preserve"> </w:t>
      </w:r>
      <w:r w:rsidRPr="00EC57FB">
        <w:t>the resubmission provided a comparison versus RSVpreF.</w:t>
      </w:r>
      <w:r w:rsidR="00577C66">
        <w:t xml:space="preserve"> </w:t>
      </w:r>
      <w:r w:rsidRPr="00EC57FB">
        <w:rPr>
          <w:rFonts w:eastAsia="Calibri"/>
          <w:iCs/>
        </w:rPr>
        <w:t xml:space="preserve">The submission’s CUA comparing nirsevimab with RSVpreF is not discussed further in these minutes, as the PBAC considered the available evidence did not support a claim that nirsevimab is superior to RSVpreF vaccination (see paragraph </w:t>
      </w:r>
      <w:r w:rsidR="00E16B79" w:rsidRPr="00EC57FB">
        <w:rPr>
          <w:rFonts w:eastAsia="Calibri"/>
          <w:iCs/>
        </w:rPr>
        <w:fldChar w:fldCharType="begin"/>
      </w:r>
      <w:r w:rsidR="00E16B79" w:rsidRPr="00EC57FB">
        <w:rPr>
          <w:rFonts w:eastAsia="Calibri"/>
          <w:iCs/>
        </w:rPr>
        <w:instrText xml:space="preserve"> REF _Ref199906544 \r \h </w:instrText>
      </w:r>
      <w:r w:rsidR="00E16B79" w:rsidRPr="00EC57FB">
        <w:rPr>
          <w:rFonts w:eastAsia="Calibri"/>
          <w:iCs/>
        </w:rPr>
      </w:r>
      <w:r w:rsidR="00E16B79" w:rsidRPr="00EC57FB">
        <w:rPr>
          <w:rFonts w:eastAsia="Calibri"/>
          <w:iCs/>
        </w:rPr>
        <w:fldChar w:fldCharType="separate"/>
      </w:r>
      <w:r w:rsidR="00502C25">
        <w:rPr>
          <w:rFonts w:eastAsia="Calibri"/>
          <w:iCs/>
        </w:rPr>
        <w:t>6.52</w:t>
      </w:r>
      <w:r w:rsidR="00E16B79" w:rsidRPr="00EC57FB">
        <w:rPr>
          <w:rFonts w:eastAsia="Calibri"/>
          <w:iCs/>
        </w:rPr>
        <w:fldChar w:fldCharType="end"/>
      </w:r>
      <w:r w:rsidRPr="00EC57FB">
        <w:rPr>
          <w:rFonts w:eastAsia="Calibri"/>
          <w:iCs/>
        </w:rPr>
        <w:t>).</w:t>
      </w:r>
    </w:p>
    <w:p w14:paraId="3FC5EB8A" w14:textId="00C31FD0" w:rsidR="002405D7" w:rsidRPr="00EC57FB" w:rsidRDefault="002405D7" w:rsidP="002405D7">
      <w:pPr>
        <w:pStyle w:val="3-BodyText"/>
        <w:rPr>
          <w:b/>
          <w:bCs/>
        </w:rPr>
      </w:pPr>
      <w:r w:rsidRPr="00EC57FB">
        <w:rPr>
          <w:rFonts w:cstheme="minorHAnsi"/>
        </w:rPr>
        <w:t xml:space="preserve">The model was </w:t>
      </w:r>
      <w:r w:rsidR="006A793F" w:rsidRPr="00EC57FB">
        <w:rPr>
          <w:rFonts w:cstheme="minorHAnsi"/>
        </w:rPr>
        <w:t xml:space="preserve">a </w:t>
      </w:r>
      <w:r w:rsidRPr="00EC57FB">
        <w:rPr>
          <w:color w:val="000000" w:themeColor="text1"/>
        </w:rPr>
        <w:t xml:space="preserve">static state-transition cohort model </w:t>
      </w:r>
      <w:r w:rsidRPr="00EC57FB">
        <w:rPr>
          <w:rFonts w:cstheme="minorHAnsi"/>
        </w:rPr>
        <w:t>(or Markov) model with a 1</w:t>
      </w:r>
      <w:r w:rsidRPr="00EC57FB">
        <w:rPr>
          <w:rFonts w:cstheme="minorHAnsi"/>
        </w:rPr>
        <w:noBreakHyphen/>
        <w:t>month cycle.</w:t>
      </w:r>
      <w:r w:rsidR="00E772CA" w:rsidRPr="00EC57FB">
        <w:t xml:space="preserve"> The</w:t>
      </w:r>
      <w:r w:rsidR="00C11248" w:rsidRPr="00EC57FB">
        <w:t xml:space="preserve"> structure of </w:t>
      </w:r>
      <w:r w:rsidR="00A1086D" w:rsidRPr="00EC57FB">
        <w:t>the</w:t>
      </w:r>
      <w:r w:rsidR="00C11248" w:rsidRPr="00EC57FB">
        <w:t xml:space="preserve"> model is shown in</w:t>
      </w:r>
      <w:r w:rsidR="00A1086D" w:rsidRPr="00EC57FB">
        <w:t xml:space="preserve"> </w:t>
      </w:r>
      <w:r w:rsidR="00A1086D" w:rsidRPr="00EC57FB">
        <w:fldChar w:fldCharType="begin"/>
      </w:r>
      <w:r w:rsidR="00A1086D" w:rsidRPr="00EC57FB">
        <w:instrText xml:space="preserve"> REF _Ref187241093 \h </w:instrText>
      </w:r>
      <w:r w:rsidR="00A1086D" w:rsidRPr="00EC57FB">
        <w:fldChar w:fldCharType="separate"/>
      </w:r>
      <w:r w:rsidR="00502C25" w:rsidRPr="00EC57FB">
        <w:t xml:space="preserve">Figure </w:t>
      </w:r>
      <w:r w:rsidR="00502C25">
        <w:rPr>
          <w:noProof/>
        </w:rPr>
        <w:t>3</w:t>
      </w:r>
      <w:r w:rsidR="00A1086D" w:rsidRPr="00EC57FB">
        <w:fldChar w:fldCharType="end"/>
      </w:r>
      <w:r w:rsidR="00285B25" w:rsidRPr="00EC57FB">
        <w:t>.</w:t>
      </w:r>
      <w:r w:rsidR="00C11248" w:rsidRPr="00EC57FB">
        <w:t xml:space="preserve"> </w:t>
      </w:r>
      <w:r w:rsidR="009A0A6B" w:rsidRPr="00EC57FB">
        <w:t xml:space="preserve">The structure </w:t>
      </w:r>
      <w:r w:rsidR="00F027A4" w:rsidRPr="00EC57FB">
        <w:t>is</w:t>
      </w:r>
      <w:r w:rsidR="00285B25" w:rsidRPr="00EC57FB">
        <w:t xml:space="preserve"> </w:t>
      </w:r>
      <w:r w:rsidR="009A0A6B" w:rsidRPr="00EC57FB">
        <w:t>the same as used to conduct the economic evaluation</w:t>
      </w:r>
      <w:r w:rsidR="00661C73" w:rsidRPr="00EC57FB">
        <w:t xml:space="preserve"> presented in the </w:t>
      </w:r>
      <w:r w:rsidR="00433619" w:rsidRPr="00EC57FB">
        <w:t xml:space="preserve">first </w:t>
      </w:r>
      <w:r w:rsidR="00661C73" w:rsidRPr="00EC57FB">
        <w:t>submission except that, as requested by the PBAC</w:t>
      </w:r>
      <w:r w:rsidR="00EF402F" w:rsidRPr="00EC57FB">
        <w:t xml:space="preserve"> (paragraphs 6.84, 6.87 and 7.18, nirsevimab PSD, July 2024)</w:t>
      </w:r>
      <w:r w:rsidR="00661C73" w:rsidRPr="00EC57FB">
        <w:t xml:space="preserve">, a </w:t>
      </w:r>
      <w:r w:rsidR="0087326B" w:rsidRPr="00EC57FB">
        <w:t xml:space="preserve">mechanical ventilation </w:t>
      </w:r>
      <w:r w:rsidR="00661C73" w:rsidRPr="00EC57FB">
        <w:t>health state</w:t>
      </w:r>
      <w:r w:rsidR="00F65567" w:rsidRPr="00EC57FB">
        <w:t xml:space="preserve"> </w:t>
      </w:r>
      <w:r w:rsidR="0087326B" w:rsidRPr="00EC57FB">
        <w:t>was removed</w:t>
      </w:r>
      <w:r w:rsidR="004974B5" w:rsidRPr="00EC57FB">
        <w:t xml:space="preserve"> from the model</w:t>
      </w:r>
      <w:r w:rsidR="0006493C" w:rsidRPr="00EC57FB">
        <w:t>, primarily to avoid double-counting</w:t>
      </w:r>
      <w:r w:rsidR="0087326B" w:rsidRPr="00EC57FB">
        <w:t xml:space="preserve">. </w:t>
      </w:r>
      <w:r w:rsidR="00DE5F92" w:rsidRPr="00EC57FB">
        <w:t xml:space="preserve">Twelve </w:t>
      </w:r>
      <w:r w:rsidR="001559DF" w:rsidRPr="00EC57FB">
        <w:t xml:space="preserve">cohorts </w:t>
      </w:r>
      <w:r w:rsidR="00683CE0" w:rsidRPr="00EC57FB">
        <w:t xml:space="preserve">(one for each birth month) </w:t>
      </w:r>
      <w:r w:rsidR="001559DF" w:rsidRPr="00EC57FB">
        <w:t xml:space="preserve">of </w:t>
      </w:r>
      <w:r w:rsidR="00683CE0" w:rsidRPr="00EC57FB">
        <w:t>i</w:t>
      </w:r>
      <w:r w:rsidR="0087326B" w:rsidRPr="00EC57FB">
        <w:t>nfants enter the model at birth</w:t>
      </w:r>
      <w:r w:rsidR="002D3C31" w:rsidRPr="00EC57FB">
        <w:t xml:space="preserve"> </w:t>
      </w:r>
      <w:r w:rsidR="005670E8" w:rsidRPr="00EC57FB">
        <w:t>(</w:t>
      </w:r>
      <w:r w:rsidR="002D3C31" w:rsidRPr="00EC57FB">
        <w:t>rather than at the time of administration of nirsevimab or the comparator</w:t>
      </w:r>
      <w:r w:rsidR="005670E8" w:rsidRPr="00EC57FB">
        <w:t>)</w:t>
      </w:r>
      <w:r w:rsidR="002D3C31" w:rsidRPr="00EC57FB">
        <w:t xml:space="preserve"> and the</w:t>
      </w:r>
      <w:r w:rsidR="00BD66DE" w:rsidRPr="00EC57FB">
        <w:t xml:space="preserve"> </w:t>
      </w:r>
      <w:r w:rsidR="00AF76F8" w:rsidRPr="00EC57FB">
        <w:t xml:space="preserve">model </w:t>
      </w:r>
      <w:r w:rsidR="00BD66DE" w:rsidRPr="00EC57FB">
        <w:t>progresse</w:t>
      </w:r>
      <w:r w:rsidR="00AF76F8" w:rsidRPr="00EC57FB">
        <w:t>d</w:t>
      </w:r>
      <w:r w:rsidR="00BD66DE" w:rsidRPr="00EC57FB">
        <w:t xml:space="preserve"> infants through 12 monthly cycles</w:t>
      </w:r>
      <w:r w:rsidR="00862C51" w:rsidRPr="00EC57FB">
        <w:t xml:space="preserve"> in the case of he</w:t>
      </w:r>
      <w:r w:rsidR="005819A2" w:rsidRPr="00EC57FB">
        <w:t>althy infants or 24 monthly cycles in the case of infants with risk conditions</w:t>
      </w:r>
      <w:r w:rsidR="008B31B2" w:rsidRPr="00EC57FB">
        <w:t xml:space="preserve">. All infants surviving at this point </w:t>
      </w:r>
      <w:r w:rsidR="00AF76FD" w:rsidRPr="00EC57FB">
        <w:t>were</w:t>
      </w:r>
      <w:r w:rsidR="008B31B2" w:rsidRPr="00EC57FB">
        <w:t xml:space="preserve"> then applied </w:t>
      </w:r>
      <w:r w:rsidR="00544177" w:rsidRPr="00EC57FB">
        <w:t>a LY or QALY payoff</w:t>
      </w:r>
      <w:r w:rsidR="005E49AD" w:rsidRPr="00EC57FB">
        <w:t xml:space="preserve"> such that the model consider</w:t>
      </w:r>
      <w:r w:rsidR="00AF76FD" w:rsidRPr="00EC57FB">
        <w:t>ed</w:t>
      </w:r>
      <w:r w:rsidR="005E49AD" w:rsidRPr="00EC57FB">
        <w:t xml:space="preserve"> a lifetime time horizon. </w:t>
      </w:r>
    </w:p>
    <w:p w14:paraId="2436C959" w14:textId="2D97AE7D" w:rsidR="00077762" w:rsidRPr="00EC57FB" w:rsidRDefault="00077762" w:rsidP="00077762">
      <w:pPr>
        <w:pStyle w:val="3-BodyText"/>
      </w:pPr>
      <w:bookmarkStart w:id="126" w:name="_Ref188526946"/>
      <w:bookmarkStart w:id="127" w:name="_Ref188522537"/>
      <w:r w:rsidRPr="00EC57FB">
        <w:t xml:space="preserve">As described in paragraphs 7.19 to 7.21 of the PSD, several limitations of the model structure were noted by the PBAC in July 2024. These remain unaddressed by the resubmission, such as the use of a single </w:t>
      </w:r>
      <w:r w:rsidR="00B84CBE" w:rsidRPr="00EC57FB">
        <w:t>endpoint</w:t>
      </w:r>
      <w:r w:rsidRPr="00EC57FB">
        <w:t xml:space="preserve"> to drive the model rather than a range of endpoints collected in the trial and other issues related to the estimation of cost-effectiveness in the proposed circumstances of use such as annual variations in RSV incidence and severity.</w:t>
      </w:r>
      <w:r w:rsidR="00577C66">
        <w:t xml:space="preserve"> </w:t>
      </w:r>
      <w:r w:rsidRPr="00EC57FB">
        <w:t xml:space="preserve">Seasonal changes from year to year may impact the </w:t>
      </w:r>
      <w:r w:rsidRPr="00EC57FB">
        <w:lastRenderedPageBreak/>
        <w:t>optimal timing of administration of nirsevimab and reduce cost-effectiveness, especially in the event of a prolonged RSV season given the limited duration of protection for nirsevimab (5 months).</w:t>
      </w:r>
      <w:bookmarkEnd w:id="126"/>
      <w:bookmarkEnd w:id="127"/>
      <w:r w:rsidRPr="00EC57FB">
        <w:t xml:space="preserve"> </w:t>
      </w:r>
    </w:p>
    <w:p w14:paraId="68E4557B" w14:textId="3E3E334E" w:rsidR="00997F37" w:rsidRPr="00EC57FB" w:rsidRDefault="009203EF" w:rsidP="00997F37">
      <w:pPr>
        <w:pStyle w:val="3-BodyText"/>
        <w:rPr>
          <w:b/>
          <w:bCs/>
        </w:rPr>
      </w:pPr>
      <w:r w:rsidRPr="00EC57FB">
        <w:t>A</w:t>
      </w:r>
      <w:r w:rsidR="00077762" w:rsidRPr="00EC57FB">
        <w:t xml:space="preserve"> Markov-based economic model with monthly cycles where infants enter the model at birth may not be the most suitable approach for estimating the cost-effectiveness of nirsevimab. With the Markov model, infants can cycle between the hospitalised health state and the recovered health state multiple times and could result in an infant being hospitalised multiple times due to RSV infection. This is not appropriate given the development of natural immunity in infants that are infected with RSV. In addition, the structure of the model with monthly cycles introduces complexities as a consequence of the start time in the model not being the time of administration of nirsevimab, such as needing to consider seasonality and timing of administration of nirsevimab or the comparator relative to the start of the RSV season. As noted during the PBAC’s July 2024 consideration, these complexities result in uncertainty around the estimates of cost-effectiveness of nirsevimab generated by the model.</w:t>
      </w:r>
      <w:r w:rsidR="00577C66">
        <w:t xml:space="preserve"> </w:t>
      </w:r>
      <w:r w:rsidR="00077762" w:rsidRPr="00EC57FB">
        <w:t xml:space="preserve">Alternatively, these complexities could have been avoided by taking a straightforward decision-tree approach where infants enter the model at the time of administration of nirsevimab. </w:t>
      </w:r>
      <w:r w:rsidR="008830CD" w:rsidRPr="00EC57FB">
        <w:t>Modelling using a monthly-cycle Markov model creates unnecessary challenges.</w:t>
      </w:r>
    </w:p>
    <w:p w14:paraId="06F3A726" w14:textId="1BC3DDA6" w:rsidR="008B11E3" w:rsidRPr="00EC57FB" w:rsidRDefault="00077762">
      <w:pPr>
        <w:pStyle w:val="3-BodyText"/>
        <w:rPr>
          <w:b/>
          <w:bCs/>
        </w:rPr>
      </w:pPr>
      <w:r w:rsidRPr="00EC57FB">
        <w:t>With regard to the requested listing (</w:t>
      </w:r>
      <w:r w:rsidR="00997F37" w:rsidRPr="00EC57FB">
        <w:fldChar w:fldCharType="begin"/>
      </w:r>
      <w:r w:rsidR="00997F37" w:rsidRPr="00EC57FB">
        <w:instrText xml:space="preserve"> REF _Ref183555361 \h </w:instrText>
      </w:r>
      <w:r w:rsidR="00C9157E" w:rsidRPr="00EC57FB">
        <w:instrText xml:space="preserve"> \* MERGEFORMAT </w:instrText>
      </w:r>
      <w:r w:rsidR="00997F37" w:rsidRPr="00EC57FB">
        <w:fldChar w:fldCharType="separate"/>
      </w:r>
      <w:r w:rsidR="00502C25" w:rsidRPr="00EC57FB">
        <w:t xml:space="preserve">Table </w:t>
      </w:r>
      <w:r w:rsidR="00502C25">
        <w:t>3</w:t>
      </w:r>
      <w:r w:rsidR="00997F37" w:rsidRPr="00EC57FB">
        <w:fldChar w:fldCharType="end"/>
      </w:r>
      <w:r w:rsidR="00997F37" w:rsidRPr="00EC57FB">
        <w:t xml:space="preserve">), </w:t>
      </w:r>
      <w:r w:rsidRPr="00EC57FB">
        <w:t>which had changed substantially from the first submission, the resubmission did not adequately consider the possible scenarios in which nirsevimab may be used.</w:t>
      </w:r>
      <w:r w:rsidR="00577C66">
        <w:t xml:space="preserve"> </w:t>
      </w:r>
      <w:r w:rsidR="00E538E1" w:rsidRPr="00EC57FB">
        <w:t>T</w:t>
      </w:r>
      <w:r w:rsidRPr="00EC57FB">
        <w:t xml:space="preserve">he resubmission did not </w:t>
      </w:r>
      <w:r w:rsidR="0006493C" w:rsidRPr="00EC57FB">
        <w:t xml:space="preserve">separately </w:t>
      </w:r>
      <w:r w:rsidRPr="00EC57FB">
        <w:t xml:space="preserve">consider the cost-effectiveness of several of the populations identified in </w:t>
      </w:r>
      <w:r w:rsidRPr="00EC57FB">
        <w:fldChar w:fldCharType="begin"/>
      </w:r>
      <w:r w:rsidRPr="00EC57FB">
        <w:instrText xml:space="preserve"> REF _Ref188054881 \h  \* MERGEFORMAT </w:instrText>
      </w:r>
      <w:r w:rsidRPr="00EC57FB">
        <w:fldChar w:fldCharType="separate"/>
      </w:r>
      <w:r w:rsidR="00502C25" w:rsidRPr="00EC57FB">
        <w:t xml:space="preserve">Figure </w:t>
      </w:r>
      <w:r w:rsidR="00502C25">
        <w:t>1</w:t>
      </w:r>
      <w:r w:rsidRPr="00EC57FB">
        <w:fldChar w:fldCharType="end"/>
      </w:r>
      <w:r w:rsidRPr="00EC57FB">
        <w:t>.</w:t>
      </w:r>
      <w:r w:rsidR="00577C66">
        <w:t xml:space="preserve"> </w:t>
      </w:r>
    </w:p>
    <w:p w14:paraId="5E71C291" w14:textId="10A3C5AC" w:rsidR="008B11E3" w:rsidRPr="00D23537" w:rsidRDefault="00323090" w:rsidP="00EF2AB1">
      <w:pPr>
        <w:pStyle w:val="3-BodyText"/>
        <w:numPr>
          <w:ilvl w:val="0"/>
          <w:numId w:val="0"/>
        </w:numPr>
        <w:ind w:left="720"/>
        <w:rPr>
          <w:b/>
          <w:bCs/>
        </w:rPr>
      </w:pPr>
      <w:r w:rsidRPr="00EC57FB">
        <w:t>With regard to high</w:t>
      </w:r>
      <w:r w:rsidRPr="00EC57FB">
        <w:noBreakHyphen/>
        <w:t>risk infants, the PBAC considered in July 2024, that nirsevimab may provide higher clinical value for high</w:t>
      </w:r>
      <w:r w:rsidRPr="00EC57FB">
        <w:noBreakHyphen/>
        <w:t>risk infants in the first RSV season, however this had not been assessed in the first submission (paragraph 7.21</w:t>
      </w:r>
      <w:r w:rsidRPr="00EC57FB">
        <w:rPr>
          <w:snapToGrid w:val="0"/>
        </w:rPr>
        <w:t>, nirsevimab PSD, July 2024</w:t>
      </w:r>
      <w:r w:rsidRPr="00EC57FB">
        <w:t>).</w:t>
      </w:r>
      <w:r w:rsidR="00577C66">
        <w:t xml:space="preserve"> </w:t>
      </w:r>
      <w:r w:rsidRPr="00EC57FB">
        <w:t xml:space="preserve">This was not addressed by the resubmission, although a model was provided that assumed utilisation of nirsevimab in high-risk infants for two RSV seasons (with assumption that all individuals were treated twice). </w:t>
      </w:r>
    </w:p>
    <w:p w14:paraId="6C578272" w14:textId="35012923" w:rsidR="00A1086D" w:rsidRPr="00EC57FB" w:rsidRDefault="00372545" w:rsidP="00A1086D">
      <w:pPr>
        <w:pStyle w:val="TableFigureHeading"/>
      </w:pPr>
      <w:bookmarkStart w:id="128" w:name="_Ref187241093"/>
      <w:r w:rsidRPr="00EC57FB">
        <w:lastRenderedPageBreak/>
        <w:t xml:space="preserve">Figure </w:t>
      </w:r>
      <w:r w:rsidR="00C51E7C" w:rsidRPr="00EC57FB">
        <w:fldChar w:fldCharType="begin"/>
      </w:r>
      <w:r w:rsidR="00C51E7C" w:rsidRPr="00EC57FB">
        <w:instrText xml:space="preserve"> SEQ Figure \* ARABIC </w:instrText>
      </w:r>
      <w:r w:rsidR="00C51E7C" w:rsidRPr="00EC57FB">
        <w:fldChar w:fldCharType="separate"/>
      </w:r>
      <w:r w:rsidR="00502C25">
        <w:rPr>
          <w:noProof/>
        </w:rPr>
        <w:t>3</w:t>
      </w:r>
      <w:r w:rsidR="00C51E7C" w:rsidRPr="00EC57FB">
        <w:fldChar w:fldCharType="end"/>
      </w:r>
      <w:bookmarkEnd w:id="128"/>
      <w:r w:rsidRPr="00EC57FB">
        <w:t xml:space="preserve">: </w:t>
      </w:r>
      <w:r w:rsidR="00A1086D" w:rsidRPr="00EC57FB">
        <w:t>Structure of the Markov model used to conduct the economic evaluations presented in the resubmission</w:t>
      </w:r>
    </w:p>
    <w:p w14:paraId="74344F8A" w14:textId="77777777" w:rsidR="00A1086D" w:rsidRPr="00EC57FB" w:rsidRDefault="00A1086D" w:rsidP="00D23537">
      <w:pPr>
        <w:pStyle w:val="TableFigureHeading"/>
        <w:jc w:val="center"/>
      </w:pPr>
      <w:r w:rsidRPr="00EC57FB">
        <w:rPr>
          <w:noProof/>
        </w:rPr>
        <w:drawing>
          <wp:inline distT="0" distB="0" distL="0" distR="0" wp14:anchorId="59E39D22" wp14:editId="7B157338">
            <wp:extent cx="4787900" cy="4500953"/>
            <wp:effectExtent l="0" t="0" r="0" b="0"/>
            <wp:docPr id="1449211259" name="Picture 1" descr="Structure of the Markov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11259" name="Picture 1" descr="Structure of the Markov model"/>
                    <pic:cNvPicPr/>
                  </pic:nvPicPr>
                  <pic:blipFill>
                    <a:blip r:embed="rId32"/>
                    <a:stretch>
                      <a:fillRect/>
                    </a:stretch>
                  </pic:blipFill>
                  <pic:spPr>
                    <a:xfrm>
                      <a:off x="0" y="0"/>
                      <a:ext cx="4793623" cy="4506333"/>
                    </a:xfrm>
                    <a:prstGeom prst="rect">
                      <a:avLst/>
                    </a:prstGeom>
                  </pic:spPr>
                </pic:pic>
              </a:graphicData>
            </a:graphic>
          </wp:inline>
        </w:drawing>
      </w:r>
    </w:p>
    <w:p w14:paraId="66A15F95" w14:textId="77777777" w:rsidR="00D23537" w:rsidRDefault="00A1086D" w:rsidP="00D23537">
      <w:pPr>
        <w:pStyle w:val="TableFigureFooter"/>
        <w:keepNext/>
      </w:pPr>
      <w:r w:rsidRPr="00EC57FB">
        <w:t>Source: Figure 3.2.1 on p125 of the resubmission</w:t>
      </w:r>
    </w:p>
    <w:p w14:paraId="15DC525A" w14:textId="75E322B6" w:rsidR="00A1086D" w:rsidRPr="00EC57FB" w:rsidRDefault="00A1086D" w:rsidP="00D23537">
      <w:pPr>
        <w:pStyle w:val="TableFigureFooter"/>
        <w:spacing w:after="120"/>
      </w:pPr>
      <w:r w:rsidRPr="00EC57FB">
        <w:t>ER = emergency room; ICU = intensive care unit; RSV= respiratory syncytial virus</w:t>
      </w:r>
    </w:p>
    <w:p w14:paraId="782891F6" w14:textId="236F2B0E" w:rsidR="00D27413" w:rsidRPr="00EC57FB" w:rsidRDefault="00175D58" w:rsidP="00641FB3">
      <w:pPr>
        <w:pStyle w:val="3-BodyText"/>
        <w:rPr>
          <w:b/>
          <w:bCs/>
        </w:rPr>
      </w:pPr>
      <w:bookmarkStart w:id="129" w:name="_Ref187256870"/>
      <w:r w:rsidRPr="00EC57FB">
        <w:t>The</w:t>
      </w:r>
      <w:r w:rsidR="00066891" w:rsidRPr="00EC57FB">
        <w:t xml:space="preserve"> Markov</w:t>
      </w:r>
      <w:r w:rsidRPr="00EC57FB">
        <w:t xml:space="preserve"> </w:t>
      </w:r>
      <w:r w:rsidR="00C8575E" w:rsidRPr="00EC57FB">
        <w:t xml:space="preserve">model presented in the resubmission </w:t>
      </w:r>
      <w:r w:rsidR="00066891" w:rsidRPr="00EC57FB">
        <w:t>was</w:t>
      </w:r>
      <w:r w:rsidR="00C8575E" w:rsidRPr="00EC57FB">
        <w:t xml:space="preserve"> used to calculate the cost-effectiv</w:t>
      </w:r>
      <w:r w:rsidR="00123D17" w:rsidRPr="00EC57FB">
        <w:t>e</w:t>
      </w:r>
      <w:r w:rsidR="00C8575E" w:rsidRPr="00EC57FB">
        <w:t xml:space="preserve">ness of </w:t>
      </w:r>
      <w:r w:rsidR="0025464A" w:rsidRPr="00EC57FB">
        <w:t>nirsevimab in two populations:</w:t>
      </w:r>
      <w:bookmarkEnd w:id="129"/>
    </w:p>
    <w:p w14:paraId="7E3C2199" w14:textId="64509337" w:rsidR="00D27413" w:rsidRPr="00EC57FB" w:rsidRDefault="0025464A" w:rsidP="00A369BF">
      <w:pPr>
        <w:pStyle w:val="3-BodyText"/>
        <w:numPr>
          <w:ilvl w:val="0"/>
          <w:numId w:val="24"/>
        </w:numPr>
      </w:pPr>
      <w:r w:rsidRPr="00EC57FB">
        <w:t xml:space="preserve">a healthy infant population (with an implicit assumption that the </w:t>
      </w:r>
      <w:r w:rsidR="00416EC1" w:rsidRPr="00EC57FB">
        <w:t>mother did not receive RSVpreF) and</w:t>
      </w:r>
    </w:p>
    <w:p w14:paraId="2F88BEB8" w14:textId="6A0EB686" w:rsidR="00E97BB8" w:rsidRPr="00EC57FB" w:rsidRDefault="00416EC1" w:rsidP="00A369BF">
      <w:pPr>
        <w:pStyle w:val="3-BodyText"/>
        <w:numPr>
          <w:ilvl w:val="0"/>
          <w:numId w:val="24"/>
        </w:numPr>
      </w:pPr>
      <w:r w:rsidRPr="00EC57FB">
        <w:t>a</w:t>
      </w:r>
      <w:r w:rsidR="00D27413" w:rsidRPr="00EC57FB">
        <w:t xml:space="preserve"> </w:t>
      </w:r>
      <w:r w:rsidRPr="00EC57FB">
        <w:t>population of infants with risk conditions</w:t>
      </w:r>
      <w:r w:rsidR="00E973D7" w:rsidRPr="00EC57FB">
        <w:t xml:space="preserve"> who receive nirsevimab </w:t>
      </w:r>
      <w:r w:rsidR="00E97BB8" w:rsidRPr="00EC57FB">
        <w:t xml:space="preserve">twice (i.e., </w:t>
      </w:r>
      <w:r w:rsidR="00B12F07" w:rsidRPr="00EC57FB">
        <w:t>in</w:t>
      </w:r>
      <w:r w:rsidR="00E973D7" w:rsidRPr="00EC57FB">
        <w:t xml:space="preserve"> two </w:t>
      </w:r>
      <w:r w:rsidR="00A64DDD" w:rsidRPr="00EC57FB">
        <w:t xml:space="preserve">RSV </w:t>
      </w:r>
      <w:r w:rsidR="00E973D7" w:rsidRPr="00EC57FB">
        <w:t>seasons</w:t>
      </w:r>
      <w:r w:rsidR="00A64DDD" w:rsidRPr="00EC57FB">
        <w:rPr>
          <w:iCs/>
        </w:rPr>
        <w:t>)</w:t>
      </w:r>
      <w:r w:rsidR="00F057EE" w:rsidRPr="00EC57FB">
        <w:rPr>
          <w:rStyle w:val="CommentReference"/>
          <w:rFonts w:eastAsia="Times New Roman" w:cs="Times New Roman"/>
          <w:iCs/>
        </w:rPr>
        <w:t xml:space="preserve">, </w:t>
      </w:r>
      <w:r w:rsidR="00F057EE" w:rsidRPr="00EC57FB">
        <w:rPr>
          <w:iCs/>
        </w:rPr>
        <w:t>again with</w:t>
      </w:r>
      <w:r w:rsidR="00A96F85" w:rsidRPr="00EC57FB">
        <w:rPr>
          <w:iCs/>
        </w:rPr>
        <w:t xml:space="preserve"> an implicit assumption that the mother did not receive RSVpreF</w:t>
      </w:r>
      <w:r w:rsidR="00086A20" w:rsidRPr="00EC57FB">
        <w:rPr>
          <w:iCs/>
        </w:rPr>
        <w:t>.</w:t>
      </w:r>
      <w:r w:rsidR="00577C66">
        <w:rPr>
          <w:iCs/>
        </w:rPr>
        <w:t xml:space="preserve"> </w:t>
      </w:r>
      <w:r w:rsidR="00974F99" w:rsidRPr="00EC57FB">
        <w:t xml:space="preserve">By </w:t>
      </w:r>
      <w:r w:rsidR="00F94F87" w:rsidRPr="00EC57FB">
        <w:t>considering</w:t>
      </w:r>
      <w:r w:rsidR="00974F99" w:rsidRPr="00EC57FB">
        <w:t xml:space="preserve"> benefits </w:t>
      </w:r>
      <w:r w:rsidR="00F94F87" w:rsidRPr="00EC57FB">
        <w:t xml:space="preserve">of nirsevimab </w:t>
      </w:r>
      <w:r w:rsidR="00974F99" w:rsidRPr="00EC57FB">
        <w:t xml:space="preserve">over two seasons, the resubmission provided only an overall estimate of cost-effectiveness of nirsevimab over both seasons. Given that </w:t>
      </w:r>
      <w:r w:rsidR="008C2FF4" w:rsidRPr="00EC57FB">
        <w:t>the baseline risk of hospitalisation for RSV LRTI is likely to be reduced in Season 2 compared with Season 1</w:t>
      </w:r>
      <w:r w:rsidR="00566A23" w:rsidRPr="00EC57FB">
        <w:t>,</w:t>
      </w:r>
      <w:r w:rsidR="008C2FF4" w:rsidRPr="00EC57FB">
        <w:t xml:space="preserve"> </w:t>
      </w:r>
      <w:r w:rsidR="00974F99" w:rsidRPr="00EC57FB">
        <w:t xml:space="preserve">and </w:t>
      </w:r>
      <w:r w:rsidR="00EE6C06" w:rsidRPr="00EC57FB">
        <w:t xml:space="preserve">that </w:t>
      </w:r>
      <w:r w:rsidR="00794CE9" w:rsidRPr="00EC57FB">
        <w:t xml:space="preserve">there are </w:t>
      </w:r>
      <w:r w:rsidR="00974F99" w:rsidRPr="00EC57FB">
        <w:t xml:space="preserve">potential differences in </w:t>
      </w:r>
      <w:r w:rsidR="00466B18" w:rsidRPr="00EC57FB">
        <w:t xml:space="preserve">the </w:t>
      </w:r>
      <w:r w:rsidR="00974F99" w:rsidRPr="00EC57FB">
        <w:t xml:space="preserve">effectiveness of nirsevimab in Season 2 versus Season 1 (as discussed in paragraph </w:t>
      </w:r>
      <w:r w:rsidR="00181344" w:rsidRPr="00EC57FB">
        <w:fldChar w:fldCharType="begin"/>
      </w:r>
      <w:r w:rsidR="00181344" w:rsidRPr="00EC57FB">
        <w:instrText xml:space="preserve"> REF _Ref187081489 \r \h </w:instrText>
      </w:r>
      <w:r w:rsidR="00111781" w:rsidRPr="00EC57FB">
        <w:instrText xml:space="preserve"> \* MERGEFORMAT </w:instrText>
      </w:r>
      <w:r w:rsidR="00181344" w:rsidRPr="00EC57FB">
        <w:fldChar w:fldCharType="separate"/>
      </w:r>
      <w:r w:rsidR="00502C25">
        <w:t>6.43</w:t>
      </w:r>
      <w:r w:rsidR="00181344" w:rsidRPr="00EC57FB">
        <w:fldChar w:fldCharType="end"/>
      </w:r>
      <w:r w:rsidR="00974F99" w:rsidRPr="00EC57FB">
        <w:t xml:space="preserve">), it </w:t>
      </w:r>
      <w:r w:rsidR="00794CE9" w:rsidRPr="00EC57FB">
        <w:t xml:space="preserve">is necessary </w:t>
      </w:r>
      <w:r w:rsidR="00974F99" w:rsidRPr="00EC57FB">
        <w:t>for ICERs to be generated separately for infants with risk conditions treated with nirsevimab Season 1 and</w:t>
      </w:r>
      <w:r w:rsidR="00FA47FE" w:rsidRPr="00EC57FB">
        <w:t xml:space="preserve"> for</w:t>
      </w:r>
      <w:r w:rsidR="00974F99" w:rsidRPr="00EC57FB">
        <w:t xml:space="preserve"> those treated in Season 2. </w:t>
      </w:r>
      <w:r w:rsidR="00B961C0" w:rsidRPr="00EC57FB">
        <w:t>The structure of the model presented in the resubmission</w:t>
      </w:r>
      <w:r w:rsidR="00331D17" w:rsidRPr="00EC57FB">
        <w:t xml:space="preserve"> </w:t>
      </w:r>
      <w:r w:rsidR="00463F25" w:rsidRPr="00EC57FB">
        <w:t xml:space="preserve">did </w:t>
      </w:r>
      <w:r w:rsidR="00331D17" w:rsidRPr="00EC57FB">
        <w:t xml:space="preserve">not permit examination of the cost </w:t>
      </w:r>
      <w:r w:rsidR="00331D17" w:rsidRPr="00EC57FB">
        <w:lastRenderedPageBreak/>
        <w:t>effectiveness of nirsevimab in Season 1 and Season 2 separately</w:t>
      </w:r>
      <w:r w:rsidR="00794CE9" w:rsidRPr="00EC57FB">
        <w:t>.</w:t>
      </w:r>
      <w:r w:rsidR="00722B70" w:rsidRPr="00EC57FB">
        <w:t xml:space="preserve"> </w:t>
      </w:r>
      <w:r w:rsidR="00722B70" w:rsidRPr="00EC57FB">
        <w:rPr>
          <w:iCs/>
        </w:rPr>
        <w:t>A revised model was provided with the PSCR (see paragraph</w:t>
      </w:r>
      <w:r w:rsidR="006D1561" w:rsidRPr="00EC57FB">
        <w:rPr>
          <w:iCs/>
        </w:rPr>
        <w:t xml:space="preserve"> </w:t>
      </w:r>
      <w:r w:rsidR="006D1561" w:rsidRPr="00EC57FB">
        <w:rPr>
          <w:iCs/>
        </w:rPr>
        <w:fldChar w:fldCharType="begin"/>
      </w:r>
      <w:r w:rsidR="006D1561" w:rsidRPr="00EC57FB">
        <w:rPr>
          <w:iCs/>
        </w:rPr>
        <w:instrText xml:space="preserve"> REF _Ref200114773 \r \h </w:instrText>
      </w:r>
      <w:r w:rsidR="006D1561" w:rsidRPr="00EC57FB">
        <w:rPr>
          <w:iCs/>
        </w:rPr>
      </w:r>
      <w:r w:rsidR="006D1561" w:rsidRPr="00EC57FB">
        <w:rPr>
          <w:iCs/>
        </w:rPr>
        <w:fldChar w:fldCharType="separate"/>
      </w:r>
      <w:r w:rsidR="00502C25">
        <w:rPr>
          <w:iCs/>
        </w:rPr>
        <w:t>6.76</w:t>
      </w:r>
      <w:r w:rsidR="006D1561" w:rsidRPr="00EC57FB">
        <w:rPr>
          <w:iCs/>
        </w:rPr>
        <w:fldChar w:fldCharType="end"/>
      </w:r>
      <w:r w:rsidR="00722B70" w:rsidRPr="00EC57FB">
        <w:rPr>
          <w:iCs/>
        </w:rPr>
        <w:t>).</w:t>
      </w:r>
    </w:p>
    <w:p w14:paraId="1781D7D0" w14:textId="647B0521" w:rsidR="00EE216C" w:rsidRPr="00EC57FB" w:rsidRDefault="00EE216C" w:rsidP="00D23537">
      <w:pPr>
        <w:pStyle w:val="3-BodyText"/>
        <w:rPr>
          <w:b/>
          <w:bCs/>
        </w:rPr>
      </w:pPr>
      <w:r w:rsidRPr="00EC57FB">
        <w:t>The key inputs to the</w:t>
      </w:r>
      <w:r w:rsidR="006264C8" w:rsidRPr="00EC57FB">
        <w:t xml:space="preserve"> resubmission’s</w:t>
      </w:r>
      <w:r w:rsidRPr="00EC57FB">
        <w:t xml:space="preserve"> model</w:t>
      </w:r>
      <w:r w:rsidR="004C6FFC" w:rsidRPr="00EC57FB">
        <w:t xml:space="preserve"> were:</w:t>
      </w:r>
    </w:p>
    <w:p w14:paraId="4732B5BA" w14:textId="3F82A4CF" w:rsidR="004C6FFC" w:rsidRPr="00EC57FB" w:rsidRDefault="006A4741" w:rsidP="00D23537">
      <w:pPr>
        <w:pStyle w:val="ListParagraph"/>
        <w:ind w:left="1080"/>
        <w:jc w:val="both"/>
      </w:pPr>
      <w:r w:rsidRPr="00EC57FB">
        <w:t>Incidence of MA RSV LRTI</w:t>
      </w:r>
      <w:r w:rsidR="00434ECB" w:rsidRPr="00EC57FB">
        <w:t xml:space="preserve"> in the absence of nirsevimab (i.e., the background rate of MA RSV LRTI)</w:t>
      </w:r>
    </w:p>
    <w:p w14:paraId="654FD8A2" w14:textId="5D1F004F" w:rsidR="001A6633" w:rsidRPr="00EC57FB" w:rsidRDefault="00F6401E" w:rsidP="00D23537">
      <w:pPr>
        <w:pStyle w:val="ListParagraph"/>
        <w:ind w:left="1080"/>
        <w:jc w:val="both"/>
      </w:pPr>
      <w:r w:rsidRPr="00EC57FB">
        <w:t>Proportion</w:t>
      </w:r>
      <w:r w:rsidR="001A6633" w:rsidRPr="00EC57FB">
        <w:t xml:space="preserve"> of infants with MA RSV LRTI</w:t>
      </w:r>
      <w:r w:rsidRPr="00EC57FB">
        <w:t xml:space="preserve"> who require hospitalisation</w:t>
      </w:r>
    </w:p>
    <w:p w14:paraId="0B181422" w14:textId="0E52E94F" w:rsidR="006264C8" w:rsidRPr="00EC57FB" w:rsidRDefault="00F6401E" w:rsidP="00D23537">
      <w:pPr>
        <w:pStyle w:val="ListParagraph"/>
        <w:ind w:left="1080"/>
        <w:jc w:val="both"/>
      </w:pPr>
      <w:r w:rsidRPr="00EC57FB">
        <w:t xml:space="preserve">Proportion of infants hospitalised for RSV LRTI who </w:t>
      </w:r>
      <w:r w:rsidR="00BD61BD" w:rsidRPr="00EC57FB">
        <w:t>require admission to</w:t>
      </w:r>
      <w:r w:rsidR="00C6007C" w:rsidRPr="00EC57FB">
        <w:t xml:space="preserve"> an intensive care unit</w:t>
      </w:r>
      <w:r w:rsidR="00BD61BD" w:rsidRPr="00EC57FB">
        <w:t xml:space="preserve"> </w:t>
      </w:r>
      <w:r w:rsidR="00C6007C" w:rsidRPr="00EC57FB">
        <w:t>(</w:t>
      </w:r>
      <w:r w:rsidR="00BD61BD" w:rsidRPr="00EC57FB">
        <w:t>ICU</w:t>
      </w:r>
      <w:r w:rsidR="00C6007C" w:rsidRPr="00EC57FB">
        <w:t>)</w:t>
      </w:r>
    </w:p>
    <w:p w14:paraId="5F53C9E6" w14:textId="6E2DA1D6" w:rsidR="00BD61BD" w:rsidRPr="00EC57FB" w:rsidRDefault="00AC40E8" w:rsidP="00D23537">
      <w:pPr>
        <w:pStyle w:val="ListParagraph"/>
        <w:ind w:left="1080"/>
        <w:jc w:val="both"/>
      </w:pPr>
      <w:r w:rsidRPr="00EC57FB">
        <w:t>Mortality</w:t>
      </w:r>
      <w:r w:rsidR="00BD61BD" w:rsidRPr="00EC57FB">
        <w:t xml:space="preserve"> of infants hospitalised for RSV LRTI</w:t>
      </w:r>
    </w:p>
    <w:p w14:paraId="224586D3" w14:textId="3268CBAD" w:rsidR="001F2C31" w:rsidRPr="00EC57FB" w:rsidRDefault="001F2C31" w:rsidP="00D23537">
      <w:pPr>
        <w:pStyle w:val="ListParagraph"/>
        <w:ind w:left="1080"/>
        <w:jc w:val="both"/>
      </w:pPr>
      <w:r w:rsidRPr="00EC57FB">
        <w:t xml:space="preserve">Proportion of hospitalised infants developing asthma and wheezing </w:t>
      </w:r>
      <w:r w:rsidR="00733180" w:rsidRPr="00EC57FB">
        <w:t xml:space="preserve">subsequent </w:t>
      </w:r>
      <w:r w:rsidRPr="00EC57FB">
        <w:t xml:space="preserve">to </w:t>
      </w:r>
      <w:r w:rsidR="003025A0" w:rsidRPr="00EC57FB">
        <w:t>hospitalisation for RSV LRTI</w:t>
      </w:r>
    </w:p>
    <w:p w14:paraId="7A7C1A75" w14:textId="237B5838" w:rsidR="00AC40E8" w:rsidRPr="00EC57FB" w:rsidRDefault="00AC40E8" w:rsidP="00D23537">
      <w:pPr>
        <w:pStyle w:val="ListParagraph"/>
        <w:ind w:left="1080"/>
        <w:jc w:val="both"/>
      </w:pPr>
      <w:r w:rsidRPr="00EC57FB">
        <w:t xml:space="preserve">Effectiveness of nirsevimab </w:t>
      </w:r>
      <w:r w:rsidR="001F2C31" w:rsidRPr="00EC57FB">
        <w:t>in reducing the incidence of MA RSV LRTI</w:t>
      </w:r>
    </w:p>
    <w:p w14:paraId="5E99D379" w14:textId="24972769" w:rsidR="00186F5B" w:rsidRPr="00EC57FB" w:rsidRDefault="00186F5B" w:rsidP="00D23537">
      <w:pPr>
        <w:pStyle w:val="ListParagraph"/>
        <w:ind w:left="1080"/>
        <w:jc w:val="both"/>
      </w:pPr>
      <w:r w:rsidRPr="00EC57FB">
        <w:t xml:space="preserve">Drug </w:t>
      </w:r>
      <w:r w:rsidR="004C07A4" w:rsidRPr="00EC57FB">
        <w:t xml:space="preserve">costs </w:t>
      </w:r>
      <w:r w:rsidR="00776C8F" w:rsidRPr="00EC57FB">
        <w:t>for</w:t>
      </w:r>
      <w:r w:rsidRPr="00EC57FB">
        <w:t xml:space="preserve"> nirsevimab</w:t>
      </w:r>
    </w:p>
    <w:p w14:paraId="57198960" w14:textId="5ED7AE60" w:rsidR="002E726E" w:rsidRPr="00EC57FB" w:rsidRDefault="002E726E" w:rsidP="00D23537">
      <w:pPr>
        <w:pStyle w:val="ListParagraph"/>
        <w:ind w:left="1080"/>
        <w:jc w:val="both"/>
      </w:pPr>
      <w:r w:rsidRPr="00EC57FB">
        <w:t>Costs for medical attendance for RSV LRTI</w:t>
      </w:r>
    </w:p>
    <w:p w14:paraId="07493F8C" w14:textId="34F2E8E8" w:rsidR="002E726E" w:rsidRPr="00EC57FB" w:rsidRDefault="002E726E" w:rsidP="00D23537">
      <w:pPr>
        <w:pStyle w:val="ListParagraph"/>
        <w:ind w:left="1080"/>
        <w:jc w:val="both"/>
      </w:pPr>
      <w:r w:rsidRPr="00EC57FB">
        <w:t>Costs of hospitalisation</w:t>
      </w:r>
      <w:r w:rsidR="00DB0860" w:rsidRPr="00EC57FB">
        <w:t xml:space="preserve"> for RSV LRTI</w:t>
      </w:r>
    </w:p>
    <w:p w14:paraId="0D957C25" w14:textId="2AF4D15A" w:rsidR="00DB0860" w:rsidRPr="00EC57FB" w:rsidRDefault="00DB0860" w:rsidP="00D23537">
      <w:pPr>
        <w:pStyle w:val="ListParagraph"/>
        <w:ind w:left="1080"/>
        <w:jc w:val="both"/>
      </w:pPr>
      <w:r w:rsidRPr="00EC57FB">
        <w:t>Costs of care in ICU for RSV LRTI</w:t>
      </w:r>
    </w:p>
    <w:p w14:paraId="21FEFC60" w14:textId="1DE5DF29" w:rsidR="00390C7D" w:rsidRPr="00651504" w:rsidRDefault="003025A0" w:rsidP="00EF2AB1">
      <w:pPr>
        <w:pStyle w:val="3-BodyText"/>
        <w:numPr>
          <w:ilvl w:val="0"/>
          <w:numId w:val="0"/>
        </w:numPr>
        <w:ind w:left="720"/>
      </w:pPr>
      <w:r w:rsidRPr="00EC57FB">
        <w:fldChar w:fldCharType="begin"/>
      </w:r>
      <w:r w:rsidRPr="00EC57FB">
        <w:instrText xml:space="preserve"> REF _Ref187246877 \h </w:instrText>
      </w:r>
      <w:r w:rsidRPr="00EC57FB">
        <w:fldChar w:fldCharType="separate"/>
      </w:r>
      <w:r w:rsidR="00502C25" w:rsidRPr="00EC57FB">
        <w:t xml:space="preserve">Figure </w:t>
      </w:r>
      <w:r w:rsidR="00502C25">
        <w:rPr>
          <w:noProof/>
        </w:rPr>
        <w:t>4</w:t>
      </w:r>
      <w:r w:rsidRPr="00EC57FB">
        <w:fldChar w:fldCharType="end"/>
      </w:r>
      <w:r w:rsidRPr="00EC57FB">
        <w:t xml:space="preserve"> summarises the </w:t>
      </w:r>
      <w:r w:rsidR="00E32EC9" w:rsidRPr="00EC57FB">
        <w:t xml:space="preserve">incidence of key events </w:t>
      </w:r>
      <w:r w:rsidR="00FF74FF" w:rsidRPr="00EC57FB">
        <w:t>assumed in the control arm of the model</w:t>
      </w:r>
      <w:r w:rsidR="004F1233" w:rsidRPr="00EC57FB">
        <w:t xml:space="preserve"> assessing cost-effectiveness of nirsevimab vs no immunisation in </w:t>
      </w:r>
      <w:r w:rsidR="00320DA0" w:rsidRPr="00EC57FB">
        <w:t>Season 1</w:t>
      </w:r>
      <w:r w:rsidR="004F1233" w:rsidRPr="00EC57FB">
        <w:t>.</w:t>
      </w:r>
      <w:r w:rsidR="00FF74FF" w:rsidRPr="00EC57FB">
        <w:t xml:space="preserve"> </w:t>
      </w:r>
    </w:p>
    <w:p w14:paraId="4ECE41B3" w14:textId="1638F75D" w:rsidR="006264C8" w:rsidRPr="00EC57FB" w:rsidRDefault="00565C8E" w:rsidP="00651504">
      <w:pPr>
        <w:pStyle w:val="TableFigureHeading"/>
        <w:keepLines/>
      </w:pPr>
      <w:bookmarkStart w:id="130" w:name="_Ref187246877"/>
      <w:r w:rsidRPr="00EC57FB">
        <w:lastRenderedPageBreak/>
        <w:t xml:space="preserve">Figure </w:t>
      </w:r>
      <w:r w:rsidR="00C51E7C" w:rsidRPr="00EC57FB">
        <w:fldChar w:fldCharType="begin"/>
      </w:r>
      <w:r w:rsidR="00C51E7C" w:rsidRPr="00EC57FB">
        <w:instrText xml:space="preserve"> SEQ Figure \* ARABIC </w:instrText>
      </w:r>
      <w:r w:rsidR="00C51E7C" w:rsidRPr="00EC57FB">
        <w:fldChar w:fldCharType="separate"/>
      </w:r>
      <w:r w:rsidR="00502C25">
        <w:rPr>
          <w:noProof/>
        </w:rPr>
        <w:t>4</w:t>
      </w:r>
      <w:r w:rsidR="00C51E7C" w:rsidRPr="00EC57FB">
        <w:fldChar w:fldCharType="end"/>
      </w:r>
      <w:bookmarkEnd w:id="130"/>
      <w:r w:rsidR="006264C8" w:rsidRPr="00EC57FB">
        <w:t>: Cumulative incidence of events in the model presented for healthy infants in the resubmission</w:t>
      </w:r>
    </w:p>
    <w:p w14:paraId="59BB41B3" w14:textId="77777777" w:rsidR="006264C8" w:rsidRPr="00EC57FB" w:rsidRDefault="006264C8" w:rsidP="00651504">
      <w:pPr>
        <w:keepNext/>
        <w:keepLines/>
        <w:spacing w:before="40"/>
      </w:pPr>
      <w:r w:rsidRPr="00EC57FB">
        <w:rPr>
          <w:noProof/>
        </w:rPr>
        <w:drawing>
          <wp:inline distT="0" distB="0" distL="0" distR="0" wp14:anchorId="65383BB8" wp14:editId="4A66F3DF">
            <wp:extent cx="4481727" cy="3691829"/>
            <wp:effectExtent l="0" t="0" r="0" b="4445"/>
            <wp:docPr id="49578187" name="Picture 1" descr="Cumulative incidence of events in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8187" name="Picture 1" descr="Cumulative incidence of events in the model"/>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83727" cy="3693476"/>
                    </a:xfrm>
                    <a:prstGeom prst="rect">
                      <a:avLst/>
                    </a:prstGeom>
                    <a:noFill/>
                  </pic:spPr>
                </pic:pic>
              </a:graphicData>
            </a:graphic>
          </wp:inline>
        </w:drawing>
      </w:r>
    </w:p>
    <w:p w14:paraId="36CB3740" w14:textId="77777777" w:rsidR="00CD3930" w:rsidRPr="00EC57FB" w:rsidRDefault="006264C8" w:rsidP="00651504">
      <w:pPr>
        <w:pStyle w:val="TableFigureFooter"/>
        <w:keepNext/>
        <w:keepLines/>
      </w:pPr>
      <w:r w:rsidRPr="00EC57FB">
        <w:t>Source: Updated version (with changes in red font) of Figure 3 presented in the nirsevimab July 2024 minutes</w:t>
      </w:r>
      <w:r w:rsidR="001F6F4B" w:rsidRPr="00EC57FB">
        <w:t>, which was generated dur</w:t>
      </w:r>
      <w:r w:rsidR="006E68F5" w:rsidRPr="00EC57FB">
        <w:t>ing the evaluation of the first submission</w:t>
      </w:r>
    </w:p>
    <w:p w14:paraId="1F33B8A0" w14:textId="27777EF2" w:rsidR="00651504" w:rsidRDefault="00CD3930" w:rsidP="00651504">
      <w:pPr>
        <w:pStyle w:val="TableFigureFooter"/>
        <w:keepNext/>
        <w:keepLines/>
      </w:pPr>
      <w:r w:rsidRPr="00EC57FB">
        <w:t xml:space="preserve">Figures for recurrent wheezing in the first submission were </w:t>
      </w:r>
      <w:r w:rsidR="00AD4CEB" w:rsidRPr="00EC57FB">
        <w:t xml:space="preserve">31%, </w:t>
      </w:r>
      <w:r w:rsidR="001449E9" w:rsidRPr="00EC57FB">
        <w:t xml:space="preserve">27%, and 17% in Year 1, Year 2, and Year 3, respectively. The figure for asthma in Year </w:t>
      </w:r>
      <w:r w:rsidR="006078CC" w:rsidRPr="00EC57FB">
        <w:t xml:space="preserve">1 in the first submission </w:t>
      </w:r>
      <w:r w:rsidR="001449E9" w:rsidRPr="00EC57FB">
        <w:t>was</w:t>
      </w:r>
      <w:r w:rsidR="006078CC" w:rsidRPr="00EC57FB">
        <w:t xml:space="preserve"> 31%</w:t>
      </w:r>
      <w:r w:rsidR="00651504">
        <w:t>.</w:t>
      </w:r>
    </w:p>
    <w:p w14:paraId="1FD569C6" w14:textId="78711DB2" w:rsidR="006264C8" w:rsidRPr="00EC57FB" w:rsidRDefault="006264C8" w:rsidP="00651504">
      <w:pPr>
        <w:pStyle w:val="TableFigureFooter"/>
        <w:spacing w:after="120"/>
      </w:pPr>
      <w:r w:rsidRPr="00EC57FB">
        <w:t>Note mechanical ventilation has been removed as a ‘conditional on hospitalisation’ health state</w:t>
      </w:r>
      <w:r w:rsidR="00E93046" w:rsidRPr="00EC57FB">
        <w:t xml:space="preserve"> as </w:t>
      </w:r>
      <w:r w:rsidR="00DE12D2" w:rsidRPr="00EC57FB">
        <w:t>recommended</w:t>
      </w:r>
      <w:r w:rsidR="00E93046" w:rsidRPr="00EC57FB">
        <w:t xml:space="preserve"> by the PBAC at its July 2024 consideration</w:t>
      </w:r>
      <w:r w:rsidRPr="00EC57FB">
        <w:t xml:space="preserve">. </w:t>
      </w:r>
    </w:p>
    <w:p w14:paraId="46A123E6" w14:textId="57777590" w:rsidR="00FA12DB" w:rsidRPr="00EC57FB" w:rsidRDefault="00EB7C4D" w:rsidP="00651504">
      <w:pPr>
        <w:pStyle w:val="3-BodyText"/>
      </w:pPr>
      <w:r w:rsidRPr="00EC57FB">
        <w:t xml:space="preserve">The key matters of concern regarding the economic analyses presented in the </w:t>
      </w:r>
      <w:r w:rsidR="00B46D63" w:rsidRPr="00EC57FB">
        <w:t xml:space="preserve">first </w:t>
      </w:r>
      <w:r w:rsidRPr="00EC57FB">
        <w:t xml:space="preserve">submission and </w:t>
      </w:r>
      <w:r w:rsidR="0012183F" w:rsidRPr="00EC57FB">
        <w:t xml:space="preserve">the resubmission’s changes to the model are summarised in </w:t>
      </w:r>
      <w:r w:rsidR="003475A7" w:rsidRPr="00EC57FB">
        <w:fldChar w:fldCharType="begin"/>
      </w:r>
      <w:r w:rsidR="003475A7" w:rsidRPr="00EC57FB">
        <w:instrText xml:space="preserve"> REF _Ref187244295 \h </w:instrText>
      </w:r>
      <w:r w:rsidR="003475A7" w:rsidRPr="00EC57FB">
        <w:fldChar w:fldCharType="separate"/>
      </w:r>
      <w:r w:rsidR="00502C25" w:rsidRPr="00EC57FB">
        <w:t xml:space="preserve">Table </w:t>
      </w:r>
      <w:r w:rsidR="00502C25">
        <w:rPr>
          <w:noProof/>
        </w:rPr>
        <w:t>25</w:t>
      </w:r>
      <w:r w:rsidR="003475A7" w:rsidRPr="00EC57FB">
        <w:fldChar w:fldCharType="end"/>
      </w:r>
      <w:r w:rsidR="003475A7" w:rsidRPr="00EC57FB">
        <w:t xml:space="preserve">. </w:t>
      </w:r>
      <w:r w:rsidR="00FF21BA" w:rsidRPr="00EC57FB">
        <w:t>S</w:t>
      </w:r>
      <w:r w:rsidR="009F382F" w:rsidRPr="00EC57FB">
        <w:t>everal of</w:t>
      </w:r>
      <w:r w:rsidR="00D464E2" w:rsidRPr="00EC57FB">
        <w:t xml:space="preserve"> the PBAC</w:t>
      </w:r>
      <w:r w:rsidR="00D77339" w:rsidRPr="00EC57FB">
        <w:t xml:space="preserve"> recommendations were not implemented in the revised model presented in the resubmission.</w:t>
      </w:r>
      <w:r w:rsidR="00FA12DB" w:rsidRPr="00EC57FB">
        <w:rPr>
          <w:iCs/>
        </w:rPr>
        <w:t xml:space="preserve"> </w:t>
      </w:r>
      <w:r w:rsidR="001E0F84" w:rsidRPr="00EC57FB">
        <w:rPr>
          <w:iCs/>
        </w:rPr>
        <w:t>Of note</w:t>
      </w:r>
      <w:r w:rsidR="0088617B" w:rsidRPr="00EC57FB">
        <w:rPr>
          <w:iCs/>
        </w:rPr>
        <w:t>, the inputs</w:t>
      </w:r>
      <w:r w:rsidR="00577C66">
        <w:rPr>
          <w:iCs/>
        </w:rPr>
        <w:t xml:space="preserve"> </w:t>
      </w:r>
      <w:bookmarkStart w:id="131" w:name="_Ref199277661"/>
      <w:r w:rsidR="00252B97" w:rsidRPr="00EC57FB">
        <w:t>related to</w:t>
      </w:r>
      <w:r w:rsidR="00577C66">
        <w:t xml:space="preserve"> </w:t>
      </w:r>
      <w:r w:rsidR="00252B97" w:rsidRPr="00EC57FB">
        <w:t xml:space="preserve">1) </w:t>
      </w:r>
      <w:r w:rsidR="00E7524A" w:rsidRPr="00EC57FB">
        <w:t>e</w:t>
      </w:r>
      <w:r w:rsidR="00252B97" w:rsidRPr="00EC57FB">
        <w:t>ffectiveness of nirsevimab</w:t>
      </w:r>
      <w:r w:rsidR="00C4221D" w:rsidRPr="00EC57FB">
        <w:t xml:space="preserve">; </w:t>
      </w:r>
      <w:r w:rsidR="00252B97" w:rsidRPr="00EC57FB">
        <w:t xml:space="preserve">2) </w:t>
      </w:r>
      <w:r w:rsidR="00727510" w:rsidRPr="00EC57FB">
        <w:t xml:space="preserve">baseline </w:t>
      </w:r>
      <w:r w:rsidR="00E7524A" w:rsidRPr="00EC57FB">
        <w:t>h</w:t>
      </w:r>
      <w:r w:rsidR="00252B97" w:rsidRPr="00EC57FB">
        <w:t>ospitalisation rate</w:t>
      </w:r>
      <w:r w:rsidR="00C4221D" w:rsidRPr="00EC57FB">
        <w:t xml:space="preserve">; </w:t>
      </w:r>
      <w:r w:rsidR="00252B97" w:rsidRPr="00EC57FB">
        <w:t xml:space="preserve">3) </w:t>
      </w:r>
      <w:r w:rsidR="005B7F03" w:rsidRPr="00EC57FB">
        <w:t>c</w:t>
      </w:r>
      <w:r w:rsidR="00252B97" w:rsidRPr="00EC57FB">
        <w:t>osts of hospitalisations</w:t>
      </w:r>
      <w:r w:rsidR="00C4221D" w:rsidRPr="00EC57FB">
        <w:t xml:space="preserve">; </w:t>
      </w:r>
      <w:r w:rsidR="00252B97" w:rsidRPr="00EC57FB">
        <w:t xml:space="preserve">and 4) consideration of timing of nirsevimab administration, </w:t>
      </w:r>
      <w:r w:rsidR="002C160A" w:rsidRPr="00EC57FB">
        <w:t>were not revised</w:t>
      </w:r>
      <w:r w:rsidR="00252B97" w:rsidRPr="00EC57FB">
        <w:t xml:space="preserve">, and </w:t>
      </w:r>
      <w:r w:rsidR="008A2486" w:rsidRPr="00EC57FB">
        <w:t xml:space="preserve">the </w:t>
      </w:r>
      <w:r w:rsidR="00FA12DB" w:rsidRPr="00EC57FB">
        <w:t>base case economic evaluation continue</w:t>
      </w:r>
      <w:r w:rsidR="001A0506" w:rsidRPr="00EC57FB">
        <w:t>d</w:t>
      </w:r>
      <w:r w:rsidR="00FA12DB" w:rsidRPr="00EC57FB">
        <w:t xml:space="preserve"> to be informed by:</w:t>
      </w:r>
      <w:bookmarkEnd w:id="131"/>
    </w:p>
    <w:p w14:paraId="2EEB1163" w14:textId="3E7E9839" w:rsidR="00FA12DB" w:rsidRPr="00EC57FB" w:rsidRDefault="00FA12DB" w:rsidP="00651504">
      <w:pPr>
        <w:pStyle w:val="3-BodyText"/>
        <w:numPr>
          <w:ilvl w:val="1"/>
          <w:numId w:val="34"/>
        </w:numPr>
        <w:ind w:left="993" w:hanging="284"/>
      </w:pPr>
      <w:r w:rsidRPr="00EC57FB">
        <w:t>79.5% nirsevimab effectiveness</w:t>
      </w:r>
      <w:r w:rsidR="00252B97" w:rsidRPr="00EC57FB">
        <w:t>;</w:t>
      </w:r>
    </w:p>
    <w:p w14:paraId="0B06CCD9" w14:textId="3521A53C" w:rsidR="00FA12DB" w:rsidRPr="00EC57FB" w:rsidRDefault="001A0506" w:rsidP="00651504">
      <w:pPr>
        <w:pStyle w:val="3-BodyText"/>
        <w:numPr>
          <w:ilvl w:val="1"/>
          <w:numId w:val="34"/>
        </w:numPr>
        <w:ind w:left="993" w:hanging="284"/>
      </w:pPr>
      <w:r w:rsidRPr="00EC57FB">
        <w:t>a</w:t>
      </w:r>
      <w:r w:rsidR="0006493C" w:rsidRPr="00EC57FB">
        <w:t xml:space="preserve">n assumption that </w:t>
      </w:r>
      <w:r w:rsidR="00FA12DB" w:rsidRPr="00EC57FB">
        <w:t xml:space="preserve">nirsevimab </w:t>
      </w:r>
      <w:r w:rsidR="0006493C" w:rsidRPr="00EC57FB">
        <w:t xml:space="preserve">would be </w:t>
      </w:r>
      <w:r w:rsidR="00FA12DB" w:rsidRPr="00EC57FB">
        <w:t>administ</w:t>
      </w:r>
      <w:r w:rsidR="0006493C" w:rsidRPr="00EC57FB">
        <w:t>ered at the optimal timepoint</w:t>
      </w:r>
      <w:r w:rsidR="00252B97" w:rsidRPr="00EC57FB">
        <w:t>;</w:t>
      </w:r>
    </w:p>
    <w:p w14:paraId="1EED580E" w14:textId="19A9A768" w:rsidR="00FA12DB" w:rsidRPr="00EC57FB" w:rsidRDefault="00727510" w:rsidP="00651504">
      <w:pPr>
        <w:pStyle w:val="3-BodyText"/>
        <w:numPr>
          <w:ilvl w:val="1"/>
          <w:numId w:val="34"/>
        </w:numPr>
        <w:ind w:left="993" w:hanging="284"/>
      </w:pPr>
      <w:r w:rsidRPr="00EC57FB">
        <w:t xml:space="preserve">a baseline </w:t>
      </w:r>
      <w:r w:rsidR="00FA12DB" w:rsidRPr="00EC57FB">
        <w:t>4.2% hospitalisation rate</w:t>
      </w:r>
      <w:r w:rsidR="00252B97" w:rsidRPr="00EC57FB">
        <w:t>;</w:t>
      </w:r>
    </w:p>
    <w:p w14:paraId="3A28B02F" w14:textId="2FF9EEBA" w:rsidR="0012183F" w:rsidRPr="00EC57FB" w:rsidRDefault="00727510" w:rsidP="00EF2AB1">
      <w:pPr>
        <w:pStyle w:val="3-BodyText"/>
        <w:numPr>
          <w:ilvl w:val="0"/>
          <w:numId w:val="0"/>
        </w:numPr>
        <w:ind w:left="993"/>
      </w:pPr>
      <w:r w:rsidRPr="00EC57FB">
        <w:t>a</w:t>
      </w:r>
      <w:r w:rsidR="00FA12DB" w:rsidRPr="00EC57FB">
        <w:t>ggregated cost of all hospitalisations over 6 months</w:t>
      </w:r>
      <w:r w:rsidR="00252B97" w:rsidRPr="00EC57FB">
        <w:t>.</w:t>
      </w:r>
    </w:p>
    <w:p w14:paraId="463370AF" w14:textId="20FC693A" w:rsidR="00B10B64" w:rsidRPr="00EC57FB" w:rsidRDefault="003475A7" w:rsidP="00D652E7">
      <w:pPr>
        <w:pStyle w:val="TableFigureHeading"/>
        <w:jc w:val="both"/>
      </w:pPr>
      <w:bookmarkStart w:id="132" w:name="_Ref187244295"/>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25</w:t>
      </w:r>
      <w:r w:rsidR="00C51E7C" w:rsidRPr="00EC57FB">
        <w:fldChar w:fldCharType="end"/>
      </w:r>
      <w:bookmarkEnd w:id="132"/>
      <w:r w:rsidR="00B10B64" w:rsidRPr="00EC57FB">
        <w:t xml:space="preserve">: </w:t>
      </w:r>
      <w:bookmarkStart w:id="133" w:name="_Hlk199275960"/>
      <w:r w:rsidR="00B10B64" w:rsidRPr="00EC57FB">
        <w:t xml:space="preserve">Summary of key concerns from the PBAC’s consideration of the economic evaluation presented in the </w:t>
      </w:r>
      <w:r w:rsidR="00C870C0" w:rsidRPr="00EC57FB">
        <w:t xml:space="preserve">first </w:t>
      </w:r>
      <w:r w:rsidR="00B10B64" w:rsidRPr="00EC57FB">
        <w:t>submission in July 2024 and changes made to the economic evaluation presented in the resubmission</w:t>
      </w:r>
      <w:bookmarkEnd w:id="133"/>
    </w:p>
    <w:tbl>
      <w:tblPr>
        <w:tblStyle w:val="TableGrid"/>
        <w:tblW w:w="0" w:type="auto"/>
        <w:tblLook w:val="04A0" w:firstRow="1" w:lastRow="0" w:firstColumn="1" w:lastColumn="0" w:noHBand="0" w:noVBand="1"/>
      </w:tblPr>
      <w:tblGrid>
        <w:gridCol w:w="1696"/>
        <w:gridCol w:w="3261"/>
        <w:gridCol w:w="4060"/>
      </w:tblGrid>
      <w:tr w:rsidR="00B10B64" w:rsidRPr="00EC57FB" w14:paraId="5DA734F2" w14:textId="77777777" w:rsidTr="008E7600">
        <w:trPr>
          <w:tblHeader/>
        </w:trPr>
        <w:tc>
          <w:tcPr>
            <w:tcW w:w="1696" w:type="dxa"/>
            <w:vAlign w:val="center"/>
          </w:tcPr>
          <w:p w14:paraId="3E76BAA6" w14:textId="77777777" w:rsidR="00B10B64" w:rsidRPr="00EC57FB" w:rsidRDefault="00B10B64" w:rsidP="00086A20">
            <w:pPr>
              <w:jc w:val="left"/>
              <w:rPr>
                <w:rFonts w:ascii="Arial Narrow" w:hAnsi="Arial Narrow"/>
                <w:b/>
                <w:sz w:val="20"/>
                <w:szCs w:val="20"/>
              </w:rPr>
            </w:pPr>
            <w:r w:rsidRPr="00EC57FB">
              <w:rPr>
                <w:rFonts w:ascii="Arial Narrow" w:hAnsi="Arial Narrow"/>
                <w:b/>
                <w:sz w:val="20"/>
                <w:szCs w:val="20"/>
              </w:rPr>
              <w:t>Parameter</w:t>
            </w:r>
          </w:p>
        </w:tc>
        <w:tc>
          <w:tcPr>
            <w:tcW w:w="3261" w:type="dxa"/>
            <w:vAlign w:val="center"/>
          </w:tcPr>
          <w:p w14:paraId="6BE33A4F" w14:textId="135235B5" w:rsidR="00B10B64" w:rsidRPr="00EC57FB" w:rsidRDefault="00CE1E14" w:rsidP="00086A20">
            <w:pPr>
              <w:jc w:val="center"/>
              <w:rPr>
                <w:rFonts w:ascii="Arial Narrow" w:hAnsi="Arial Narrow"/>
                <w:b/>
                <w:sz w:val="20"/>
                <w:szCs w:val="20"/>
              </w:rPr>
            </w:pPr>
            <w:r w:rsidRPr="00EC57FB">
              <w:rPr>
                <w:rFonts w:ascii="Arial Narrow" w:hAnsi="Arial Narrow"/>
                <w:b/>
                <w:bCs/>
                <w:sz w:val="20"/>
                <w:szCs w:val="20"/>
              </w:rPr>
              <w:t xml:space="preserve">Key concern from </w:t>
            </w:r>
            <w:r w:rsidR="00B10B64" w:rsidRPr="00EC57FB">
              <w:rPr>
                <w:rFonts w:ascii="Arial Narrow" w:hAnsi="Arial Narrow"/>
                <w:b/>
                <w:bCs/>
                <w:sz w:val="20"/>
                <w:szCs w:val="20"/>
              </w:rPr>
              <w:t>July 2024 submission</w:t>
            </w:r>
          </w:p>
        </w:tc>
        <w:tc>
          <w:tcPr>
            <w:tcW w:w="4060" w:type="dxa"/>
          </w:tcPr>
          <w:p w14:paraId="0740D7E6" w14:textId="77777777" w:rsidR="00B10B64" w:rsidRPr="00EC57FB" w:rsidRDefault="00B10B64" w:rsidP="00086A20">
            <w:pPr>
              <w:jc w:val="center"/>
              <w:rPr>
                <w:rFonts w:ascii="Arial Narrow" w:hAnsi="Arial Narrow"/>
                <w:b/>
                <w:sz w:val="20"/>
                <w:szCs w:val="20"/>
              </w:rPr>
            </w:pPr>
            <w:r w:rsidRPr="00EC57FB">
              <w:rPr>
                <w:rFonts w:ascii="Arial Narrow" w:hAnsi="Arial Narrow"/>
                <w:b/>
                <w:bCs/>
                <w:sz w:val="20"/>
                <w:szCs w:val="20"/>
              </w:rPr>
              <w:t>PBAC comments and how they were addressed in the March 2025 resubmission</w:t>
            </w:r>
          </w:p>
        </w:tc>
      </w:tr>
      <w:tr w:rsidR="00B10B64" w:rsidRPr="00EC57FB" w14:paraId="6108A302" w14:textId="77777777" w:rsidTr="008E7600">
        <w:tc>
          <w:tcPr>
            <w:tcW w:w="1696" w:type="dxa"/>
          </w:tcPr>
          <w:p w14:paraId="72A71010" w14:textId="77777777"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Effectiveness of nirsevimab</w:t>
            </w:r>
          </w:p>
        </w:tc>
        <w:tc>
          <w:tcPr>
            <w:tcW w:w="3261" w:type="dxa"/>
          </w:tcPr>
          <w:p w14:paraId="0E202216" w14:textId="77777777"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 xml:space="preserve">Nirsevimab was estimated to avoid 79.5% of MA RSV LRTI during the period of protection (5 months). </w:t>
            </w:r>
          </w:p>
        </w:tc>
        <w:tc>
          <w:tcPr>
            <w:tcW w:w="4060" w:type="dxa"/>
          </w:tcPr>
          <w:p w14:paraId="2710831C" w14:textId="5A5F626A" w:rsidR="0002280A" w:rsidRPr="00EC57FB" w:rsidRDefault="0002280A" w:rsidP="00086A20">
            <w:pPr>
              <w:spacing w:after="120"/>
              <w:jc w:val="left"/>
              <w:rPr>
                <w:rFonts w:ascii="Arial Narrow" w:hAnsi="Arial Narrow"/>
                <w:sz w:val="20"/>
                <w:szCs w:val="20"/>
              </w:rPr>
            </w:pPr>
            <w:r w:rsidRPr="00EC57FB">
              <w:rPr>
                <w:rFonts w:ascii="Arial Narrow" w:hAnsi="Arial Narrow"/>
                <w:sz w:val="20"/>
                <w:szCs w:val="20"/>
              </w:rPr>
              <w:t>Not addressed</w:t>
            </w:r>
          </w:p>
          <w:p w14:paraId="01C86B9B" w14:textId="3FC150E5"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‘The PBAC considered that the result from the MELODY trial (74.5%) should be used…’</w:t>
            </w:r>
            <w:r w:rsidRPr="00EC57FB">
              <w:rPr>
                <w:rFonts w:ascii="Arial Narrow" w:hAnsi="Arial Narrow"/>
                <w:iCs/>
                <w:sz w:val="20"/>
                <w:szCs w:val="20"/>
              </w:rPr>
              <w:br/>
            </w:r>
            <w:r w:rsidRPr="00EC57FB">
              <w:rPr>
                <w:rFonts w:ascii="Arial Narrow" w:hAnsi="Arial Narrow"/>
                <w:sz w:val="20"/>
                <w:szCs w:val="20"/>
              </w:rPr>
              <w:t>(para 6.51 of the nirsevimab July 202</w:t>
            </w:r>
            <w:r w:rsidR="00C47EE5" w:rsidRPr="00EC57FB">
              <w:rPr>
                <w:rFonts w:ascii="Arial Narrow" w:hAnsi="Arial Narrow"/>
                <w:sz w:val="20"/>
                <w:szCs w:val="20"/>
              </w:rPr>
              <w:t>4</w:t>
            </w:r>
            <w:r w:rsidRPr="00EC57FB">
              <w:rPr>
                <w:rFonts w:ascii="Arial Narrow" w:hAnsi="Arial Narrow"/>
                <w:sz w:val="20"/>
                <w:szCs w:val="20"/>
              </w:rPr>
              <w:t xml:space="preserve"> </w:t>
            </w:r>
            <w:r w:rsidR="004C6B50" w:rsidRPr="00EC57FB">
              <w:rPr>
                <w:rFonts w:ascii="Arial Narrow" w:hAnsi="Arial Narrow"/>
                <w:sz w:val="20"/>
                <w:szCs w:val="20"/>
              </w:rPr>
              <w:t>PSD</w:t>
            </w:r>
            <w:r w:rsidRPr="00EC57FB">
              <w:rPr>
                <w:rFonts w:ascii="Arial Narrow" w:hAnsi="Arial Narrow"/>
                <w:sz w:val="20"/>
                <w:szCs w:val="20"/>
              </w:rPr>
              <w:t>)</w:t>
            </w:r>
          </w:p>
          <w:p w14:paraId="7D487DA2" w14:textId="11347639" w:rsidR="00907B1B" w:rsidRPr="00EC57FB" w:rsidRDefault="00B10B64" w:rsidP="00651504">
            <w:pPr>
              <w:jc w:val="left"/>
              <w:rPr>
                <w:rFonts w:ascii="Arial Narrow" w:hAnsi="Arial Narrow"/>
                <w:i/>
                <w:iCs/>
                <w:sz w:val="20"/>
                <w:szCs w:val="20"/>
              </w:rPr>
            </w:pPr>
            <w:r w:rsidRPr="00EC57FB">
              <w:rPr>
                <w:rFonts w:ascii="Arial Narrow" w:hAnsi="Arial Narrow"/>
                <w:sz w:val="20"/>
                <w:szCs w:val="20"/>
              </w:rPr>
              <w:t xml:space="preserve">The resubmission continued to apply the pooled nirsevimab effectiveness result of 79.5% as per the previous submission. </w:t>
            </w:r>
            <w:r w:rsidR="00722B70" w:rsidRPr="00EC57FB">
              <w:rPr>
                <w:rFonts w:ascii="Arial Narrow" w:hAnsi="Arial Narrow"/>
                <w:iCs/>
                <w:sz w:val="20"/>
                <w:szCs w:val="20"/>
              </w:rPr>
              <w:t xml:space="preserve">The </w:t>
            </w:r>
            <w:r w:rsidR="00907B1B" w:rsidRPr="00EC57FB">
              <w:rPr>
                <w:rFonts w:ascii="Arial Narrow" w:hAnsi="Arial Narrow"/>
                <w:iCs/>
                <w:sz w:val="20"/>
                <w:szCs w:val="20"/>
              </w:rPr>
              <w:t xml:space="preserve">ESC advised that the immunisation efficacy as </w:t>
            </w:r>
            <w:r w:rsidR="00E76C89" w:rsidRPr="00EC57FB">
              <w:rPr>
                <w:rFonts w:ascii="Arial Narrow" w:hAnsi="Arial Narrow"/>
                <w:iCs/>
                <w:sz w:val="20"/>
                <w:szCs w:val="20"/>
              </w:rPr>
              <w:t xml:space="preserve">determined from </w:t>
            </w:r>
            <w:r w:rsidR="00D31B4F" w:rsidRPr="00EC57FB">
              <w:rPr>
                <w:rFonts w:ascii="Arial Narrow" w:hAnsi="Arial Narrow"/>
                <w:iCs/>
                <w:sz w:val="20"/>
                <w:szCs w:val="20"/>
              </w:rPr>
              <w:t xml:space="preserve">the </w:t>
            </w:r>
            <w:r w:rsidR="00D31B4F" w:rsidRPr="00EC57FB">
              <w:rPr>
                <w:rStyle w:val="CommentReference"/>
                <w:b w:val="0"/>
                <w:bCs/>
                <w:szCs w:val="24"/>
              </w:rPr>
              <w:t>MA RSV LRTI</w:t>
            </w:r>
            <w:r w:rsidR="00D31B4F" w:rsidRPr="00EC57FB">
              <w:rPr>
                <w:rFonts w:ascii="Arial Narrow" w:hAnsi="Arial Narrow"/>
                <w:iCs/>
                <w:sz w:val="20"/>
                <w:szCs w:val="20"/>
              </w:rPr>
              <w:t xml:space="preserve"> endpoint in </w:t>
            </w:r>
            <w:r w:rsidR="00E76C89" w:rsidRPr="00EC57FB">
              <w:rPr>
                <w:rFonts w:ascii="Arial Narrow" w:hAnsi="Arial Narrow"/>
                <w:iCs/>
                <w:sz w:val="20"/>
                <w:szCs w:val="20"/>
              </w:rPr>
              <w:t>the final analysis of MELODY constituted the most relevant and robust estimate</w:t>
            </w:r>
            <w:r w:rsidR="000D5821" w:rsidRPr="00EC57FB">
              <w:rPr>
                <w:rFonts w:ascii="Arial Narrow" w:hAnsi="Arial Narrow"/>
                <w:iCs/>
                <w:sz w:val="20"/>
                <w:szCs w:val="20"/>
              </w:rPr>
              <w:t xml:space="preserve"> for application in the economic analysis</w:t>
            </w:r>
            <w:r w:rsidR="00D31B4F" w:rsidRPr="00EC57FB">
              <w:rPr>
                <w:rFonts w:ascii="Arial Narrow" w:hAnsi="Arial Narrow"/>
                <w:iCs/>
                <w:sz w:val="20"/>
                <w:szCs w:val="20"/>
              </w:rPr>
              <w:t xml:space="preserve"> (76.4%)</w:t>
            </w:r>
            <w:r w:rsidR="000D5821" w:rsidRPr="00EC57FB">
              <w:rPr>
                <w:rFonts w:ascii="Arial Narrow" w:hAnsi="Arial Narrow"/>
                <w:iCs/>
                <w:sz w:val="20"/>
                <w:szCs w:val="20"/>
              </w:rPr>
              <w:t>.</w:t>
            </w:r>
            <w:r w:rsidR="00E76C89" w:rsidRPr="00EC57FB">
              <w:rPr>
                <w:rFonts w:ascii="Arial Narrow" w:hAnsi="Arial Narrow"/>
                <w:iCs/>
                <w:sz w:val="20"/>
                <w:szCs w:val="20"/>
              </w:rPr>
              <w:t xml:space="preserve"> </w:t>
            </w:r>
          </w:p>
        </w:tc>
      </w:tr>
      <w:tr w:rsidR="00B10B64" w:rsidRPr="00EC57FB" w14:paraId="4180897F" w14:textId="77777777" w:rsidTr="008E7600">
        <w:tc>
          <w:tcPr>
            <w:tcW w:w="1696" w:type="dxa"/>
          </w:tcPr>
          <w:p w14:paraId="236277CB" w14:textId="77777777"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Hospitalisation rate</w:t>
            </w:r>
          </w:p>
        </w:tc>
        <w:tc>
          <w:tcPr>
            <w:tcW w:w="3261" w:type="dxa"/>
          </w:tcPr>
          <w:p w14:paraId="139A6816" w14:textId="105DB262"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 xml:space="preserve">The previous submission assumed an </w:t>
            </w:r>
            <w:r w:rsidR="00D1502F" w:rsidRPr="00EC57FB">
              <w:rPr>
                <w:rFonts w:ascii="Arial Narrow" w:hAnsi="Arial Narrow"/>
                <w:sz w:val="20"/>
                <w:szCs w:val="20"/>
              </w:rPr>
              <w:t xml:space="preserve">overall </w:t>
            </w:r>
            <w:r w:rsidRPr="00EC57FB">
              <w:rPr>
                <w:rFonts w:ascii="Arial Narrow" w:hAnsi="Arial Narrow"/>
                <w:sz w:val="20"/>
                <w:szCs w:val="20"/>
              </w:rPr>
              <w:t>annual hospitalisation rate of 4.2%</w:t>
            </w:r>
            <w:r w:rsidR="00D1502F" w:rsidRPr="00EC57FB">
              <w:rPr>
                <w:rFonts w:ascii="Arial Narrow" w:hAnsi="Arial Narrow"/>
                <w:sz w:val="20"/>
                <w:szCs w:val="20"/>
              </w:rPr>
              <w:t xml:space="preserve"> in the control arm of the model</w:t>
            </w:r>
          </w:p>
        </w:tc>
        <w:tc>
          <w:tcPr>
            <w:tcW w:w="4060" w:type="dxa"/>
          </w:tcPr>
          <w:p w14:paraId="01BD0400" w14:textId="26538164" w:rsidR="00A9619C" w:rsidRPr="00EC57FB" w:rsidRDefault="00A9619C" w:rsidP="00086A20">
            <w:pPr>
              <w:spacing w:after="120"/>
              <w:jc w:val="left"/>
              <w:rPr>
                <w:rFonts w:ascii="Arial Narrow" w:hAnsi="Arial Narrow"/>
                <w:sz w:val="20"/>
                <w:szCs w:val="20"/>
              </w:rPr>
            </w:pPr>
            <w:r w:rsidRPr="00EC57FB">
              <w:rPr>
                <w:rFonts w:ascii="Arial Narrow" w:hAnsi="Arial Narrow"/>
                <w:sz w:val="20"/>
                <w:szCs w:val="20"/>
              </w:rPr>
              <w:t>Not addressed</w:t>
            </w:r>
          </w:p>
          <w:p w14:paraId="2597D675" w14:textId="2EE880FD"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‘…the PBAC considered that the hospitalisation rate in the submission was overestimated, and that a rate of 2.33% would be appropriate, based on a publication by Gebremedhin 2022…’</w:t>
            </w:r>
            <w:r w:rsidR="00EE0A2B" w:rsidRPr="00EC57FB">
              <w:rPr>
                <w:rFonts w:ascii="Arial Narrow" w:hAnsi="Arial Narrow"/>
                <w:sz w:val="20"/>
                <w:szCs w:val="20"/>
              </w:rPr>
              <w:br/>
            </w:r>
            <w:r w:rsidRPr="00EC57FB">
              <w:rPr>
                <w:rFonts w:ascii="Arial Narrow" w:hAnsi="Arial Narrow"/>
                <w:sz w:val="20"/>
                <w:szCs w:val="20"/>
              </w:rPr>
              <w:t>(para 6.55 of the nirsevimab July 202</w:t>
            </w:r>
            <w:r w:rsidR="00C47EE5" w:rsidRPr="00EC57FB">
              <w:rPr>
                <w:rFonts w:ascii="Arial Narrow" w:hAnsi="Arial Narrow"/>
                <w:sz w:val="20"/>
                <w:szCs w:val="20"/>
              </w:rPr>
              <w:t>4</w:t>
            </w:r>
            <w:r w:rsidRPr="00EC57FB">
              <w:rPr>
                <w:rFonts w:ascii="Arial Narrow" w:hAnsi="Arial Narrow"/>
                <w:sz w:val="20"/>
                <w:szCs w:val="20"/>
              </w:rPr>
              <w:t xml:space="preserve"> </w:t>
            </w:r>
            <w:r w:rsidR="00DB002E" w:rsidRPr="00EC57FB">
              <w:rPr>
                <w:rFonts w:ascii="Arial Narrow" w:hAnsi="Arial Narrow"/>
                <w:sz w:val="20"/>
                <w:szCs w:val="20"/>
              </w:rPr>
              <w:t>PSD</w:t>
            </w:r>
            <w:r w:rsidRPr="00EC57FB">
              <w:rPr>
                <w:rFonts w:ascii="Arial Narrow" w:hAnsi="Arial Narrow"/>
                <w:sz w:val="20"/>
                <w:szCs w:val="20"/>
              </w:rPr>
              <w:t>)</w:t>
            </w:r>
          </w:p>
          <w:p w14:paraId="2EB38C1B" w14:textId="4DC76F1B" w:rsidR="00252B97" w:rsidRPr="00EC57FB" w:rsidRDefault="00B10B64" w:rsidP="00086A20">
            <w:pPr>
              <w:spacing w:after="120"/>
              <w:jc w:val="left"/>
              <w:rPr>
                <w:rFonts w:ascii="Arial Narrow" w:hAnsi="Arial Narrow"/>
                <w:sz w:val="20"/>
                <w:szCs w:val="20"/>
              </w:rPr>
            </w:pPr>
            <w:r w:rsidRPr="00EC57FB">
              <w:rPr>
                <w:rFonts w:ascii="Arial Narrow" w:hAnsi="Arial Narrow"/>
                <w:sz w:val="20"/>
                <w:szCs w:val="20"/>
              </w:rPr>
              <w:t xml:space="preserve">The base case hospitalisation rate of 4.2% remains unchanged from the previous submission. </w:t>
            </w:r>
          </w:p>
          <w:p w14:paraId="39CE7C3A" w14:textId="729C3E51" w:rsidR="00821048" w:rsidRPr="00EC57FB" w:rsidRDefault="00821048" w:rsidP="00651504">
            <w:pPr>
              <w:jc w:val="left"/>
              <w:rPr>
                <w:rFonts w:ascii="Arial Narrow" w:hAnsi="Arial Narrow"/>
                <w:sz w:val="20"/>
                <w:szCs w:val="20"/>
              </w:rPr>
            </w:pPr>
            <w:r w:rsidRPr="00EC57FB">
              <w:rPr>
                <w:rFonts w:ascii="Arial Narrow" w:hAnsi="Arial Narrow"/>
                <w:sz w:val="20"/>
                <w:szCs w:val="20"/>
              </w:rPr>
              <w:t xml:space="preserve">The ESC </w:t>
            </w:r>
            <w:r w:rsidR="00B661FA" w:rsidRPr="00EC57FB">
              <w:rPr>
                <w:rFonts w:ascii="Arial Narrow" w:hAnsi="Arial Narrow"/>
                <w:sz w:val="20"/>
                <w:szCs w:val="20"/>
              </w:rPr>
              <w:t>considered that a hospitalisation rate of 3.67% should be tested in sensitivity analyses as proposed in the PSCR.</w:t>
            </w:r>
          </w:p>
        </w:tc>
      </w:tr>
      <w:tr w:rsidR="00B10B64" w:rsidRPr="00EC57FB" w14:paraId="162259C3" w14:textId="77777777" w:rsidTr="008E7600">
        <w:tc>
          <w:tcPr>
            <w:tcW w:w="1696" w:type="dxa"/>
          </w:tcPr>
          <w:p w14:paraId="7B27B176" w14:textId="4106F45F"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Cost</w:t>
            </w:r>
            <w:r w:rsidR="000A2CD7" w:rsidRPr="00EC57FB">
              <w:rPr>
                <w:rFonts w:ascii="Arial Narrow" w:hAnsi="Arial Narrow"/>
                <w:sz w:val="20"/>
                <w:szCs w:val="20"/>
              </w:rPr>
              <w:t>s</w:t>
            </w:r>
            <w:r w:rsidRPr="00EC57FB">
              <w:rPr>
                <w:rFonts w:ascii="Arial Narrow" w:hAnsi="Arial Narrow"/>
                <w:sz w:val="20"/>
                <w:szCs w:val="20"/>
              </w:rPr>
              <w:t xml:space="preserve"> of hospitalisations</w:t>
            </w:r>
          </w:p>
        </w:tc>
        <w:tc>
          <w:tcPr>
            <w:tcW w:w="3261" w:type="dxa"/>
          </w:tcPr>
          <w:p w14:paraId="3CD00463" w14:textId="496684CB"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The previous submission applied the same</w:t>
            </w:r>
            <w:r w:rsidR="00D14BEC" w:rsidRPr="00EC57FB">
              <w:rPr>
                <w:rFonts w:ascii="Arial Narrow" w:hAnsi="Arial Narrow"/>
                <w:sz w:val="20"/>
                <w:szCs w:val="20"/>
              </w:rPr>
              <w:t xml:space="preserve"> initial</w:t>
            </w:r>
            <w:r w:rsidRPr="00EC57FB">
              <w:rPr>
                <w:rFonts w:ascii="Arial Narrow" w:hAnsi="Arial Narrow"/>
                <w:sz w:val="20"/>
                <w:szCs w:val="20"/>
              </w:rPr>
              <w:t xml:space="preserve"> cost for hospitalisation</w:t>
            </w:r>
            <w:r w:rsidR="00D14BEC" w:rsidRPr="00EC57FB">
              <w:rPr>
                <w:rFonts w:ascii="Arial Narrow" w:hAnsi="Arial Narrow"/>
                <w:sz w:val="20"/>
                <w:szCs w:val="20"/>
              </w:rPr>
              <w:t xml:space="preserve"> to subsequent hospitalisations</w:t>
            </w:r>
            <w:r w:rsidRPr="00EC57FB">
              <w:rPr>
                <w:rFonts w:ascii="Arial Narrow" w:hAnsi="Arial Narrow"/>
                <w:sz w:val="20"/>
                <w:szCs w:val="20"/>
              </w:rPr>
              <w:t xml:space="preserve"> ($10,895), which reflected the costs of the hospitalisation for RSV LRTI and readmissions for any reason over the next months in every instance when a patient was hospitalised. </w:t>
            </w:r>
          </w:p>
        </w:tc>
        <w:tc>
          <w:tcPr>
            <w:tcW w:w="4060" w:type="dxa"/>
          </w:tcPr>
          <w:p w14:paraId="6776398C" w14:textId="7541A27C" w:rsidR="00B33E81" w:rsidRPr="00EC57FB" w:rsidRDefault="00537191" w:rsidP="00086A20">
            <w:pPr>
              <w:spacing w:after="120"/>
              <w:jc w:val="left"/>
              <w:rPr>
                <w:rFonts w:ascii="Arial Narrow" w:hAnsi="Arial Narrow"/>
                <w:sz w:val="20"/>
                <w:szCs w:val="20"/>
              </w:rPr>
            </w:pPr>
            <w:r w:rsidRPr="00EC57FB">
              <w:rPr>
                <w:rFonts w:ascii="Arial Narrow" w:hAnsi="Arial Narrow"/>
                <w:sz w:val="20"/>
                <w:szCs w:val="20"/>
              </w:rPr>
              <w:t>Not addressed</w:t>
            </w:r>
          </w:p>
          <w:p w14:paraId="13452202" w14:textId="5E6E4EF0"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‘The ESC advised… reducing the costs of subsequent hospitalisations rather than applying a cost (as per the submission) that represented an aggregation of all hospitalisations over 6 months.’</w:t>
            </w:r>
            <w:r w:rsidR="00C47EE5" w:rsidRPr="00EC57FB">
              <w:rPr>
                <w:rFonts w:ascii="Arial Narrow" w:hAnsi="Arial Narrow"/>
                <w:sz w:val="20"/>
                <w:szCs w:val="20"/>
              </w:rPr>
              <w:br/>
            </w:r>
            <w:r w:rsidRPr="00EC57FB">
              <w:rPr>
                <w:rFonts w:ascii="Arial Narrow" w:hAnsi="Arial Narrow"/>
                <w:sz w:val="20"/>
                <w:szCs w:val="20"/>
              </w:rPr>
              <w:t>(para 6.87 of the nirsevimab July 202</w:t>
            </w:r>
            <w:r w:rsidR="00C47EE5" w:rsidRPr="00EC57FB">
              <w:rPr>
                <w:rFonts w:ascii="Arial Narrow" w:hAnsi="Arial Narrow"/>
                <w:sz w:val="20"/>
                <w:szCs w:val="20"/>
              </w:rPr>
              <w:t>4</w:t>
            </w:r>
            <w:r w:rsidRPr="00EC57FB">
              <w:rPr>
                <w:rFonts w:ascii="Arial Narrow" w:hAnsi="Arial Narrow"/>
                <w:sz w:val="20"/>
                <w:szCs w:val="20"/>
              </w:rPr>
              <w:t xml:space="preserve"> </w:t>
            </w:r>
            <w:r w:rsidR="00DB002E" w:rsidRPr="00EC57FB">
              <w:rPr>
                <w:rFonts w:ascii="Arial Narrow" w:hAnsi="Arial Narrow"/>
                <w:sz w:val="20"/>
                <w:szCs w:val="20"/>
              </w:rPr>
              <w:t>PSD</w:t>
            </w:r>
            <w:r w:rsidRPr="00EC57FB">
              <w:rPr>
                <w:rFonts w:ascii="Arial Narrow" w:hAnsi="Arial Narrow"/>
                <w:sz w:val="20"/>
                <w:szCs w:val="20"/>
              </w:rPr>
              <w:t>)</w:t>
            </w:r>
          </w:p>
          <w:p w14:paraId="68A4D23D" w14:textId="405BD393" w:rsidR="00EC3CDC" w:rsidRPr="00EC57FB" w:rsidRDefault="00522CB8" w:rsidP="00651504">
            <w:pPr>
              <w:jc w:val="left"/>
              <w:rPr>
                <w:rFonts w:ascii="Arial Narrow" w:hAnsi="Arial Narrow"/>
                <w:i/>
                <w:iCs/>
                <w:sz w:val="20"/>
                <w:szCs w:val="20"/>
              </w:rPr>
            </w:pPr>
            <w:r w:rsidRPr="00EC57FB">
              <w:rPr>
                <w:rFonts w:ascii="Arial Narrow" w:hAnsi="Arial Narrow"/>
                <w:iCs/>
                <w:sz w:val="20"/>
                <w:szCs w:val="20"/>
              </w:rPr>
              <w:t xml:space="preserve">The </w:t>
            </w:r>
            <w:r w:rsidR="00EC3CDC" w:rsidRPr="00EC57FB">
              <w:rPr>
                <w:rFonts w:ascii="Arial Narrow" w:hAnsi="Arial Narrow"/>
                <w:iCs/>
                <w:sz w:val="20"/>
                <w:szCs w:val="20"/>
              </w:rPr>
              <w:t xml:space="preserve">ESC maintained that the costs of hospitalisation were overestimated and </w:t>
            </w:r>
            <w:r w:rsidR="001317EC" w:rsidRPr="00EC57FB">
              <w:rPr>
                <w:rFonts w:ascii="Arial Narrow" w:hAnsi="Arial Narrow"/>
                <w:iCs/>
                <w:sz w:val="20"/>
                <w:szCs w:val="20"/>
              </w:rPr>
              <w:t>advised that applying costs for the index hospitalisation and re-admissions within a month of the index hospitalisation would be appropriate.</w:t>
            </w:r>
          </w:p>
        </w:tc>
      </w:tr>
      <w:tr w:rsidR="00B10B64" w:rsidRPr="00EC57FB" w14:paraId="09E1F4DB" w14:textId="77777777" w:rsidTr="008E7600">
        <w:tc>
          <w:tcPr>
            <w:tcW w:w="1696" w:type="dxa"/>
          </w:tcPr>
          <w:p w14:paraId="3EDA3B06" w14:textId="77777777"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Optimal timing of nirsevimab</w:t>
            </w:r>
          </w:p>
        </w:tc>
        <w:tc>
          <w:tcPr>
            <w:tcW w:w="3261" w:type="dxa"/>
          </w:tcPr>
          <w:p w14:paraId="55171CF6" w14:textId="77777777"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 xml:space="preserve">Nirsevimab was administered at near optimal timing in the economic evaluation; such as given shortly after birth for infants born just before or during the RSV season. </w:t>
            </w:r>
          </w:p>
        </w:tc>
        <w:tc>
          <w:tcPr>
            <w:tcW w:w="4060" w:type="dxa"/>
          </w:tcPr>
          <w:p w14:paraId="72BEE3A7" w14:textId="5E7E4B15"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 xml:space="preserve">‘The PBAC considered that the optimal administration assumed by the model did not reflect the likely use of nirsevimab in clinical practice, and noted the sensitivity analysis which showed that delaying the administration by one month in the model… resulted in an increase in the ICER of </w:t>
            </w:r>
            <w:r w:rsidR="000641E5" w:rsidRPr="000641E5">
              <w:rPr>
                <w:rFonts w:ascii="Arial Narrow" w:hAnsi="Arial Narrow"/>
                <w:color w:val="000000"/>
                <w:spacing w:val="52"/>
                <w:sz w:val="20"/>
                <w:szCs w:val="20"/>
                <w:shd w:val="solid" w:color="000000" w:fill="000000"/>
                <w:fitText w:val="327" w:id="-662982649"/>
                <w14:textFill>
                  <w14:solidFill>
                    <w14:srgbClr w14:val="000000">
                      <w14:alpha w14:val="100000"/>
                    </w14:srgbClr>
                  </w14:solidFill>
                </w14:textFill>
              </w:rPr>
              <w:t>|||</w:t>
            </w:r>
            <w:r w:rsidR="000641E5" w:rsidRPr="000641E5">
              <w:rPr>
                <w:rFonts w:ascii="Arial Narrow" w:hAnsi="Arial Narrow"/>
                <w:color w:val="000000"/>
                <w:spacing w:val="1"/>
                <w:sz w:val="20"/>
                <w:szCs w:val="20"/>
                <w:shd w:val="solid" w:color="000000" w:fill="000000"/>
                <w:fitText w:val="327" w:id="-662982649"/>
                <w14:textFill>
                  <w14:solidFill>
                    <w14:srgbClr w14:val="000000">
                      <w14:alpha w14:val="100000"/>
                    </w14:srgbClr>
                  </w14:solidFill>
                </w14:textFill>
              </w:rPr>
              <w:t>|</w:t>
            </w:r>
            <w:r w:rsidRPr="00EC57FB">
              <w:rPr>
                <w:rFonts w:ascii="Arial Narrow" w:hAnsi="Arial Narrow"/>
                <w:sz w:val="20"/>
                <w:szCs w:val="20"/>
              </w:rPr>
              <w:t>%.’</w:t>
            </w:r>
            <w:r w:rsidR="00893541" w:rsidRPr="00EC57FB">
              <w:rPr>
                <w:rFonts w:ascii="Arial Narrow" w:hAnsi="Arial Narrow"/>
                <w:sz w:val="20"/>
                <w:szCs w:val="20"/>
              </w:rPr>
              <w:br/>
            </w:r>
            <w:r w:rsidRPr="00EC57FB">
              <w:rPr>
                <w:rFonts w:ascii="Arial Narrow" w:hAnsi="Arial Narrow"/>
                <w:sz w:val="20"/>
                <w:szCs w:val="20"/>
              </w:rPr>
              <w:t xml:space="preserve">(para 6.81 of the nirsevimab </w:t>
            </w:r>
            <w:r w:rsidR="00C47EE5" w:rsidRPr="00EC57FB">
              <w:rPr>
                <w:rFonts w:ascii="Arial Narrow" w:hAnsi="Arial Narrow"/>
                <w:sz w:val="20"/>
                <w:szCs w:val="20"/>
              </w:rPr>
              <w:t>July 2024</w:t>
            </w:r>
            <w:r w:rsidRPr="00EC57FB">
              <w:rPr>
                <w:rFonts w:ascii="Arial Narrow" w:hAnsi="Arial Narrow"/>
                <w:sz w:val="20"/>
                <w:szCs w:val="20"/>
              </w:rPr>
              <w:t xml:space="preserve"> </w:t>
            </w:r>
            <w:r w:rsidR="00AC2E3F" w:rsidRPr="00EC57FB">
              <w:rPr>
                <w:rFonts w:ascii="Arial Narrow" w:hAnsi="Arial Narrow"/>
                <w:sz w:val="20"/>
                <w:szCs w:val="20"/>
              </w:rPr>
              <w:t>PSD</w:t>
            </w:r>
            <w:r w:rsidRPr="00EC57FB">
              <w:rPr>
                <w:rFonts w:ascii="Arial Narrow" w:hAnsi="Arial Narrow"/>
                <w:sz w:val="20"/>
                <w:szCs w:val="20"/>
              </w:rPr>
              <w:t>)</w:t>
            </w:r>
          </w:p>
          <w:p w14:paraId="2EE76BAE" w14:textId="77777777" w:rsidR="00B10B64" w:rsidRPr="00EC57FB" w:rsidRDefault="00B10B64" w:rsidP="00086A20">
            <w:pPr>
              <w:spacing w:after="120"/>
              <w:jc w:val="left"/>
              <w:rPr>
                <w:rFonts w:ascii="Arial Narrow" w:hAnsi="Arial Narrow"/>
                <w:iCs/>
                <w:sz w:val="20"/>
                <w:szCs w:val="20"/>
              </w:rPr>
            </w:pPr>
            <w:r w:rsidRPr="00EC57FB">
              <w:rPr>
                <w:rFonts w:ascii="Arial Narrow" w:hAnsi="Arial Narrow"/>
                <w:sz w:val="20"/>
                <w:szCs w:val="20"/>
              </w:rPr>
              <w:t>The timing of nirsevimab administration remains unchanged from the previous submission</w:t>
            </w:r>
            <w:r w:rsidRPr="00EC57FB">
              <w:rPr>
                <w:rFonts w:ascii="Arial Narrow" w:hAnsi="Arial Narrow"/>
                <w:iCs/>
                <w:sz w:val="20"/>
                <w:szCs w:val="20"/>
              </w:rPr>
              <w:t>.</w:t>
            </w:r>
          </w:p>
          <w:p w14:paraId="7EA48DD4" w14:textId="75EC5ED1" w:rsidR="005326DF" w:rsidRPr="00EC57FB" w:rsidRDefault="00522CB8" w:rsidP="00651504">
            <w:pPr>
              <w:jc w:val="left"/>
              <w:rPr>
                <w:rFonts w:ascii="Arial Narrow" w:hAnsi="Arial Narrow"/>
                <w:i/>
                <w:iCs/>
                <w:sz w:val="20"/>
                <w:szCs w:val="20"/>
              </w:rPr>
            </w:pPr>
            <w:r w:rsidRPr="00EC57FB">
              <w:rPr>
                <w:rFonts w:ascii="Arial Narrow" w:hAnsi="Arial Narrow"/>
                <w:iCs/>
                <w:sz w:val="20"/>
                <w:szCs w:val="20"/>
              </w:rPr>
              <w:t xml:space="preserve">The </w:t>
            </w:r>
            <w:r w:rsidR="005326DF" w:rsidRPr="00EC57FB">
              <w:rPr>
                <w:rFonts w:ascii="Arial Narrow" w:hAnsi="Arial Narrow"/>
                <w:iCs/>
                <w:sz w:val="20"/>
                <w:szCs w:val="20"/>
              </w:rPr>
              <w:t>ESC considered that the assumption that nirsevimab would be administered at the optimal time</w:t>
            </w:r>
            <w:r w:rsidR="007B26FC" w:rsidRPr="00EC57FB">
              <w:rPr>
                <w:rFonts w:ascii="Arial Narrow" w:hAnsi="Arial Narrow"/>
                <w:iCs/>
                <w:sz w:val="20"/>
                <w:szCs w:val="20"/>
              </w:rPr>
              <w:t xml:space="preserve"> biased the analysis in favour of nirsevimab.</w:t>
            </w:r>
          </w:p>
        </w:tc>
      </w:tr>
      <w:tr w:rsidR="00B10B64" w:rsidRPr="00EC57FB" w14:paraId="4A6F60EC" w14:textId="77777777" w:rsidTr="008E7600">
        <w:tc>
          <w:tcPr>
            <w:tcW w:w="1696" w:type="dxa"/>
          </w:tcPr>
          <w:p w14:paraId="3C7B2C55" w14:textId="77777777"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lastRenderedPageBreak/>
              <w:t>Mechanical ventilation</w:t>
            </w:r>
          </w:p>
        </w:tc>
        <w:tc>
          <w:tcPr>
            <w:tcW w:w="3261" w:type="dxa"/>
          </w:tcPr>
          <w:p w14:paraId="5C608A40" w14:textId="77777777"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2.5% of infants hospitalised with RSV received mechanical ventilation.</w:t>
            </w:r>
          </w:p>
          <w:p w14:paraId="7EA49D20" w14:textId="77777777"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 xml:space="preserve">The cost of mechanical ventilation was derived from AR-DRG E41A and was estimated to be $44,682.02. </w:t>
            </w:r>
          </w:p>
        </w:tc>
        <w:tc>
          <w:tcPr>
            <w:tcW w:w="4060" w:type="dxa"/>
          </w:tcPr>
          <w:p w14:paraId="7C427D29" w14:textId="7A8D4547" w:rsidR="00F32889" w:rsidRPr="00EC57FB" w:rsidRDefault="00F32889" w:rsidP="00086A20">
            <w:pPr>
              <w:spacing w:after="120"/>
              <w:jc w:val="left"/>
              <w:rPr>
                <w:rFonts w:ascii="Arial Narrow" w:hAnsi="Arial Narrow"/>
                <w:sz w:val="20"/>
                <w:szCs w:val="20"/>
              </w:rPr>
            </w:pPr>
            <w:r w:rsidRPr="00EC57FB">
              <w:rPr>
                <w:rFonts w:ascii="Arial Narrow" w:hAnsi="Arial Narrow"/>
                <w:sz w:val="20"/>
                <w:szCs w:val="20"/>
              </w:rPr>
              <w:t>Addressed</w:t>
            </w:r>
          </w:p>
          <w:p w14:paraId="0C2CD9B3" w14:textId="3C9DE308"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‘The PBAC agreed with the ESC that the cost of mechanical ventilation should be removed from the model as the submission’s approach double-counted these costs’</w:t>
            </w:r>
            <w:r w:rsidR="00893541" w:rsidRPr="00EC57FB">
              <w:rPr>
                <w:rFonts w:ascii="Arial Narrow" w:hAnsi="Arial Narrow"/>
                <w:sz w:val="20"/>
                <w:szCs w:val="20"/>
              </w:rPr>
              <w:br/>
            </w:r>
            <w:r w:rsidRPr="00EC57FB">
              <w:rPr>
                <w:rFonts w:ascii="Arial Narrow" w:hAnsi="Arial Narrow"/>
                <w:sz w:val="20"/>
                <w:szCs w:val="20"/>
              </w:rPr>
              <w:t xml:space="preserve">(para 6.73 of the nirsevimab </w:t>
            </w:r>
            <w:r w:rsidR="00C47EE5" w:rsidRPr="00EC57FB">
              <w:rPr>
                <w:rFonts w:ascii="Arial Narrow" w:hAnsi="Arial Narrow"/>
                <w:sz w:val="20"/>
                <w:szCs w:val="20"/>
              </w:rPr>
              <w:t>July 2024</w:t>
            </w:r>
            <w:r w:rsidRPr="00EC57FB">
              <w:rPr>
                <w:rFonts w:ascii="Arial Narrow" w:hAnsi="Arial Narrow"/>
                <w:sz w:val="20"/>
                <w:szCs w:val="20"/>
              </w:rPr>
              <w:t xml:space="preserve"> </w:t>
            </w:r>
            <w:r w:rsidR="00331C91" w:rsidRPr="00EC57FB">
              <w:rPr>
                <w:rFonts w:ascii="Arial Narrow" w:hAnsi="Arial Narrow"/>
                <w:sz w:val="20"/>
                <w:szCs w:val="20"/>
              </w:rPr>
              <w:t>PSD</w:t>
            </w:r>
            <w:r w:rsidRPr="00EC57FB">
              <w:rPr>
                <w:rFonts w:ascii="Arial Narrow" w:hAnsi="Arial Narrow"/>
                <w:sz w:val="20"/>
                <w:szCs w:val="20"/>
              </w:rPr>
              <w:t>)</w:t>
            </w:r>
          </w:p>
          <w:p w14:paraId="6C350E38" w14:textId="77777777" w:rsidR="00B10B64" w:rsidRPr="00EC57FB" w:rsidRDefault="00B10B64" w:rsidP="00651504">
            <w:pPr>
              <w:jc w:val="left"/>
              <w:rPr>
                <w:rFonts w:ascii="Arial Narrow" w:hAnsi="Arial Narrow"/>
                <w:sz w:val="20"/>
                <w:szCs w:val="20"/>
              </w:rPr>
            </w:pPr>
            <w:r w:rsidRPr="00EC57FB">
              <w:rPr>
                <w:rFonts w:ascii="Arial Narrow" w:hAnsi="Arial Narrow"/>
                <w:sz w:val="20"/>
                <w:szCs w:val="20"/>
              </w:rPr>
              <w:t xml:space="preserve">The resubmission, appropriately, removed costs and disutilities associated with mechanical ventilation from the base case economic evaluation. </w:t>
            </w:r>
          </w:p>
        </w:tc>
      </w:tr>
      <w:tr w:rsidR="00B10B64" w:rsidRPr="00EC57FB" w14:paraId="60DB2E95" w14:textId="77777777" w:rsidTr="008E7600">
        <w:tc>
          <w:tcPr>
            <w:tcW w:w="1696" w:type="dxa"/>
          </w:tcPr>
          <w:p w14:paraId="2DE60AD6" w14:textId="77777777"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Disutilities applied to health states</w:t>
            </w:r>
          </w:p>
        </w:tc>
        <w:tc>
          <w:tcPr>
            <w:tcW w:w="3261" w:type="dxa"/>
          </w:tcPr>
          <w:p w14:paraId="6D3A8A0F" w14:textId="77777777" w:rsidR="00B10B64" w:rsidRPr="00EC57FB" w:rsidRDefault="00B10B64" w:rsidP="00086A20">
            <w:pPr>
              <w:jc w:val="left"/>
              <w:rPr>
                <w:rFonts w:ascii="Arial Narrow" w:hAnsi="Arial Narrow"/>
                <w:sz w:val="20"/>
                <w:szCs w:val="20"/>
              </w:rPr>
            </w:pPr>
            <w:r w:rsidRPr="00EC57FB">
              <w:rPr>
                <w:rFonts w:ascii="Arial Narrow" w:hAnsi="Arial Narrow"/>
                <w:sz w:val="20"/>
                <w:szCs w:val="20"/>
              </w:rPr>
              <w:t>Disutilities applied to health states in the model for a full cycle (one month):</w:t>
            </w:r>
          </w:p>
          <w:p w14:paraId="79CF44E0" w14:textId="77777777" w:rsidR="00B10B64" w:rsidRPr="00EC57FB" w:rsidRDefault="00B10B64" w:rsidP="00A369BF">
            <w:pPr>
              <w:pStyle w:val="ListParagraph"/>
              <w:numPr>
                <w:ilvl w:val="0"/>
                <w:numId w:val="20"/>
              </w:numPr>
              <w:spacing w:after="0"/>
              <w:ind w:left="357" w:hanging="357"/>
              <w:rPr>
                <w:rFonts w:ascii="Arial Narrow" w:hAnsi="Arial Narrow"/>
                <w:sz w:val="20"/>
                <w:szCs w:val="20"/>
              </w:rPr>
            </w:pPr>
            <w:r w:rsidRPr="00EC57FB">
              <w:rPr>
                <w:rFonts w:ascii="Arial Narrow" w:hAnsi="Arial Narrow"/>
                <w:sz w:val="20"/>
                <w:szCs w:val="20"/>
              </w:rPr>
              <w:t>Primary care visits -0.16</w:t>
            </w:r>
          </w:p>
          <w:p w14:paraId="1F924714" w14:textId="77777777" w:rsidR="00B10B64" w:rsidRPr="00EC57FB" w:rsidRDefault="00B10B64" w:rsidP="00A369BF">
            <w:pPr>
              <w:pStyle w:val="ListParagraph"/>
              <w:numPr>
                <w:ilvl w:val="0"/>
                <w:numId w:val="20"/>
              </w:numPr>
              <w:spacing w:after="0"/>
              <w:ind w:left="357" w:hanging="357"/>
              <w:rPr>
                <w:rFonts w:ascii="Arial Narrow" w:hAnsi="Arial Narrow"/>
                <w:sz w:val="20"/>
                <w:szCs w:val="20"/>
              </w:rPr>
            </w:pPr>
            <w:r w:rsidRPr="00EC57FB">
              <w:rPr>
                <w:rFonts w:ascii="Arial Narrow" w:hAnsi="Arial Narrow"/>
                <w:sz w:val="20"/>
                <w:szCs w:val="20"/>
              </w:rPr>
              <w:t>ED visits -0.20</w:t>
            </w:r>
          </w:p>
          <w:p w14:paraId="49BD8DED" w14:textId="77777777" w:rsidR="00B10B64" w:rsidRPr="00EC57FB" w:rsidRDefault="00B10B64" w:rsidP="00A369BF">
            <w:pPr>
              <w:pStyle w:val="ListParagraph"/>
              <w:numPr>
                <w:ilvl w:val="0"/>
                <w:numId w:val="20"/>
              </w:numPr>
              <w:spacing w:after="0"/>
              <w:ind w:left="357" w:hanging="357"/>
              <w:rPr>
                <w:rFonts w:ascii="Arial Narrow" w:hAnsi="Arial Narrow"/>
                <w:sz w:val="20"/>
                <w:szCs w:val="20"/>
              </w:rPr>
            </w:pPr>
            <w:r w:rsidRPr="00EC57FB">
              <w:rPr>
                <w:rFonts w:ascii="Arial Narrow" w:hAnsi="Arial Narrow"/>
                <w:sz w:val="20"/>
                <w:szCs w:val="20"/>
              </w:rPr>
              <w:t>Hospitalisation -0.41</w:t>
            </w:r>
          </w:p>
          <w:p w14:paraId="07FA97C4" w14:textId="77777777" w:rsidR="00B10B64" w:rsidRPr="00EC57FB" w:rsidRDefault="00B10B64" w:rsidP="00A369BF">
            <w:pPr>
              <w:pStyle w:val="ListParagraph"/>
              <w:numPr>
                <w:ilvl w:val="0"/>
                <w:numId w:val="20"/>
              </w:numPr>
              <w:spacing w:after="0"/>
              <w:rPr>
                <w:rFonts w:ascii="Arial Narrow" w:hAnsi="Arial Narrow"/>
                <w:sz w:val="20"/>
                <w:szCs w:val="20"/>
              </w:rPr>
            </w:pPr>
            <w:r w:rsidRPr="00EC57FB">
              <w:rPr>
                <w:rFonts w:ascii="Arial Narrow" w:hAnsi="Arial Narrow"/>
                <w:sz w:val="20"/>
                <w:szCs w:val="20"/>
              </w:rPr>
              <w:t>ICU admissions -0.20 plus one cycle in hospitalisation (total -0.61)</w:t>
            </w:r>
          </w:p>
          <w:p w14:paraId="339CE570" w14:textId="77777777" w:rsidR="00B10B64" w:rsidRPr="00EC57FB" w:rsidRDefault="00B10B64" w:rsidP="00A369BF">
            <w:pPr>
              <w:pStyle w:val="ListParagraph"/>
              <w:numPr>
                <w:ilvl w:val="0"/>
                <w:numId w:val="20"/>
              </w:numPr>
              <w:spacing w:after="0"/>
              <w:rPr>
                <w:rFonts w:ascii="Arial Narrow" w:hAnsi="Arial Narrow"/>
                <w:sz w:val="20"/>
                <w:szCs w:val="20"/>
              </w:rPr>
            </w:pPr>
            <w:r w:rsidRPr="00EC57FB">
              <w:rPr>
                <w:rFonts w:ascii="Arial Narrow" w:hAnsi="Arial Narrow"/>
                <w:sz w:val="20"/>
                <w:szCs w:val="20"/>
              </w:rPr>
              <w:t>Mechanical ventilation -0.20 plus once cycle in hospitalisation (total -0.61)</w:t>
            </w:r>
          </w:p>
        </w:tc>
        <w:tc>
          <w:tcPr>
            <w:tcW w:w="4060" w:type="dxa"/>
          </w:tcPr>
          <w:p w14:paraId="70578077" w14:textId="296355D9" w:rsidR="00A02180" w:rsidRPr="00EC57FB" w:rsidRDefault="005125E0" w:rsidP="00086A20">
            <w:pPr>
              <w:spacing w:after="120"/>
              <w:jc w:val="left"/>
              <w:rPr>
                <w:rFonts w:ascii="Arial Narrow" w:hAnsi="Arial Narrow"/>
                <w:sz w:val="20"/>
                <w:szCs w:val="20"/>
              </w:rPr>
            </w:pPr>
            <w:r w:rsidRPr="00EC57FB">
              <w:rPr>
                <w:rFonts w:ascii="Arial Narrow" w:hAnsi="Arial Narrow"/>
                <w:sz w:val="20"/>
                <w:szCs w:val="20"/>
              </w:rPr>
              <w:t>Addressed</w:t>
            </w:r>
          </w:p>
          <w:p w14:paraId="251ACC1C" w14:textId="03561AE8"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‘The PBAC agreed with the ESC that the submission’s approach had overestimated the disutilities for RSV health events, and that the disutilities should be adjusted as proposed by the evaluation.’</w:t>
            </w:r>
            <w:r w:rsidR="00492BBF" w:rsidRPr="00EC57FB">
              <w:rPr>
                <w:rFonts w:ascii="Arial Narrow" w:hAnsi="Arial Narrow"/>
                <w:iCs/>
                <w:sz w:val="20"/>
                <w:szCs w:val="20"/>
              </w:rPr>
              <w:br/>
            </w:r>
            <w:r w:rsidRPr="00EC57FB">
              <w:rPr>
                <w:rFonts w:ascii="Arial Narrow" w:hAnsi="Arial Narrow"/>
                <w:sz w:val="20"/>
                <w:szCs w:val="20"/>
              </w:rPr>
              <w:t xml:space="preserve">(para 6.64 of the nirsevimab </w:t>
            </w:r>
            <w:r w:rsidR="00C47EE5" w:rsidRPr="00EC57FB">
              <w:rPr>
                <w:rFonts w:ascii="Arial Narrow" w:hAnsi="Arial Narrow"/>
                <w:sz w:val="20"/>
                <w:szCs w:val="20"/>
              </w:rPr>
              <w:t>July 2024</w:t>
            </w:r>
            <w:r w:rsidRPr="00EC57FB">
              <w:rPr>
                <w:rFonts w:ascii="Arial Narrow" w:hAnsi="Arial Narrow"/>
                <w:sz w:val="20"/>
                <w:szCs w:val="20"/>
              </w:rPr>
              <w:t xml:space="preserve"> </w:t>
            </w:r>
            <w:r w:rsidR="00331C91" w:rsidRPr="00EC57FB">
              <w:rPr>
                <w:rFonts w:ascii="Arial Narrow" w:hAnsi="Arial Narrow"/>
                <w:sz w:val="20"/>
                <w:szCs w:val="20"/>
              </w:rPr>
              <w:t>PSD</w:t>
            </w:r>
            <w:r w:rsidRPr="00EC57FB">
              <w:rPr>
                <w:rFonts w:ascii="Arial Narrow" w:hAnsi="Arial Narrow"/>
                <w:sz w:val="20"/>
                <w:szCs w:val="20"/>
              </w:rPr>
              <w:t>)</w:t>
            </w:r>
          </w:p>
          <w:p w14:paraId="158D59B2" w14:textId="71EB8D27" w:rsidR="00B10B64" w:rsidRPr="00EC57FB" w:rsidRDefault="00B10B64" w:rsidP="00086A20">
            <w:pPr>
              <w:jc w:val="left"/>
              <w:rPr>
                <w:rFonts w:ascii="Arial Narrow" w:hAnsi="Arial Narrow"/>
                <w:sz w:val="20"/>
                <w:szCs w:val="20"/>
              </w:rPr>
            </w:pPr>
            <w:r w:rsidRPr="00EC57FB">
              <w:rPr>
                <w:rFonts w:ascii="Arial Narrow" w:hAnsi="Arial Narrow"/>
                <w:sz w:val="20"/>
                <w:szCs w:val="20"/>
              </w:rPr>
              <w:t>Disutilities applied to health states were adjusted in accordance with the advice in paragraph 6.65 of the nirsevimab July 2024 minutes. The disutilities assumed to be app</w:t>
            </w:r>
            <w:r w:rsidR="009B5372" w:rsidRPr="00EC57FB">
              <w:rPr>
                <w:rFonts w:ascii="Arial Narrow" w:hAnsi="Arial Narrow"/>
                <w:sz w:val="20"/>
                <w:szCs w:val="20"/>
              </w:rPr>
              <w:t xml:space="preserve">ropriate for application in the </w:t>
            </w:r>
            <w:r w:rsidR="006F2FD0" w:rsidRPr="00EC57FB">
              <w:rPr>
                <w:rFonts w:ascii="Arial Narrow" w:hAnsi="Arial Narrow"/>
                <w:sz w:val="20"/>
                <w:szCs w:val="20"/>
              </w:rPr>
              <w:t xml:space="preserve">nirsevimab </w:t>
            </w:r>
            <w:r w:rsidR="009B5372" w:rsidRPr="00EC57FB">
              <w:rPr>
                <w:rFonts w:ascii="Arial Narrow" w:hAnsi="Arial Narrow"/>
                <w:sz w:val="20"/>
                <w:szCs w:val="20"/>
              </w:rPr>
              <w:t>model</w:t>
            </w:r>
            <w:r w:rsidR="006F2FD0" w:rsidRPr="00EC57FB">
              <w:rPr>
                <w:rFonts w:ascii="Arial Narrow" w:hAnsi="Arial Narrow"/>
                <w:sz w:val="20"/>
                <w:szCs w:val="20"/>
              </w:rPr>
              <w:t>, given its structure,</w:t>
            </w:r>
            <w:r w:rsidRPr="00EC57FB">
              <w:rPr>
                <w:rFonts w:ascii="Arial Narrow" w:hAnsi="Arial Narrow"/>
                <w:sz w:val="20"/>
                <w:szCs w:val="20"/>
              </w:rPr>
              <w:t xml:space="preserve"> were as follows:</w:t>
            </w:r>
          </w:p>
          <w:p w14:paraId="6AB6D129" w14:textId="77777777" w:rsidR="00B10B64" w:rsidRPr="00EC57FB" w:rsidRDefault="00B10B64" w:rsidP="00A369BF">
            <w:pPr>
              <w:pStyle w:val="ListParagraph"/>
              <w:numPr>
                <w:ilvl w:val="0"/>
                <w:numId w:val="20"/>
              </w:numPr>
              <w:spacing w:after="0"/>
              <w:ind w:left="357" w:hanging="357"/>
              <w:rPr>
                <w:rFonts w:ascii="Arial Narrow" w:hAnsi="Arial Narrow"/>
                <w:sz w:val="20"/>
                <w:szCs w:val="20"/>
              </w:rPr>
            </w:pPr>
            <w:r w:rsidRPr="00EC57FB">
              <w:rPr>
                <w:rFonts w:ascii="Arial Narrow" w:hAnsi="Arial Narrow"/>
                <w:sz w:val="20"/>
                <w:szCs w:val="20"/>
              </w:rPr>
              <w:t>Primary care visits -0.032410</w:t>
            </w:r>
          </w:p>
          <w:p w14:paraId="02830763" w14:textId="77777777" w:rsidR="00B10B64" w:rsidRPr="00EC57FB" w:rsidRDefault="00B10B64" w:rsidP="00A369BF">
            <w:pPr>
              <w:pStyle w:val="ListParagraph"/>
              <w:numPr>
                <w:ilvl w:val="0"/>
                <w:numId w:val="20"/>
              </w:numPr>
              <w:spacing w:after="0"/>
              <w:ind w:left="357" w:hanging="357"/>
              <w:rPr>
                <w:rFonts w:ascii="Arial Narrow" w:hAnsi="Arial Narrow"/>
                <w:sz w:val="20"/>
                <w:szCs w:val="20"/>
              </w:rPr>
            </w:pPr>
            <w:r w:rsidRPr="00EC57FB">
              <w:rPr>
                <w:rFonts w:ascii="Arial Narrow" w:hAnsi="Arial Narrow"/>
                <w:sz w:val="20"/>
                <w:szCs w:val="20"/>
              </w:rPr>
              <w:t>ED visits -0.040513</w:t>
            </w:r>
          </w:p>
          <w:p w14:paraId="77BF0D3F" w14:textId="77777777" w:rsidR="00B10B64" w:rsidRPr="00EC57FB" w:rsidRDefault="00B10B64" w:rsidP="00A369BF">
            <w:pPr>
              <w:pStyle w:val="ListParagraph"/>
              <w:numPr>
                <w:ilvl w:val="0"/>
                <w:numId w:val="20"/>
              </w:numPr>
              <w:spacing w:after="0"/>
              <w:rPr>
                <w:rFonts w:ascii="Arial Narrow" w:hAnsi="Arial Narrow"/>
                <w:sz w:val="20"/>
                <w:szCs w:val="20"/>
              </w:rPr>
            </w:pPr>
            <w:r w:rsidRPr="00EC57FB">
              <w:rPr>
                <w:rFonts w:ascii="Arial Narrow" w:hAnsi="Arial Narrow"/>
                <w:sz w:val="20"/>
                <w:szCs w:val="20"/>
              </w:rPr>
              <w:t>Hospitalisation -0.08630 (including the disutility for medical attendance)</w:t>
            </w:r>
          </w:p>
          <w:p w14:paraId="776C1123" w14:textId="77777777" w:rsidR="00B10B64" w:rsidRPr="00EC57FB" w:rsidRDefault="00B10B64" w:rsidP="00A369BF">
            <w:pPr>
              <w:pStyle w:val="ListParagraph"/>
              <w:numPr>
                <w:ilvl w:val="0"/>
                <w:numId w:val="20"/>
              </w:numPr>
              <w:spacing w:after="0"/>
              <w:rPr>
                <w:rFonts w:ascii="Arial Narrow" w:hAnsi="Arial Narrow"/>
                <w:sz w:val="20"/>
                <w:szCs w:val="20"/>
              </w:rPr>
            </w:pPr>
            <w:r w:rsidRPr="00EC57FB">
              <w:rPr>
                <w:rFonts w:ascii="Arial Narrow" w:hAnsi="Arial Narrow"/>
                <w:sz w:val="20"/>
                <w:szCs w:val="20"/>
              </w:rPr>
              <w:t xml:space="preserve">ICU admissions -0.25074 </w:t>
            </w:r>
          </w:p>
          <w:p w14:paraId="07DA682D" w14:textId="77777777" w:rsidR="00B10B64" w:rsidRPr="00EC57FB" w:rsidRDefault="00B10B64" w:rsidP="008F5B98">
            <w:pPr>
              <w:pStyle w:val="ListParagraph"/>
              <w:numPr>
                <w:ilvl w:val="0"/>
                <w:numId w:val="20"/>
              </w:numPr>
              <w:spacing w:after="0"/>
              <w:rPr>
                <w:rFonts w:ascii="Arial Narrow" w:hAnsi="Arial Narrow"/>
                <w:sz w:val="20"/>
                <w:szCs w:val="20"/>
              </w:rPr>
            </w:pPr>
            <w:r w:rsidRPr="00EC57FB">
              <w:rPr>
                <w:rFonts w:ascii="Arial Narrow" w:hAnsi="Arial Narrow"/>
                <w:sz w:val="20"/>
                <w:szCs w:val="20"/>
              </w:rPr>
              <w:t>Mechanical ventilation was removed from the base case economic evaluation</w:t>
            </w:r>
          </w:p>
        </w:tc>
      </w:tr>
      <w:tr w:rsidR="00B10B64" w:rsidRPr="00EC57FB" w14:paraId="04FEB1AA" w14:textId="77777777" w:rsidTr="008E7600">
        <w:tc>
          <w:tcPr>
            <w:tcW w:w="1696" w:type="dxa"/>
          </w:tcPr>
          <w:p w14:paraId="5396F8B9" w14:textId="77777777"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Asthma and recurrent wheezing</w:t>
            </w:r>
          </w:p>
        </w:tc>
        <w:tc>
          <w:tcPr>
            <w:tcW w:w="3261" w:type="dxa"/>
          </w:tcPr>
          <w:p w14:paraId="61D0AEF1" w14:textId="77777777" w:rsidR="00B10B64" w:rsidRPr="00EC57FB" w:rsidRDefault="00B10B64" w:rsidP="00086A20">
            <w:pPr>
              <w:jc w:val="left"/>
              <w:rPr>
                <w:rFonts w:ascii="Arial Narrow" w:hAnsi="Arial Narrow"/>
                <w:sz w:val="20"/>
                <w:szCs w:val="20"/>
              </w:rPr>
            </w:pPr>
            <w:r w:rsidRPr="00EC57FB">
              <w:rPr>
                <w:rFonts w:ascii="Arial Narrow" w:hAnsi="Arial Narrow"/>
                <w:sz w:val="20"/>
                <w:szCs w:val="20"/>
              </w:rPr>
              <w:t>Hospitalised infants experienced:</w:t>
            </w:r>
          </w:p>
          <w:p w14:paraId="1DD4364F" w14:textId="77777777" w:rsidR="00B10B64" w:rsidRPr="00EC57FB" w:rsidRDefault="00B10B64" w:rsidP="00A369BF">
            <w:pPr>
              <w:pStyle w:val="ListParagraph"/>
              <w:numPr>
                <w:ilvl w:val="0"/>
                <w:numId w:val="21"/>
              </w:numPr>
              <w:spacing w:after="0"/>
              <w:ind w:left="357" w:hanging="357"/>
              <w:rPr>
                <w:rFonts w:ascii="Arial Narrow" w:hAnsi="Arial Narrow"/>
                <w:sz w:val="20"/>
                <w:szCs w:val="20"/>
              </w:rPr>
            </w:pPr>
            <w:r w:rsidRPr="00EC57FB">
              <w:rPr>
                <w:rFonts w:ascii="Arial Narrow" w:hAnsi="Arial Narrow"/>
                <w:sz w:val="20"/>
                <w:szCs w:val="20"/>
              </w:rPr>
              <w:t>Asthma (31%)</w:t>
            </w:r>
          </w:p>
          <w:p w14:paraId="7134379C" w14:textId="77777777" w:rsidR="00B10B64" w:rsidRPr="00EC57FB" w:rsidRDefault="00B10B64" w:rsidP="00A369BF">
            <w:pPr>
              <w:pStyle w:val="ListParagraph"/>
              <w:numPr>
                <w:ilvl w:val="0"/>
                <w:numId w:val="21"/>
              </w:numPr>
              <w:spacing w:after="0"/>
              <w:ind w:left="357" w:hanging="357"/>
              <w:rPr>
                <w:rFonts w:ascii="Arial Narrow" w:hAnsi="Arial Narrow"/>
                <w:sz w:val="20"/>
                <w:szCs w:val="20"/>
              </w:rPr>
            </w:pPr>
            <w:r w:rsidRPr="00EC57FB">
              <w:rPr>
                <w:rFonts w:ascii="Arial Narrow" w:hAnsi="Arial Narrow"/>
                <w:sz w:val="20"/>
                <w:szCs w:val="20"/>
              </w:rPr>
              <w:t>Recurrent wheezing (31%, first year after RSV LRTI hospitalisation)</w:t>
            </w:r>
          </w:p>
          <w:p w14:paraId="7B463D60" w14:textId="77777777" w:rsidR="00B10B64" w:rsidRPr="00EC57FB" w:rsidRDefault="00B10B64" w:rsidP="00A369BF">
            <w:pPr>
              <w:pStyle w:val="ListParagraph"/>
              <w:numPr>
                <w:ilvl w:val="0"/>
                <w:numId w:val="21"/>
              </w:numPr>
              <w:spacing w:after="0"/>
              <w:ind w:left="357" w:hanging="357"/>
              <w:rPr>
                <w:rFonts w:ascii="Arial Narrow" w:hAnsi="Arial Narrow"/>
                <w:sz w:val="20"/>
                <w:szCs w:val="20"/>
              </w:rPr>
            </w:pPr>
            <w:r w:rsidRPr="00EC57FB">
              <w:rPr>
                <w:rFonts w:ascii="Arial Narrow" w:hAnsi="Arial Narrow"/>
                <w:sz w:val="20"/>
                <w:szCs w:val="20"/>
              </w:rPr>
              <w:t>Recurrent wheezing (27%, second year after RSV LRTI hospitalisation)</w:t>
            </w:r>
          </w:p>
          <w:p w14:paraId="50AD86AF" w14:textId="77777777" w:rsidR="00B10B64" w:rsidRPr="00EC57FB" w:rsidRDefault="00B10B64" w:rsidP="00A369BF">
            <w:pPr>
              <w:pStyle w:val="ListParagraph"/>
              <w:numPr>
                <w:ilvl w:val="0"/>
                <w:numId w:val="21"/>
              </w:numPr>
              <w:spacing w:after="0"/>
              <w:ind w:left="357" w:hanging="357"/>
              <w:rPr>
                <w:rFonts w:ascii="Arial Narrow" w:hAnsi="Arial Narrow"/>
                <w:sz w:val="20"/>
                <w:szCs w:val="20"/>
              </w:rPr>
            </w:pPr>
            <w:r w:rsidRPr="00EC57FB">
              <w:rPr>
                <w:rFonts w:ascii="Arial Narrow" w:hAnsi="Arial Narrow"/>
                <w:sz w:val="20"/>
                <w:szCs w:val="20"/>
              </w:rPr>
              <w:t>Recurrent wheezing (17%, third year after RSV LRTI hospitalisation)</w:t>
            </w:r>
          </w:p>
        </w:tc>
        <w:tc>
          <w:tcPr>
            <w:tcW w:w="4060" w:type="dxa"/>
          </w:tcPr>
          <w:p w14:paraId="1BA53185" w14:textId="2AE79761" w:rsidR="0099450B" w:rsidRPr="00EC57FB" w:rsidRDefault="00C8623C" w:rsidP="00086A20">
            <w:pPr>
              <w:spacing w:after="120"/>
              <w:jc w:val="left"/>
              <w:rPr>
                <w:rFonts w:ascii="Arial Narrow" w:hAnsi="Arial Narrow"/>
                <w:sz w:val="20"/>
                <w:szCs w:val="20"/>
              </w:rPr>
            </w:pPr>
            <w:r w:rsidRPr="00EC57FB">
              <w:rPr>
                <w:rFonts w:ascii="Arial Narrow" w:hAnsi="Arial Narrow"/>
                <w:sz w:val="20"/>
                <w:szCs w:val="20"/>
              </w:rPr>
              <w:t>Not</w:t>
            </w:r>
            <w:r w:rsidR="008A2403" w:rsidRPr="00EC57FB">
              <w:rPr>
                <w:rFonts w:ascii="Arial Narrow" w:hAnsi="Arial Narrow"/>
                <w:sz w:val="20"/>
                <w:szCs w:val="20"/>
              </w:rPr>
              <w:t xml:space="preserve"> addressed</w:t>
            </w:r>
          </w:p>
          <w:p w14:paraId="2C14B653" w14:textId="00CF8030"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‘…the PBAC noted the discussion in the pre-PBAC response, however agreed with the ESC that the estimates of asthma and recurrent wheezing were uncertain and should be removed from the economic model as the estimates were not robust.’</w:t>
            </w:r>
            <w:r w:rsidR="009D0B3E" w:rsidRPr="00EC57FB">
              <w:rPr>
                <w:rFonts w:ascii="Arial Narrow" w:hAnsi="Arial Narrow"/>
                <w:sz w:val="20"/>
                <w:szCs w:val="20"/>
              </w:rPr>
              <w:br/>
            </w:r>
            <w:r w:rsidRPr="00EC57FB">
              <w:rPr>
                <w:rFonts w:ascii="Arial Narrow" w:hAnsi="Arial Narrow"/>
                <w:sz w:val="20"/>
                <w:szCs w:val="20"/>
              </w:rPr>
              <w:t xml:space="preserve">(para 6.61 of the nirsevimab </w:t>
            </w:r>
            <w:r w:rsidR="00C47EE5" w:rsidRPr="00EC57FB">
              <w:rPr>
                <w:rFonts w:ascii="Arial Narrow" w:hAnsi="Arial Narrow"/>
                <w:sz w:val="20"/>
                <w:szCs w:val="20"/>
              </w:rPr>
              <w:t>July 2024</w:t>
            </w:r>
            <w:r w:rsidRPr="00EC57FB">
              <w:rPr>
                <w:rFonts w:ascii="Arial Narrow" w:hAnsi="Arial Narrow"/>
                <w:sz w:val="20"/>
                <w:szCs w:val="20"/>
              </w:rPr>
              <w:t xml:space="preserve"> </w:t>
            </w:r>
            <w:r w:rsidR="00331C91" w:rsidRPr="00EC57FB">
              <w:rPr>
                <w:rFonts w:ascii="Arial Narrow" w:hAnsi="Arial Narrow"/>
                <w:sz w:val="20"/>
                <w:szCs w:val="20"/>
              </w:rPr>
              <w:t>PSD</w:t>
            </w:r>
            <w:r w:rsidRPr="00EC57FB">
              <w:rPr>
                <w:rFonts w:ascii="Arial Narrow" w:hAnsi="Arial Narrow"/>
                <w:sz w:val="20"/>
                <w:szCs w:val="20"/>
              </w:rPr>
              <w:t>)</w:t>
            </w:r>
          </w:p>
          <w:p w14:paraId="644C7348" w14:textId="0B04FCD7" w:rsidR="00B10B64" w:rsidRPr="00EC57FB" w:rsidRDefault="00B10B64" w:rsidP="00086A20">
            <w:pPr>
              <w:jc w:val="left"/>
              <w:rPr>
                <w:rFonts w:ascii="Arial Narrow" w:hAnsi="Arial Narrow"/>
                <w:sz w:val="20"/>
                <w:szCs w:val="20"/>
              </w:rPr>
            </w:pPr>
            <w:r w:rsidRPr="00EC57FB">
              <w:rPr>
                <w:rFonts w:ascii="Arial Narrow" w:hAnsi="Arial Narrow"/>
                <w:sz w:val="20"/>
                <w:szCs w:val="20"/>
              </w:rPr>
              <w:t>The base case economic evaluation did not remove these parameters from the model but reduced the incidence of asthma and recurrent wheezing in hospitalised infants by 70%</w:t>
            </w:r>
            <w:r w:rsidR="00BE4B3C" w:rsidRPr="00EC57FB">
              <w:rPr>
                <w:rFonts w:ascii="Arial Narrow" w:hAnsi="Arial Narrow"/>
                <w:iCs/>
                <w:sz w:val="20"/>
                <w:szCs w:val="20"/>
              </w:rPr>
              <w:t xml:space="preserve"> (with no reason for this extent of reduction)</w:t>
            </w:r>
            <w:r w:rsidRPr="00EC57FB">
              <w:rPr>
                <w:rFonts w:ascii="Arial Narrow" w:hAnsi="Arial Narrow"/>
                <w:sz w:val="20"/>
                <w:szCs w:val="20"/>
              </w:rPr>
              <w:t>:</w:t>
            </w:r>
          </w:p>
          <w:p w14:paraId="63EF74A9" w14:textId="77777777" w:rsidR="00B10B64" w:rsidRPr="00EC57FB" w:rsidRDefault="00B10B64" w:rsidP="00A369BF">
            <w:pPr>
              <w:pStyle w:val="ListParagraph"/>
              <w:numPr>
                <w:ilvl w:val="0"/>
                <w:numId w:val="21"/>
              </w:numPr>
              <w:spacing w:after="0"/>
              <w:ind w:left="357" w:hanging="357"/>
              <w:rPr>
                <w:rFonts w:ascii="Arial Narrow" w:hAnsi="Arial Narrow"/>
                <w:sz w:val="20"/>
                <w:szCs w:val="20"/>
              </w:rPr>
            </w:pPr>
            <w:r w:rsidRPr="00EC57FB">
              <w:rPr>
                <w:rFonts w:ascii="Arial Narrow" w:hAnsi="Arial Narrow"/>
                <w:sz w:val="20"/>
                <w:szCs w:val="20"/>
              </w:rPr>
              <w:t>Asthma (9.3%%)</w:t>
            </w:r>
          </w:p>
          <w:p w14:paraId="745B599F" w14:textId="77777777" w:rsidR="00B10B64" w:rsidRPr="00EC57FB" w:rsidRDefault="00B10B64" w:rsidP="00A369BF">
            <w:pPr>
              <w:pStyle w:val="ListParagraph"/>
              <w:numPr>
                <w:ilvl w:val="0"/>
                <w:numId w:val="21"/>
              </w:numPr>
              <w:spacing w:after="0"/>
              <w:ind w:left="357" w:hanging="357"/>
              <w:rPr>
                <w:rFonts w:ascii="Arial Narrow" w:hAnsi="Arial Narrow"/>
                <w:sz w:val="20"/>
                <w:szCs w:val="20"/>
              </w:rPr>
            </w:pPr>
            <w:r w:rsidRPr="00EC57FB">
              <w:rPr>
                <w:rFonts w:ascii="Arial Narrow" w:hAnsi="Arial Narrow"/>
                <w:sz w:val="20"/>
                <w:szCs w:val="20"/>
              </w:rPr>
              <w:t>Recurrent wheezing (9.3%, first year after RSV LRTI hospitalisation)</w:t>
            </w:r>
          </w:p>
          <w:p w14:paraId="6F8A2DFB" w14:textId="77777777" w:rsidR="00B10B64" w:rsidRPr="00EC57FB" w:rsidRDefault="00B10B64" w:rsidP="00A369BF">
            <w:pPr>
              <w:pStyle w:val="ListParagraph"/>
              <w:numPr>
                <w:ilvl w:val="0"/>
                <w:numId w:val="21"/>
              </w:numPr>
              <w:spacing w:after="0"/>
              <w:ind w:left="357" w:hanging="357"/>
              <w:rPr>
                <w:rFonts w:ascii="Arial Narrow" w:hAnsi="Arial Narrow"/>
                <w:sz w:val="20"/>
                <w:szCs w:val="20"/>
              </w:rPr>
            </w:pPr>
            <w:r w:rsidRPr="00EC57FB">
              <w:rPr>
                <w:rFonts w:ascii="Arial Narrow" w:hAnsi="Arial Narrow"/>
                <w:sz w:val="20"/>
                <w:szCs w:val="20"/>
              </w:rPr>
              <w:t>Recurrent wheezing (8.1%, second year after RSV LRTI hospitalisation)</w:t>
            </w:r>
          </w:p>
          <w:p w14:paraId="2312F4E4" w14:textId="77777777" w:rsidR="00B10B64" w:rsidRPr="00EC57FB" w:rsidRDefault="00B10B64" w:rsidP="00A369BF">
            <w:pPr>
              <w:pStyle w:val="ListParagraph"/>
              <w:numPr>
                <w:ilvl w:val="0"/>
                <w:numId w:val="21"/>
              </w:numPr>
              <w:ind w:left="357" w:hanging="357"/>
              <w:rPr>
                <w:rFonts w:ascii="Arial Narrow" w:hAnsi="Arial Narrow"/>
                <w:sz w:val="20"/>
                <w:szCs w:val="20"/>
              </w:rPr>
            </w:pPr>
            <w:r w:rsidRPr="00EC57FB">
              <w:rPr>
                <w:rFonts w:ascii="Arial Narrow" w:hAnsi="Arial Narrow"/>
                <w:sz w:val="20"/>
                <w:szCs w:val="20"/>
              </w:rPr>
              <w:t>Recurrent wheezing (5.1%, third year after MA RSV LRTI hospitalisation)</w:t>
            </w:r>
          </w:p>
          <w:p w14:paraId="7BA38E46" w14:textId="2DA9A375"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lastRenderedPageBreak/>
              <w:t>As acknowledged by the resubmission, no causal link has been established between RSV infection and asthma or recurrent wheezing. Although an association has been observed between early childhood RSV infection and asthma and/or recurrent wheezing, the possibility that the association is due to some confounder (e.g., a genetic predisposition to respiratory conditions or exposure to an environmental factor like parental smoking) has not been excluded.</w:t>
            </w:r>
            <w:r w:rsidR="000B6EBE" w:rsidRPr="00EC57FB">
              <w:rPr>
                <w:rFonts w:ascii="Arial Narrow" w:hAnsi="Arial Narrow"/>
                <w:sz w:val="20"/>
                <w:szCs w:val="20"/>
              </w:rPr>
              <w:t xml:space="preserve"> </w:t>
            </w:r>
          </w:p>
          <w:p w14:paraId="2949884D" w14:textId="1F03091A" w:rsidR="007B26FC" w:rsidRPr="00EC57FB" w:rsidRDefault="000B41AB" w:rsidP="008F5B98">
            <w:pPr>
              <w:jc w:val="left"/>
              <w:rPr>
                <w:rFonts w:ascii="Arial Narrow" w:hAnsi="Arial Narrow"/>
                <w:i/>
                <w:iCs/>
                <w:sz w:val="20"/>
                <w:szCs w:val="20"/>
              </w:rPr>
            </w:pPr>
            <w:r w:rsidRPr="00EC57FB">
              <w:rPr>
                <w:rFonts w:ascii="Arial Narrow" w:hAnsi="Arial Narrow"/>
                <w:iCs/>
                <w:sz w:val="20"/>
                <w:szCs w:val="20"/>
              </w:rPr>
              <w:t xml:space="preserve">The </w:t>
            </w:r>
            <w:r w:rsidR="007B26FC" w:rsidRPr="00EC57FB">
              <w:rPr>
                <w:rFonts w:ascii="Arial Narrow" w:hAnsi="Arial Narrow"/>
                <w:iCs/>
                <w:sz w:val="20"/>
                <w:szCs w:val="20"/>
              </w:rPr>
              <w:t xml:space="preserve">ESC agreed with the ATAGI advice that </w:t>
            </w:r>
            <w:r w:rsidR="00A12AAC" w:rsidRPr="00EC57FB">
              <w:rPr>
                <w:rFonts w:ascii="Arial Narrow" w:hAnsi="Arial Narrow"/>
                <w:iCs/>
                <w:sz w:val="20"/>
                <w:szCs w:val="20"/>
              </w:rPr>
              <w:t>the inclusion of benefits relating to asthma and wheezing was inappropriate and advised such benefits should be removed from the economic analysis.</w:t>
            </w:r>
          </w:p>
        </w:tc>
      </w:tr>
      <w:tr w:rsidR="00B10B64" w:rsidRPr="00EC57FB" w14:paraId="0613F9A8" w14:textId="77777777" w:rsidTr="008E7600">
        <w:tc>
          <w:tcPr>
            <w:tcW w:w="1696" w:type="dxa"/>
          </w:tcPr>
          <w:p w14:paraId="39F2895F" w14:textId="77777777"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lastRenderedPageBreak/>
              <w:t>Case fatality ratio</w:t>
            </w:r>
          </w:p>
        </w:tc>
        <w:tc>
          <w:tcPr>
            <w:tcW w:w="3261" w:type="dxa"/>
          </w:tcPr>
          <w:p w14:paraId="26D5E67E" w14:textId="77777777"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Infants hospitalised with RSV experienced an RSV-specific mortality rate of 0.003%</w:t>
            </w:r>
          </w:p>
          <w:p w14:paraId="288CC759" w14:textId="03D3445B" w:rsidR="00D56BC2" w:rsidRPr="00EC57FB" w:rsidRDefault="00D56BC2" w:rsidP="008F5B98">
            <w:pPr>
              <w:jc w:val="left"/>
              <w:rPr>
                <w:rFonts w:ascii="Arial Narrow" w:hAnsi="Arial Narrow"/>
                <w:sz w:val="20"/>
                <w:szCs w:val="20"/>
              </w:rPr>
            </w:pPr>
            <w:r w:rsidRPr="00EC57FB">
              <w:rPr>
                <w:rFonts w:ascii="Arial Narrow" w:hAnsi="Arial Narrow"/>
                <w:sz w:val="20"/>
                <w:szCs w:val="20"/>
              </w:rPr>
              <w:t>The PBAC considered a case fatality rate of 0.002 was appropriate for the model, based on the study by Saravanos et al (2022).</w:t>
            </w:r>
          </w:p>
        </w:tc>
        <w:tc>
          <w:tcPr>
            <w:tcW w:w="4060" w:type="dxa"/>
          </w:tcPr>
          <w:p w14:paraId="7E267FF0" w14:textId="4FCFC6AA" w:rsidR="0002584F" w:rsidRPr="00EC57FB" w:rsidRDefault="0002584F" w:rsidP="00086A20">
            <w:pPr>
              <w:spacing w:after="120"/>
              <w:jc w:val="left"/>
              <w:rPr>
                <w:rFonts w:ascii="Arial Narrow" w:hAnsi="Arial Narrow"/>
                <w:sz w:val="20"/>
                <w:szCs w:val="20"/>
              </w:rPr>
            </w:pPr>
            <w:r w:rsidRPr="00EC57FB">
              <w:rPr>
                <w:rFonts w:ascii="Arial Narrow" w:hAnsi="Arial Narrow"/>
                <w:sz w:val="20"/>
                <w:szCs w:val="20"/>
              </w:rPr>
              <w:t>Addressed</w:t>
            </w:r>
          </w:p>
          <w:p w14:paraId="3EE22E38" w14:textId="12F32F35"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 xml:space="preserve">Infants hospitalised with RSV in the model experience an RSV-specific mortality rate of 0.2% (case fatality rate of 0.002), consistent with the PBAC’s </w:t>
            </w:r>
            <w:r w:rsidR="00D56BC2" w:rsidRPr="00EC57FB">
              <w:rPr>
                <w:rFonts w:ascii="Arial Narrow" w:hAnsi="Arial Narrow"/>
                <w:sz w:val="20"/>
                <w:szCs w:val="20"/>
              </w:rPr>
              <w:t xml:space="preserve">July 2024 </w:t>
            </w:r>
            <w:r w:rsidRPr="00EC57FB">
              <w:rPr>
                <w:rFonts w:ascii="Arial Narrow" w:hAnsi="Arial Narrow"/>
                <w:sz w:val="20"/>
                <w:szCs w:val="20"/>
              </w:rPr>
              <w:t>recommendation and the rate reported by Saravanos 2022.</w:t>
            </w:r>
          </w:p>
        </w:tc>
      </w:tr>
      <w:tr w:rsidR="00EB646C" w:rsidRPr="00EC57FB" w14:paraId="1D1E2013" w14:textId="77777777" w:rsidTr="008E7600">
        <w:trPr>
          <w:trHeight w:val="291"/>
        </w:trPr>
        <w:tc>
          <w:tcPr>
            <w:tcW w:w="1696" w:type="dxa"/>
          </w:tcPr>
          <w:p w14:paraId="4D20C879" w14:textId="1B220B96" w:rsidR="00EB646C" w:rsidRPr="00EC57FB" w:rsidDel="00F0079B" w:rsidRDefault="00371C05" w:rsidP="00086A20">
            <w:pPr>
              <w:spacing w:after="120"/>
              <w:jc w:val="left"/>
              <w:rPr>
                <w:rFonts w:ascii="Arial Narrow" w:hAnsi="Arial Narrow"/>
                <w:sz w:val="20"/>
                <w:szCs w:val="20"/>
              </w:rPr>
            </w:pPr>
            <w:r w:rsidRPr="00EC57FB">
              <w:rPr>
                <w:rFonts w:ascii="Arial Narrow" w:hAnsi="Arial Narrow"/>
                <w:sz w:val="20"/>
                <w:szCs w:val="20"/>
              </w:rPr>
              <w:t>Administration costs</w:t>
            </w:r>
          </w:p>
        </w:tc>
        <w:tc>
          <w:tcPr>
            <w:tcW w:w="3261" w:type="dxa"/>
          </w:tcPr>
          <w:p w14:paraId="7DB79CF9" w14:textId="5AB3CF9C" w:rsidR="00EB646C" w:rsidRPr="00EC57FB" w:rsidDel="00F0079B" w:rsidRDefault="0081075F" w:rsidP="00086A20">
            <w:pPr>
              <w:spacing w:after="120"/>
              <w:jc w:val="left"/>
              <w:rPr>
                <w:rFonts w:ascii="Arial Narrow" w:hAnsi="Arial Narrow"/>
                <w:sz w:val="20"/>
                <w:szCs w:val="20"/>
              </w:rPr>
            </w:pPr>
            <w:r w:rsidRPr="00EC57FB">
              <w:rPr>
                <w:rFonts w:ascii="Arial Narrow" w:hAnsi="Arial Narrow"/>
                <w:sz w:val="20"/>
                <w:szCs w:val="20"/>
              </w:rPr>
              <w:t>Excluded</w:t>
            </w:r>
          </w:p>
        </w:tc>
        <w:tc>
          <w:tcPr>
            <w:tcW w:w="4060" w:type="dxa"/>
          </w:tcPr>
          <w:p w14:paraId="129888EF" w14:textId="77777777" w:rsidR="00EB646C" w:rsidRPr="00EC57FB" w:rsidRDefault="00EB646C" w:rsidP="00EB646C">
            <w:pPr>
              <w:spacing w:after="120"/>
              <w:jc w:val="left"/>
              <w:rPr>
                <w:rFonts w:ascii="Arial Narrow" w:hAnsi="Arial Narrow"/>
                <w:iCs/>
                <w:sz w:val="20"/>
                <w:szCs w:val="20"/>
              </w:rPr>
            </w:pPr>
            <w:r w:rsidRPr="00EC57FB">
              <w:rPr>
                <w:rFonts w:ascii="Arial Narrow" w:hAnsi="Arial Narrow"/>
                <w:iCs/>
                <w:sz w:val="20"/>
                <w:szCs w:val="20"/>
              </w:rPr>
              <w:t xml:space="preserve">The ESC advised that the exclusion of costs for administration of nirsevimab was not appropriate and that the economic analysis should include costs of administration for a proportion of infants who would not be immunised at the time of birth. </w:t>
            </w:r>
          </w:p>
          <w:p w14:paraId="080E068E" w14:textId="00C9FF1C" w:rsidR="00EB646C" w:rsidRPr="00EC57FB" w:rsidDel="00F0079B" w:rsidRDefault="00EB646C" w:rsidP="008F5B98">
            <w:pPr>
              <w:jc w:val="left"/>
              <w:rPr>
                <w:rFonts w:ascii="Arial Narrow" w:hAnsi="Arial Narrow"/>
                <w:sz w:val="20"/>
                <w:szCs w:val="20"/>
              </w:rPr>
            </w:pPr>
            <w:r w:rsidRPr="00EC57FB">
              <w:rPr>
                <w:rFonts w:ascii="Arial Narrow" w:hAnsi="Arial Narrow"/>
                <w:iCs/>
                <w:sz w:val="20"/>
                <w:szCs w:val="20"/>
              </w:rPr>
              <w:t>If it was assumed that 50% of infants would receive nirsevimab at birth (no administration fee would apply), and the remainder would receive it at GP visits (Level A), then the average child would incur an administration cost of $19.60 x 0.5 = $9.80 for season 1.</w:t>
            </w:r>
          </w:p>
        </w:tc>
      </w:tr>
      <w:tr w:rsidR="00B10B64" w:rsidRPr="00EC57FB" w14:paraId="5D2254C1" w14:textId="77777777" w:rsidTr="008E7600">
        <w:tc>
          <w:tcPr>
            <w:tcW w:w="1696" w:type="dxa"/>
          </w:tcPr>
          <w:p w14:paraId="50CAC654" w14:textId="77777777" w:rsidR="00B10B64" w:rsidRPr="00EC57FB" w:rsidRDefault="00B10B64" w:rsidP="00086A20">
            <w:pPr>
              <w:spacing w:after="120"/>
              <w:jc w:val="left"/>
              <w:rPr>
                <w:rFonts w:ascii="Arial Narrow" w:hAnsi="Arial Narrow"/>
                <w:sz w:val="20"/>
                <w:szCs w:val="20"/>
              </w:rPr>
            </w:pPr>
            <w:r w:rsidRPr="00EC57FB">
              <w:rPr>
                <w:rFonts w:ascii="Arial Narrow" w:hAnsi="Arial Narrow"/>
                <w:sz w:val="20"/>
                <w:szCs w:val="20"/>
              </w:rPr>
              <w:t>Hospitalisation data for high-risk population</w:t>
            </w:r>
          </w:p>
        </w:tc>
        <w:tc>
          <w:tcPr>
            <w:tcW w:w="3261" w:type="dxa"/>
          </w:tcPr>
          <w:p w14:paraId="0E277091" w14:textId="0E124DD0" w:rsidR="00B10B64" w:rsidRPr="00EC57FB" w:rsidRDefault="00086A20" w:rsidP="00086A20">
            <w:pPr>
              <w:spacing w:after="120"/>
              <w:jc w:val="left"/>
              <w:rPr>
                <w:rFonts w:ascii="Arial Narrow" w:hAnsi="Arial Narrow"/>
                <w:sz w:val="20"/>
                <w:szCs w:val="20"/>
              </w:rPr>
            </w:pPr>
            <w:r w:rsidRPr="00EC57FB">
              <w:rPr>
                <w:rFonts w:ascii="Arial Narrow" w:hAnsi="Arial Narrow"/>
                <w:sz w:val="20"/>
                <w:szCs w:val="20"/>
              </w:rPr>
              <w:t>Not modelled separately</w:t>
            </w:r>
            <w:r w:rsidR="00B10B64" w:rsidRPr="00EC57FB">
              <w:rPr>
                <w:rFonts w:ascii="Arial Narrow" w:hAnsi="Arial Narrow"/>
                <w:sz w:val="20"/>
                <w:szCs w:val="20"/>
              </w:rPr>
              <w:t xml:space="preserve"> </w:t>
            </w:r>
          </w:p>
        </w:tc>
        <w:tc>
          <w:tcPr>
            <w:tcW w:w="4060" w:type="dxa"/>
          </w:tcPr>
          <w:p w14:paraId="1D01ACA9" w14:textId="02B92043" w:rsidR="00C146E1" w:rsidRPr="00EC57FB" w:rsidRDefault="00612943" w:rsidP="00086A20">
            <w:pPr>
              <w:spacing w:after="120"/>
              <w:jc w:val="left"/>
              <w:rPr>
                <w:rFonts w:ascii="Arial Narrow" w:hAnsi="Arial Narrow"/>
                <w:sz w:val="20"/>
                <w:szCs w:val="20"/>
              </w:rPr>
            </w:pPr>
            <w:r w:rsidRPr="00EC57FB">
              <w:rPr>
                <w:rFonts w:ascii="Arial Narrow" w:hAnsi="Arial Narrow"/>
                <w:sz w:val="20"/>
                <w:szCs w:val="20"/>
              </w:rPr>
              <w:t>Partially addressed</w:t>
            </w:r>
          </w:p>
          <w:p w14:paraId="31265F3D" w14:textId="56B5F194" w:rsidR="00717FF3" w:rsidRPr="003442B2" w:rsidRDefault="00B10B64" w:rsidP="00086A20">
            <w:pPr>
              <w:jc w:val="left"/>
              <w:rPr>
                <w:rFonts w:ascii="Arial Narrow" w:hAnsi="Arial Narrow"/>
                <w:sz w:val="20"/>
                <w:szCs w:val="20"/>
              </w:rPr>
            </w:pPr>
            <w:r w:rsidRPr="00EC57FB">
              <w:rPr>
                <w:rFonts w:ascii="Arial Narrow" w:hAnsi="Arial Narrow"/>
                <w:sz w:val="20"/>
                <w:szCs w:val="20"/>
              </w:rPr>
              <w:t xml:space="preserve">The </w:t>
            </w:r>
            <w:r w:rsidR="00521CC6" w:rsidRPr="00EC57FB">
              <w:rPr>
                <w:rFonts w:ascii="Arial Narrow" w:hAnsi="Arial Narrow"/>
                <w:sz w:val="20"/>
                <w:szCs w:val="20"/>
              </w:rPr>
              <w:t xml:space="preserve">model in the </w:t>
            </w:r>
            <w:r w:rsidRPr="00EC57FB">
              <w:rPr>
                <w:rFonts w:ascii="Arial Narrow" w:hAnsi="Arial Narrow"/>
                <w:sz w:val="20"/>
                <w:szCs w:val="20"/>
              </w:rPr>
              <w:t xml:space="preserve">resubmission included high-risk-specific hospitalisation </w:t>
            </w:r>
            <w:r w:rsidR="001C0904" w:rsidRPr="00EC57FB">
              <w:rPr>
                <w:rFonts w:ascii="Arial Narrow" w:hAnsi="Arial Narrow"/>
                <w:sz w:val="20"/>
                <w:szCs w:val="20"/>
              </w:rPr>
              <w:t>rates</w:t>
            </w:r>
            <w:r w:rsidRPr="00EC57FB">
              <w:rPr>
                <w:rFonts w:ascii="Arial Narrow" w:hAnsi="Arial Narrow"/>
                <w:sz w:val="20"/>
                <w:szCs w:val="20"/>
              </w:rPr>
              <w:t xml:space="preserve"> based on </w:t>
            </w:r>
            <w:r w:rsidR="001C0904" w:rsidRPr="00EC57FB">
              <w:rPr>
                <w:rFonts w:ascii="Arial Narrow" w:hAnsi="Arial Narrow"/>
                <w:sz w:val="20"/>
                <w:szCs w:val="20"/>
              </w:rPr>
              <w:t xml:space="preserve">rates observed in </w:t>
            </w:r>
            <w:r w:rsidRPr="00EC57FB">
              <w:rPr>
                <w:rFonts w:ascii="Arial Narrow" w:hAnsi="Arial Narrow"/>
                <w:sz w:val="20"/>
                <w:szCs w:val="20"/>
              </w:rPr>
              <w:t xml:space="preserve">an Aboriginal and Torres Strait Islander population </w:t>
            </w:r>
            <w:r w:rsidR="001C0904" w:rsidRPr="00EC57FB">
              <w:rPr>
                <w:rFonts w:ascii="Arial Narrow" w:hAnsi="Arial Narrow"/>
                <w:sz w:val="20"/>
                <w:szCs w:val="20"/>
              </w:rPr>
              <w:t>(as a proxy for infants with risk conditions</w:t>
            </w:r>
            <w:r w:rsidR="00C27856" w:rsidRPr="00EC57FB">
              <w:rPr>
                <w:rFonts w:ascii="Arial Narrow" w:hAnsi="Arial Narrow"/>
                <w:sz w:val="20"/>
                <w:szCs w:val="20"/>
              </w:rPr>
              <w:t xml:space="preserve">) </w:t>
            </w:r>
            <w:r w:rsidR="009C2D83" w:rsidRPr="00EC57FB">
              <w:rPr>
                <w:rFonts w:ascii="Arial Narrow" w:hAnsi="Arial Narrow"/>
                <w:sz w:val="20"/>
                <w:szCs w:val="20"/>
              </w:rPr>
              <w:t xml:space="preserve">in the </w:t>
            </w:r>
            <w:r w:rsidRPr="00EC57FB">
              <w:rPr>
                <w:rFonts w:ascii="Arial Narrow" w:hAnsi="Arial Narrow"/>
                <w:sz w:val="20"/>
                <w:szCs w:val="20"/>
              </w:rPr>
              <w:t>REVIVE study</w:t>
            </w:r>
            <w:r w:rsidR="00C27856" w:rsidRPr="00EC57FB">
              <w:rPr>
                <w:rFonts w:ascii="Arial Narrow" w:hAnsi="Arial Narrow"/>
                <w:sz w:val="20"/>
                <w:szCs w:val="20"/>
              </w:rPr>
              <w:t xml:space="preserve">, </w:t>
            </w:r>
            <w:r w:rsidR="00712EAB" w:rsidRPr="00EC57FB">
              <w:rPr>
                <w:rFonts w:ascii="Arial Narrow" w:hAnsi="Arial Narrow"/>
                <w:sz w:val="20"/>
                <w:szCs w:val="20"/>
              </w:rPr>
              <w:t xml:space="preserve">which assessed the effectiveness of </w:t>
            </w:r>
            <w:r w:rsidR="00C27856" w:rsidRPr="00EC57FB">
              <w:rPr>
                <w:rFonts w:ascii="Arial Narrow" w:hAnsi="Arial Narrow"/>
                <w:sz w:val="20"/>
                <w:szCs w:val="20"/>
              </w:rPr>
              <w:t xml:space="preserve">the WA Nirsevimab Prevention Program. The program offered nirsevimab to all infants aged &lt;12 months entering their first RSV season and to children aged &lt; 24 months with risk conditions (including Aboriginal and Torres Strait Islander children) entering their second RSV season. </w:t>
            </w:r>
            <w:r w:rsidR="00914090" w:rsidRPr="00EC57FB">
              <w:rPr>
                <w:rFonts w:ascii="Arial Narrow" w:hAnsi="Arial Narrow"/>
                <w:sz w:val="20"/>
                <w:szCs w:val="20"/>
              </w:rPr>
              <w:t xml:space="preserve">The </w:t>
            </w:r>
            <w:r w:rsidR="00717FF3" w:rsidRPr="00EC57FB">
              <w:rPr>
                <w:rFonts w:ascii="Arial Narrow" w:hAnsi="Arial Narrow"/>
                <w:sz w:val="20"/>
                <w:szCs w:val="20"/>
              </w:rPr>
              <w:t xml:space="preserve">rates applied in the economic evaluation for </w:t>
            </w:r>
            <w:r w:rsidR="00717FF3" w:rsidRPr="003442B2">
              <w:rPr>
                <w:rFonts w:ascii="Arial Narrow" w:hAnsi="Arial Narrow"/>
                <w:sz w:val="20"/>
                <w:szCs w:val="20"/>
              </w:rPr>
              <w:t>infants with risk conditions were 14.32% in Season 1</w:t>
            </w:r>
          </w:p>
          <w:p w14:paraId="1A161B4F" w14:textId="12DF075B" w:rsidR="001F2954" w:rsidRPr="00EC57FB" w:rsidRDefault="00717FF3" w:rsidP="00BE42B6">
            <w:pPr>
              <w:jc w:val="left"/>
              <w:rPr>
                <w:rFonts w:ascii="Arial Narrow" w:hAnsi="Arial Narrow"/>
                <w:sz w:val="20"/>
                <w:szCs w:val="20"/>
              </w:rPr>
            </w:pPr>
            <w:r w:rsidRPr="003442B2">
              <w:rPr>
                <w:rFonts w:ascii="Arial Narrow" w:hAnsi="Arial Narrow"/>
                <w:sz w:val="20"/>
                <w:szCs w:val="20"/>
              </w:rPr>
              <w:t xml:space="preserve">and 3.54% in </w:t>
            </w:r>
            <w:r w:rsidR="00CB6D7B" w:rsidRPr="003442B2">
              <w:rPr>
                <w:rFonts w:ascii="Arial Narrow" w:hAnsi="Arial Narrow"/>
                <w:sz w:val="20"/>
                <w:szCs w:val="20"/>
              </w:rPr>
              <w:t xml:space="preserve">Season 2. The </w:t>
            </w:r>
            <w:r w:rsidR="00914090" w:rsidRPr="003442B2">
              <w:rPr>
                <w:rFonts w:ascii="Arial Narrow" w:hAnsi="Arial Narrow"/>
                <w:sz w:val="20"/>
                <w:szCs w:val="20"/>
              </w:rPr>
              <w:t>resubmission provided a presentation detailing early insights following the implementation of the WA Nirsevimab Prevention</w:t>
            </w:r>
            <w:r w:rsidR="00914090" w:rsidRPr="00EC57FB">
              <w:rPr>
                <w:rFonts w:ascii="Arial Narrow" w:hAnsi="Arial Narrow"/>
                <w:sz w:val="20"/>
                <w:szCs w:val="20"/>
              </w:rPr>
              <w:t xml:space="preserve"> Program. However, hospitalisation rates, as </w:t>
            </w:r>
            <w:r w:rsidR="00CB6D7B" w:rsidRPr="00EC57FB">
              <w:rPr>
                <w:rFonts w:ascii="Arial Narrow" w:hAnsi="Arial Narrow"/>
                <w:sz w:val="20"/>
                <w:szCs w:val="20"/>
              </w:rPr>
              <w:t xml:space="preserve">applied </w:t>
            </w:r>
            <w:r w:rsidR="00CB6D7B" w:rsidRPr="00EC57FB">
              <w:rPr>
                <w:rFonts w:ascii="Arial Narrow" w:hAnsi="Arial Narrow"/>
                <w:sz w:val="20"/>
                <w:szCs w:val="20"/>
              </w:rPr>
              <w:lastRenderedPageBreak/>
              <w:t>in the model</w:t>
            </w:r>
            <w:r w:rsidR="00914090" w:rsidRPr="00EC57FB">
              <w:rPr>
                <w:rFonts w:ascii="Arial Narrow" w:hAnsi="Arial Narrow"/>
                <w:sz w:val="20"/>
                <w:szCs w:val="20"/>
              </w:rPr>
              <w:t>, are not included in that presentation. It</w:t>
            </w:r>
            <w:r w:rsidR="00914090" w:rsidRPr="00EC57FB">
              <w:rPr>
                <w:rFonts w:ascii="Arial Narrow" w:hAnsi="Arial Narrow"/>
                <w:iCs/>
                <w:sz w:val="20"/>
                <w:szCs w:val="20"/>
              </w:rPr>
              <w:t xml:space="preserve"> </w:t>
            </w:r>
            <w:r w:rsidR="00914090" w:rsidRPr="00EC57FB">
              <w:rPr>
                <w:rFonts w:ascii="Arial Narrow" w:hAnsi="Arial Narrow"/>
                <w:sz w:val="20"/>
                <w:szCs w:val="20"/>
              </w:rPr>
              <w:t>was, therefore, not possible to verify th</w:t>
            </w:r>
            <w:r w:rsidR="00CB6D7B" w:rsidRPr="00EC57FB">
              <w:rPr>
                <w:rFonts w:ascii="Arial Narrow" w:hAnsi="Arial Narrow"/>
                <w:sz w:val="20"/>
                <w:szCs w:val="20"/>
              </w:rPr>
              <w:t xml:space="preserve">ese </w:t>
            </w:r>
            <w:r w:rsidR="00914090" w:rsidRPr="00EC57FB">
              <w:rPr>
                <w:rFonts w:ascii="Arial Narrow" w:hAnsi="Arial Narrow"/>
                <w:sz w:val="20"/>
                <w:szCs w:val="20"/>
              </w:rPr>
              <w:t>hospitalisation rate</w:t>
            </w:r>
            <w:r w:rsidR="00CB6D7B" w:rsidRPr="00EC57FB">
              <w:rPr>
                <w:rFonts w:ascii="Arial Narrow" w:hAnsi="Arial Narrow"/>
                <w:sz w:val="20"/>
                <w:szCs w:val="20"/>
              </w:rPr>
              <w:t>s</w:t>
            </w:r>
            <w:r w:rsidR="00914090" w:rsidRPr="00EC57FB">
              <w:rPr>
                <w:rFonts w:ascii="Arial Narrow" w:hAnsi="Arial Narrow"/>
                <w:sz w:val="20"/>
                <w:szCs w:val="20"/>
              </w:rPr>
              <w:t xml:space="preserve"> during the evaluation. </w:t>
            </w:r>
            <w:r w:rsidR="00BE42B6" w:rsidRPr="00EC57FB">
              <w:rPr>
                <w:rFonts w:ascii="Arial Narrow" w:hAnsi="Arial Narrow"/>
                <w:sz w:val="20"/>
                <w:szCs w:val="20"/>
              </w:rPr>
              <w:t xml:space="preserve">The PSCR applied a </w:t>
            </w:r>
            <w:r w:rsidR="00BE42B6" w:rsidRPr="003442B2">
              <w:rPr>
                <w:rFonts w:ascii="Arial Narrow" w:hAnsi="Arial Narrow"/>
                <w:sz w:val="20"/>
                <w:szCs w:val="20"/>
              </w:rPr>
              <w:t>rate of 3.54%</w:t>
            </w:r>
            <w:r w:rsidR="00BE42B6" w:rsidRPr="00EC57FB">
              <w:rPr>
                <w:rFonts w:ascii="Arial Narrow" w:hAnsi="Arial Narrow"/>
                <w:sz w:val="20"/>
                <w:szCs w:val="20"/>
              </w:rPr>
              <w:t xml:space="preserve"> for infants with risk conditions in Season 2.</w:t>
            </w:r>
          </w:p>
        </w:tc>
      </w:tr>
    </w:tbl>
    <w:p w14:paraId="162986A3" w14:textId="77777777" w:rsidR="00B10B64" w:rsidRPr="00EC57FB" w:rsidRDefault="00B10B64" w:rsidP="008F202C">
      <w:pPr>
        <w:pStyle w:val="FooterTableFigure"/>
        <w:keepNext/>
      </w:pPr>
      <w:r w:rsidRPr="00EC57FB">
        <w:lastRenderedPageBreak/>
        <w:t xml:space="preserve">Source: Generated during the evaluation based on Table 3.1 on pp 109-111 of the resubmission. </w:t>
      </w:r>
    </w:p>
    <w:p w14:paraId="6C80A99E" w14:textId="73EC6614" w:rsidR="005338B1" w:rsidRPr="00EC57FB" w:rsidRDefault="00B10B64" w:rsidP="00B10B64">
      <w:pPr>
        <w:pStyle w:val="FooterTableFigure"/>
      </w:pPr>
      <w:r w:rsidRPr="00EC57FB">
        <w:t>AR-DRG = Australian refined diagnosis-related groups; ED = emergency department; ESC = Economics Sub Committee; GP = general practitioner; ICER = incremental cost-effectiveness ratio; ICU = intensive care unit; LRTI = lower respiratory tract infection; MA = medically attended; NIP = National Immunisation Program; PBAC = Pharmaceutical Benefits Advisory Committee; PBS = Pharmaceutical Benefits Scheme; RSV = respiratory syncytial virus</w:t>
      </w:r>
    </w:p>
    <w:p w14:paraId="26A521AD" w14:textId="2D89E473" w:rsidR="00086A20" w:rsidRPr="00EC57FB" w:rsidRDefault="005338B1" w:rsidP="003716C5">
      <w:pPr>
        <w:spacing w:after="120"/>
      </w:pPr>
      <w:r w:rsidRPr="00EC57FB">
        <w:rPr>
          <w:b/>
          <w:bCs/>
        </w:rPr>
        <w:t>Results for nirsevimab versus no immunisation</w:t>
      </w:r>
      <w:r w:rsidR="003F3920" w:rsidRPr="00EC57FB">
        <w:rPr>
          <w:b/>
          <w:bCs/>
        </w:rPr>
        <w:t xml:space="preserve"> </w:t>
      </w:r>
    </w:p>
    <w:p w14:paraId="0C3E8350" w14:textId="5FD4216D" w:rsidR="00E42046" w:rsidRPr="00EC57FB" w:rsidRDefault="006047BF" w:rsidP="00DC4191">
      <w:pPr>
        <w:pStyle w:val="3-BodyText"/>
        <w:rPr>
          <w:iCs/>
        </w:rPr>
      </w:pPr>
      <w:r w:rsidRPr="00EC57FB">
        <w:t xml:space="preserve">Results of the economic evaluations </w:t>
      </w:r>
      <w:r w:rsidR="00F518CB" w:rsidRPr="00EC57FB">
        <w:t xml:space="preserve">for nirsevimab </w:t>
      </w:r>
      <w:r w:rsidR="00A3788D" w:rsidRPr="00EC57FB">
        <w:t>versus no immunisation</w:t>
      </w:r>
      <w:r w:rsidR="00F518CB" w:rsidRPr="00EC57FB">
        <w:t xml:space="preserve">, as </w:t>
      </w:r>
      <w:r w:rsidRPr="00EC57FB">
        <w:t>presented in the resubmission</w:t>
      </w:r>
      <w:r w:rsidR="00AF15BB" w:rsidRPr="00EC57FB">
        <w:t>,</w:t>
      </w:r>
      <w:r w:rsidRPr="00EC57FB">
        <w:t xml:space="preserve"> are summarised in</w:t>
      </w:r>
      <w:r w:rsidR="00937F63" w:rsidRPr="00EC57FB">
        <w:t xml:space="preserve"> </w:t>
      </w:r>
      <w:r w:rsidR="00937F63" w:rsidRPr="00EC57FB">
        <w:fldChar w:fldCharType="begin"/>
      </w:r>
      <w:r w:rsidR="00937F63" w:rsidRPr="00EC57FB">
        <w:instrText xml:space="preserve"> REF _Ref187252223 \h </w:instrText>
      </w:r>
      <w:r w:rsidR="00937F63" w:rsidRPr="00EC57FB">
        <w:fldChar w:fldCharType="separate"/>
      </w:r>
      <w:r w:rsidR="00502C25" w:rsidRPr="00EC57FB">
        <w:t xml:space="preserve">Table </w:t>
      </w:r>
      <w:r w:rsidR="00502C25">
        <w:rPr>
          <w:noProof/>
        </w:rPr>
        <w:t>26</w:t>
      </w:r>
      <w:r w:rsidR="00937F63" w:rsidRPr="00EC57FB">
        <w:fldChar w:fldCharType="end"/>
      </w:r>
      <w:r w:rsidR="00937F63" w:rsidRPr="00EC57FB">
        <w:t xml:space="preserve"> (temperate regions), </w:t>
      </w:r>
      <w:r w:rsidR="00665BA0" w:rsidRPr="00EC57FB">
        <w:fldChar w:fldCharType="begin"/>
      </w:r>
      <w:r w:rsidR="00665BA0" w:rsidRPr="00EC57FB">
        <w:instrText xml:space="preserve"> REF _Ref187252341 \h </w:instrText>
      </w:r>
      <w:r w:rsidR="00665BA0" w:rsidRPr="00EC57FB">
        <w:fldChar w:fldCharType="separate"/>
      </w:r>
      <w:r w:rsidR="00502C25" w:rsidRPr="00EC57FB">
        <w:t xml:space="preserve">Table </w:t>
      </w:r>
      <w:r w:rsidR="00502C25">
        <w:rPr>
          <w:noProof/>
        </w:rPr>
        <w:t>27</w:t>
      </w:r>
      <w:r w:rsidR="00665BA0" w:rsidRPr="00EC57FB">
        <w:fldChar w:fldCharType="end"/>
      </w:r>
      <w:r w:rsidR="00A92DC8" w:rsidRPr="00EC57FB">
        <w:t xml:space="preserve"> (</w:t>
      </w:r>
      <w:r w:rsidR="0081579A" w:rsidRPr="00EC57FB">
        <w:t xml:space="preserve">tropical regions) and </w:t>
      </w:r>
      <w:r w:rsidR="00FB7F61" w:rsidRPr="00EC57FB">
        <w:fldChar w:fldCharType="begin"/>
      </w:r>
      <w:r w:rsidR="00FB7F61" w:rsidRPr="00EC57FB">
        <w:instrText xml:space="preserve"> REF _Ref187252958 \h </w:instrText>
      </w:r>
      <w:r w:rsidR="008521A7" w:rsidRPr="00EC57FB">
        <w:instrText xml:space="preserve"> \* MERGEFORMAT </w:instrText>
      </w:r>
      <w:r w:rsidR="00FB7F61" w:rsidRPr="00EC57FB">
        <w:fldChar w:fldCharType="separate"/>
      </w:r>
      <w:r w:rsidR="00502C25" w:rsidRPr="00EC57FB">
        <w:t xml:space="preserve">Table </w:t>
      </w:r>
      <w:r w:rsidR="00502C25">
        <w:t>28</w:t>
      </w:r>
      <w:r w:rsidR="00FB7F61" w:rsidRPr="00EC57FB">
        <w:fldChar w:fldCharType="end"/>
      </w:r>
      <w:r w:rsidR="00FB7F61" w:rsidRPr="00EC57FB">
        <w:t xml:space="preserve"> (</w:t>
      </w:r>
      <w:r w:rsidR="00086A20" w:rsidRPr="00EC57FB">
        <w:t>aggregate</w:t>
      </w:r>
      <w:r w:rsidR="00264824" w:rsidRPr="00EC57FB">
        <w:t>d</w:t>
      </w:r>
      <w:r w:rsidR="00086A20" w:rsidRPr="00EC57FB">
        <w:t xml:space="preserve"> population</w:t>
      </w:r>
      <w:r w:rsidR="00FB7F61" w:rsidRPr="00EC57FB">
        <w:t>)</w:t>
      </w:r>
      <w:r w:rsidR="001E4CF2" w:rsidRPr="00EC57FB">
        <w:t>.</w:t>
      </w:r>
      <w:r w:rsidR="008B5D82" w:rsidRPr="00EC57FB">
        <w:t xml:space="preserve"> </w:t>
      </w:r>
      <w:r w:rsidR="00842D9D" w:rsidRPr="00EC57FB">
        <w:t xml:space="preserve">The resubmission estimated 21% use in tropical regions in season 1, which was similar to the July 2024 submission estimate (22%), based on the estimated </w:t>
      </w:r>
      <w:r w:rsidR="000C7D8F" w:rsidRPr="00EC57FB">
        <w:t xml:space="preserve">number of </w:t>
      </w:r>
      <w:r w:rsidR="004A576E" w:rsidRPr="00EC57FB">
        <w:t xml:space="preserve">infants receiving nirsevimab </w:t>
      </w:r>
      <w:r w:rsidR="00842D9D" w:rsidRPr="00EC57FB">
        <w:t>in the financial estimates.</w:t>
      </w:r>
      <w:r w:rsidR="00822CBA" w:rsidRPr="00EC57FB">
        <w:t xml:space="preserve"> </w:t>
      </w:r>
      <w:r w:rsidR="008B5D82" w:rsidRPr="00EC57FB">
        <w:t xml:space="preserve">The ICERs </w:t>
      </w:r>
      <w:r w:rsidR="001F3531" w:rsidRPr="00EC57FB">
        <w:t>that were presented</w:t>
      </w:r>
      <w:r w:rsidR="008B5D82" w:rsidRPr="00EC57FB">
        <w:t xml:space="preserve"> in the resubmission</w:t>
      </w:r>
      <w:r w:rsidR="000E5F06" w:rsidRPr="00EC57FB">
        <w:t xml:space="preserve"> for listing on the NIP</w:t>
      </w:r>
      <w:r w:rsidR="00E701C2" w:rsidRPr="00EC57FB">
        <w:t xml:space="preserve"> are lower than </w:t>
      </w:r>
      <w:r w:rsidR="001F3531" w:rsidRPr="00EC57FB">
        <w:t xml:space="preserve">the base case </w:t>
      </w:r>
      <w:r w:rsidR="00E701C2" w:rsidRPr="00EC57FB">
        <w:t xml:space="preserve">estimated in the </w:t>
      </w:r>
      <w:r w:rsidR="000E5F06" w:rsidRPr="00EC57FB">
        <w:t xml:space="preserve">first </w:t>
      </w:r>
      <w:r w:rsidR="00E701C2" w:rsidRPr="00EC57FB">
        <w:t>submission</w:t>
      </w:r>
      <w:r w:rsidR="000E5F06" w:rsidRPr="00EC57FB">
        <w:t xml:space="preserve"> for listing on the PBS</w:t>
      </w:r>
      <w:r w:rsidR="00E701C2" w:rsidRPr="00EC57FB">
        <w:t xml:space="preserve">. </w:t>
      </w:r>
      <w:r w:rsidR="00E701C2" w:rsidRPr="00EC57FB">
        <w:rPr>
          <w:iCs/>
        </w:rPr>
        <w:t>The key driver of the reduction is the removal of markups and fees</w:t>
      </w:r>
      <w:r w:rsidR="002F2141" w:rsidRPr="00EC57FB">
        <w:rPr>
          <w:iCs/>
        </w:rPr>
        <w:t xml:space="preserve"> that are not applicable in the NIP setting.</w:t>
      </w:r>
      <w:r w:rsidR="00086A20" w:rsidRPr="00EC57FB">
        <w:t xml:space="preserve"> </w:t>
      </w:r>
      <w:r w:rsidR="00CB545A" w:rsidRPr="00EC57FB">
        <w:t xml:space="preserve">The </w:t>
      </w:r>
      <w:r w:rsidR="008F42A3" w:rsidRPr="00EC57FB">
        <w:t>ESC noted that, as shown in</w:t>
      </w:r>
      <w:r w:rsidR="00086A20" w:rsidRPr="00EC57FB">
        <w:rPr>
          <w:iCs/>
        </w:rPr>
        <w:t xml:space="preserve"> </w:t>
      </w:r>
      <w:r w:rsidR="008F42A3" w:rsidRPr="00EC57FB">
        <w:rPr>
          <w:iCs/>
        </w:rPr>
        <w:fldChar w:fldCharType="begin"/>
      </w:r>
      <w:r w:rsidR="008F42A3" w:rsidRPr="00EC57FB">
        <w:rPr>
          <w:iCs/>
        </w:rPr>
        <w:instrText xml:space="preserve"> REF _Ref187252958 \h </w:instrText>
      </w:r>
      <w:r w:rsidR="00815EC8" w:rsidRPr="00EC57FB">
        <w:rPr>
          <w:iCs/>
        </w:rPr>
        <w:instrText xml:space="preserve"> \* MERGEFORMAT </w:instrText>
      </w:r>
      <w:r w:rsidR="008F42A3" w:rsidRPr="00EC57FB">
        <w:rPr>
          <w:iCs/>
        </w:rPr>
      </w:r>
      <w:r w:rsidR="008F42A3" w:rsidRPr="00EC57FB">
        <w:rPr>
          <w:iCs/>
        </w:rPr>
        <w:fldChar w:fldCharType="separate"/>
      </w:r>
      <w:r w:rsidR="00502C25" w:rsidRPr="00502C25">
        <w:rPr>
          <w:iCs/>
        </w:rPr>
        <w:t>Table 28</w:t>
      </w:r>
      <w:r w:rsidR="008F42A3" w:rsidRPr="00EC57FB">
        <w:rPr>
          <w:iCs/>
        </w:rPr>
        <w:fldChar w:fldCharType="end"/>
      </w:r>
      <w:r w:rsidR="00815EC8" w:rsidRPr="00EC57FB">
        <w:rPr>
          <w:iCs/>
        </w:rPr>
        <w:t xml:space="preserve">, cost offsets from reduced incidence of hospitalisation was a key driver of the </w:t>
      </w:r>
      <w:r w:rsidR="00ED4458" w:rsidRPr="00EC57FB">
        <w:rPr>
          <w:iCs/>
        </w:rPr>
        <w:t xml:space="preserve">ICER generated by the model. </w:t>
      </w:r>
      <w:r w:rsidR="00CB545A" w:rsidRPr="00EC57FB">
        <w:rPr>
          <w:iCs/>
        </w:rPr>
        <w:t xml:space="preserve">The </w:t>
      </w:r>
      <w:r w:rsidR="00ED4458" w:rsidRPr="00EC57FB">
        <w:rPr>
          <w:iCs/>
        </w:rPr>
        <w:t>ESC reiterated that baseline incidence and costs of hospitalisation were overestimated and substantially biased the results of the economic analysis in favour of nirsevimab.</w:t>
      </w:r>
    </w:p>
    <w:p w14:paraId="3C45E5C7" w14:textId="3FE8F39F" w:rsidR="006047BF" w:rsidRPr="00EC57FB" w:rsidRDefault="00E42046" w:rsidP="00D652E7">
      <w:pPr>
        <w:pStyle w:val="TableFigureHeading"/>
        <w:jc w:val="both"/>
      </w:pPr>
      <w:bookmarkStart w:id="134" w:name="_Ref187252223"/>
      <w:r w:rsidRPr="00EC57FB">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26</w:t>
      </w:r>
      <w:r w:rsidR="00C51E7C" w:rsidRPr="00EC57FB">
        <w:fldChar w:fldCharType="end"/>
      </w:r>
      <w:bookmarkEnd w:id="134"/>
      <w:r w:rsidRPr="00EC57FB">
        <w:t xml:space="preserve">: </w:t>
      </w:r>
      <w:r w:rsidR="006047BF" w:rsidRPr="00EC57FB">
        <w:t>Base case results from the economic evaluation presented in the resubmission comparing nirsevimab to no immunisation in the temperate region</w:t>
      </w:r>
    </w:p>
    <w:tbl>
      <w:tblPr>
        <w:tblStyle w:val="TableGrid"/>
        <w:tblW w:w="0" w:type="auto"/>
        <w:tblLook w:val="04A0" w:firstRow="1" w:lastRow="0" w:firstColumn="1" w:lastColumn="0" w:noHBand="0" w:noVBand="1"/>
      </w:tblPr>
      <w:tblGrid>
        <w:gridCol w:w="2253"/>
        <w:gridCol w:w="2253"/>
        <w:gridCol w:w="2253"/>
        <w:gridCol w:w="2258"/>
      </w:tblGrid>
      <w:tr w:rsidR="006047BF" w:rsidRPr="00EC57FB" w14:paraId="0F1FF79F" w14:textId="77777777" w:rsidTr="00DF22F5">
        <w:tc>
          <w:tcPr>
            <w:tcW w:w="2253" w:type="dxa"/>
          </w:tcPr>
          <w:p w14:paraId="608CE479" w14:textId="77777777" w:rsidR="006047BF" w:rsidRPr="00EC57FB" w:rsidRDefault="006047BF">
            <w:pPr>
              <w:pStyle w:val="TableText0"/>
              <w:rPr>
                <w:b/>
                <w:bCs w:val="0"/>
              </w:rPr>
            </w:pPr>
            <w:r w:rsidRPr="00EC57FB">
              <w:rPr>
                <w:b/>
                <w:bCs w:val="0"/>
              </w:rPr>
              <w:t>Component</w:t>
            </w:r>
          </w:p>
        </w:tc>
        <w:tc>
          <w:tcPr>
            <w:tcW w:w="2253" w:type="dxa"/>
            <w:vAlign w:val="center"/>
          </w:tcPr>
          <w:p w14:paraId="1825E65A" w14:textId="77777777" w:rsidR="006047BF" w:rsidRPr="00EC57FB" w:rsidRDefault="006047BF">
            <w:pPr>
              <w:pStyle w:val="TableText0"/>
              <w:jc w:val="center"/>
              <w:rPr>
                <w:b/>
                <w:bCs w:val="0"/>
              </w:rPr>
            </w:pPr>
            <w:r w:rsidRPr="00EC57FB">
              <w:rPr>
                <w:b/>
                <w:bCs w:val="0"/>
              </w:rPr>
              <w:t>Nirsevimab</w:t>
            </w:r>
          </w:p>
        </w:tc>
        <w:tc>
          <w:tcPr>
            <w:tcW w:w="2253" w:type="dxa"/>
            <w:vAlign w:val="center"/>
          </w:tcPr>
          <w:p w14:paraId="0102CFDC" w14:textId="77777777" w:rsidR="006047BF" w:rsidRPr="00EC57FB" w:rsidRDefault="006047BF">
            <w:pPr>
              <w:pStyle w:val="TableText0"/>
              <w:jc w:val="center"/>
              <w:rPr>
                <w:b/>
                <w:bCs w:val="0"/>
              </w:rPr>
            </w:pPr>
            <w:r w:rsidRPr="00EC57FB">
              <w:rPr>
                <w:b/>
                <w:bCs w:val="0"/>
              </w:rPr>
              <w:t>No immunisation</w:t>
            </w:r>
          </w:p>
        </w:tc>
        <w:tc>
          <w:tcPr>
            <w:tcW w:w="2258" w:type="dxa"/>
            <w:vAlign w:val="center"/>
          </w:tcPr>
          <w:p w14:paraId="63ECD122" w14:textId="77777777" w:rsidR="006047BF" w:rsidRPr="00EC57FB" w:rsidRDefault="006047BF">
            <w:pPr>
              <w:pStyle w:val="TableText0"/>
              <w:jc w:val="center"/>
              <w:rPr>
                <w:b/>
                <w:bCs w:val="0"/>
              </w:rPr>
            </w:pPr>
            <w:r w:rsidRPr="00EC57FB">
              <w:rPr>
                <w:b/>
                <w:bCs w:val="0"/>
              </w:rPr>
              <w:t>Increment</w:t>
            </w:r>
          </w:p>
        </w:tc>
      </w:tr>
      <w:tr w:rsidR="006047BF" w:rsidRPr="00EC57FB" w14:paraId="126D7C54" w14:textId="77777777" w:rsidTr="00DF22F5">
        <w:tc>
          <w:tcPr>
            <w:tcW w:w="2253" w:type="dxa"/>
          </w:tcPr>
          <w:p w14:paraId="586B4DC6" w14:textId="77777777" w:rsidR="006047BF" w:rsidRPr="00EC57FB" w:rsidRDefault="006047BF">
            <w:pPr>
              <w:pStyle w:val="TableText0"/>
            </w:pPr>
            <w:r w:rsidRPr="00EC57FB">
              <w:t>Total costs</w:t>
            </w:r>
          </w:p>
        </w:tc>
        <w:tc>
          <w:tcPr>
            <w:tcW w:w="2253" w:type="dxa"/>
            <w:vAlign w:val="center"/>
          </w:tcPr>
          <w:p w14:paraId="27939BEB" w14:textId="4404D783" w:rsidR="006047BF" w:rsidRPr="00EC57FB" w:rsidRDefault="006047BF">
            <w:pPr>
              <w:pStyle w:val="TableText0"/>
              <w:jc w:val="center"/>
            </w:pPr>
            <w:r w:rsidRPr="00EC57FB">
              <w:t>$</w:t>
            </w:r>
            <w:r w:rsidR="000641E5" w:rsidRPr="000641E5">
              <w:rPr>
                <w:color w:val="000000"/>
                <w:spacing w:val="52"/>
                <w:shd w:val="solid" w:color="000000" w:fill="000000"/>
                <w:fitText w:val="327" w:id="-662982648"/>
                <w14:textFill>
                  <w14:solidFill>
                    <w14:srgbClr w14:val="000000">
                      <w14:alpha w14:val="100000"/>
                    </w14:srgbClr>
                  </w14:solidFill>
                </w14:textFill>
              </w:rPr>
              <w:t>|||</w:t>
            </w:r>
            <w:r w:rsidR="000641E5" w:rsidRPr="000641E5">
              <w:rPr>
                <w:color w:val="000000"/>
                <w:spacing w:val="1"/>
                <w:shd w:val="solid" w:color="000000" w:fill="000000"/>
                <w:fitText w:val="327" w:id="-662982648"/>
                <w14:textFill>
                  <w14:solidFill>
                    <w14:srgbClr w14:val="000000">
                      <w14:alpha w14:val="100000"/>
                    </w14:srgbClr>
                  </w14:solidFill>
                </w14:textFill>
              </w:rPr>
              <w:t>|</w:t>
            </w:r>
          </w:p>
        </w:tc>
        <w:tc>
          <w:tcPr>
            <w:tcW w:w="2253" w:type="dxa"/>
            <w:vAlign w:val="center"/>
          </w:tcPr>
          <w:p w14:paraId="64D14AEE" w14:textId="77777777" w:rsidR="006047BF" w:rsidRPr="00EC57FB" w:rsidRDefault="006047BF">
            <w:pPr>
              <w:pStyle w:val="TableText0"/>
              <w:jc w:val="center"/>
            </w:pPr>
            <w:r w:rsidRPr="00EC57FB">
              <w:t>$</w:t>
            </w:r>
            <w:r w:rsidRPr="007805AA">
              <w:t>138,244,293</w:t>
            </w:r>
          </w:p>
        </w:tc>
        <w:tc>
          <w:tcPr>
            <w:tcW w:w="2258" w:type="dxa"/>
            <w:vAlign w:val="center"/>
          </w:tcPr>
          <w:p w14:paraId="4C346E04" w14:textId="6889D29A" w:rsidR="006047BF" w:rsidRPr="00EC57FB" w:rsidRDefault="006047BF">
            <w:pPr>
              <w:pStyle w:val="TableText0"/>
              <w:jc w:val="center"/>
            </w:pPr>
            <w:r w:rsidRPr="00EC57FB">
              <w:t>-$</w:t>
            </w:r>
            <w:r w:rsidR="000641E5" w:rsidRPr="000641E5">
              <w:rPr>
                <w:color w:val="000000"/>
                <w:spacing w:val="52"/>
                <w:shd w:val="solid" w:color="000000" w:fill="000000"/>
                <w:fitText w:val="327" w:id="-662982647"/>
                <w14:textFill>
                  <w14:solidFill>
                    <w14:srgbClr w14:val="000000">
                      <w14:alpha w14:val="100000"/>
                    </w14:srgbClr>
                  </w14:solidFill>
                </w14:textFill>
              </w:rPr>
              <w:t>|||</w:t>
            </w:r>
            <w:r w:rsidR="000641E5" w:rsidRPr="000641E5">
              <w:rPr>
                <w:color w:val="000000"/>
                <w:spacing w:val="1"/>
                <w:shd w:val="solid" w:color="000000" w:fill="000000"/>
                <w:fitText w:val="327" w:id="-662982647"/>
                <w14:textFill>
                  <w14:solidFill>
                    <w14:srgbClr w14:val="000000">
                      <w14:alpha w14:val="100000"/>
                    </w14:srgbClr>
                  </w14:solidFill>
                </w14:textFill>
              </w:rPr>
              <w:t>|</w:t>
            </w:r>
          </w:p>
        </w:tc>
      </w:tr>
      <w:tr w:rsidR="006047BF" w:rsidRPr="00EC57FB" w14:paraId="3769E5AD" w14:textId="77777777" w:rsidTr="00DF22F5">
        <w:tc>
          <w:tcPr>
            <w:tcW w:w="2253" w:type="dxa"/>
          </w:tcPr>
          <w:p w14:paraId="0D475313" w14:textId="77777777" w:rsidR="006047BF" w:rsidRPr="00EC57FB" w:rsidRDefault="006047BF">
            <w:pPr>
              <w:pStyle w:val="TableText0"/>
            </w:pPr>
            <w:r w:rsidRPr="00EC57FB">
              <w:t>MA RSV LRTI cases</w:t>
            </w:r>
          </w:p>
        </w:tc>
        <w:tc>
          <w:tcPr>
            <w:tcW w:w="2253" w:type="dxa"/>
            <w:vAlign w:val="center"/>
          </w:tcPr>
          <w:p w14:paraId="044AA7FE" w14:textId="0C33BB34" w:rsidR="006047BF" w:rsidRPr="00E03F3B" w:rsidRDefault="000641E5">
            <w:pPr>
              <w:pStyle w:val="TableText0"/>
              <w:jc w:val="center"/>
              <w:rPr>
                <w:vertAlign w:val="superscript"/>
              </w:rPr>
            </w:pPr>
            <w:r w:rsidRPr="000641E5">
              <w:rPr>
                <w:color w:val="000000"/>
                <w:spacing w:val="52"/>
                <w:shd w:val="solid" w:color="000000" w:fill="000000"/>
                <w:fitText w:val="328" w:id="-662982646"/>
                <w14:textFill>
                  <w14:solidFill>
                    <w14:srgbClr w14:val="000000">
                      <w14:alpha w14:val="100000"/>
                    </w14:srgbClr>
                  </w14:solidFill>
                </w14:textFill>
              </w:rPr>
              <w:t>|||</w:t>
            </w:r>
            <w:r w:rsidRPr="000641E5">
              <w:rPr>
                <w:color w:val="000000"/>
                <w:spacing w:val="2"/>
                <w:shd w:val="solid" w:color="000000" w:fill="000000"/>
                <w:fitText w:val="328" w:id="-662982646"/>
                <w14:textFill>
                  <w14:solidFill>
                    <w14:srgbClr w14:val="000000">
                      <w14:alpha w14:val="100000"/>
                    </w14:srgbClr>
                  </w14:solidFill>
                </w14:textFill>
              </w:rPr>
              <w:t>|</w:t>
            </w:r>
            <w:r w:rsidR="00E03F3B">
              <w:rPr>
                <w:vertAlign w:val="superscript"/>
              </w:rPr>
              <w:t xml:space="preserve"> 2</w:t>
            </w:r>
          </w:p>
        </w:tc>
        <w:tc>
          <w:tcPr>
            <w:tcW w:w="2253" w:type="dxa"/>
            <w:vAlign w:val="center"/>
          </w:tcPr>
          <w:p w14:paraId="3F1B7591" w14:textId="012A3CCD" w:rsidR="006047BF" w:rsidRPr="00E03F3B" w:rsidRDefault="000641E5">
            <w:pPr>
              <w:pStyle w:val="TableText0"/>
              <w:jc w:val="center"/>
              <w:rPr>
                <w:vertAlign w:val="superscript"/>
              </w:rPr>
            </w:pPr>
            <w:r w:rsidRPr="000641E5">
              <w:rPr>
                <w:color w:val="000000"/>
                <w:spacing w:val="52"/>
                <w:shd w:val="solid" w:color="000000" w:fill="000000"/>
                <w:fitText w:val="327" w:id="-662982645"/>
                <w14:textFill>
                  <w14:solidFill>
                    <w14:srgbClr w14:val="000000">
                      <w14:alpha w14:val="100000"/>
                    </w14:srgbClr>
                  </w14:solidFill>
                </w14:textFill>
              </w:rPr>
              <w:t>|||</w:t>
            </w:r>
            <w:r w:rsidRPr="000641E5">
              <w:rPr>
                <w:color w:val="000000"/>
                <w:spacing w:val="1"/>
                <w:shd w:val="solid" w:color="000000" w:fill="000000"/>
                <w:fitText w:val="327" w:id="-662982645"/>
                <w14:textFill>
                  <w14:solidFill>
                    <w14:srgbClr w14:val="000000">
                      <w14:alpha w14:val="100000"/>
                    </w14:srgbClr>
                  </w14:solidFill>
                </w14:textFill>
              </w:rPr>
              <w:t>|</w:t>
            </w:r>
            <w:r w:rsidR="00E03F3B">
              <w:t xml:space="preserve"> </w:t>
            </w:r>
            <w:r w:rsidR="00E03F3B">
              <w:rPr>
                <w:vertAlign w:val="superscript"/>
              </w:rPr>
              <w:t>3</w:t>
            </w:r>
          </w:p>
        </w:tc>
        <w:tc>
          <w:tcPr>
            <w:tcW w:w="2258" w:type="dxa"/>
            <w:vAlign w:val="center"/>
          </w:tcPr>
          <w:p w14:paraId="1B7A21A8" w14:textId="630624B1" w:rsidR="006047BF" w:rsidRPr="00EC57FB" w:rsidRDefault="0014346E">
            <w:pPr>
              <w:pStyle w:val="TableText0"/>
              <w:jc w:val="center"/>
            </w:pPr>
            <w:r w:rsidRPr="00EC57FB">
              <w:t>-</w:t>
            </w:r>
            <w:r w:rsidR="000641E5" w:rsidRPr="000641E5">
              <w:rPr>
                <w:color w:val="000000"/>
                <w:spacing w:val="52"/>
                <w:shd w:val="solid" w:color="000000" w:fill="000000"/>
                <w:fitText w:val="328" w:id="-662982644"/>
                <w14:textFill>
                  <w14:solidFill>
                    <w14:srgbClr w14:val="000000">
                      <w14:alpha w14:val="100000"/>
                    </w14:srgbClr>
                  </w14:solidFill>
                </w14:textFill>
              </w:rPr>
              <w:t>|||</w:t>
            </w:r>
            <w:r w:rsidR="000641E5" w:rsidRPr="000641E5">
              <w:rPr>
                <w:color w:val="000000"/>
                <w:spacing w:val="2"/>
                <w:shd w:val="solid" w:color="000000" w:fill="000000"/>
                <w:fitText w:val="328" w:id="-662982644"/>
                <w14:textFill>
                  <w14:solidFill>
                    <w14:srgbClr w14:val="000000">
                      <w14:alpha w14:val="100000"/>
                    </w14:srgbClr>
                  </w14:solidFill>
                </w14:textFill>
              </w:rPr>
              <w:t>|</w:t>
            </w:r>
            <w:r w:rsidR="00E03F3B">
              <w:t xml:space="preserve"> </w:t>
            </w:r>
            <w:r w:rsidR="004E17DB">
              <w:rPr>
                <w:vertAlign w:val="superscript"/>
              </w:rPr>
              <w:t>4</w:t>
            </w:r>
          </w:p>
        </w:tc>
      </w:tr>
      <w:tr w:rsidR="006047BF" w:rsidRPr="00EC57FB" w14:paraId="297CCEF1" w14:textId="77777777" w:rsidTr="00DF22F5">
        <w:tc>
          <w:tcPr>
            <w:tcW w:w="2253" w:type="dxa"/>
          </w:tcPr>
          <w:p w14:paraId="749CE7CD" w14:textId="77777777" w:rsidR="006047BF" w:rsidRPr="00EC57FB" w:rsidRDefault="006047BF">
            <w:pPr>
              <w:pStyle w:val="TableText0"/>
            </w:pPr>
            <w:r w:rsidRPr="00EC57FB">
              <w:t>LYs</w:t>
            </w:r>
          </w:p>
        </w:tc>
        <w:tc>
          <w:tcPr>
            <w:tcW w:w="2253" w:type="dxa"/>
            <w:vAlign w:val="center"/>
          </w:tcPr>
          <w:p w14:paraId="42758807" w14:textId="77777777" w:rsidR="006047BF" w:rsidRPr="00EC57FB" w:rsidRDefault="006047BF">
            <w:pPr>
              <w:pStyle w:val="TableText0"/>
              <w:jc w:val="center"/>
            </w:pPr>
            <w:r w:rsidRPr="00EC57FB">
              <w:t>4,728,541</w:t>
            </w:r>
          </w:p>
        </w:tc>
        <w:tc>
          <w:tcPr>
            <w:tcW w:w="2253" w:type="dxa"/>
            <w:vAlign w:val="center"/>
          </w:tcPr>
          <w:p w14:paraId="31F04564" w14:textId="77777777" w:rsidR="006047BF" w:rsidRPr="00EC57FB" w:rsidRDefault="006047BF">
            <w:pPr>
              <w:pStyle w:val="TableText0"/>
              <w:jc w:val="center"/>
            </w:pPr>
            <w:r w:rsidRPr="00EC57FB">
              <w:t>4,728,292</w:t>
            </w:r>
          </w:p>
        </w:tc>
        <w:tc>
          <w:tcPr>
            <w:tcW w:w="2258" w:type="dxa"/>
            <w:vAlign w:val="center"/>
          </w:tcPr>
          <w:p w14:paraId="69A2E6CA" w14:textId="77777777" w:rsidR="006047BF" w:rsidRPr="00EC57FB" w:rsidRDefault="006047BF">
            <w:pPr>
              <w:pStyle w:val="TableText0"/>
              <w:jc w:val="center"/>
            </w:pPr>
            <w:r w:rsidRPr="00EC57FB">
              <w:t>249.45</w:t>
            </w:r>
          </w:p>
        </w:tc>
      </w:tr>
      <w:tr w:rsidR="006047BF" w:rsidRPr="00EC57FB" w14:paraId="4E7DCAAC" w14:textId="77777777" w:rsidTr="00DF22F5">
        <w:tc>
          <w:tcPr>
            <w:tcW w:w="2253" w:type="dxa"/>
          </w:tcPr>
          <w:p w14:paraId="341BBB2F" w14:textId="77777777" w:rsidR="006047BF" w:rsidRPr="00EC57FB" w:rsidRDefault="006047BF">
            <w:pPr>
              <w:pStyle w:val="TableText0"/>
            </w:pPr>
            <w:r w:rsidRPr="00EC57FB">
              <w:t>QALYs</w:t>
            </w:r>
          </w:p>
        </w:tc>
        <w:tc>
          <w:tcPr>
            <w:tcW w:w="2253" w:type="dxa"/>
            <w:vAlign w:val="center"/>
          </w:tcPr>
          <w:p w14:paraId="26E8C66E" w14:textId="77777777" w:rsidR="006047BF" w:rsidRPr="00EC57FB" w:rsidRDefault="006047BF">
            <w:pPr>
              <w:pStyle w:val="TableText0"/>
              <w:jc w:val="center"/>
            </w:pPr>
            <w:r w:rsidRPr="00EC57FB">
              <w:t>4,711,215</w:t>
            </w:r>
          </w:p>
        </w:tc>
        <w:tc>
          <w:tcPr>
            <w:tcW w:w="2253" w:type="dxa"/>
            <w:vAlign w:val="center"/>
          </w:tcPr>
          <w:p w14:paraId="4B1120F5" w14:textId="77777777" w:rsidR="006047BF" w:rsidRPr="00EC57FB" w:rsidRDefault="006047BF">
            <w:pPr>
              <w:pStyle w:val="TableText0"/>
              <w:jc w:val="center"/>
            </w:pPr>
            <w:r w:rsidRPr="00EC57FB">
              <w:t>4,710,657</w:t>
            </w:r>
          </w:p>
        </w:tc>
        <w:tc>
          <w:tcPr>
            <w:tcW w:w="2258" w:type="dxa"/>
            <w:vAlign w:val="center"/>
          </w:tcPr>
          <w:p w14:paraId="6B2A3D47" w14:textId="77777777" w:rsidR="006047BF" w:rsidRPr="00EC57FB" w:rsidRDefault="006047BF">
            <w:pPr>
              <w:pStyle w:val="TableText0"/>
              <w:jc w:val="center"/>
            </w:pPr>
            <w:r w:rsidRPr="00EC57FB">
              <w:t>557.78</w:t>
            </w:r>
          </w:p>
        </w:tc>
      </w:tr>
      <w:tr w:rsidR="006047BF" w:rsidRPr="00EC57FB" w14:paraId="30DA1273" w14:textId="77777777" w:rsidTr="00DF22F5">
        <w:tc>
          <w:tcPr>
            <w:tcW w:w="6759" w:type="dxa"/>
            <w:gridSpan w:val="3"/>
            <w:vAlign w:val="center"/>
          </w:tcPr>
          <w:p w14:paraId="5C1EBEB5" w14:textId="77777777" w:rsidR="006047BF" w:rsidRPr="00EC57FB" w:rsidRDefault="006047BF">
            <w:pPr>
              <w:pStyle w:val="TableText0"/>
              <w:rPr>
                <w:b/>
                <w:bCs w:val="0"/>
              </w:rPr>
            </w:pPr>
            <w:r w:rsidRPr="00EC57FB">
              <w:rPr>
                <w:b/>
                <w:bCs w:val="0"/>
              </w:rPr>
              <w:t>Incremental cost per additional QALY gained</w:t>
            </w:r>
          </w:p>
        </w:tc>
        <w:tc>
          <w:tcPr>
            <w:tcW w:w="2258" w:type="dxa"/>
            <w:vAlign w:val="center"/>
          </w:tcPr>
          <w:p w14:paraId="22870511" w14:textId="77777777" w:rsidR="006047BF" w:rsidRPr="00EC57FB" w:rsidRDefault="006047BF">
            <w:pPr>
              <w:pStyle w:val="TableText0"/>
              <w:jc w:val="center"/>
              <w:rPr>
                <w:b/>
                <w:bCs w:val="0"/>
              </w:rPr>
            </w:pPr>
            <w:r w:rsidRPr="00EC57FB">
              <w:rPr>
                <w:b/>
                <w:bCs w:val="0"/>
              </w:rPr>
              <w:t>DOMINANT</w:t>
            </w:r>
          </w:p>
        </w:tc>
      </w:tr>
      <w:tr w:rsidR="009306E9" w:rsidRPr="00EC57FB" w14:paraId="16825454" w14:textId="77777777" w:rsidTr="00DF22F5">
        <w:tc>
          <w:tcPr>
            <w:tcW w:w="6759" w:type="dxa"/>
            <w:gridSpan w:val="3"/>
            <w:shd w:val="clear" w:color="auto" w:fill="B8CCE4"/>
            <w:vAlign w:val="center"/>
          </w:tcPr>
          <w:p w14:paraId="1DCB99AE" w14:textId="35BD4355" w:rsidR="009306E9" w:rsidRPr="00EC57FB" w:rsidRDefault="009306E9">
            <w:pPr>
              <w:pStyle w:val="TableText0"/>
              <w:rPr>
                <w:b/>
                <w:bCs w:val="0"/>
              </w:rPr>
            </w:pPr>
            <w:r w:rsidRPr="00EC57FB">
              <w:rPr>
                <w:b/>
                <w:bCs w:val="0"/>
              </w:rPr>
              <w:t>Previous consideration</w:t>
            </w:r>
          </w:p>
        </w:tc>
        <w:tc>
          <w:tcPr>
            <w:tcW w:w="2258" w:type="dxa"/>
            <w:shd w:val="clear" w:color="auto" w:fill="B8CCE4"/>
            <w:vAlign w:val="center"/>
          </w:tcPr>
          <w:p w14:paraId="26D362CF" w14:textId="77777777" w:rsidR="009306E9" w:rsidRPr="00EC57FB" w:rsidRDefault="009306E9">
            <w:pPr>
              <w:pStyle w:val="TableText0"/>
              <w:jc w:val="center"/>
              <w:rPr>
                <w:b/>
                <w:bCs w:val="0"/>
              </w:rPr>
            </w:pPr>
          </w:p>
        </w:tc>
      </w:tr>
      <w:tr w:rsidR="00DF22F5" w:rsidRPr="00EC57FB" w14:paraId="36DCA2B2" w14:textId="77777777" w:rsidTr="00716004">
        <w:tc>
          <w:tcPr>
            <w:tcW w:w="2253" w:type="dxa"/>
            <w:shd w:val="clear" w:color="auto" w:fill="B8CCE4"/>
          </w:tcPr>
          <w:p w14:paraId="7A2DC880" w14:textId="77777777" w:rsidR="00DF22F5" w:rsidRPr="00EC57FB" w:rsidRDefault="00DF22F5">
            <w:pPr>
              <w:pStyle w:val="TableText0"/>
            </w:pPr>
            <w:r w:rsidRPr="00EC57FB">
              <w:t>Total costs</w:t>
            </w:r>
          </w:p>
        </w:tc>
        <w:tc>
          <w:tcPr>
            <w:tcW w:w="2253" w:type="dxa"/>
            <w:shd w:val="clear" w:color="auto" w:fill="B8CCE4"/>
            <w:vAlign w:val="center"/>
          </w:tcPr>
          <w:p w14:paraId="4971C35F" w14:textId="6CBC68A7" w:rsidR="00DF22F5" w:rsidRPr="00EC57FB" w:rsidRDefault="006B4BA4">
            <w:pPr>
              <w:pStyle w:val="TableText0"/>
              <w:jc w:val="center"/>
            </w:pPr>
            <w:r w:rsidRPr="00EC57FB">
              <w:t>$</w:t>
            </w:r>
            <w:r w:rsidR="000641E5" w:rsidRPr="000641E5">
              <w:rPr>
                <w:color w:val="000000"/>
                <w:spacing w:val="52"/>
                <w:shd w:val="solid" w:color="000000" w:fill="000000"/>
                <w:fitText w:val="327" w:id="-662982643"/>
                <w14:textFill>
                  <w14:solidFill>
                    <w14:srgbClr w14:val="000000">
                      <w14:alpha w14:val="100000"/>
                    </w14:srgbClr>
                  </w14:solidFill>
                </w14:textFill>
              </w:rPr>
              <w:t>|||</w:t>
            </w:r>
            <w:r w:rsidR="000641E5" w:rsidRPr="000641E5">
              <w:rPr>
                <w:color w:val="000000"/>
                <w:spacing w:val="1"/>
                <w:shd w:val="solid" w:color="000000" w:fill="000000"/>
                <w:fitText w:val="327" w:id="-662982643"/>
                <w14:textFill>
                  <w14:solidFill>
                    <w14:srgbClr w14:val="000000">
                      <w14:alpha w14:val="100000"/>
                    </w14:srgbClr>
                  </w14:solidFill>
                </w14:textFill>
              </w:rPr>
              <w:t>|</w:t>
            </w:r>
          </w:p>
        </w:tc>
        <w:tc>
          <w:tcPr>
            <w:tcW w:w="2253" w:type="dxa"/>
            <w:shd w:val="clear" w:color="auto" w:fill="B8CCE4"/>
            <w:vAlign w:val="center"/>
          </w:tcPr>
          <w:p w14:paraId="2C60EA81" w14:textId="22234D4D" w:rsidR="00DF22F5" w:rsidRPr="00EC57FB" w:rsidRDefault="006B4BA4">
            <w:pPr>
              <w:pStyle w:val="TableText0"/>
              <w:jc w:val="center"/>
            </w:pPr>
            <w:r w:rsidRPr="00EC57FB">
              <w:t>$</w:t>
            </w:r>
            <w:r w:rsidRPr="007805AA">
              <w:t>155,198,766</w:t>
            </w:r>
          </w:p>
        </w:tc>
        <w:tc>
          <w:tcPr>
            <w:tcW w:w="2258" w:type="dxa"/>
            <w:shd w:val="clear" w:color="auto" w:fill="B8CCE4"/>
            <w:vAlign w:val="center"/>
          </w:tcPr>
          <w:p w14:paraId="1D112C49" w14:textId="11B64A31" w:rsidR="00DF22F5" w:rsidRPr="00EC57FB" w:rsidRDefault="001140FB">
            <w:pPr>
              <w:pStyle w:val="TableText0"/>
              <w:jc w:val="center"/>
            </w:pPr>
            <w:r w:rsidRPr="00EC57FB">
              <w:t>$</w:t>
            </w:r>
            <w:r w:rsidR="000641E5" w:rsidRPr="000641E5">
              <w:rPr>
                <w:color w:val="000000"/>
                <w:spacing w:val="52"/>
                <w:shd w:val="solid" w:color="000000" w:fill="000000"/>
                <w:fitText w:val="327" w:id="-662982642"/>
                <w14:textFill>
                  <w14:solidFill>
                    <w14:srgbClr w14:val="000000">
                      <w14:alpha w14:val="100000"/>
                    </w14:srgbClr>
                  </w14:solidFill>
                </w14:textFill>
              </w:rPr>
              <w:t>|||</w:t>
            </w:r>
            <w:r w:rsidR="000641E5" w:rsidRPr="000641E5">
              <w:rPr>
                <w:color w:val="000000"/>
                <w:spacing w:val="1"/>
                <w:shd w:val="solid" w:color="000000" w:fill="000000"/>
                <w:fitText w:val="327" w:id="-662982642"/>
                <w14:textFill>
                  <w14:solidFill>
                    <w14:srgbClr w14:val="000000">
                      <w14:alpha w14:val="100000"/>
                    </w14:srgbClr>
                  </w14:solidFill>
                </w14:textFill>
              </w:rPr>
              <w:t>|</w:t>
            </w:r>
          </w:p>
        </w:tc>
      </w:tr>
      <w:tr w:rsidR="00DF22F5" w:rsidRPr="00EC57FB" w14:paraId="7887B1EF" w14:textId="77777777" w:rsidTr="00716004">
        <w:tc>
          <w:tcPr>
            <w:tcW w:w="2253" w:type="dxa"/>
            <w:shd w:val="clear" w:color="auto" w:fill="B8CCE4"/>
          </w:tcPr>
          <w:p w14:paraId="6BB45FA0" w14:textId="77777777" w:rsidR="00DF22F5" w:rsidRPr="00EC57FB" w:rsidRDefault="00DF22F5">
            <w:pPr>
              <w:pStyle w:val="TableText0"/>
            </w:pPr>
            <w:r w:rsidRPr="00EC57FB">
              <w:t>QALYs</w:t>
            </w:r>
          </w:p>
        </w:tc>
        <w:tc>
          <w:tcPr>
            <w:tcW w:w="2253" w:type="dxa"/>
            <w:shd w:val="clear" w:color="auto" w:fill="B8CCE4"/>
            <w:vAlign w:val="center"/>
          </w:tcPr>
          <w:p w14:paraId="01C5728B" w14:textId="41E2E4C1" w:rsidR="00DF22F5" w:rsidRPr="00EC57FB" w:rsidRDefault="00DF22F5">
            <w:pPr>
              <w:pStyle w:val="TableText0"/>
              <w:jc w:val="center"/>
            </w:pPr>
            <w:r w:rsidRPr="00EC57FB">
              <w:t>4,711,</w:t>
            </w:r>
            <w:r w:rsidR="007F4422" w:rsidRPr="00EC57FB">
              <w:t>086</w:t>
            </w:r>
          </w:p>
        </w:tc>
        <w:tc>
          <w:tcPr>
            <w:tcW w:w="2253" w:type="dxa"/>
            <w:shd w:val="clear" w:color="auto" w:fill="B8CCE4"/>
            <w:vAlign w:val="center"/>
          </w:tcPr>
          <w:p w14:paraId="0EC7E3E3" w14:textId="64EB02C8" w:rsidR="00DF22F5" w:rsidRPr="00EC57FB" w:rsidRDefault="00DF22F5">
            <w:pPr>
              <w:pStyle w:val="TableText0"/>
              <w:jc w:val="center"/>
            </w:pPr>
            <w:r w:rsidRPr="00EC57FB">
              <w:t>4,710,</w:t>
            </w:r>
            <w:r w:rsidR="00743449" w:rsidRPr="00EC57FB">
              <w:t>317</w:t>
            </w:r>
          </w:p>
        </w:tc>
        <w:tc>
          <w:tcPr>
            <w:tcW w:w="2258" w:type="dxa"/>
            <w:shd w:val="clear" w:color="auto" w:fill="B8CCE4"/>
            <w:vAlign w:val="center"/>
          </w:tcPr>
          <w:p w14:paraId="257E4772" w14:textId="28AB6539" w:rsidR="00DF22F5" w:rsidRPr="00EC57FB" w:rsidRDefault="007F4422">
            <w:pPr>
              <w:pStyle w:val="TableText0"/>
              <w:jc w:val="center"/>
            </w:pPr>
            <w:r w:rsidRPr="00EC57FB">
              <w:t>768</w:t>
            </w:r>
          </w:p>
        </w:tc>
      </w:tr>
      <w:tr w:rsidR="006F26E4" w:rsidRPr="00EC57FB" w14:paraId="4D3517D1" w14:textId="77777777" w:rsidTr="00DF22F5">
        <w:tc>
          <w:tcPr>
            <w:tcW w:w="6759" w:type="dxa"/>
            <w:gridSpan w:val="3"/>
            <w:shd w:val="clear" w:color="auto" w:fill="B8CCE4"/>
            <w:vAlign w:val="center"/>
          </w:tcPr>
          <w:p w14:paraId="7DC0A1AC" w14:textId="08E77457" w:rsidR="006F26E4" w:rsidRPr="00EC57FB" w:rsidRDefault="006F26E4" w:rsidP="006F26E4">
            <w:pPr>
              <w:pStyle w:val="TableText0"/>
              <w:rPr>
                <w:b/>
                <w:bCs w:val="0"/>
              </w:rPr>
            </w:pPr>
            <w:r w:rsidRPr="00EC57FB">
              <w:rPr>
                <w:b/>
                <w:bCs w:val="0"/>
              </w:rPr>
              <w:t>Incremental cost per additional QALY gained</w:t>
            </w:r>
          </w:p>
        </w:tc>
        <w:tc>
          <w:tcPr>
            <w:tcW w:w="2258" w:type="dxa"/>
            <w:shd w:val="clear" w:color="auto" w:fill="B8CCE4"/>
            <w:vAlign w:val="center"/>
          </w:tcPr>
          <w:p w14:paraId="62074D80" w14:textId="10211DAA" w:rsidR="006F26E4" w:rsidRPr="00665BA0" w:rsidRDefault="005627BF" w:rsidP="006F26E4">
            <w:pPr>
              <w:pStyle w:val="TableText0"/>
              <w:jc w:val="center"/>
              <w:rPr>
                <w:b/>
                <w:bCs w:val="0"/>
                <w:vertAlign w:val="superscript"/>
              </w:rPr>
            </w:pPr>
            <w:r w:rsidRPr="00EC57FB">
              <w:rPr>
                <w:b/>
                <w:bCs w:val="0"/>
              </w:rPr>
              <w:t>$</w:t>
            </w:r>
            <w:r w:rsidR="000641E5" w:rsidRPr="000641E5">
              <w:rPr>
                <w:b/>
                <w:bCs w:val="0"/>
                <w:color w:val="000000"/>
                <w:spacing w:val="58"/>
                <w:shd w:val="solid" w:color="000000" w:fill="000000"/>
                <w:fitText w:val="360" w:id="-662982641"/>
                <w14:textFill>
                  <w14:solidFill>
                    <w14:srgbClr w14:val="000000">
                      <w14:alpha w14:val="100000"/>
                    </w14:srgbClr>
                  </w14:solidFill>
                </w14:textFill>
              </w:rPr>
              <w:t>|||</w:t>
            </w:r>
            <w:r w:rsidR="000641E5" w:rsidRPr="000641E5">
              <w:rPr>
                <w:b/>
                <w:bCs w:val="0"/>
                <w:color w:val="000000"/>
                <w:spacing w:val="3"/>
                <w:shd w:val="solid" w:color="000000" w:fill="000000"/>
                <w:fitText w:val="360" w:id="-662982641"/>
                <w14:textFill>
                  <w14:solidFill>
                    <w14:srgbClr w14:val="000000">
                      <w14:alpha w14:val="100000"/>
                    </w14:srgbClr>
                  </w14:solidFill>
                </w14:textFill>
              </w:rPr>
              <w:t>|</w:t>
            </w:r>
            <w:r w:rsidR="00665BA0">
              <w:rPr>
                <w:b/>
                <w:bCs w:val="0"/>
              </w:rPr>
              <w:t xml:space="preserve"> </w:t>
            </w:r>
            <w:r w:rsidR="00665BA0">
              <w:rPr>
                <w:b/>
                <w:bCs w:val="0"/>
                <w:vertAlign w:val="superscript"/>
              </w:rPr>
              <w:t>1</w:t>
            </w:r>
          </w:p>
        </w:tc>
      </w:tr>
    </w:tbl>
    <w:p w14:paraId="1AEF4B85" w14:textId="77777777" w:rsidR="00AD5C63" w:rsidRPr="00EC57FB" w:rsidRDefault="00CA6ECC" w:rsidP="0023289B">
      <w:pPr>
        <w:pStyle w:val="FooterTableFigure"/>
        <w:keepNext/>
        <w:keepLines/>
        <w:jc w:val="left"/>
      </w:pPr>
      <w:r w:rsidRPr="00EC57FB">
        <w:t>Source: Table 3.</w:t>
      </w:r>
      <w:r w:rsidR="00F54D31" w:rsidRPr="00EC57FB">
        <w:t>8.2 on p143 of the resubmission</w:t>
      </w:r>
      <w:r w:rsidR="00716004" w:rsidRPr="00EC57FB">
        <w:t xml:space="preserve"> and Table 21 of the nirsevimab July 2024 PSD</w:t>
      </w:r>
    </w:p>
    <w:p w14:paraId="3902A53D" w14:textId="4F58E990" w:rsidR="006047BF" w:rsidRDefault="00AD5C63" w:rsidP="0023289B">
      <w:pPr>
        <w:pStyle w:val="FooterTableFigure"/>
        <w:keepNext/>
        <w:keepLines/>
        <w:spacing w:after="0"/>
        <w:jc w:val="left"/>
      </w:pPr>
      <w:r w:rsidRPr="00EC57FB">
        <w:t>Blue shading is indicative of information previously considered by the PBAC.</w:t>
      </w:r>
      <w:r w:rsidR="00F54D31" w:rsidRPr="00EC57FB">
        <w:br/>
      </w:r>
      <w:r w:rsidR="006047BF" w:rsidRPr="00EC57FB">
        <w:t xml:space="preserve">LY = life-year; QALY = quality-adjusted life year; RSV = respiratory syncytial virus. </w:t>
      </w:r>
    </w:p>
    <w:p w14:paraId="48C10164" w14:textId="77777777" w:rsidR="00B70C14" w:rsidRPr="009A6D58" w:rsidRDefault="00B70C14" w:rsidP="0023289B">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6D01E04" w14:textId="09A72250" w:rsidR="000B141E" w:rsidRPr="00EC57FB" w:rsidRDefault="00B70C14" w:rsidP="00B70C14">
      <w:r w:rsidRPr="009A6D58">
        <w:rPr>
          <w:rFonts w:ascii="Arial Narrow" w:hAnsi="Arial Narrow"/>
          <w:i/>
          <w:sz w:val="18"/>
          <w:szCs w:val="18"/>
          <w:vertAlign w:val="superscript"/>
        </w:rPr>
        <w:t>1</w:t>
      </w:r>
      <w:r>
        <w:rPr>
          <w:rFonts w:ascii="Arial Narrow" w:hAnsi="Arial Narrow"/>
          <w:i/>
          <w:sz w:val="18"/>
          <w:szCs w:val="18"/>
        </w:rPr>
        <w:t xml:space="preserve"> </w:t>
      </w:r>
      <w:r w:rsidR="0023289B" w:rsidRPr="0023289B">
        <w:rPr>
          <w:rFonts w:ascii="Arial Narrow" w:hAnsi="Arial Narrow"/>
          <w:i/>
          <w:sz w:val="18"/>
          <w:szCs w:val="18"/>
        </w:rPr>
        <w:t>$5,000 to &lt; $15,000</w:t>
      </w:r>
    </w:p>
    <w:p w14:paraId="3B858F74" w14:textId="68F29F5C" w:rsidR="00356764" w:rsidRPr="009A6D58" w:rsidRDefault="00356764" w:rsidP="0035676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205611" w:rsidRPr="00205611">
        <w:rPr>
          <w:rFonts w:ascii="Arial Narrow" w:hAnsi="Arial Narrow"/>
          <w:i/>
          <w:sz w:val="18"/>
          <w:szCs w:val="18"/>
        </w:rPr>
        <w:t>5,000 to &lt; 10,000</w:t>
      </w:r>
    </w:p>
    <w:p w14:paraId="0DDD216C" w14:textId="1503BD1C" w:rsidR="00356764" w:rsidRDefault="00356764" w:rsidP="0035676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6A58CC" w:rsidRPr="006A58CC">
        <w:rPr>
          <w:rFonts w:ascii="Arial Narrow" w:hAnsi="Arial Narrow"/>
          <w:i/>
          <w:sz w:val="18"/>
          <w:szCs w:val="18"/>
        </w:rPr>
        <w:t>10,000 to &lt; 20,000</w:t>
      </w:r>
    </w:p>
    <w:p w14:paraId="0D084EAB" w14:textId="60249AB4" w:rsidR="00E42046" w:rsidRPr="00356764" w:rsidRDefault="00356764" w:rsidP="00356764">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C222D0" w:rsidRPr="00C222D0">
        <w:rPr>
          <w:rFonts w:ascii="Arial Narrow" w:hAnsi="Arial Narrow"/>
          <w:i/>
          <w:sz w:val="18"/>
          <w:szCs w:val="18"/>
        </w:rPr>
        <w:t>20,000 to &lt; 30,000</w:t>
      </w:r>
    </w:p>
    <w:p w14:paraId="291BAF98" w14:textId="2313E84A" w:rsidR="0081579A" w:rsidRPr="00EC57FB" w:rsidRDefault="000B0B58" w:rsidP="00D652E7">
      <w:pPr>
        <w:pStyle w:val="TableFigureHeading"/>
        <w:jc w:val="both"/>
      </w:pPr>
      <w:bookmarkStart w:id="135" w:name="_Ref187252341"/>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27</w:t>
      </w:r>
      <w:r w:rsidR="00C51E7C" w:rsidRPr="00EC57FB">
        <w:fldChar w:fldCharType="end"/>
      </w:r>
      <w:bookmarkEnd w:id="135"/>
      <w:r w:rsidR="0081579A" w:rsidRPr="00EC57FB">
        <w:t>: Base case results from the economic evaluation presented in the resubmission comparing nirsevimab to no immunisation in the tropical region</w:t>
      </w:r>
    </w:p>
    <w:tbl>
      <w:tblPr>
        <w:tblStyle w:val="TableGrid"/>
        <w:tblW w:w="0" w:type="auto"/>
        <w:tblLook w:val="04A0" w:firstRow="1" w:lastRow="0" w:firstColumn="1" w:lastColumn="0" w:noHBand="0" w:noVBand="1"/>
      </w:tblPr>
      <w:tblGrid>
        <w:gridCol w:w="2254"/>
        <w:gridCol w:w="2253"/>
        <w:gridCol w:w="2253"/>
        <w:gridCol w:w="2257"/>
      </w:tblGrid>
      <w:tr w:rsidR="0081579A" w:rsidRPr="00EC57FB" w14:paraId="6A397A77" w14:textId="77777777" w:rsidTr="00BF2FD8">
        <w:tc>
          <w:tcPr>
            <w:tcW w:w="2254" w:type="dxa"/>
          </w:tcPr>
          <w:p w14:paraId="262C33C3" w14:textId="77777777" w:rsidR="0081579A" w:rsidRPr="00EC57FB" w:rsidRDefault="0081579A">
            <w:pPr>
              <w:pStyle w:val="TableText0"/>
              <w:rPr>
                <w:b/>
                <w:bCs w:val="0"/>
              </w:rPr>
            </w:pPr>
            <w:r w:rsidRPr="00EC57FB">
              <w:rPr>
                <w:b/>
                <w:bCs w:val="0"/>
              </w:rPr>
              <w:t>Component</w:t>
            </w:r>
          </w:p>
        </w:tc>
        <w:tc>
          <w:tcPr>
            <w:tcW w:w="2253" w:type="dxa"/>
            <w:vAlign w:val="center"/>
          </w:tcPr>
          <w:p w14:paraId="08CA75A4" w14:textId="77777777" w:rsidR="0081579A" w:rsidRPr="00EC57FB" w:rsidRDefault="0081579A">
            <w:pPr>
              <w:pStyle w:val="TableText0"/>
              <w:jc w:val="center"/>
              <w:rPr>
                <w:b/>
                <w:bCs w:val="0"/>
              </w:rPr>
            </w:pPr>
            <w:r w:rsidRPr="00EC57FB">
              <w:rPr>
                <w:b/>
                <w:bCs w:val="0"/>
              </w:rPr>
              <w:t>Nirsevimab</w:t>
            </w:r>
          </w:p>
        </w:tc>
        <w:tc>
          <w:tcPr>
            <w:tcW w:w="2253" w:type="dxa"/>
            <w:vAlign w:val="center"/>
          </w:tcPr>
          <w:p w14:paraId="5A0FD816" w14:textId="77777777" w:rsidR="0081579A" w:rsidRPr="00EC57FB" w:rsidRDefault="0081579A">
            <w:pPr>
              <w:pStyle w:val="TableText0"/>
              <w:jc w:val="center"/>
              <w:rPr>
                <w:b/>
                <w:bCs w:val="0"/>
              </w:rPr>
            </w:pPr>
            <w:r w:rsidRPr="00EC57FB">
              <w:rPr>
                <w:b/>
                <w:bCs w:val="0"/>
              </w:rPr>
              <w:t>No immunisation</w:t>
            </w:r>
          </w:p>
        </w:tc>
        <w:tc>
          <w:tcPr>
            <w:tcW w:w="2257" w:type="dxa"/>
            <w:vAlign w:val="center"/>
          </w:tcPr>
          <w:p w14:paraId="2CE1B715" w14:textId="77777777" w:rsidR="0081579A" w:rsidRPr="00EC57FB" w:rsidRDefault="0081579A">
            <w:pPr>
              <w:pStyle w:val="TableText0"/>
              <w:jc w:val="center"/>
              <w:rPr>
                <w:b/>
                <w:bCs w:val="0"/>
              </w:rPr>
            </w:pPr>
            <w:r w:rsidRPr="00EC57FB">
              <w:rPr>
                <w:b/>
                <w:bCs w:val="0"/>
              </w:rPr>
              <w:t>Increment</w:t>
            </w:r>
          </w:p>
        </w:tc>
      </w:tr>
      <w:tr w:rsidR="0081579A" w:rsidRPr="00EC57FB" w14:paraId="2012761A" w14:textId="77777777" w:rsidTr="00BF2FD8">
        <w:tc>
          <w:tcPr>
            <w:tcW w:w="2254" w:type="dxa"/>
          </w:tcPr>
          <w:p w14:paraId="3A1C1F44" w14:textId="77777777" w:rsidR="0081579A" w:rsidRPr="00EC57FB" w:rsidRDefault="0081579A">
            <w:pPr>
              <w:pStyle w:val="TableText0"/>
            </w:pPr>
            <w:r w:rsidRPr="00EC57FB">
              <w:t>Total costs</w:t>
            </w:r>
          </w:p>
        </w:tc>
        <w:tc>
          <w:tcPr>
            <w:tcW w:w="2253" w:type="dxa"/>
            <w:vAlign w:val="center"/>
          </w:tcPr>
          <w:p w14:paraId="63E84D17" w14:textId="771F0362" w:rsidR="0081579A" w:rsidRPr="00EC57FB" w:rsidRDefault="0081579A">
            <w:pPr>
              <w:pStyle w:val="TableText0"/>
              <w:jc w:val="center"/>
            </w:pPr>
            <w:r w:rsidRPr="00EC57FB">
              <w:t>$</w:t>
            </w:r>
            <w:r w:rsidR="000641E5" w:rsidRPr="000641E5">
              <w:rPr>
                <w:color w:val="000000"/>
                <w:spacing w:val="52"/>
                <w:shd w:val="solid" w:color="000000" w:fill="000000"/>
                <w:fitText w:val="327" w:id="-662982640"/>
                <w14:textFill>
                  <w14:solidFill>
                    <w14:srgbClr w14:val="000000">
                      <w14:alpha w14:val="100000"/>
                    </w14:srgbClr>
                  </w14:solidFill>
                </w14:textFill>
              </w:rPr>
              <w:t>|||</w:t>
            </w:r>
            <w:r w:rsidR="000641E5" w:rsidRPr="000641E5">
              <w:rPr>
                <w:color w:val="000000"/>
                <w:spacing w:val="1"/>
                <w:shd w:val="solid" w:color="000000" w:fill="000000"/>
                <w:fitText w:val="327" w:id="-662982640"/>
                <w14:textFill>
                  <w14:solidFill>
                    <w14:srgbClr w14:val="000000">
                      <w14:alpha w14:val="100000"/>
                    </w14:srgbClr>
                  </w14:solidFill>
                </w14:textFill>
              </w:rPr>
              <w:t>|</w:t>
            </w:r>
          </w:p>
        </w:tc>
        <w:tc>
          <w:tcPr>
            <w:tcW w:w="2253" w:type="dxa"/>
            <w:vAlign w:val="center"/>
          </w:tcPr>
          <w:p w14:paraId="61E25FF1" w14:textId="77777777" w:rsidR="0081579A" w:rsidRPr="00EC57FB" w:rsidRDefault="0081579A">
            <w:pPr>
              <w:pStyle w:val="TableText0"/>
              <w:jc w:val="center"/>
            </w:pPr>
            <w:r w:rsidRPr="00EC57FB">
              <w:t>$</w:t>
            </w:r>
            <w:r w:rsidRPr="007805AA">
              <w:t>37,754,000</w:t>
            </w:r>
          </w:p>
        </w:tc>
        <w:tc>
          <w:tcPr>
            <w:tcW w:w="2257" w:type="dxa"/>
            <w:vAlign w:val="center"/>
          </w:tcPr>
          <w:p w14:paraId="448792AB" w14:textId="1A0E027F" w:rsidR="0081579A" w:rsidRPr="00EC57FB" w:rsidRDefault="0081579A">
            <w:pPr>
              <w:pStyle w:val="TableText0"/>
              <w:jc w:val="center"/>
            </w:pPr>
            <w:r w:rsidRPr="00EC57FB">
              <w:t>$</w:t>
            </w:r>
            <w:r w:rsidR="000641E5" w:rsidRPr="000641E5">
              <w:rPr>
                <w:color w:val="000000"/>
                <w:spacing w:val="52"/>
                <w:shd w:val="solid" w:color="000000" w:fill="000000"/>
                <w:fitText w:val="327" w:id="-662982656"/>
                <w14:textFill>
                  <w14:solidFill>
                    <w14:srgbClr w14:val="000000">
                      <w14:alpha w14:val="100000"/>
                    </w14:srgbClr>
                  </w14:solidFill>
                </w14:textFill>
              </w:rPr>
              <w:t>|||</w:t>
            </w:r>
            <w:r w:rsidR="000641E5" w:rsidRPr="000641E5">
              <w:rPr>
                <w:color w:val="000000"/>
                <w:spacing w:val="1"/>
                <w:shd w:val="solid" w:color="000000" w:fill="000000"/>
                <w:fitText w:val="327" w:id="-662982656"/>
                <w14:textFill>
                  <w14:solidFill>
                    <w14:srgbClr w14:val="000000">
                      <w14:alpha w14:val="100000"/>
                    </w14:srgbClr>
                  </w14:solidFill>
                </w14:textFill>
              </w:rPr>
              <w:t>|</w:t>
            </w:r>
          </w:p>
        </w:tc>
      </w:tr>
      <w:tr w:rsidR="0081579A" w:rsidRPr="00EC57FB" w14:paraId="7CB66E0D" w14:textId="77777777" w:rsidTr="00BF2FD8">
        <w:tc>
          <w:tcPr>
            <w:tcW w:w="2254" w:type="dxa"/>
          </w:tcPr>
          <w:p w14:paraId="7F497DF6" w14:textId="77777777" w:rsidR="0081579A" w:rsidRPr="00EC57FB" w:rsidRDefault="0081579A">
            <w:pPr>
              <w:pStyle w:val="TableText0"/>
            </w:pPr>
            <w:r w:rsidRPr="00EC57FB">
              <w:t>MA RSV LRTI cases</w:t>
            </w:r>
          </w:p>
        </w:tc>
        <w:tc>
          <w:tcPr>
            <w:tcW w:w="2253" w:type="dxa"/>
            <w:vAlign w:val="center"/>
          </w:tcPr>
          <w:p w14:paraId="41724140" w14:textId="7C0DE451" w:rsidR="0081579A" w:rsidRPr="00292BE5" w:rsidRDefault="000641E5">
            <w:pPr>
              <w:pStyle w:val="TableText0"/>
              <w:jc w:val="center"/>
              <w:rPr>
                <w:highlight w:val="yellow"/>
                <w:vertAlign w:val="superscript"/>
              </w:rPr>
            </w:pPr>
            <w:r w:rsidRPr="000641E5">
              <w:rPr>
                <w:color w:val="000000"/>
                <w:spacing w:val="52"/>
                <w:shd w:val="solid" w:color="000000" w:fill="000000"/>
                <w:fitText w:val="328" w:id="-662982655"/>
                <w14:textFill>
                  <w14:solidFill>
                    <w14:srgbClr w14:val="000000">
                      <w14:alpha w14:val="100000"/>
                    </w14:srgbClr>
                  </w14:solidFill>
                </w14:textFill>
              </w:rPr>
              <w:t>|||</w:t>
            </w:r>
            <w:r w:rsidRPr="000641E5">
              <w:rPr>
                <w:color w:val="000000"/>
                <w:spacing w:val="2"/>
                <w:shd w:val="solid" w:color="000000" w:fill="000000"/>
                <w:fitText w:val="328" w:id="-662982655"/>
                <w14:textFill>
                  <w14:solidFill>
                    <w14:srgbClr w14:val="000000">
                      <w14:alpha w14:val="100000"/>
                    </w14:srgbClr>
                  </w14:solidFill>
                </w14:textFill>
              </w:rPr>
              <w:t>|</w:t>
            </w:r>
            <w:r w:rsidR="00292BE5" w:rsidRPr="00292BE5">
              <w:t xml:space="preserve"> </w:t>
            </w:r>
            <w:r w:rsidR="00292BE5" w:rsidRPr="00292BE5">
              <w:rPr>
                <w:vertAlign w:val="superscript"/>
              </w:rPr>
              <w:t>2</w:t>
            </w:r>
          </w:p>
        </w:tc>
        <w:tc>
          <w:tcPr>
            <w:tcW w:w="2253" w:type="dxa"/>
            <w:vAlign w:val="center"/>
          </w:tcPr>
          <w:p w14:paraId="573E09E4" w14:textId="39D944F9" w:rsidR="0081579A" w:rsidRPr="00292BE5" w:rsidRDefault="000641E5">
            <w:pPr>
              <w:pStyle w:val="TableText0"/>
              <w:jc w:val="center"/>
              <w:rPr>
                <w:highlight w:val="yellow"/>
                <w:vertAlign w:val="superscript"/>
              </w:rPr>
            </w:pPr>
            <w:r w:rsidRPr="000641E5">
              <w:rPr>
                <w:color w:val="000000"/>
                <w:spacing w:val="52"/>
                <w:shd w:val="solid" w:color="000000" w:fill="000000"/>
                <w:fitText w:val="327" w:id="-662982654"/>
                <w14:textFill>
                  <w14:solidFill>
                    <w14:srgbClr w14:val="000000">
                      <w14:alpha w14:val="100000"/>
                    </w14:srgbClr>
                  </w14:solidFill>
                </w14:textFill>
              </w:rPr>
              <w:t>|||</w:t>
            </w:r>
            <w:r w:rsidRPr="000641E5">
              <w:rPr>
                <w:color w:val="000000"/>
                <w:spacing w:val="1"/>
                <w:shd w:val="solid" w:color="000000" w:fill="000000"/>
                <w:fitText w:val="327" w:id="-662982654"/>
                <w14:textFill>
                  <w14:solidFill>
                    <w14:srgbClr w14:val="000000">
                      <w14:alpha w14:val="100000"/>
                    </w14:srgbClr>
                  </w14:solidFill>
                </w14:textFill>
              </w:rPr>
              <w:t>|</w:t>
            </w:r>
            <w:r w:rsidR="00292BE5" w:rsidRPr="00292BE5">
              <w:t xml:space="preserve"> </w:t>
            </w:r>
            <w:r w:rsidR="00292BE5" w:rsidRPr="00292BE5">
              <w:rPr>
                <w:vertAlign w:val="superscript"/>
              </w:rPr>
              <w:t>3</w:t>
            </w:r>
          </w:p>
        </w:tc>
        <w:tc>
          <w:tcPr>
            <w:tcW w:w="2257" w:type="dxa"/>
            <w:vAlign w:val="center"/>
          </w:tcPr>
          <w:p w14:paraId="020E6146" w14:textId="372CD6CA" w:rsidR="0081579A" w:rsidRPr="00EC57FB" w:rsidRDefault="0014346E">
            <w:pPr>
              <w:pStyle w:val="TableText0"/>
              <w:jc w:val="center"/>
            </w:pPr>
            <w:r w:rsidRPr="00EC57FB">
              <w:t>-</w:t>
            </w:r>
            <w:r w:rsidR="000641E5" w:rsidRPr="000641E5">
              <w:rPr>
                <w:color w:val="000000"/>
                <w:spacing w:val="52"/>
                <w:shd w:val="solid" w:color="000000" w:fill="000000"/>
                <w:fitText w:val="328" w:id="-662982653"/>
                <w14:textFill>
                  <w14:solidFill>
                    <w14:srgbClr w14:val="000000">
                      <w14:alpha w14:val="100000"/>
                    </w14:srgbClr>
                  </w14:solidFill>
                </w14:textFill>
              </w:rPr>
              <w:t>|||</w:t>
            </w:r>
            <w:r w:rsidR="000641E5" w:rsidRPr="000641E5">
              <w:rPr>
                <w:color w:val="000000"/>
                <w:spacing w:val="2"/>
                <w:shd w:val="solid" w:color="000000" w:fill="000000"/>
                <w:fitText w:val="328" w:id="-662982653"/>
                <w14:textFill>
                  <w14:solidFill>
                    <w14:srgbClr w14:val="000000">
                      <w14:alpha w14:val="100000"/>
                    </w14:srgbClr>
                  </w14:solidFill>
                </w14:textFill>
              </w:rPr>
              <w:t>|</w:t>
            </w:r>
            <w:r w:rsidR="00292BE5" w:rsidRPr="00292BE5">
              <w:t xml:space="preserve"> </w:t>
            </w:r>
            <w:r w:rsidR="00292BE5" w:rsidRPr="00292BE5">
              <w:rPr>
                <w:vertAlign w:val="superscript"/>
              </w:rPr>
              <w:t>2</w:t>
            </w:r>
          </w:p>
        </w:tc>
      </w:tr>
      <w:tr w:rsidR="0081579A" w:rsidRPr="00EC57FB" w14:paraId="5D8982F1" w14:textId="77777777" w:rsidTr="00BF2FD8">
        <w:tc>
          <w:tcPr>
            <w:tcW w:w="2254" w:type="dxa"/>
          </w:tcPr>
          <w:p w14:paraId="7DA8EEB1" w14:textId="77777777" w:rsidR="0081579A" w:rsidRPr="00EC57FB" w:rsidRDefault="0081579A">
            <w:pPr>
              <w:pStyle w:val="TableText0"/>
            </w:pPr>
            <w:r w:rsidRPr="00EC57FB">
              <w:t>LYs</w:t>
            </w:r>
          </w:p>
        </w:tc>
        <w:tc>
          <w:tcPr>
            <w:tcW w:w="2253" w:type="dxa"/>
            <w:vAlign w:val="center"/>
          </w:tcPr>
          <w:p w14:paraId="54DA0AE3" w14:textId="77777777" w:rsidR="0081579A" w:rsidRPr="00EC57FB" w:rsidRDefault="0081579A">
            <w:pPr>
              <w:pStyle w:val="TableText0"/>
              <w:jc w:val="center"/>
            </w:pPr>
            <w:r w:rsidRPr="00EC57FB">
              <w:t>1,278,882</w:t>
            </w:r>
          </w:p>
        </w:tc>
        <w:tc>
          <w:tcPr>
            <w:tcW w:w="2253" w:type="dxa"/>
            <w:vAlign w:val="center"/>
          </w:tcPr>
          <w:p w14:paraId="4BE099C7" w14:textId="77777777" w:rsidR="0081579A" w:rsidRPr="00EC57FB" w:rsidRDefault="0081579A">
            <w:pPr>
              <w:pStyle w:val="TableText0"/>
              <w:jc w:val="center"/>
            </w:pPr>
            <w:r w:rsidRPr="00EC57FB">
              <w:t>1,278,828</w:t>
            </w:r>
          </w:p>
        </w:tc>
        <w:tc>
          <w:tcPr>
            <w:tcW w:w="2257" w:type="dxa"/>
            <w:vAlign w:val="center"/>
          </w:tcPr>
          <w:p w14:paraId="0278560B" w14:textId="77777777" w:rsidR="0081579A" w:rsidRPr="00EC57FB" w:rsidRDefault="0081579A">
            <w:pPr>
              <w:pStyle w:val="TableText0"/>
              <w:jc w:val="center"/>
            </w:pPr>
            <w:r w:rsidRPr="00EC57FB">
              <w:t>53.98</w:t>
            </w:r>
          </w:p>
        </w:tc>
      </w:tr>
      <w:tr w:rsidR="0081579A" w:rsidRPr="00EC57FB" w14:paraId="01D571B2" w14:textId="77777777" w:rsidTr="00BF2FD8">
        <w:tc>
          <w:tcPr>
            <w:tcW w:w="2254" w:type="dxa"/>
          </w:tcPr>
          <w:p w14:paraId="7F713210" w14:textId="77777777" w:rsidR="0081579A" w:rsidRPr="00EC57FB" w:rsidRDefault="0081579A">
            <w:pPr>
              <w:pStyle w:val="TableText0"/>
            </w:pPr>
            <w:r w:rsidRPr="00EC57FB">
              <w:t>QALYs</w:t>
            </w:r>
          </w:p>
        </w:tc>
        <w:tc>
          <w:tcPr>
            <w:tcW w:w="2253" w:type="dxa"/>
            <w:vAlign w:val="center"/>
          </w:tcPr>
          <w:p w14:paraId="349A90D7" w14:textId="77777777" w:rsidR="0081579A" w:rsidRPr="00EC57FB" w:rsidRDefault="0081579A">
            <w:pPr>
              <w:pStyle w:val="TableText0"/>
              <w:jc w:val="center"/>
            </w:pPr>
            <w:r w:rsidRPr="00EC57FB">
              <w:t>1,274,178</w:t>
            </w:r>
          </w:p>
        </w:tc>
        <w:tc>
          <w:tcPr>
            <w:tcW w:w="2253" w:type="dxa"/>
            <w:vAlign w:val="center"/>
          </w:tcPr>
          <w:p w14:paraId="28B359DB" w14:textId="77777777" w:rsidR="0081579A" w:rsidRPr="00EC57FB" w:rsidRDefault="0081579A">
            <w:pPr>
              <w:pStyle w:val="TableText0"/>
              <w:jc w:val="center"/>
            </w:pPr>
            <w:r w:rsidRPr="00EC57FB">
              <w:t>1,274,057</w:t>
            </w:r>
          </w:p>
        </w:tc>
        <w:tc>
          <w:tcPr>
            <w:tcW w:w="2257" w:type="dxa"/>
            <w:vAlign w:val="center"/>
          </w:tcPr>
          <w:p w14:paraId="038AE08F" w14:textId="77777777" w:rsidR="0081579A" w:rsidRPr="00EC57FB" w:rsidRDefault="0081579A">
            <w:pPr>
              <w:pStyle w:val="TableText0"/>
              <w:jc w:val="center"/>
            </w:pPr>
            <w:r w:rsidRPr="00EC57FB">
              <w:t>120.97</w:t>
            </w:r>
          </w:p>
        </w:tc>
      </w:tr>
      <w:tr w:rsidR="0081579A" w:rsidRPr="00EC57FB" w14:paraId="6E3AF27A" w14:textId="77777777" w:rsidTr="00BF2FD8">
        <w:tc>
          <w:tcPr>
            <w:tcW w:w="6760" w:type="dxa"/>
            <w:gridSpan w:val="3"/>
            <w:vAlign w:val="center"/>
          </w:tcPr>
          <w:p w14:paraId="6EEADAC6" w14:textId="77777777" w:rsidR="0081579A" w:rsidRPr="00EC57FB" w:rsidRDefault="0081579A">
            <w:pPr>
              <w:pStyle w:val="TableText0"/>
              <w:rPr>
                <w:b/>
                <w:bCs w:val="0"/>
              </w:rPr>
            </w:pPr>
            <w:r w:rsidRPr="00EC57FB">
              <w:rPr>
                <w:b/>
                <w:bCs w:val="0"/>
              </w:rPr>
              <w:t>Incremental cost per additional QALY gained</w:t>
            </w:r>
          </w:p>
        </w:tc>
        <w:tc>
          <w:tcPr>
            <w:tcW w:w="2257" w:type="dxa"/>
            <w:vAlign w:val="center"/>
          </w:tcPr>
          <w:p w14:paraId="42D7DCB5" w14:textId="0ED42A30" w:rsidR="0081579A" w:rsidRPr="0023289B" w:rsidRDefault="0081579A">
            <w:pPr>
              <w:pStyle w:val="TableText0"/>
              <w:jc w:val="center"/>
              <w:rPr>
                <w:b/>
                <w:bCs w:val="0"/>
                <w:vertAlign w:val="superscript"/>
              </w:rPr>
            </w:pPr>
            <w:r w:rsidRPr="00EC57FB">
              <w:rPr>
                <w:b/>
                <w:bCs w:val="0"/>
              </w:rPr>
              <w:t>$</w:t>
            </w:r>
            <w:r w:rsidR="000641E5" w:rsidRPr="000641E5">
              <w:rPr>
                <w:b/>
                <w:bCs w:val="0"/>
                <w:color w:val="000000"/>
                <w:spacing w:val="58"/>
                <w:shd w:val="solid" w:color="000000" w:fill="000000"/>
                <w:fitText w:val="360" w:id="-662982652"/>
                <w14:textFill>
                  <w14:solidFill>
                    <w14:srgbClr w14:val="000000">
                      <w14:alpha w14:val="100000"/>
                    </w14:srgbClr>
                  </w14:solidFill>
                </w14:textFill>
              </w:rPr>
              <w:t>|||</w:t>
            </w:r>
            <w:r w:rsidR="000641E5" w:rsidRPr="000641E5">
              <w:rPr>
                <w:b/>
                <w:bCs w:val="0"/>
                <w:color w:val="000000"/>
                <w:spacing w:val="3"/>
                <w:shd w:val="solid" w:color="000000" w:fill="000000"/>
                <w:fitText w:val="360" w:id="-662982652"/>
                <w14:textFill>
                  <w14:solidFill>
                    <w14:srgbClr w14:val="000000">
                      <w14:alpha w14:val="100000"/>
                    </w14:srgbClr>
                  </w14:solidFill>
                </w14:textFill>
              </w:rPr>
              <w:t>|</w:t>
            </w:r>
            <w:r w:rsidR="0023289B">
              <w:rPr>
                <w:b/>
                <w:bCs w:val="0"/>
              </w:rPr>
              <w:t xml:space="preserve"> </w:t>
            </w:r>
            <w:r w:rsidR="0023289B">
              <w:rPr>
                <w:b/>
                <w:bCs w:val="0"/>
                <w:vertAlign w:val="superscript"/>
              </w:rPr>
              <w:t>1</w:t>
            </w:r>
          </w:p>
        </w:tc>
      </w:tr>
      <w:tr w:rsidR="006F26E4" w:rsidRPr="00EC57FB" w14:paraId="62CDB62A" w14:textId="77777777" w:rsidTr="00BF2FD8">
        <w:tc>
          <w:tcPr>
            <w:tcW w:w="6760" w:type="dxa"/>
            <w:gridSpan w:val="3"/>
            <w:shd w:val="clear" w:color="auto" w:fill="B8CCE4"/>
          </w:tcPr>
          <w:p w14:paraId="3EF41CC9" w14:textId="77777777" w:rsidR="006F26E4" w:rsidRPr="00EC57FB" w:rsidRDefault="006F26E4">
            <w:pPr>
              <w:pStyle w:val="TableText0"/>
              <w:rPr>
                <w:b/>
                <w:bCs w:val="0"/>
              </w:rPr>
            </w:pPr>
            <w:r w:rsidRPr="00EC57FB">
              <w:rPr>
                <w:b/>
                <w:bCs w:val="0"/>
              </w:rPr>
              <w:t>Previous consideration</w:t>
            </w:r>
          </w:p>
        </w:tc>
        <w:tc>
          <w:tcPr>
            <w:tcW w:w="2257" w:type="dxa"/>
            <w:shd w:val="clear" w:color="auto" w:fill="B8CCE4"/>
          </w:tcPr>
          <w:p w14:paraId="360116A0" w14:textId="77777777" w:rsidR="006F26E4" w:rsidRPr="00EC57FB" w:rsidRDefault="006F26E4">
            <w:pPr>
              <w:pStyle w:val="TableText0"/>
              <w:jc w:val="center"/>
              <w:rPr>
                <w:b/>
                <w:bCs w:val="0"/>
              </w:rPr>
            </w:pPr>
          </w:p>
        </w:tc>
      </w:tr>
      <w:tr w:rsidR="003276AC" w:rsidRPr="00EC57FB" w14:paraId="20B9984D" w14:textId="77777777" w:rsidTr="00BF2FD8">
        <w:tc>
          <w:tcPr>
            <w:tcW w:w="2254" w:type="dxa"/>
            <w:shd w:val="clear" w:color="auto" w:fill="B8CCE4"/>
          </w:tcPr>
          <w:p w14:paraId="5606769F" w14:textId="77777777" w:rsidR="00FC0094" w:rsidRPr="00EC57FB" w:rsidRDefault="00FC0094">
            <w:pPr>
              <w:pStyle w:val="TableText0"/>
            </w:pPr>
            <w:r w:rsidRPr="00EC57FB">
              <w:t>Total costs</w:t>
            </w:r>
          </w:p>
        </w:tc>
        <w:tc>
          <w:tcPr>
            <w:tcW w:w="2253" w:type="dxa"/>
            <w:shd w:val="clear" w:color="auto" w:fill="B8CCE4"/>
            <w:vAlign w:val="center"/>
          </w:tcPr>
          <w:p w14:paraId="51019E55" w14:textId="0034E444" w:rsidR="00FC0094" w:rsidRPr="00EC57FB" w:rsidRDefault="00BF2FD8">
            <w:pPr>
              <w:pStyle w:val="TableText0"/>
              <w:jc w:val="center"/>
            </w:pPr>
            <w:r w:rsidRPr="00EC57FB">
              <w:rPr>
                <w:rFonts w:cs="Calibri"/>
                <w:color w:val="000000"/>
                <w:szCs w:val="20"/>
              </w:rPr>
              <w:t>$</w:t>
            </w:r>
            <w:r w:rsidR="000641E5" w:rsidRPr="000641E5">
              <w:rPr>
                <w:rFonts w:cs="Calibri"/>
                <w:color w:val="000000"/>
                <w:spacing w:val="52"/>
                <w:szCs w:val="20"/>
                <w:shd w:val="solid" w:color="000000" w:fill="000000"/>
                <w:fitText w:val="327" w:id="-662982651"/>
                <w14:textFill>
                  <w14:solidFill>
                    <w14:srgbClr w14:val="000000">
                      <w14:alpha w14:val="100000"/>
                    </w14:srgbClr>
                  </w14:solidFill>
                </w14:textFill>
              </w:rPr>
              <w:t>|||</w:t>
            </w:r>
            <w:r w:rsidR="000641E5" w:rsidRPr="000641E5">
              <w:rPr>
                <w:rFonts w:cs="Calibri"/>
                <w:color w:val="000000"/>
                <w:spacing w:val="1"/>
                <w:szCs w:val="20"/>
                <w:shd w:val="solid" w:color="000000" w:fill="000000"/>
                <w:fitText w:val="327" w:id="-662982651"/>
                <w14:textFill>
                  <w14:solidFill>
                    <w14:srgbClr w14:val="000000">
                      <w14:alpha w14:val="100000"/>
                    </w14:srgbClr>
                  </w14:solidFill>
                </w14:textFill>
              </w:rPr>
              <w:t>|</w:t>
            </w:r>
          </w:p>
        </w:tc>
        <w:tc>
          <w:tcPr>
            <w:tcW w:w="2253" w:type="dxa"/>
            <w:shd w:val="clear" w:color="auto" w:fill="B8CCE4"/>
            <w:vAlign w:val="center"/>
          </w:tcPr>
          <w:p w14:paraId="46240449" w14:textId="06997270" w:rsidR="00FC0094" w:rsidRPr="00EC57FB" w:rsidRDefault="00EB4352">
            <w:pPr>
              <w:pStyle w:val="TableText0"/>
              <w:jc w:val="center"/>
            </w:pPr>
            <w:r w:rsidRPr="007805AA">
              <w:t>$42,384,538</w:t>
            </w:r>
          </w:p>
        </w:tc>
        <w:tc>
          <w:tcPr>
            <w:tcW w:w="2257" w:type="dxa"/>
            <w:shd w:val="clear" w:color="auto" w:fill="B8CCE4"/>
            <w:vAlign w:val="center"/>
          </w:tcPr>
          <w:p w14:paraId="6EC54373" w14:textId="0C57D8E7" w:rsidR="00FC0094" w:rsidRPr="00EC57FB" w:rsidRDefault="00A342F2">
            <w:pPr>
              <w:pStyle w:val="TableText0"/>
              <w:jc w:val="center"/>
            </w:pPr>
            <w:r w:rsidRPr="00EC57FB">
              <w:rPr>
                <w:rFonts w:cs="Calibri"/>
                <w:color w:val="000000"/>
                <w:szCs w:val="20"/>
              </w:rPr>
              <w:t>$</w:t>
            </w:r>
            <w:r w:rsidR="000641E5" w:rsidRPr="000641E5">
              <w:rPr>
                <w:rFonts w:cs="Calibri"/>
                <w:color w:val="000000"/>
                <w:spacing w:val="52"/>
                <w:szCs w:val="20"/>
                <w:shd w:val="solid" w:color="000000" w:fill="000000"/>
                <w:fitText w:val="327" w:id="-662982650"/>
                <w14:textFill>
                  <w14:solidFill>
                    <w14:srgbClr w14:val="000000">
                      <w14:alpha w14:val="100000"/>
                    </w14:srgbClr>
                  </w14:solidFill>
                </w14:textFill>
              </w:rPr>
              <w:t>|||</w:t>
            </w:r>
            <w:r w:rsidR="000641E5" w:rsidRPr="000641E5">
              <w:rPr>
                <w:rFonts w:cs="Calibri"/>
                <w:color w:val="000000"/>
                <w:spacing w:val="1"/>
                <w:szCs w:val="20"/>
                <w:shd w:val="solid" w:color="000000" w:fill="000000"/>
                <w:fitText w:val="327" w:id="-662982650"/>
                <w14:textFill>
                  <w14:solidFill>
                    <w14:srgbClr w14:val="000000">
                      <w14:alpha w14:val="100000"/>
                    </w14:srgbClr>
                  </w14:solidFill>
                </w14:textFill>
              </w:rPr>
              <w:t>|</w:t>
            </w:r>
          </w:p>
        </w:tc>
      </w:tr>
      <w:tr w:rsidR="003276AC" w:rsidRPr="00EC57FB" w14:paraId="7459AF06" w14:textId="77777777" w:rsidTr="00BF2FD8">
        <w:tc>
          <w:tcPr>
            <w:tcW w:w="2254" w:type="dxa"/>
            <w:shd w:val="clear" w:color="auto" w:fill="B8CCE4"/>
          </w:tcPr>
          <w:p w14:paraId="2B68E20A" w14:textId="77777777" w:rsidR="00622A91" w:rsidRPr="00EC57FB" w:rsidRDefault="00622A91" w:rsidP="00622A91">
            <w:pPr>
              <w:pStyle w:val="TableText0"/>
            </w:pPr>
            <w:r w:rsidRPr="00EC57FB">
              <w:t>QALYs</w:t>
            </w:r>
          </w:p>
        </w:tc>
        <w:tc>
          <w:tcPr>
            <w:tcW w:w="2253" w:type="dxa"/>
            <w:shd w:val="clear" w:color="auto" w:fill="B8CCE4"/>
            <w:vAlign w:val="center"/>
          </w:tcPr>
          <w:p w14:paraId="71B45F8A" w14:textId="1B5F754D" w:rsidR="00622A91" w:rsidRPr="00EC57FB" w:rsidRDefault="00622A91" w:rsidP="00622A91">
            <w:pPr>
              <w:pStyle w:val="TableText0"/>
              <w:jc w:val="center"/>
            </w:pPr>
            <w:r w:rsidRPr="00EC57FB">
              <w:t>1,274,1</w:t>
            </w:r>
            <w:r w:rsidR="001801F9" w:rsidRPr="00EC57FB">
              <w:t>32</w:t>
            </w:r>
          </w:p>
        </w:tc>
        <w:tc>
          <w:tcPr>
            <w:tcW w:w="2253" w:type="dxa"/>
            <w:shd w:val="clear" w:color="auto" w:fill="B8CCE4"/>
            <w:vAlign w:val="center"/>
          </w:tcPr>
          <w:p w14:paraId="2FC21D08" w14:textId="6053A760" w:rsidR="00622A91" w:rsidRPr="00EC57FB" w:rsidRDefault="00622A91" w:rsidP="00622A91">
            <w:pPr>
              <w:pStyle w:val="TableText0"/>
              <w:jc w:val="center"/>
            </w:pPr>
            <w:r w:rsidRPr="00EC57FB">
              <w:t>1,27</w:t>
            </w:r>
            <w:r w:rsidR="001801F9" w:rsidRPr="00EC57FB">
              <w:t>3,964</w:t>
            </w:r>
          </w:p>
        </w:tc>
        <w:tc>
          <w:tcPr>
            <w:tcW w:w="2257" w:type="dxa"/>
            <w:shd w:val="clear" w:color="auto" w:fill="B8CCE4"/>
            <w:vAlign w:val="center"/>
          </w:tcPr>
          <w:p w14:paraId="44E084F6" w14:textId="29BB0877" w:rsidR="00622A91" w:rsidRPr="00EC57FB" w:rsidRDefault="0014346E" w:rsidP="00622A91">
            <w:pPr>
              <w:pStyle w:val="TableText0"/>
              <w:jc w:val="center"/>
            </w:pPr>
            <w:r w:rsidRPr="00EC57FB">
              <w:t>167</w:t>
            </w:r>
          </w:p>
        </w:tc>
      </w:tr>
      <w:tr w:rsidR="006F26E4" w:rsidRPr="00EC57FB" w14:paraId="6B381232" w14:textId="77777777" w:rsidTr="00BF2FD8">
        <w:tc>
          <w:tcPr>
            <w:tcW w:w="6760" w:type="dxa"/>
            <w:gridSpan w:val="3"/>
            <w:shd w:val="clear" w:color="auto" w:fill="B8CCE4"/>
          </w:tcPr>
          <w:p w14:paraId="08D25263" w14:textId="77777777" w:rsidR="006F26E4" w:rsidRPr="00EC57FB" w:rsidRDefault="006F26E4">
            <w:pPr>
              <w:pStyle w:val="TableText0"/>
              <w:rPr>
                <w:b/>
                <w:bCs w:val="0"/>
              </w:rPr>
            </w:pPr>
            <w:r w:rsidRPr="00EC57FB">
              <w:rPr>
                <w:b/>
                <w:bCs w:val="0"/>
              </w:rPr>
              <w:t>Incremental cost per additional QALY gained</w:t>
            </w:r>
          </w:p>
        </w:tc>
        <w:tc>
          <w:tcPr>
            <w:tcW w:w="2257" w:type="dxa"/>
            <w:shd w:val="clear" w:color="auto" w:fill="B8CCE4"/>
          </w:tcPr>
          <w:p w14:paraId="07AF4D60" w14:textId="614D53AF" w:rsidR="006F26E4" w:rsidRPr="00EC57FB" w:rsidRDefault="00E87A4D">
            <w:pPr>
              <w:pStyle w:val="TableText0"/>
              <w:jc w:val="center"/>
              <w:rPr>
                <w:b/>
                <w:bCs w:val="0"/>
              </w:rPr>
            </w:pPr>
            <w:r w:rsidRPr="00EC57FB">
              <w:rPr>
                <w:b/>
                <w:bCs w:val="0"/>
              </w:rPr>
              <w:t>$</w:t>
            </w:r>
            <w:r w:rsidR="000641E5" w:rsidRPr="000641E5">
              <w:rPr>
                <w:b/>
                <w:bCs w:val="0"/>
                <w:color w:val="000000"/>
                <w:spacing w:val="58"/>
                <w:shd w:val="solid" w:color="000000" w:fill="000000"/>
                <w:fitText w:val="360" w:id="-662982649"/>
                <w14:textFill>
                  <w14:solidFill>
                    <w14:srgbClr w14:val="000000">
                      <w14:alpha w14:val="100000"/>
                    </w14:srgbClr>
                  </w14:solidFill>
                </w14:textFill>
              </w:rPr>
              <w:t>|||</w:t>
            </w:r>
            <w:r w:rsidR="000641E5" w:rsidRPr="000641E5">
              <w:rPr>
                <w:b/>
                <w:bCs w:val="0"/>
                <w:color w:val="000000"/>
                <w:spacing w:val="3"/>
                <w:shd w:val="solid" w:color="000000" w:fill="000000"/>
                <w:fitText w:val="360" w:id="-662982649"/>
                <w14:textFill>
                  <w14:solidFill>
                    <w14:srgbClr w14:val="000000">
                      <w14:alpha w14:val="100000"/>
                    </w14:srgbClr>
                  </w14:solidFill>
                </w14:textFill>
              </w:rPr>
              <w:t>|</w:t>
            </w:r>
            <w:r w:rsidR="0023289B">
              <w:rPr>
                <w:b/>
                <w:bCs w:val="0"/>
              </w:rPr>
              <w:t xml:space="preserve"> </w:t>
            </w:r>
            <w:r w:rsidR="0023289B">
              <w:rPr>
                <w:b/>
                <w:bCs w:val="0"/>
                <w:vertAlign w:val="superscript"/>
              </w:rPr>
              <w:t>1</w:t>
            </w:r>
          </w:p>
        </w:tc>
      </w:tr>
    </w:tbl>
    <w:p w14:paraId="0A1F4E77" w14:textId="77777777" w:rsidR="00AD5C63" w:rsidRPr="00EC57FB" w:rsidRDefault="006A0DC1" w:rsidP="006A0DC1">
      <w:pPr>
        <w:pStyle w:val="FooterTableFigure"/>
        <w:jc w:val="left"/>
      </w:pPr>
      <w:r w:rsidRPr="00EC57FB">
        <w:t>Source: Table 3.8.2 on p143 of the resubmission</w:t>
      </w:r>
      <w:r w:rsidR="00FC0094" w:rsidRPr="00EC57FB">
        <w:t xml:space="preserve"> and Table 21 of the nirsevimab July 2024 PSD</w:t>
      </w:r>
    </w:p>
    <w:p w14:paraId="667533A5" w14:textId="4DB9AA68" w:rsidR="0081579A" w:rsidRPr="00EC57FB" w:rsidRDefault="00AD5C63" w:rsidP="0023289B">
      <w:pPr>
        <w:pStyle w:val="FooterTableFigure"/>
        <w:spacing w:after="0"/>
        <w:jc w:val="left"/>
      </w:pPr>
      <w:r w:rsidRPr="00EC57FB">
        <w:t>Blue shading is indicative of information previously considered by the PBAC.</w:t>
      </w:r>
      <w:r w:rsidR="006A0DC1" w:rsidRPr="00EC57FB">
        <w:br/>
      </w:r>
      <w:r w:rsidR="0081579A" w:rsidRPr="00EC57FB">
        <w:t xml:space="preserve">LY = life-year; QALY = quality-adjusted life year; RSV = respiratory syncytial virus. </w:t>
      </w:r>
    </w:p>
    <w:p w14:paraId="205FB1E3" w14:textId="77777777" w:rsidR="0023289B" w:rsidRPr="009A6D58" w:rsidRDefault="0023289B" w:rsidP="0023289B">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CEF79FA" w14:textId="3ACFED91" w:rsidR="002F1606" w:rsidRDefault="0023289B" w:rsidP="00EB2A81">
      <w:pPr>
        <w:pStyle w:val="FooterTableFigure"/>
        <w:spacing w:after="0"/>
        <w:rPr>
          <w:i/>
          <w:szCs w:val="18"/>
        </w:rPr>
      </w:pPr>
      <w:r w:rsidRPr="009A6D58">
        <w:rPr>
          <w:i/>
          <w:szCs w:val="18"/>
          <w:vertAlign w:val="superscript"/>
        </w:rPr>
        <w:t>1</w:t>
      </w:r>
      <w:r w:rsidR="00285112" w:rsidRPr="00285112">
        <w:rPr>
          <w:i/>
          <w:szCs w:val="18"/>
        </w:rPr>
        <w:t xml:space="preserve"> $35,000 to &lt; $45,000</w:t>
      </w:r>
    </w:p>
    <w:p w14:paraId="17B7D65D" w14:textId="4A4896D2" w:rsidR="00EB2A81" w:rsidRPr="009A6D58" w:rsidRDefault="00EB2A81" w:rsidP="00EB2A8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205611">
        <w:rPr>
          <w:rFonts w:ascii="Arial Narrow" w:hAnsi="Arial Narrow"/>
          <w:i/>
          <w:sz w:val="18"/>
          <w:szCs w:val="18"/>
        </w:rPr>
        <w:t>500 to &lt; </w:t>
      </w:r>
      <w:r>
        <w:rPr>
          <w:rFonts w:ascii="Arial Narrow" w:hAnsi="Arial Narrow"/>
          <w:i/>
          <w:sz w:val="18"/>
          <w:szCs w:val="18"/>
        </w:rPr>
        <w:t>5</w:t>
      </w:r>
      <w:r w:rsidRPr="00205611">
        <w:rPr>
          <w:rFonts w:ascii="Arial Narrow" w:hAnsi="Arial Narrow"/>
          <w:i/>
          <w:sz w:val="18"/>
          <w:szCs w:val="18"/>
        </w:rPr>
        <w:t>,000</w:t>
      </w:r>
    </w:p>
    <w:p w14:paraId="158DA4F7" w14:textId="71369556" w:rsidR="00EB2A81" w:rsidRPr="00EB2A81" w:rsidRDefault="00EB2A81" w:rsidP="00EB2A81">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5</w:t>
      </w:r>
      <w:r w:rsidRPr="006A58CC">
        <w:rPr>
          <w:rFonts w:ascii="Arial Narrow" w:hAnsi="Arial Narrow"/>
          <w:i/>
          <w:sz w:val="18"/>
          <w:szCs w:val="18"/>
        </w:rPr>
        <w:t>,000 to &lt; </w:t>
      </w:r>
      <w:r>
        <w:rPr>
          <w:rFonts w:ascii="Arial Narrow" w:hAnsi="Arial Narrow"/>
          <w:i/>
          <w:sz w:val="18"/>
          <w:szCs w:val="18"/>
        </w:rPr>
        <w:t>1</w:t>
      </w:r>
      <w:r w:rsidRPr="006A58CC">
        <w:rPr>
          <w:rFonts w:ascii="Arial Narrow" w:hAnsi="Arial Narrow"/>
          <w:i/>
          <w:sz w:val="18"/>
          <w:szCs w:val="18"/>
        </w:rPr>
        <w:t>0,000</w:t>
      </w:r>
    </w:p>
    <w:p w14:paraId="25E0F906" w14:textId="624171E1" w:rsidR="001E4CF2" w:rsidRPr="00EC57FB" w:rsidRDefault="002F1606" w:rsidP="00D652E7">
      <w:pPr>
        <w:pStyle w:val="TableFigureHeading"/>
        <w:jc w:val="both"/>
      </w:pPr>
      <w:bookmarkStart w:id="136" w:name="_Ref187252958"/>
      <w:r w:rsidRPr="00EC57FB">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28</w:t>
      </w:r>
      <w:r w:rsidR="00C51E7C" w:rsidRPr="00EC57FB">
        <w:fldChar w:fldCharType="end"/>
      </w:r>
      <w:bookmarkEnd w:id="136"/>
      <w:r w:rsidR="001E4CF2" w:rsidRPr="00EC57FB">
        <w:t xml:space="preserve">: Base case results from the economic evaluation presented in the resubmission comparing nirsevimab to no immunisation </w:t>
      </w:r>
      <w:r w:rsidR="000645B2" w:rsidRPr="00EC57FB">
        <w:t>(</w:t>
      </w:r>
      <w:r w:rsidR="003276AC" w:rsidRPr="00EC57FB">
        <w:t>a</w:t>
      </w:r>
      <w:r w:rsidR="000645B2" w:rsidRPr="00EC57FB">
        <w:t>ggregated population)</w:t>
      </w:r>
    </w:p>
    <w:tbl>
      <w:tblPr>
        <w:tblStyle w:val="TableGrid"/>
        <w:tblW w:w="0" w:type="auto"/>
        <w:tblLook w:val="04A0" w:firstRow="1" w:lastRow="0" w:firstColumn="1" w:lastColumn="0" w:noHBand="0" w:noVBand="1"/>
      </w:tblPr>
      <w:tblGrid>
        <w:gridCol w:w="2254"/>
        <w:gridCol w:w="2253"/>
        <w:gridCol w:w="2253"/>
        <w:gridCol w:w="2257"/>
      </w:tblGrid>
      <w:tr w:rsidR="001E4CF2" w:rsidRPr="00EC57FB" w14:paraId="6976DF94" w14:textId="77777777" w:rsidTr="00AB62F9">
        <w:tc>
          <w:tcPr>
            <w:tcW w:w="2254" w:type="dxa"/>
          </w:tcPr>
          <w:p w14:paraId="42BE2FB3" w14:textId="77777777" w:rsidR="001E4CF2" w:rsidRPr="00EC57FB" w:rsidRDefault="001E4CF2">
            <w:pPr>
              <w:pStyle w:val="TableText0"/>
              <w:rPr>
                <w:b/>
                <w:bCs w:val="0"/>
              </w:rPr>
            </w:pPr>
            <w:r w:rsidRPr="00EC57FB">
              <w:rPr>
                <w:b/>
                <w:bCs w:val="0"/>
              </w:rPr>
              <w:t>Component</w:t>
            </w:r>
          </w:p>
        </w:tc>
        <w:tc>
          <w:tcPr>
            <w:tcW w:w="2253" w:type="dxa"/>
            <w:vAlign w:val="center"/>
          </w:tcPr>
          <w:p w14:paraId="1538BBAC" w14:textId="77777777" w:rsidR="001E4CF2" w:rsidRPr="00EC57FB" w:rsidRDefault="001E4CF2">
            <w:pPr>
              <w:pStyle w:val="TableText0"/>
              <w:jc w:val="center"/>
              <w:rPr>
                <w:b/>
                <w:bCs w:val="0"/>
              </w:rPr>
            </w:pPr>
            <w:r w:rsidRPr="00EC57FB">
              <w:rPr>
                <w:b/>
                <w:bCs w:val="0"/>
              </w:rPr>
              <w:t>Nirsevimab</w:t>
            </w:r>
          </w:p>
        </w:tc>
        <w:tc>
          <w:tcPr>
            <w:tcW w:w="2253" w:type="dxa"/>
            <w:vAlign w:val="center"/>
          </w:tcPr>
          <w:p w14:paraId="3C848090" w14:textId="77777777" w:rsidR="001E4CF2" w:rsidRPr="00EC57FB" w:rsidRDefault="001E4CF2">
            <w:pPr>
              <w:pStyle w:val="TableText0"/>
              <w:jc w:val="center"/>
              <w:rPr>
                <w:b/>
                <w:bCs w:val="0"/>
              </w:rPr>
            </w:pPr>
            <w:r w:rsidRPr="00EC57FB">
              <w:rPr>
                <w:b/>
                <w:bCs w:val="0"/>
              </w:rPr>
              <w:t>No immunisation</w:t>
            </w:r>
          </w:p>
        </w:tc>
        <w:tc>
          <w:tcPr>
            <w:tcW w:w="2257" w:type="dxa"/>
            <w:vAlign w:val="center"/>
          </w:tcPr>
          <w:p w14:paraId="4244EE4D" w14:textId="77777777" w:rsidR="001E4CF2" w:rsidRPr="00EC57FB" w:rsidRDefault="001E4CF2">
            <w:pPr>
              <w:pStyle w:val="TableText0"/>
              <w:jc w:val="center"/>
              <w:rPr>
                <w:b/>
                <w:bCs w:val="0"/>
              </w:rPr>
            </w:pPr>
            <w:r w:rsidRPr="00EC57FB">
              <w:rPr>
                <w:b/>
                <w:bCs w:val="0"/>
              </w:rPr>
              <w:t>Increment</w:t>
            </w:r>
          </w:p>
        </w:tc>
      </w:tr>
      <w:tr w:rsidR="003C0A39" w:rsidRPr="00EC57FB" w14:paraId="3F027043" w14:textId="77777777" w:rsidTr="00CB545A">
        <w:tc>
          <w:tcPr>
            <w:tcW w:w="2254" w:type="dxa"/>
          </w:tcPr>
          <w:p w14:paraId="58AEC7C6" w14:textId="73809632" w:rsidR="003C0A39" w:rsidRPr="00EC57FB" w:rsidRDefault="00B84CBE" w:rsidP="003C0A39">
            <w:pPr>
              <w:pStyle w:val="TableText0"/>
            </w:pPr>
            <w:r w:rsidRPr="00EC57FB">
              <w:t xml:space="preserve">Drug </w:t>
            </w:r>
            <w:r w:rsidR="003C0A39" w:rsidRPr="00EC57FB">
              <w:t>costs</w:t>
            </w:r>
          </w:p>
        </w:tc>
        <w:tc>
          <w:tcPr>
            <w:tcW w:w="2253" w:type="dxa"/>
            <w:vAlign w:val="center"/>
          </w:tcPr>
          <w:p w14:paraId="4432D9E9" w14:textId="206F476B" w:rsidR="003C0A39" w:rsidRPr="00EC57FB" w:rsidRDefault="003C0A39" w:rsidP="003C0A39">
            <w:pPr>
              <w:pStyle w:val="TableText0"/>
              <w:jc w:val="center"/>
            </w:pPr>
            <w:r w:rsidRPr="00EC57FB">
              <w:t>$</w:t>
            </w:r>
            <w:r w:rsidR="000641E5" w:rsidRPr="000641E5">
              <w:rPr>
                <w:color w:val="000000"/>
                <w:spacing w:val="52"/>
                <w:shd w:val="solid" w:color="000000" w:fill="000000"/>
                <w:fitText w:val="327" w:id="-662982648"/>
                <w14:textFill>
                  <w14:solidFill>
                    <w14:srgbClr w14:val="000000">
                      <w14:alpha w14:val="100000"/>
                    </w14:srgbClr>
                  </w14:solidFill>
                </w14:textFill>
              </w:rPr>
              <w:t>|||</w:t>
            </w:r>
            <w:r w:rsidR="000641E5" w:rsidRPr="000641E5">
              <w:rPr>
                <w:color w:val="000000"/>
                <w:spacing w:val="1"/>
                <w:shd w:val="solid" w:color="000000" w:fill="000000"/>
                <w:fitText w:val="327" w:id="-662982648"/>
                <w14:textFill>
                  <w14:solidFill>
                    <w14:srgbClr w14:val="000000">
                      <w14:alpha w14:val="100000"/>
                    </w14:srgbClr>
                  </w14:solidFill>
                </w14:textFill>
              </w:rPr>
              <w:t>|</w:t>
            </w:r>
          </w:p>
        </w:tc>
        <w:tc>
          <w:tcPr>
            <w:tcW w:w="2253" w:type="dxa"/>
            <w:vAlign w:val="center"/>
          </w:tcPr>
          <w:p w14:paraId="6DDE9775" w14:textId="4B11C0E9" w:rsidR="003C0A39" w:rsidRPr="007805AA" w:rsidRDefault="003C0A39" w:rsidP="003C0A39">
            <w:pPr>
              <w:pStyle w:val="TableText0"/>
              <w:jc w:val="center"/>
            </w:pPr>
            <w:r w:rsidRPr="007805AA">
              <w:t>$0</w:t>
            </w:r>
          </w:p>
        </w:tc>
        <w:tc>
          <w:tcPr>
            <w:tcW w:w="2257" w:type="dxa"/>
            <w:vAlign w:val="center"/>
          </w:tcPr>
          <w:p w14:paraId="0F655F37" w14:textId="0B1EC148" w:rsidR="003C0A39" w:rsidRPr="00EC57FB" w:rsidRDefault="003C0A39" w:rsidP="003C0A39">
            <w:pPr>
              <w:pStyle w:val="TableText0"/>
              <w:jc w:val="center"/>
            </w:pPr>
            <w:r w:rsidRPr="00EC57FB">
              <w:t>$</w:t>
            </w:r>
            <w:r w:rsidR="000641E5" w:rsidRPr="000641E5">
              <w:rPr>
                <w:color w:val="000000"/>
                <w:spacing w:val="52"/>
                <w:shd w:val="solid" w:color="000000" w:fill="000000"/>
                <w:fitText w:val="327" w:id="-662982647"/>
                <w14:textFill>
                  <w14:solidFill>
                    <w14:srgbClr w14:val="000000">
                      <w14:alpha w14:val="100000"/>
                    </w14:srgbClr>
                  </w14:solidFill>
                </w14:textFill>
              </w:rPr>
              <w:t>|||</w:t>
            </w:r>
            <w:r w:rsidR="000641E5" w:rsidRPr="000641E5">
              <w:rPr>
                <w:color w:val="000000"/>
                <w:spacing w:val="1"/>
                <w:shd w:val="solid" w:color="000000" w:fill="000000"/>
                <w:fitText w:val="327" w:id="-662982647"/>
                <w14:textFill>
                  <w14:solidFill>
                    <w14:srgbClr w14:val="000000">
                      <w14:alpha w14:val="100000"/>
                    </w14:srgbClr>
                  </w14:solidFill>
                </w14:textFill>
              </w:rPr>
              <w:t>|</w:t>
            </w:r>
          </w:p>
        </w:tc>
      </w:tr>
      <w:tr w:rsidR="003C0A39" w:rsidRPr="00EC57FB" w14:paraId="75B7B5FE" w14:textId="77777777" w:rsidTr="00CB545A">
        <w:tc>
          <w:tcPr>
            <w:tcW w:w="2254" w:type="dxa"/>
          </w:tcPr>
          <w:p w14:paraId="692EB92A" w14:textId="61943470" w:rsidR="003C0A39" w:rsidRPr="00EC57FB" w:rsidRDefault="003C0A39" w:rsidP="003C0A39">
            <w:pPr>
              <w:pStyle w:val="TableText0"/>
            </w:pPr>
            <w:r w:rsidRPr="00EC57FB">
              <w:t>Hospitalisation, ICU, ED, primary care costs</w:t>
            </w:r>
          </w:p>
        </w:tc>
        <w:tc>
          <w:tcPr>
            <w:tcW w:w="2253" w:type="dxa"/>
            <w:vAlign w:val="center"/>
          </w:tcPr>
          <w:p w14:paraId="40827D8A" w14:textId="0DAC8DE0" w:rsidR="003C0A39" w:rsidRPr="007805AA" w:rsidRDefault="003C0A39" w:rsidP="003C0A39">
            <w:pPr>
              <w:pStyle w:val="TableText0"/>
              <w:jc w:val="center"/>
            </w:pPr>
            <w:r w:rsidRPr="007805AA">
              <w:t>$70,529,782</w:t>
            </w:r>
          </w:p>
        </w:tc>
        <w:tc>
          <w:tcPr>
            <w:tcW w:w="2253" w:type="dxa"/>
            <w:vAlign w:val="center"/>
          </w:tcPr>
          <w:p w14:paraId="6916E595" w14:textId="2FCB850C" w:rsidR="003C0A39" w:rsidRPr="007805AA" w:rsidRDefault="003C0A39" w:rsidP="003C0A39">
            <w:pPr>
              <w:pStyle w:val="TableText0"/>
              <w:jc w:val="center"/>
            </w:pPr>
            <w:r w:rsidRPr="007805AA">
              <w:t>$173,203,825</w:t>
            </w:r>
          </w:p>
        </w:tc>
        <w:tc>
          <w:tcPr>
            <w:tcW w:w="2257" w:type="dxa"/>
            <w:vAlign w:val="center"/>
          </w:tcPr>
          <w:p w14:paraId="2E7265CA" w14:textId="2DBBD974" w:rsidR="003C0A39" w:rsidRPr="007805AA" w:rsidRDefault="003C0A39" w:rsidP="003C0A39">
            <w:pPr>
              <w:pStyle w:val="TableText0"/>
              <w:jc w:val="center"/>
            </w:pPr>
            <w:r w:rsidRPr="007805AA">
              <w:t>–$102,674,043</w:t>
            </w:r>
          </w:p>
        </w:tc>
      </w:tr>
      <w:tr w:rsidR="003C0A39" w:rsidRPr="00EC57FB" w14:paraId="5224D25A" w14:textId="77777777" w:rsidTr="00CB545A">
        <w:tc>
          <w:tcPr>
            <w:tcW w:w="2254" w:type="dxa"/>
          </w:tcPr>
          <w:p w14:paraId="16B8AFD3" w14:textId="1A92048B" w:rsidR="003C0A39" w:rsidRPr="00EC57FB" w:rsidRDefault="003C0A39" w:rsidP="003C0A39">
            <w:pPr>
              <w:pStyle w:val="TableText0"/>
            </w:pPr>
            <w:r w:rsidRPr="00EC57FB">
              <w:t>Asthma/wheezing costs</w:t>
            </w:r>
          </w:p>
        </w:tc>
        <w:tc>
          <w:tcPr>
            <w:tcW w:w="2253" w:type="dxa"/>
            <w:vAlign w:val="center"/>
          </w:tcPr>
          <w:p w14:paraId="463DF2D7" w14:textId="6EC51452" w:rsidR="003C0A39" w:rsidRPr="007805AA" w:rsidRDefault="003C0A39" w:rsidP="003C0A39">
            <w:pPr>
              <w:pStyle w:val="TableText0"/>
              <w:jc w:val="center"/>
            </w:pPr>
            <w:r w:rsidRPr="007805AA">
              <w:t>$997,586</w:t>
            </w:r>
          </w:p>
        </w:tc>
        <w:tc>
          <w:tcPr>
            <w:tcW w:w="2253" w:type="dxa"/>
            <w:vAlign w:val="center"/>
          </w:tcPr>
          <w:p w14:paraId="5199FCFE" w14:textId="19A9871A" w:rsidR="003C0A39" w:rsidRPr="007805AA" w:rsidRDefault="003C0A39" w:rsidP="003C0A39">
            <w:pPr>
              <w:pStyle w:val="TableText0"/>
              <w:jc w:val="center"/>
            </w:pPr>
            <w:r w:rsidRPr="007805AA">
              <w:t>$2,794,468</w:t>
            </w:r>
          </w:p>
        </w:tc>
        <w:tc>
          <w:tcPr>
            <w:tcW w:w="2257" w:type="dxa"/>
            <w:vAlign w:val="center"/>
          </w:tcPr>
          <w:p w14:paraId="1B8B82C7" w14:textId="17B0A6EC" w:rsidR="003C0A39" w:rsidRPr="007805AA" w:rsidRDefault="003C0A39" w:rsidP="003C0A39">
            <w:pPr>
              <w:pStyle w:val="TableText0"/>
              <w:jc w:val="center"/>
            </w:pPr>
            <w:r w:rsidRPr="007805AA">
              <w:t>–$1,796,882</w:t>
            </w:r>
          </w:p>
        </w:tc>
      </w:tr>
      <w:tr w:rsidR="001E4CF2" w:rsidRPr="00EC57FB" w14:paraId="6A7A7A5C" w14:textId="77777777" w:rsidTr="003C0A39">
        <w:tc>
          <w:tcPr>
            <w:tcW w:w="2254" w:type="dxa"/>
          </w:tcPr>
          <w:p w14:paraId="106C2848" w14:textId="77777777" w:rsidR="001E4CF2" w:rsidRPr="00EC57FB" w:rsidRDefault="001E4CF2">
            <w:pPr>
              <w:pStyle w:val="TableText0"/>
              <w:rPr>
                <w:iCs/>
              </w:rPr>
            </w:pPr>
            <w:r w:rsidRPr="00EC57FB">
              <w:rPr>
                <w:iCs/>
              </w:rPr>
              <w:t>Total costs</w:t>
            </w:r>
          </w:p>
        </w:tc>
        <w:tc>
          <w:tcPr>
            <w:tcW w:w="2253" w:type="dxa"/>
            <w:vAlign w:val="center"/>
          </w:tcPr>
          <w:p w14:paraId="2051FAC5" w14:textId="03CA7A4D" w:rsidR="001E4CF2" w:rsidRPr="00EC57FB" w:rsidRDefault="001E4CF2" w:rsidP="003C0A39">
            <w:pPr>
              <w:pStyle w:val="TableText0"/>
              <w:jc w:val="center"/>
              <w:rPr>
                <w:iCs/>
              </w:rPr>
            </w:pPr>
            <w:r w:rsidRPr="00EC57FB">
              <w:rPr>
                <w:iCs/>
              </w:rPr>
              <w:t>$</w:t>
            </w:r>
            <w:r w:rsidR="000641E5" w:rsidRPr="000641E5">
              <w:rPr>
                <w:iCs/>
                <w:color w:val="000000"/>
                <w:spacing w:val="52"/>
                <w:shd w:val="solid" w:color="000000" w:fill="000000"/>
                <w:fitText w:val="327" w:id="-662982646"/>
                <w14:textFill>
                  <w14:solidFill>
                    <w14:srgbClr w14:val="000000">
                      <w14:alpha w14:val="100000"/>
                    </w14:srgbClr>
                  </w14:solidFill>
                </w14:textFill>
              </w:rPr>
              <w:t>|||</w:t>
            </w:r>
            <w:r w:rsidR="000641E5" w:rsidRPr="000641E5">
              <w:rPr>
                <w:iCs/>
                <w:color w:val="000000"/>
                <w:spacing w:val="1"/>
                <w:shd w:val="solid" w:color="000000" w:fill="000000"/>
                <w:fitText w:val="327" w:id="-662982646"/>
                <w14:textFill>
                  <w14:solidFill>
                    <w14:srgbClr w14:val="000000">
                      <w14:alpha w14:val="100000"/>
                    </w14:srgbClr>
                  </w14:solidFill>
                </w14:textFill>
              </w:rPr>
              <w:t>|</w:t>
            </w:r>
          </w:p>
        </w:tc>
        <w:tc>
          <w:tcPr>
            <w:tcW w:w="2253" w:type="dxa"/>
            <w:vAlign w:val="center"/>
          </w:tcPr>
          <w:p w14:paraId="040E1C48" w14:textId="77777777" w:rsidR="001E4CF2" w:rsidRPr="007805AA" w:rsidRDefault="001E4CF2" w:rsidP="003C0A39">
            <w:pPr>
              <w:pStyle w:val="TableText0"/>
              <w:jc w:val="center"/>
              <w:rPr>
                <w:iCs/>
              </w:rPr>
            </w:pPr>
            <w:r w:rsidRPr="007805AA">
              <w:rPr>
                <w:iCs/>
              </w:rPr>
              <w:t>$175,998,293</w:t>
            </w:r>
          </w:p>
        </w:tc>
        <w:tc>
          <w:tcPr>
            <w:tcW w:w="2257" w:type="dxa"/>
            <w:vAlign w:val="center"/>
          </w:tcPr>
          <w:p w14:paraId="2C5F98ED" w14:textId="27465BBB" w:rsidR="001E4CF2" w:rsidRPr="00EC57FB" w:rsidRDefault="001E4CF2" w:rsidP="003C0A39">
            <w:pPr>
              <w:pStyle w:val="TableText0"/>
              <w:jc w:val="center"/>
              <w:rPr>
                <w:iCs/>
              </w:rPr>
            </w:pPr>
            <w:r w:rsidRPr="00EC57FB">
              <w:rPr>
                <w:iCs/>
              </w:rPr>
              <w:t>$</w:t>
            </w:r>
            <w:r w:rsidR="000641E5" w:rsidRPr="000641E5">
              <w:rPr>
                <w:iCs/>
                <w:color w:val="000000"/>
                <w:spacing w:val="52"/>
                <w:shd w:val="solid" w:color="000000" w:fill="000000"/>
                <w:fitText w:val="327" w:id="-662982645"/>
                <w14:textFill>
                  <w14:solidFill>
                    <w14:srgbClr w14:val="000000">
                      <w14:alpha w14:val="100000"/>
                    </w14:srgbClr>
                  </w14:solidFill>
                </w14:textFill>
              </w:rPr>
              <w:t>|||</w:t>
            </w:r>
            <w:r w:rsidR="000641E5" w:rsidRPr="000641E5">
              <w:rPr>
                <w:iCs/>
                <w:color w:val="000000"/>
                <w:spacing w:val="1"/>
                <w:shd w:val="solid" w:color="000000" w:fill="000000"/>
                <w:fitText w:val="327" w:id="-662982645"/>
                <w14:textFill>
                  <w14:solidFill>
                    <w14:srgbClr w14:val="000000">
                      <w14:alpha w14:val="100000"/>
                    </w14:srgbClr>
                  </w14:solidFill>
                </w14:textFill>
              </w:rPr>
              <w:t>|</w:t>
            </w:r>
          </w:p>
        </w:tc>
      </w:tr>
      <w:tr w:rsidR="001E4CF2" w:rsidRPr="00EC57FB" w14:paraId="2B5E2063" w14:textId="77777777" w:rsidTr="00AB62F9">
        <w:tc>
          <w:tcPr>
            <w:tcW w:w="2254" w:type="dxa"/>
          </w:tcPr>
          <w:p w14:paraId="77B51973" w14:textId="77777777" w:rsidR="001E4CF2" w:rsidRPr="00EC57FB" w:rsidRDefault="001E4CF2">
            <w:pPr>
              <w:pStyle w:val="TableText0"/>
            </w:pPr>
            <w:r w:rsidRPr="00EC57FB">
              <w:t>QALYs</w:t>
            </w:r>
          </w:p>
        </w:tc>
        <w:tc>
          <w:tcPr>
            <w:tcW w:w="2253" w:type="dxa"/>
            <w:vAlign w:val="center"/>
          </w:tcPr>
          <w:p w14:paraId="799E3E8B" w14:textId="77777777" w:rsidR="001E4CF2" w:rsidRPr="00EC57FB" w:rsidRDefault="001E4CF2">
            <w:pPr>
              <w:pStyle w:val="TableText0"/>
              <w:jc w:val="center"/>
            </w:pPr>
            <w:r w:rsidRPr="00EC57FB">
              <w:t>5,985,393</w:t>
            </w:r>
          </w:p>
        </w:tc>
        <w:tc>
          <w:tcPr>
            <w:tcW w:w="2253" w:type="dxa"/>
            <w:vAlign w:val="center"/>
          </w:tcPr>
          <w:p w14:paraId="46D25EBF" w14:textId="77777777" w:rsidR="001E4CF2" w:rsidRPr="007805AA" w:rsidRDefault="001E4CF2">
            <w:pPr>
              <w:pStyle w:val="TableText0"/>
              <w:jc w:val="center"/>
            </w:pPr>
            <w:r w:rsidRPr="007805AA">
              <w:t>5,984,715</w:t>
            </w:r>
          </w:p>
        </w:tc>
        <w:tc>
          <w:tcPr>
            <w:tcW w:w="2257" w:type="dxa"/>
            <w:vAlign w:val="center"/>
          </w:tcPr>
          <w:p w14:paraId="0F898FCB" w14:textId="77777777" w:rsidR="001E4CF2" w:rsidRPr="00EC57FB" w:rsidRDefault="001E4CF2">
            <w:pPr>
              <w:pStyle w:val="TableText0"/>
              <w:jc w:val="center"/>
            </w:pPr>
            <w:r w:rsidRPr="00EC57FB">
              <w:t>678.75</w:t>
            </w:r>
          </w:p>
        </w:tc>
      </w:tr>
      <w:tr w:rsidR="001E4CF2" w:rsidRPr="00EC57FB" w14:paraId="4D925509" w14:textId="77777777" w:rsidTr="00AB62F9">
        <w:tc>
          <w:tcPr>
            <w:tcW w:w="6760" w:type="dxa"/>
            <w:gridSpan w:val="3"/>
            <w:vAlign w:val="center"/>
          </w:tcPr>
          <w:p w14:paraId="550D2DEF" w14:textId="77777777" w:rsidR="001E4CF2" w:rsidRPr="007805AA" w:rsidRDefault="001E4CF2">
            <w:pPr>
              <w:pStyle w:val="TableText0"/>
              <w:rPr>
                <w:b/>
                <w:bCs w:val="0"/>
              </w:rPr>
            </w:pPr>
            <w:r w:rsidRPr="007805AA">
              <w:rPr>
                <w:b/>
                <w:bCs w:val="0"/>
              </w:rPr>
              <w:t>Incremental cost per additional QALY gained</w:t>
            </w:r>
          </w:p>
        </w:tc>
        <w:tc>
          <w:tcPr>
            <w:tcW w:w="2257" w:type="dxa"/>
            <w:vAlign w:val="center"/>
          </w:tcPr>
          <w:p w14:paraId="75A81DF6" w14:textId="4ADCADEA" w:rsidR="001E4CF2" w:rsidRPr="00285112" w:rsidRDefault="001E4CF2">
            <w:pPr>
              <w:pStyle w:val="TableText0"/>
              <w:jc w:val="center"/>
              <w:rPr>
                <w:b/>
                <w:bCs w:val="0"/>
                <w:vertAlign w:val="superscript"/>
              </w:rPr>
            </w:pPr>
            <w:r w:rsidRPr="00EC57FB">
              <w:rPr>
                <w:b/>
                <w:bCs w:val="0"/>
              </w:rPr>
              <w:t>$</w:t>
            </w:r>
            <w:r w:rsidR="000641E5" w:rsidRPr="000641E5">
              <w:rPr>
                <w:b/>
                <w:bCs w:val="0"/>
                <w:color w:val="000000"/>
                <w:spacing w:val="58"/>
                <w:shd w:val="solid" w:color="000000" w:fill="000000"/>
                <w:fitText w:val="360" w:id="-662982644"/>
                <w14:textFill>
                  <w14:solidFill>
                    <w14:srgbClr w14:val="000000">
                      <w14:alpha w14:val="100000"/>
                    </w14:srgbClr>
                  </w14:solidFill>
                </w14:textFill>
              </w:rPr>
              <w:t>|||</w:t>
            </w:r>
            <w:r w:rsidR="000641E5" w:rsidRPr="000641E5">
              <w:rPr>
                <w:b/>
                <w:bCs w:val="0"/>
                <w:color w:val="000000"/>
                <w:spacing w:val="3"/>
                <w:shd w:val="solid" w:color="000000" w:fill="000000"/>
                <w:fitText w:val="360" w:id="-662982644"/>
                <w14:textFill>
                  <w14:solidFill>
                    <w14:srgbClr w14:val="000000">
                      <w14:alpha w14:val="100000"/>
                    </w14:srgbClr>
                  </w14:solidFill>
                </w14:textFill>
              </w:rPr>
              <w:t>|</w:t>
            </w:r>
            <w:r w:rsidR="00285112">
              <w:rPr>
                <w:b/>
                <w:bCs w:val="0"/>
              </w:rPr>
              <w:t xml:space="preserve"> </w:t>
            </w:r>
            <w:r w:rsidR="00285112">
              <w:rPr>
                <w:b/>
                <w:bCs w:val="0"/>
                <w:vertAlign w:val="superscript"/>
              </w:rPr>
              <w:t>1</w:t>
            </w:r>
          </w:p>
        </w:tc>
      </w:tr>
      <w:tr w:rsidR="006F26E4" w:rsidRPr="00EC57FB" w14:paraId="16C5C011" w14:textId="77777777" w:rsidTr="00AB62F9">
        <w:tc>
          <w:tcPr>
            <w:tcW w:w="6760" w:type="dxa"/>
            <w:gridSpan w:val="3"/>
            <w:shd w:val="clear" w:color="auto" w:fill="B8CCE4"/>
          </w:tcPr>
          <w:p w14:paraId="611EFC73" w14:textId="77777777" w:rsidR="006F26E4" w:rsidRPr="007805AA" w:rsidRDefault="006F26E4">
            <w:pPr>
              <w:pStyle w:val="TableText0"/>
              <w:rPr>
                <w:b/>
                <w:bCs w:val="0"/>
              </w:rPr>
            </w:pPr>
            <w:r w:rsidRPr="007805AA">
              <w:rPr>
                <w:b/>
                <w:bCs w:val="0"/>
              </w:rPr>
              <w:t>Previous consideration</w:t>
            </w:r>
          </w:p>
        </w:tc>
        <w:tc>
          <w:tcPr>
            <w:tcW w:w="2257" w:type="dxa"/>
            <w:shd w:val="clear" w:color="auto" w:fill="B8CCE4"/>
          </w:tcPr>
          <w:p w14:paraId="7CC7C461" w14:textId="77777777" w:rsidR="006F26E4" w:rsidRPr="00EC57FB" w:rsidRDefault="006F26E4">
            <w:pPr>
              <w:pStyle w:val="TableText0"/>
              <w:jc w:val="center"/>
              <w:rPr>
                <w:b/>
                <w:bCs w:val="0"/>
              </w:rPr>
            </w:pPr>
          </w:p>
        </w:tc>
      </w:tr>
      <w:tr w:rsidR="003276AC" w:rsidRPr="00EC57FB" w14:paraId="35B87A78" w14:textId="77777777" w:rsidTr="00AB62F9">
        <w:tc>
          <w:tcPr>
            <w:tcW w:w="2254" w:type="dxa"/>
            <w:shd w:val="clear" w:color="auto" w:fill="B8CCE4"/>
          </w:tcPr>
          <w:p w14:paraId="3F7D16C6" w14:textId="77777777" w:rsidR="00AC5694" w:rsidRPr="00EC57FB" w:rsidRDefault="00AC5694" w:rsidP="00AC5694">
            <w:pPr>
              <w:pStyle w:val="TableText0"/>
            </w:pPr>
            <w:r w:rsidRPr="00EC57FB">
              <w:t>Total costs</w:t>
            </w:r>
          </w:p>
        </w:tc>
        <w:tc>
          <w:tcPr>
            <w:tcW w:w="2253" w:type="dxa"/>
            <w:shd w:val="clear" w:color="auto" w:fill="B8CCE4"/>
            <w:vAlign w:val="center"/>
          </w:tcPr>
          <w:p w14:paraId="3CDF796E" w14:textId="6CB25D86" w:rsidR="00AC5694" w:rsidRPr="00EC57FB" w:rsidRDefault="00AC5694" w:rsidP="00AC5694">
            <w:pPr>
              <w:pStyle w:val="TableText0"/>
              <w:jc w:val="center"/>
            </w:pPr>
            <w:r w:rsidRPr="00EC57FB">
              <w:rPr>
                <w:rFonts w:cs="Calibri"/>
                <w:color w:val="000000"/>
                <w:szCs w:val="20"/>
              </w:rPr>
              <w:t>$</w:t>
            </w:r>
            <w:r w:rsidR="000641E5" w:rsidRPr="000641E5">
              <w:rPr>
                <w:rFonts w:cs="Calibri"/>
                <w:color w:val="000000"/>
                <w:spacing w:val="52"/>
                <w:szCs w:val="20"/>
                <w:shd w:val="solid" w:color="000000" w:fill="000000"/>
                <w:fitText w:val="327" w:id="-662982643"/>
                <w14:textFill>
                  <w14:solidFill>
                    <w14:srgbClr w14:val="000000">
                      <w14:alpha w14:val="100000"/>
                    </w14:srgbClr>
                  </w14:solidFill>
                </w14:textFill>
              </w:rPr>
              <w:t>|||</w:t>
            </w:r>
            <w:r w:rsidR="000641E5" w:rsidRPr="000641E5">
              <w:rPr>
                <w:rFonts w:cs="Calibri"/>
                <w:color w:val="000000"/>
                <w:spacing w:val="1"/>
                <w:szCs w:val="20"/>
                <w:shd w:val="solid" w:color="000000" w:fill="000000"/>
                <w:fitText w:val="327" w:id="-662982643"/>
                <w14:textFill>
                  <w14:solidFill>
                    <w14:srgbClr w14:val="000000">
                      <w14:alpha w14:val="100000"/>
                    </w14:srgbClr>
                  </w14:solidFill>
                </w14:textFill>
              </w:rPr>
              <w:t>|</w:t>
            </w:r>
          </w:p>
        </w:tc>
        <w:tc>
          <w:tcPr>
            <w:tcW w:w="2253" w:type="dxa"/>
            <w:shd w:val="clear" w:color="auto" w:fill="B8CCE4"/>
            <w:vAlign w:val="center"/>
          </w:tcPr>
          <w:p w14:paraId="64424015" w14:textId="38F26E01" w:rsidR="00AC5694" w:rsidRPr="007805AA" w:rsidRDefault="00AC5694" w:rsidP="00AC5694">
            <w:pPr>
              <w:pStyle w:val="TableText0"/>
              <w:jc w:val="center"/>
            </w:pPr>
            <w:r w:rsidRPr="007805AA">
              <w:rPr>
                <w:rFonts w:cs="Calibri"/>
                <w:color w:val="000000"/>
                <w:szCs w:val="20"/>
              </w:rPr>
              <w:t>$197,583,304</w:t>
            </w:r>
          </w:p>
        </w:tc>
        <w:tc>
          <w:tcPr>
            <w:tcW w:w="2257" w:type="dxa"/>
            <w:shd w:val="clear" w:color="auto" w:fill="B8CCE4"/>
            <w:vAlign w:val="center"/>
          </w:tcPr>
          <w:p w14:paraId="5CA15EA3" w14:textId="6463033C" w:rsidR="00AC5694" w:rsidRPr="00EC57FB" w:rsidRDefault="005E1EEB" w:rsidP="00AC5694">
            <w:pPr>
              <w:pStyle w:val="TableText0"/>
              <w:jc w:val="center"/>
            </w:pPr>
            <w:r w:rsidRPr="00EC57FB">
              <w:rPr>
                <w:rFonts w:cs="Calibri"/>
                <w:color w:val="000000"/>
                <w:szCs w:val="20"/>
              </w:rPr>
              <w:t>$</w:t>
            </w:r>
            <w:r w:rsidR="000641E5" w:rsidRPr="000641E5">
              <w:rPr>
                <w:rFonts w:cs="Calibri"/>
                <w:color w:val="000000"/>
                <w:spacing w:val="52"/>
                <w:szCs w:val="20"/>
                <w:shd w:val="solid" w:color="000000" w:fill="000000"/>
                <w:fitText w:val="327" w:id="-662982642"/>
                <w14:textFill>
                  <w14:solidFill>
                    <w14:srgbClr w14:val="000000">
                      <w14:alpha w14:val="100000"/>
                    </w14:srgbClr>
                  </w14:solidFill>
                </w14:textFill>
              </w:rPr>
              <w:t>|||</w:t>
            </w:r>
            <w:r w:rsidR="000641E5" w:rsidRPr="000641E5">
              <w:rPr>
                <w:rFonts w:cs="Calibri"/>
                <w:color w:val="000000"/>
                <w:spacing w:val="1"/>
                <w:szCs w:val="20"/>
                <w:shd w:val="solid" w:color="000000" w:fill="000000"/>
                <w:fitText w:val="327" w:id="-662982642"/>
                <w14:textFill>
                  <w14:solidFill>
                    <w14:srgbClr w14:val="000000">
                      <w14:alpha w14:val="100000"/>
                    </w14:srgbClr>
                  </w14:solidFill>
                </w14:textFill>
              </w:rPr>
              <w:t>|</w:t>
            </w:r>
          </w:p>
        </w:tc>
      </w:tr>
      <w:tr w:rsidR="003276AC" w:rsidRPr="00EC57FB" w14:paraId="0C676553" w14:textId="77777777" w:rsidTr="00AB62F9">
        <w:tc>
          <w:tcPr>
            <w:tcW w:w="2254" w:type="dxa"/>
            <w:shd w:val="clear" w:color="auto" w:fill="B8CCE4"/>
          </w:tcPr>
          <w:p w14:paraId="23D95902" w14:textId="77777777" w:rsidR="00BB5C53" w:rsidRPr="00EC57FB" w:rsidRDefault="00BB5C53" w:rsidP="00BB5C53">
            <w:pPr>
              <w:pStyle w:val="TableText0"/>
            </w:pPr>
            <w:r w:rsidRPr="00EC57FB">
              <w:t>QALYs</w:t>
            </w:r>
          </w:p>
        </w:tc>
        <w:tc>
          <w:tcPr>
            <w:tcW w:w="2253" w:type="dxa"/>
            <w:shd w:val="clear" w:color="auto" w:fill="B8CCE4"/>
            <w:vAlign w:val="center"/>
          </w:tcPr>
          <w:p w14:paraId="64387891" w14:textId="79DB38E1" w:rsidR="00BB5C53" w:rsidRPr="00EC57FB" w:rsidRDefault="00BB5C53" w:rsidP="00BB5C53">
            <w:pPr>
              <w:pStyle w:val="TableText0"/>
              <w:jc w:val="center"/>
            </w:pPr>
            <w:r w:rsidRPr="00EC57FB">
              <w:rPr>
                <w:rFonts w:cs="Calibri"/>
                <w:color w:val="000000"/>
                <w:szCs w:val="20"/>
              </w:rPr>
              <w:t>5,985,217</w:t>
            </w:r>
          </w:p>
        </w:tc>
        <w:tc>
          <w:tcPr>
            <w:tcW w:w="2253" w:type="dxa"/>
            <w:shd w:val="clear" w:color="auto" w:fill="B8CCE4"/>
            <w:vAlign w:val="center"/>
          </w:tcPr>
          <w:p w14:paraId="65764085" w14:textId="62DD9864" w:rsidR="00BB5C53" w:rsidRPr="00EC57FB" w:rsidRDefault="00BB5C53" w:rsidP="00BB5C53">
            <w:pPr>
              <w:pStyle w:val="TableText0"/>
              <w:jc w:val="center"/>
            </w:pPr>
            <w:r w:rsidRPr="00EC57FB">
              <w:rPr>
                <w:rFonts w:cs="Calibri"/>
                <w:color w:val="000000"/>
                <w:szCs w:val="20"/>
              </w:rPr>
              <w:t>5,984,282</w:t>
            </w:r>
          </w:p>
        </w:tc>
        <w:tc>
          <w:tcPr>
            <w:tcW w:w="2257" w:type="dxa"/>
            <w:shd w:val="clear" w:color="auto" w:fill="B8CCE4"/>
            <w:vAlign w:val="center"/>
          </w:tcPr>
          <w:p w14:paraId="04961319" w14:textId="070B1B46" w:rsidR="00BB5C53" w:rsidRPr="00EC57FB" w:rsidRDefault="00BB5C53" w:rsidP="00BB5C53">
            <w:pPr>
              <w:pStyle w:val="TableText0"/>
              <w:jc w:val="center"/>
            </w:pPr>
            <w:r w:rsidRPr="00EC57FB">
              <w:t>936</w:t>
            </w:r>
          </w:p>
        </w:tc>
      </w:tr>
      <w:tr w:rsidR="00BB5C53" w:rsidRPr="00EC57FB" w14:paraId="042901B0" w14:textId="77777777" w:rsidTr="00AB62F9">
        <w:tc>
          <w:tcPr>
            <w:tcW w:w="6760" w:type="dxa"/>
            <w:gridSpan w:val="3"/>
            <w:shd w:val="clear" w:color="auto" w:fill="B8CCE4"/>
          </w:tcPr>
          <w:p w14:paraId="3B660559" w14:textId="77777777" w:rsidR="00BB5C53" w:rsidRPr="00EC57FB" w:rsidRDefault="00BB5C53" w:rsidP="00BB5C53">
            <w:pPr>
              <w:pStyle w:val="TableText0"/>
              <w:rPr>
                <w:b/>
                <w:bCs w:val="0"/>
              </w:rPr>
            </w:pPr>
            <w:r w:rsidRPr="00EC57FB">
              <w:rPr>
                <w:b/>
                <w:bCs w:val="0"/>
              </w:rPr>
              <w:t>Incremental cost per additional QALY gained</w:t>
            </w:r>
          </w:p>
        </w:tc>
        <w:tc>
          <w:tcPr>
            <w:tcW w:w="2257" w:type="dxa"/>
            <w:shd w:val="clear" w:color="auto" w:fill="B8CCE4"/>
          </w:tcPr>
          <w:p w14:paraId="53E7F183" w14:textId="26ECA3EB" w:rsidR="00BB5C53" w:rsidRPr="00EC57FB" w:rsidRDefault="00BB5C53" w:rsidP="00BB5C53">
            <w:pPr>
              <w:pStyle w:val="TableText0"/>
              <w:jc w:val="center"/>
              <w:rPr>
                <w:b/>
                <w:bCs w:val="0"/>
              </w:rPr>
            </w:pPr>
            <w:r w:rsidRPr="00EC57FB">
              <w:rPr>
                <w:b/>
                <w:bCs w:val="0"/>
              </w:rPr>
              <w:t>$</w:t>
            </w:r>
            <w:r w:rsidR="000641E5" w:rsidRPr="00B73761">
              <w:rPr>
                <w:b/>
                <w:bCs w:val="0"/>
                <w:color w:val="000000"/>
                <w:spacing w:val="58"/>
                <w:shd w:val="solid" w:color="000000" w:fill="000000"/>
                <w:fitText w:val="360" w:id="-662982641"/>
                <w14:textFill>
                  <w14:solidFill>
                    <w14:srgbClr w14:val="000000">
                      <w14:alpha w14:val="100000"/>
                    </w14:srgbClr>
                  </w14:solidFill>
                </w14:textFill>
              </w:rPr>
              <w:t>|||</w:t>
            </w:r>
            <w:r w:rsidR="000641E5" w:rsidRPr="00B73761">
              <w:rPr>
                <w:b/>
                <w:bCs w:val="0"/>
                <w:color w:val="000000"/>
                <w:spacing w:val="3"/>
                <w:shd w:val="solid" w:color="000000" w:fill="000000"/>
                <w:fitText w:val="360" w:id="-662982641"/>
                <w14:textFill>
                  <w14:solidFill>
                    <w14:srgbClr w14:val="000000">
                      <w14:alpha w14:val="100000"/>
                    </w14:srgbClr>
                  </w14:solidFill>
                </w14:textFill>
              </w:rPr>
              <w:t>|</w:t>
            </w:r>
            <w:r w:rsidR="00285112">
              <w:rPr>
                <w:b/>
                <w:bCs w:val="0"/>
              </w:rPr>
              <w:t xml:space="preserve"> </w:t>
            </w:r>
            <w:r w:rsidR="00285112">
              <w:rPr>
                <w:b/>
                <w:bCs w:val="0"/>
                <w:vertAlign w:val="superscript"/>
              </w:rPr>
              <w:t>2</w:t>
            </w:r>
          </w:p>
        </w:tc>
      </w:tr>
    </w:tbl>
    <w:p w14:paraId="652FE4F8" w14:textId="77777777" w:rsidR="00AD5C63" w:rsidRPr="00EC57FB" w:rsidRDefault="006A0DC1" w:rsidP="006A0DC1">
      <w:pPr>
        <w:pStyle w:val="FooterTableFigure"/>
        <w:jc w:val="left"/>
      </w:pPr>
      <w:r w:rsidRPr="00EC57FB">
        <w:t>Source: Table 3.8.7 on p14</w:t>
      </w:r>
      <w:r w:rsidR="0022182D" w:rsidRPr="00EC57FB">
        <w:t>7</w:t>
      </w:r>
      <w:r w:rsidRPr="00EC57FB">
        <w:t xml:space="preserve"> of the resubmission</w:t>
      </w:r>
      <w:r w:rsidR="00FC0094" w:rsidRPr="00EC57FB">
        <w:t xml:space="preserve"> and Table 21 of the nirsevimab July 2024 PSD</w:t>
      </w:r>
    </w:p>
    <w:p w14:paraId="2BF34593" w14:textId="233566D9" w:rsidR="006A0DC1" w:rsidRDefault="00AD5C63" w:rsidP="0041318C">
      <w:pPr>
        <w:pStyle w:val="FooterTableFigure"/>
        <w:spacing w:after="0"/>
        <w:jc w:val="left"/>
      </w:pPr>
      <w:r w:rsidRPr="00EC57FB">
        <w:t>Blue shading is indicative of information previously considered by the PBAC.</w:t>
      </w:r>
      <w:r w:rsidR="006A0DC1" w:rsidRPr="00EC57FB">
        <w:br/>
        <w:t>QALY = quality-adjusted life year</w:t>
      </w:r>
    </w:p>
    <w:p w14:paraId="0A207AEA" w14:textId="77777777" w:rsidR="0041318C" w:rsidRPr="009A6D58" w:rsidRDefault="0041318C" w:rsidP="0041318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B1829D1" w14:textId="0BF2BAA8" w:rsidR="0041318C" w:rsidRPr="009A6D58" w:rsidRDefault="0041318C" w:rsidP="0041318C">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396A00" w:rsidRPr="00396A00">
        <w:rPr>
          <w:rFonts w:ascii="Arial Narrow" w:hAnsi="Arial Narrow"/>
          <w:i/>
          <w:sz w:val="18"/>
          <w:szCs w:val="18"/>
        </w:rPr>
        <w:t>$0 to &lt; $5,000</w:t>
      </w:r>
    </w:p>
    <w:p w14:paraId="50A0BF04" w14:textId="5533DBFC" w:rsidR="0041318C" w:rsidRPr="0041318C" w:rsidRDefault="0041318C" w:rsidP="0041318C">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760FAB" w:rsidRPr="00760FAB">
        <w:rPr>
          <w:rFonts w:ascii="Arial Narrow" w:hAnsi="Arial Narrow"/>
          <w:i/>
          <w:sz w:val="18"/>
          <w:szCs w:val="18"/>
        </w:rPr>
        <w:t>$5,000 to &lt; $15,000</w:t>
      </w:r>
    </w:p>
    <w:p w14:paraId="16EFC521" w14:textId="1FC69C3B" w:rsidR="00E42046" w:rsidRPr="003E3D53" w:rsidRDefault="00E273B0" w:rsidP="003E3D53">
      <w:pPr>
        <w:pStyle w:val="3-BodyText"/>
        <w:rPr>
          <w:i/>
        </w:rPr>
      </w:pPr>
      <w:r w:rsidRPr="00EC57FB">
        <w:t>Results of sensitivity analyses</w:t>
      </w:r>
      <w:r w:rsidR="00A12676" w:rsidRPr="00EC57FB">
        <w:t xml:space="preserve"> performed during the evaluation</w:t>
      </w:r>
      <w:r w:rsidR="00EA7EF2" w:rsidRPr="00EC57FB">
        <w:t xml:space="preserve"> by</w:t>
      </w:r>
      <w:r w:rsidR="00BD035B" w:rsidRPr="00EC57FB">
        <w:t xml:space="preserve"> varying key inputs to the</w:t>
      </w:r>
      <w:r w:rsidR="001673AC" w:rsidRPr="00EC57FB">
        <w:t xml:space="preserve"> revised</w:t>
      </w:r>
      <w:r w:rsidR="00BD035B" w:rsidRPr="00EC57FB">
        <w:t xml:space="preserve"> economic analysis </w:t>
      </w:r>
      <w:r w:rsidR="001673AC" w:rsidRPr="00EC57FB">
        <w:t xml:space="preserve">presented in the resubmission </w:t>
      </w:r>
      <w:r w:rsidR="00BD035B" w:rsidRPr="00EC57FB">
        <w:t xml:space="preserve">are presented in </w:t>
      </w:r>
      <w:r w:rsidR="001B66BB" w:rsidRPr="00EC57FB">
        <w:fldChar w:fldCharType="begin"/>
      </w:r>
      <w:r w:rsidR="001B66BB" w:rsidRPr="00EC57FB">
        <w:instrText xml:space="preserve"> REF _Ref187254273 \h </w:instrText>
      </w:r>
      <w:r w:rsidR="001673AC" w:rsidRPr="00EC57FB">
        <w:instrText xml:space="preserve"> \* MERGEFORMAT </w:instrText>
      </w:r>
      <w:r w:rsidR="001B66BB" w:rsidRPr="00EC57FB">
        <w:fldChar w:fldCharType="separate"/>
      </w:r>
      <w:r w:rsidR="00502C25" w:rsidRPr="00EC57FB">
        <w:t xml:space="preserve">Table </w:t>
      </w:r>
      <w:r w:rsidR="00502C25">
        <w:rPr>
          <w:noProof/>
        </w:rPr>
        <w:t>29</w:t>
      </w:r>
      <w:r w:rsidR="001B66BB" w:rsidRPr="00EC57FB">
        <w:fldChar w:fldCharType="end"/>
      </w:r>
      <w:r w:rsidR="001B66BB" w:rsidRPr="00EC57FB">
        <w:t xml:space="preserve">. </w:t>
      </w:r>
      <w:r w:rsidR="00CB545A" w:rsidRPr="00EC57FB">
        <w:t>T</w:t>
      </w:r>
      <w:r w:rsidR="00A9046E" w:rsidRPr="00EC57FB">
        <w:t xml:space="preserve">he results of the economic analysis are </w:t>
      </w:r>
      <w:r w:rsidR="007A1CDD" w:rsidRPr="00EC57FB">
        <w:t>very</w:t>
      </w:r>
      <w:r w:rsidR="00A9046E" w:rsidRPr="00EC57FB">
        <w:t xml:space="preserve"> sensitive to assumptions regarding </w:t>
      </w:r>
      <w:r w:rsidR="001E031C" w:rsidRPr="00EC57FB">
        <w:t xml:space="preserve">effectiveness of nirsevimab in reducing the incidence of MA RSV LRTI, </w:t>
      </w:r>
      <w:r w:rsidR="00792702" w:rsidRPr="00EC57FB">
        <w:t>the assumed baseline inci</w:t>
      </w:r>
      <w:r w:rsidR="004030FD" w:rsidRPr="00EC57FB">
        <w:t>dence of MA RSV LRTI</w:t>
      </w:r>
      <w:r w:rsidR="00957AE6" w:rsidRPr="00EC57FB">
        <w:t xml:space="preserve">, the baseline </w:t>
      </w:r>
      <w:r w:rsidR="004030FD" w:rsidRPr="00EC57FB">
        <w:t>incidence of hospitalisation</w:t>
      </w:r>
      <w:r w:rsidR="00957AE6" w:rsidRPr="00EC57FB">
        <w:t xml:space="preserve"> for RSV</w:t>
      </w:r>
      <w:r w:rsidR="00C41A5C" w:rsidRPr="00EC57FB">
        <w:t xml:space="preserve"> LRTI</w:t>
      </w:r>
      <w:r w:rsidR="007372A8" w:rsidRPr="00EC57FB">
        <w:t>, cost of nirsevimab,</w:t>
      </w:r>
      <w:r w:rsidR="007A1CDD" w:rsidRPr="00EC57FB">
        <w:t xml:space="preserve"> and</w:t>
      </w:r>
      <w:r w:rsidR="007372A8" w:rsidRPr="00EC57FB">
        <w:t xml:space="preserve"> costs of hospitalisation for MA </w:t>
      </w:r>
      <w:r w:rsidR="00C41A5C" w:rsidRPr="00EC57FB">
        <w:t>LRTI</w:t>
      </w:r>
      <w:r w:rsidR="007A1CDD" w:rsidRPr="00EC57FB">
        <w:t xml:space="preserve">. Results are moderately sensitive to the discount rate assumed and to the inclusion of </w:t>
      </w:r>
      <w:r w:rsidR="00384187" w:rsidRPr="00EC57FB">
        <w:t xml:space="preserve">an assumption of benefits for rates of asthma and wheezing. </w:t>
      </w:r>
      <w:r w:rsidR="00B47477" w:rsidRPr="00EC57FB">
        <w:t xml:space="preserve">A </w:t>
      </w:r>
      <w:r w:rsidR="00384187" w:rsidRPr="00EC57FB">
        <w:t>multivariate analysis</w:t>
      </w:r>
      <w:r w:rsidR="006F1274" w:rsidRPr="00EC57FB">
        <w:t xml:space="preserve"> performed</w:t>
      </w:r>
      <w:r w:rsidR="00AD2E31" w:rsidRPr="00EC57FB">
        <w:t xml:space="preserve"> during the evaluation</w:t>
      </w:r>
      <w:r w:rsidR="00B5594C" w:rsidRPr="00EC57FB">
        <w:t xml:space="preserve"> that</w:t>
      </w:r>
      <w:r w:rsidR="00384187" w:rsidRPr="00EC57FB">
        <w:t xml:space="preserve"> </w:t>
      </w:r>
      <w:r w:rsidR="009D0BBD" w:rsidRPr="00EC57FB">
        <w:t xml:space="preserve">considered the uncertainties based on ESC’s </w:t>
      </w:r>
      <w:r w:rsidR="00CB545A" w:rsidRPr="00EC57FB">
        <w:t xml:space="preserve">previous </w:t>
      </w:r>
      <w:r w:rsidR="009D0BBD" w:rsidRPr="00EC57FB">
        <w:t xml:space="preserve">advice as </w:t>
      </w:r>
      <w:r w:rsidR="00F32A5F" w:rsidRPr="00EC57FB">
        <w:t>described</w:t>
      </w:r>
      <w:r w:rsidR="009D0BBD" w:rsidRPr="00EC57FB">
        <w:t xml:space="preserve"> in paragraph 6.87 of the July 2024 </w:t>
      </w:r>
      <w:r w:rsidR="00635333" w:rsidRPr="00EC57FB">
        <w:t>PSD</w:t>
      </w:r>
      <w:r w:rsidR="009D0BBD" w:rsidRPr="00EC57FB">
        <w:t xml:space="preserve">, </w:t>
      </w:r>
      <w:r w:rsidR="00384187" w:rsidRPr="00EC57FB">
        <w:t>increase</w:t>
      </w:r>
      <w:r w:rsidR="008A1A15" w:rsidRPr="00EC57FB">
        <w:t>d</w:t>
      </w:r>
      <w:r w:rsidR="00B5594C" w:rsidRPr="00EC57FB">
        <w:t xml:space="preserve"> the ICER</w:t>
      </w:r>
      <w:r w:rsidR="00384187" w:rsidRPr="00EC57FB">
        <w:t xml:space="preserve"> from </w:t>
      </w:r>
      <w:r w:rsidR="003E3D53" w:rsidRPr="003E3D53">
        <w:rPr>
          <w:iCs/>
        </w:rPr>
        <w:t xml:space="preserve">$0 to &lt; $5,000 </w:t>
      </w:r>
      <w:r w:rsidR="00117326" w:rsidRPr="00EC57FB">
        <w:t xml:space="preserve">to </w:t>
      </w:r>
      <w:r w:rsidR="0002280F" w:rsidRPr="0002280F">
        <w:t>$155,000 to &lt; $255,000</w:t>
      </w:r>
      <w:r w:rsidR="00117326" w:rsidRPr="00EC57FB">
        <w:t xml:space="preserve"> per additional QALY gained</w:t>
      </w:r>
      <w:r w:rsidR="00D27A99" w:rsidRPr="00EC57FB">
        <w:t xml:space="preserve"> (</w:t>
      </w:r>
      <w:r w:rsidR="00D27A99" w:rsidRPr="003E3D53">
        <w:rPr>
          <w:iCs/>
        </w:rPr>
        <w:t xml:space="preserve">increasing to </w:t>
      </w:r>
      <w:r w:rsidR="0002280F" w:rsidRPr="0002280F">
        <w:t>$155,000 to &lt; $255,000</w:t>
      </w:r>
      <w:r w:rsidR="00D27A99" w:rsidRPr="003E3D53">
        <w:rPr>
          <w:iCs/>
        </w:rPr>
        <w:t>/QALY gained based on advice from the ESC)</w:t>
      </w:r>
      <w:r w:rsidR="00117326" w:rsidRPr="00EC57FB">
        <w:t>.</w:t>
      </w:r>
      <w:r w:rsidR="00635333" w:rsidRPr="00EC57FB">
        <w:t xml:space="preserve"> As </w:t>
      </w:r>
      <w:r w:rsidR="00635333" w:rsidRPr="00EC57FB">
        <w:lastRenderedPageBreak/>
        <w:t>discussed above, this is not a comprehensive list of uncertainties identified in the July</w:t>
      </w:r>
      <w:r w:rsidR="0002280F">
        <w:t> </w:t>
      </w:r>
      <w:r w:rsidR="00635333" w:rsidRPr="00EC57FB">
        <w:t>2024 PBAC consideration (see paragraph</w:t>
      </w:r>
      <w:r w:rsidR="00902435" w:rsidRPr="00EC57FB">
        <w:t xml:space="preserve"> </w:t>
      </w:r>
      <w:r w:rsidR="0085698B" w:rsidRPr="00EC57FB">
        <w:fldChar w:fldCharType="begin"/>
      </w:r>
      <w:r w:rsidR="0085698B" w:rsidRPr="00EC57FB">
        <w:instrText xml:space="preserve"> REF _Ref199277661 \r \h </w:instrText>
      </w:r>
      <w:r w:rsidR="0085698B" w:rsidRPr="00EC57FB">
        <w:fldChar w:fldCharType="separate"/>
      </w:r>
      <w:r w:rsidR="00502C25">
        <w:t>6.69</w:t>
      </w:r>
      <w:r w:rsidR="0085698B" w:rsidRPr="00EC57FB">
        <w:fldChar w:fldCharType="end"/>
      </w:r>
      <w:r w:rsidR="00635333" w:rsidRPr="00EC57FB">
        <w:t>).</w:t>
      </w:r>
    </w:p>
    <w:p w14:paraId="72607B85" w14:textId="4325EDC5" w:rsidR="00B748B1" w:rsidRPr="00EC57FB" w:rsidRDefault="004171F6" w:rsidP="00DC4191">
      <w:pPr>
        <w:pStyle w:val="3-BodyText"/>
      </w:pPr>
      <w:r w:rsidRPr="00EC57FB">
        <w:t xml:space="preserve">In regard to the submission’s CUA, the ESC agreed with the evaluation that the resubmission did not adequately consider the previous PBAC advice. The ESC added a number of multivariate sensitivity analyses to </w:t>
      </w:r>
      <w:r w:rsidRPr="00EC57FB">
        <w:fldChar w:fldCharType="begin"/>
      </w:r>
      <w:r w:rsidRPr="00EC57FB">
        <w:instrText xml:space="preserve"> REF _Ref187254273 \h </w:instrText>
      </w:r>
      <w:r w:rsidRPr="00EC57FB">
        <w:fldChar w:fldCharType="separate"/>
      </w:r>
      <w:r w:rsidR="00502C25" w:rsidRPr="00EC57FB">
        <w:t xml:space="preserve">Table </w:t>
      </w:r>
      <w:r w:rsidR="00502C25">
        <w:rPr>
          <w:noProof/>
        </w:rPr>
        <w:t>29</w:t>
      </w:r>
      <w:r w:rsidRPr="00EC57FB">
        <w:fldChar w:fldCharType="end"/>
      </w:r>
      <w:r w:rsidRPr="00EC57FB">
        <w:t xml:space="preserve"> and noted that these were likely optimistic estimates of cost-effectiveness of nirsevimab as they did not address all issues that ESC had previously raised e.g., issues regarding assumptions of optimal timing of the dose of nirsevimab. The ESC also advised that the economic analysis should include costs of administration for a proportion of infants who would not be immunised at the time of birth (see </w:t>
      </w:r>
      <w:r w:rsidRPr="00EC57FB">
        <w:fldChar w:fldCharType="begin"/>
      </w:r>
      <w:r w:rsidRPr="00EC57FB">
        <w:instrText xml:space="preserve"> REF _Ref187244295 \h  \* MERGEFORMAT </w:instrText>
      </w:r>
      <w:r w:rsidRPr="00EC57FB">
        <w:fldChar w:fldCharType="separate"/>
      </w:r>
      <w:r w:rsidR="00502C25" w:rsidRPr="00EC57FB">
        <w:t xml:space="preserve">Table </w:t>
      </w:r>
      <w:r w:rsidR="00502C25">
        <w:t>25</w:t>
      </w:r>
      <w:r w:rsidRPr="00EC57FB">
        <w:fldChar w:fldCharType="end"/>
      </w:r>
      <w:r w:rsidRPr="00EC57FB">
        <w:t xml:space="preserve">). </w:t>
      </w:r>
    </w:p>
    <w:p w14:paraId="1F9A5F32" w14:textId="72BB2462" w:rsidR="00BD035B" w:rsidRPr="00EC57FB" w:rsidRDefault="00BD035B" w:rsidP="0089011A">
      <w:pPr>
        <w:pStyle w:val="TableFigureHeading"/>
        <w:keepLines/>
        <w:jc w:val="both"/>
      </w:pPr>
      <w:bookmarkStart w:id="137" w:name="_Ref187254273"/>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29</w:t>
      </w:r>
      <w:r w:rsidR="00C51E7C" w:rsidRPr="00EC57FB">
        <w:fldChar w:fldCharType="end"/>
      </w:r>
      <w:bookmarkEnd w:id="137"/>
      <w:r w:rsidRPr="00EC57FB">
        <w:t xml:space="preserve">: Results of sensitivity analyses of the economic model </w:t>
      </w:r>
      <w:r w:rsidR="00CE0425" w:rsidRPr="00EC57FB">
        <w:t>including PBAC recommended analyses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98"/>
        <w:gridCol w:w="1106"/>
        <w:gridCol w:w="1035"/>
        <w:gridCol w:w="970"/>
        <w:gridCol w:w="858"/>
      </w:tblGrid>
      <w:tr w:rsidR="0089011A" w:rsidRPr="00EC57FB" w14:paraId="56A59391" w14:textId="77777777" w:rsidTr="0089011A">
        <w:trPr>
          <w:tblHeader/>
        </w:trPr>
        <w:tc>
          <w:tcPr>
            <w:tcW w:w="2811" w:type="pct"/>
          </w:tcPr>
          <w:p w14:paraId="0042D0E4" w14:textId="77777777" w:rsidR="00BD035B" w:rsidRPr="00EC57FB" w:rsidRDefault="00BD035B" w:rsidP="0089011A">
            <w:pPr>
              <w:pStyle w:val="In-tableHeading"/>
              <w:rPr>
                <w:lang w:val="en-AU"/>
              </w:rPr>
            </w:pPr>
            <w:r w:rsidRPr="00EC57FB">
              <w:rPr>
                <w:lang w:val="en-AU"/>
              </w:rPr>
              <w:t>Analyses</w:t>
            </w:r>
          </w:p>
        </w:tc>
        <w:tc>
          <w:tcPr>
            <w:tcW w:w="610" w:type="pct"/>
          </w:tcPr>
          <w:p w14:paraId="1E54787F" w14:textId="77777777" w:rsidR="00BD035B" w:rsidRPr="00EC57FB" w:rsidRDefault="00BD035B" w:rsidP="0089011A">
            <w:pPr>
              <w:pStyle w:val="In-tableHeading"/>
              <w:jc w:val="center"/>
              <w:rPr>
                <w:lang w:val="en-AU"/>
              </w:rPr>
            </w:pPr>
            <w:r w:rsidRPr="00EC57FB">
              <w:rPr>
                <w:lang w:val="en-AU"/>
              </w:rPr>
              <w:t>Incremental cost</w:t>
            </w:r>
          </w:p>
        </w:tc>
        <w:tc>
          <w:tcPr>
            <w:tcW w:w="571" w:type="pct"/>
          </w:tcPr>
          <w:p w14:paraId="299F666C" w14:textId="77777777" w:rsidR="00BD035B" w:rsidRPr="00EC57FB" w:rsidRDefault="00BD035B" w:rsidP="0089011A">
            <w:pPr>
              <w:pStyle w:val="In-tableHeading"/>
              <w:jc w:val="center"/>
              <w:rPr>
                <w:lang w:val="en-AU"/>
              </w:rPr>
            </w:pPr>
            <w:r w:rsidRPr="00EC57FB">
              <w:rPr>
                <w:lang w:val="en-AU"/>
              </w:rPr>
              <w:t>Incremental QALY</w:t>
            </w:r>
          </w:p>
        </w:tc>
        <w:tc>
          <w:tcPr>
            <w:tcW w:w="535" w:type="pct"/>
          </w:tcPr>
          <w:p w14:paraId="63290DA1" w14:textId="77777777" w:rsidR="00BD035B" w:rsidRPr="00EC57FB" w:rsidRDefault="00BD035B" w:rsidP="0089011A">
            <w:pPr>
              <w:pStyle w:val="In-tableHeading"/>
              <w:jc w:val="center"/>
              <w:rPr>
                <w:lang w:val="en-AU"/>
              </w:rPr>
            </w:pPr>
            <w:r w:rsidRPr="00EC57FB">
              <w:rPr>
                <w:lang w:val="en-AU"/>
              </w:rPr>
              <w:t>ICER</w:t>
            </w:r>
          </w:p>
        </w:tc>
        <w:tc>
          <w:tcPr>
            <w:tcW w:w="473" w:type="pct"/>
          </w:tcPr>
          <w:p w14:paraId="38FCD5DF" w14:textId="77777777" w:rsidR="00BD035B" w:rsidRPr="00EC57FB" w:rsidRDefault="00BD035B" w:rsidP="0089011A">
            <w:pPr>
              <w:pStyle w:val="In-tableHeading"/>
              <w:jc w:val="center"/>
              <w:rPr>
                <w:lang w:val="en-AU"/>
              </w:rPr>
            </w:pPr>
            <w:r w:rsidRPr="00EC57FB">
              <w:rPr>
                <w:lang w:val="en-AU"/>
              </w:rPr>
              <w:t>% change</w:t>
            </w:r>
          </w:p>
        </w:tc>
      </w:tr>
      <w:tr w:rsidR="00042602" w:rsidRPr="00EC57FB" w14:paraId="5BE83F2D" w14:textId="77777777" w:rsidTr="0089011A">
        <w:tc>
          <w:tcPr>
            <w:tcW w:w="5000" w:type="pct"/>
            <w:gridSpan w:val="5"/>
          </w:tcPr>
          <w:p w14:paraId="0F196299" w14:textId="6C39374C" w:rsidR="00042602" w:rsidRPr="00EC57FB" w:rsidRDefault="00042602" w:rsidP="0089011A">
            <w:pPr>
              <w:pStyle w:val="In-tableHeading"/>
              <w:rPr>
                <w:lang w:val="en-AU"/>
              </w:rPr>
            </w:pPr>
            <w:r w:rsidRPr="00EC57FB">
              <w:rPr>
                <w:lang w:val="en-AU"/>
              </w:rPr>
              <w:t>Comparing nirsevimab to no immunisation in Season 1 (aggregated population)</w:t>
            </w:r>
          </w:p>
        </w:tc>
      </w:tr>
      <w:tr w:rsidR="0089011A" w:rsidRPr="00EC57FB" w14:paraId="4B3C34D9" w14:textId="77777777" w:rsidTr="0089011A">
        <w:tc>
          <w:tcPr>
            <w:tcW w:w="2811" w:type="pct"/>
          </w:tcPr>
          <w:p w14:paraId="291B0D6D" w14:textId="77777777" w:rsidR="00BD035B" w:rsidRPr="00EC57FB" w:rsidRDefault="00BD035B" w:rsidP="0089011A">
            <w:pPr>
              <w:pStyle w:val="TableText0"/>
              <w:rPr>
                <w:b/>
              </w:rPr>
            </w:pPr>
            <w:r w:rsidRPr="00EC57FB">
              <w:rPr>
                <w:b/>
              </w:rPr>
              <w:t>Base case</w:t>
            </w:r>
          </w:p>
        </w:tc>
        <w:tc>
          <w:tcPr>
            <w:tcW w:w="610" w:type="pct"/>
          </w:tcPr>
          <w:p w14:paraId="0DDEC9B8" w14:textId="6A594918" w:rsidR="00BD035B" w:rsidRPr="00EC57FB" w:rsidRDefault="00BD035B" w:rsidP="0089011A">
            <w:pPr>
              <w:pStyle w:val="TableText0"/>
              <w:jc w:val="center"/>
              <w:rPr>
                <w:b/>
              </w:rPr>
            </w:pPr>
            <w:r w:rsidRPr="00EC57FB">
              <w:rPr>
                <w:b/>
                <w:bCs w:val="0"/>
              </w:rPr>
              <w:t>$</w:t>
            </w:r>
            <w:r w:rsidR="000641E5" w:rsidRPr="000641E5">
              <w:rPr>
                <w:b/>
                <w:bCs w:val="0"/>
                <w:color w:val="000000"/>
                <w:spacing w:val="55"/>
                <w:shd w:val="solid" w:color="000000" w:fill="000000"/>
                <w:fitText w:val="349" w:id="-662982640"/>
                <w14:textFill>
                  <w14:solidFill>
                    <w14:srgbClr w14:val="000000">
                      <w14:alpha w14:val="100000"/>
                    </w14:srgbClr>
                  </w14:solidFill>
                </w14:textFill>
              </w:rPr>
              <w:t>|||</w:t>
            </w:r>
            <w:r w:rsidR="000641E5" w:rsidRPr="000641E5">
              <w:rPr>
                <w:b/>
                <w:bCs w:val="0"/>
                <w:color w:val="000000"/>
                <w:spacing w:val="1"/>
                <w:shd w:val="solid" w:color="000000" w:fill="000000"/>
                <w:fitText w:val="349" w:id="-662982640"/>
                <w14:textFill>
                  <w14:solidFill>
                    <w14:srgbClr w14:val="000000">
                      <w14:alpha w14:val="100000"/>
                    </w14:srgbClr>
                  </w14:solidFill>
                </w14:textFill>
              </w:rPr>
              <w:t>|</w:t>
            </w:r>
          </w:p>
        </w:tc>
        <w:tc>
          <w:tcPr>
            <w:tcW w:w="571" w:type="pct"/>
          </w:tcPr>
          <w:p w14:paraId="36ED5762" w14:textId="77777777" w:rsidR="00BD035B" w:rsidRPr="00EC57FB" w:rsidRDefault="00BD035B" w:rsidP="0089011A">
            <w:pPr>
              <w:pStyle w:val="TableText0"/>
              <w:jc w:val="center"/>
              <w:rPr>
                <w:b/>
              </w:rPr>
            </w:pPr>
            <w:r w:rsidRPr="00EC57FB">
              <w:rPr>
                <w:b/>
                <w:bCs w:val="0"/>
              </w:rPr>
              <w:t>678.75</w:t>
            </w:r>
          </w:p>
        </w:tc>
        <w:tc>
          <w:tcPr>
            <w:tcW w:w="535" w:type="pct"/>
          </w:tcPr>
          <w:p w14:paraId="4A3E25A4" w14:textId="4C132F0F" w:rsidR="00BD035B" w:rsidRPr="0099105B" w:rsidRDefault="00BD035B" w:rsidP="0089011A">
            <w:pPr>
              <w:pStyle w:val="TableText0"/>
              <w:jc w:val="center"/>
              <w:rPr>
                <w:b/>
                <w:vertAlign w:val="superscript"/>
              </w:rPr>
            </w:pPr>
            <w:r w:rsidRPr="00EC57FB">
              <w:rPr>
                <w:b/>
              </w:rPr>
              <w:t>$</w:t>
            </w:r>
            <w:r w:rsidR="000641E5" w:rsidRPr="000641E5">
              <w:rPr>
                <w:b/>
                <w:bCs w:val="0"/>
                <w:color w:val="000000"/>
                <w:spacing w:val="55"/>
                <w:shd w:val="solid" w:color="000000" w:fill="000000"/>
                <w:fitText w:val="350" w:id="-662982656"/>
                <w14:textFill>
                  <w14:solidFill>
                    <w14:srgbClr w14:val="000000">
                      <w14:alpha w14:val="100000"/>
                    </w14:srgbClr>
                  </w14:solidFill>
                </w14:textFill>
              </w:rPr>
              <w:t>|||</w:t>
            </w:r>
            <w:r w:rsidR="000641E5" w:rsidRPr="000641E5">
              <w:rPr>
                <w:b/>
                <w:bCs w:val="0"/>
                <w:color w:val="000000"/>
                <w:spacing w:val="2"/>
                <w:shd w:val="solid" w:color="000000" w:fill="000000"/>
                <w:fitText w:val="350" w:id="-662982656"/>
                <w14:textFill>
                  <w14:solidFill>
                    <w14:srgbClr w14:val="000000">
                      <w14:alpha w14:val="100000"/>
                    </w14:srgbClr>
                  </w14:solidFill>
                </w14:textFill>
              </w:rPr>
              <w:t>|</w:t>
            </w:r>
            <w:r w:rsidR="0099105B">
              <w:rPr>
                <w:b/>
                <w:bCs w:val="0"/>
              </w:rPr>
              <w:t xml:space="preserve"> </w:t>
            </w:r>
            <w:r w:rsidR="0099105B">
              <w:rPr>
                <w:b/>
                <w:bCs w:val="0"/>
                <w:vertAlign w:val="superscript"/>
              </w:rPr>
              <w:t>1</w:t>
            </w:r>
          </w:p>
        </w:tc>
        <w:tc>
          <w:tcPr>
            <w:tcW w:w="473" w:type="pct"/>
          </w:tcPr>
          <w:p w14:paraId="4D36D2A7" w14:textId="77777777" w:rsidR="00BD035B" w:rsidRPr="00EC57FB" w:rsidRDefault="00BD035B" w:rsidP="0089011A">
            <w:pPr>
              <w:pStyle w:val="TableText0"/>
              <w:jc w:val="center"/>
              <w:rPr>
                <w:b/>
              </w:rPr>
            </w:pPr>
            <w:r w:rsidRPr="00EC57FB">
              <w:rPr>
                <w:b/>
              </w:rPr>
              <w:t>-</w:t>
            </w:r>
          </w:p>
        </w:tc>
      </w:tr>
      <w:tr w:rsidR="0089011A" w:rsidRPr="00EC57FB" w14:paraId="31023AD9" w14:textId="77777777" w:rsidTr="0089011A">
        <w:tc>
          <w:tcPr>
            <w:tcW w:w="2811" w:type="pct"/>
          </w:tcPr>
          <w:p w14:paraId="5FC43D0D" w14:textId="77777777" w:rsidR="00BD035B" w:rsidRPr="00EC57FB" w:rsidRDefault="00BD035B" w:rsidP="0089011A">
            <w:pPr>
              <w:pStyle w:val="TableText0"/>
            </w:pPr>
            <w:r w:rsidRPr="00EC57FB">
              <w:t>Discount rate (base case 5%)</w:t>
            </w:r>
          </w:p>
          <w:p w14:paraId="0666FBDC" w14:textId="77777777" w:rsidR="00BD035B" w:rsidRPr="00EC57FB" w:rsidRDefault="00BD035B" w:rsidP="0089011A">
            <w:pPr>
              <w:pStyle w:val="TableText0"/>
              <w:numPr>
                <w:ilvl w:val="0"/>
                <w:numId w:val="4"/>
              </w:numPr>
            </w:pPr>
            <w:r w:rsidRPr="00EC57FB">
              <w:t>0%</w:t>
            </w:r>
          </w:p>
          <w:p w14:paraId="37D8DC1F" w14:textId="77777777" w:rsidR="00BD035B" w:rsidRPr="00EC57FB" w:rsidRDefault="00BD035B" w:rsidP="0089011A">
            <w:pPr>
              <w:pStyle w:val="TableText0"/>
              <w:numPr>
                <w:ilvl w:val="0"/>
                <w:numId w:val="4"/>
              </w:numPr>
            </w:pPr>
            <w:r w:rsidRPr="00EC57FB">
              <w:t>3.5%</w:t>
            </w:r>
          </w:p>
        </w:tc>
        <w:tc>
          <w:tcPr>
            <w:tcW w:w="610" w:type="pct"/>
          </w:tcPr>
          <w:p w14:paraId="158169C1" w14:textId="77777777" w:rsidR="00BD035B" w:rsidRPr="00EC57FB" w:rsidRDefault="00BD035B" w:rsidP="0089011A">
            <w:pPr>
              <w:pStyle w:val="TableText0"/>
              <w:jc w:val="center"/>
            </w:pPr>
          </w:p>
          <w:p w14:paraId="20C2D872" w14:textId="27123643"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655"/>
                <w14:textFill>
                  <w14:solidFill>
                    <w14:srgbClr w14:val="000000">
                      <w14:alpha w14:val="100000"/>
                    </w14:srgbClr>
                  </w14:solidFill>
                </w14:textFill>
              </w:rPr>
              <w:t>|||</w:t>
            </w:r>
            <w:r w:rsidR="000641E5" w:rsidRPr="000641E5">
              <w:rPr>
                <w:color w:val="000000"/>
                <w:spacing w:val="2"/>
                <w:shd w:val="solid" w:color="000000" w:fill="000000"/>
                <w:fitText w:val="328" w:id="-662982655"/>
                <w14:textFill>
                  <w14:solidFill>
                    <w14:srgbClr w14:val="000000">
                      <w14:alpha w14:val="100000"/>
                    </w14:srgbClr>
                  </w14:solidFill>
                </w14:textFill>
              </w:rPr>
              <w:t>|</w:t>
            </w:r>
          </w:p>
          <w:p w14:paraId="6DF66441" w14:textId="1ECAB6A7"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654"/>
                <w14:textFill>
                  <w14:solidFill>
                    <w14:srgbClr w14:val="000000">
                      <w14:alpha w14:val="100000"/>
                    </w14:srgbClr>
                  </w14:solidFill>
                </w14:textFill>
              </w:rPr>
              <w:t>|||</w:t>
            </w:r>
            <w:r w:rsidR="000641E5" w:rsidRPr="000641E5">
              <w:rPr>
                <w:color w:val="000000"/>
                <w:spacing w:val="2"/>
                <w:shd w:val="solid" w:color="000000" w:fill="000000"/>
                <w:fitText w:val="328" w:id="-662982654"/>
                <w14:textFill>
                  <w14:solidFill>
                    <w14:srgbClr w14:val="000000">
                      <w14:alpha w14:val="100000"/>
                    </w14:srgbClr>
                  </w14:solidFill>
                </w14:textFill>
              </w:rPr>
              <w:t>|</w:t>
            </w:r>
          </w:p>
        </w:tc>
        <w:tc>
          <w:tcPr>
            <w:tcW w:w="571" w:type="pct"/>
          </w:tcPr>
          <w:p w14:paraId="2070FF76" w14:textId="77777777" w:rsidR="00BD035B" w:rsidRPr="00EC57FB" w:rsidRDefault="00BD035B" w:rsidP="0089011A">
            <w:pPr>
              <w:pStyle w:val="TableText0"/>
              <w:jc w:val="center"/>
            </w:pPr>
          </w:p>
          <w:p w14:paraId="2A05106F" w14:textId="77777777" w:rsidR="00BD035B" w:rsidRPr="00EC57FB" w:rsidRDefault="00BD035B" w:rsidP="0089011A">
            <w:pPr>
              <w:pStyle w:val="TableText0"/>
              <w:jc w:val="center"/>
            </w:pPr>
            <w:r w:rsidRPr="00EC57FB">
              <w:t>1,673.66</w:t>
            </w:r>
          </w:p>
          <w:p w14:paraId="1F543F81" w14:textId="77777777" w:rsidR="00BD035B" w:rsidRPr="00EC57FB" w:rsidRDefault="00BD035B" w:rsidP="0089011A">
            <w:pPr>
              <w:pStyle w:val="TableText0"/>
              <w:jc w:val="center"/>
            </w:pPr>
            <w:r w:rsidRPr="00EC57FB">
              <w:t>792.89</w:t>
            </w:r>
          </w:p>
        </w:tc>
        <w:tc>
          <w:tcPr>
            <w:tcW w:w="535" w:type="pct"/>
          </w:tcPr>
          <w:p w14:paraId="7E14EEC8" w14:textId="77777777" w:rsidR="00BD035B" w:rsidRPr="00EC57FB" w:rsidRDefault="00BD035B" w:rsidP="0089011A">
            <w:pPr>
              <w:pStyle w:val="TableText0"/>
              <w:jc w:val="center"/>
            </w:pPr>
          </w:p>
          <w:p w14:paraId="04197455" w14:textId="027F065D"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653"/>
                <w14:textFill>
                  <w14:solidFill>
                    <w14:srgbClr w14:val="000000">
                      <w14:alpha w14:val="100000"/>
                    </w14:srgbClr>
                  </w14:solidFill>
                </w14:textFill>
              </w:rPr>
              <w:t>|||</w:t>
            </w:r>
            <w:r w:rsidR="000641E5" w:rsidRPr="000641E5">
              <w:rPr>
                <w:color w:val="000000"/>
                <w:spacing w:val="2"/>
                <w:shd w:val="solid" w:color="000000" w:fill="000000"/>
                <w:fitText w:val="328" w:id="-662982653"/>
                <w14:textFill>
                  <w14:solidFill>
                    <w14:srgbClr w14:val="000000">
                      <w14:alpha w14:val="100000"/>
                    </w14:srgbClr>
                  </w14:solidFill>
                </w14:textFill>
              </w:rPr>
              <w:t>|</w:t>
            </w:r>
            <w:r w:rsidR="0099105B">
              <w:rPr>
                <w:b/>
                <w:bCs w:val="0"/>
              </w:rPr>
              <w:t xml:space="preserve"> </w:t>
            </w:r>
            <w:r w:rsidR="0099105B">
              <w:rPr>
                <w:b/>
                <w:bCs w:val="0"/>
                <w:vertAlign w:val="superscript"/>
              </w:rPr>
              <w:t>1</w:t>
            </w:r>
          </w:p>
          <w:p w14:paraId="5F909627" w14:textId="4ED937E8"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652"/>
                <w14:textFill>
                  <w14:solidFill>
                    <w14:srgbClr w14:val="000000">
                      <w14:alpha w14:val="100000"/>
                    </w14:srgbClr>
                  </w14:solidFill>
                </w14:textFill>
              </w:rPr>
              <w:t>|||</w:t>
            </w:r>
            <w:r w:rsidR="000641E5" w:rsidRPr="000641E5">
              <w:rPr>
                <w:color w:val="000000"/>
                <w:spacing w:val="2"/>
                <w:shd w:val="solid" w:color="000000" w:fill="000000"/>
                <w:fitText w:val="328" w:id="-662982652"/>
                <w14:textFill>
                  <w14:solidFill>
                    <w14:srgbClr w14:val="000000">
                      <w14:alpha w14:val="100000"/>
                    </w14:srgbClr>
                  </w14:solidFill>
                </w14:textFill>
              </w:rPr>
              <w:t>|</w:t>
            </w:r>
            <w:r w:rsidR="0099105B">
              <w:rPr>
                <w:b/>
                <w:bCs w:val="0"/>
              </w:rPr>
              <w:t xml:space="preserve"> </w:t>
            </w:r>
            <w:r w:rsidR="0099105B">
              <w:rPr>
                <w:b/>
                <w:bCs w:val="0"/>
                <w:vertAlign w:val="superscript"/>
              </w:rPr>
              <w:t>1</w:t>
            </w:r>
          </w:p>
        </w:tc>
        <w:tc>
          <w:tcPr>
            <w:tcW w:w="473" w:type="pct"/>
          </w:tcPr>
          <w:p w14:paraId="48DD35A0" w14:textId="77777777" w:rsidR="00BD035B" w:rsidRPr="00EC57FB" w:rsidRDefault="00BD035B" w:rsidP="0089011A">
            <w:pPr>
              <w:pStyle w:val="TableText0"/>
              <w:jc w:val="center"/>
            </w:pPr>
          </w:p>
          <w:p w14:paraId="695F24B2" w14:textId="391D5D99" w:rsidR="00BD035B" w:rsidRPr="00EC57FB" w:rsidRDefault="00BD035B" w:rsidP="0089011A">
            <w:pPr>
              <w:pStyle w:val="TableText0"/>
              <w:jc w:val="center"/>
            </w:pPr>
            <w:r w:rsidRPr="00EC57FB">
              <w:t>-</w:t>
            </w:r>
            <w:r w:rsidR="000641E5" w:rsidRPr="000641E5">
              <w:rPr>
                <w:color w:val="000000"/>
                <w:spacing w:val="52"/>
                <w:shd w:val="solid" w:color="000000" w:fill="000000"/>
                <w:fitText w:val="327" w:id="-662982651"/>
                <w14:textFill>
                  <w14:solidFill>
                    <w14:srgbClr w14:val="000000">
                      <w14:alpha w14:val="100000"/>
                    </w14:srgbClr>
                  </w14:solidFill>
                </w14:textFill>
              </w:rPr>
              <w:t>|||</w:t>
            </w:r>
            <w:r w:rsidR="000641E5" w:rsidRPr="000641E5">
              <w:rPr>
                <w:color w:val="000000"/>
                <w:spacing w:val="1"/>
                <w:shd w:val="solid" w:color="000000" w:fill="000000"/>
                <w:fitText w:val="327" w:id="-662982651"/>
                <w14:textFill>
                  <w14:solidFill>
                    <w14:srgbClr w14:val="000000">
                      <w14:alpha w14:val="100000"/>
                    </w14:srgbClr>
                  </w14:solidFill>
                </w14:textFill>
              </w:rPr>
              <w:t>|</w:t>
            </w:r>
            <w:r w:rsidRPr="00EC57FB">
              <w:t>%</w:t>
            </w:r>
          </w:p>
          <w:p w14:paraId="020FBE3F" w14:textId="715CA1C0" w:rsidR="00BD035B" w:rsidRPr="00EC57FB" w:rsidRDefault="00BD035B" w:rsidP="0089011A">
            <w:pPr>
              <w:pStyle w:val="TableText0"/>
              <w:jc w:val="center"/>
            </w:pPr>
            <w:r w:rsidRPr="00EC57FB">
              <w:t>-</w:t>
            </w:r>
            <w:r w:rsidR="000641E5" w:rsidRPr="000641E5">
              <w:rPr>
                <w:color w:val="000000"/>
                <w:spacing w:val="52"/>
                <w:shd w:val="solid" w:color="000000" w:fill="000000"/>
                <w:fitText w:val="327" w:id="-662982650"/>
                <w14:textFill>
                  <w14:solidFill>
                    <w14:srgbClr w14:val="000000">
                      <w14:alpha w14:val="100000"/>
                    </w14:srgbClr>
                  </w14:solidFill>
                </w14:textFill>
              </w:rPr>
              <w:t>|||</w:t>
            </w:r>
            <w:r w:rsidR="000641E5" w:rsidRPr="000641E5">
              <w:rPr>
                <w:color w:val="000000"/>
                <w:spacing w:val="1"/>
                <w:shd w:val="solid" w:color="000000" w:fill="000000"/>
                <w:fitText w:val="327" w:id="-662982650"/>
                <w14:textFill>
                  <w14:solidFill>
                    <w14:srgbClr w14:val="000000">
                      <w14:alpha w14:val="100000"/>
                    </w14:srgbClr>
                  </w14:solidFill>
                </w14:textFill>
              </w:rPr>
              <w:t>|</w:t>
            </w:r>
            <w:r w:rsidRPr="00EC57FB">
              <w:t>%</w:t>
            </w:r>
          </w:p>
        </w:tc>
      </w:tr>
      <w:tr w:rsidR="0089011A" w:rsidRPr="00EC57FB" w14:paraId="6709F7DD" w14:textId="77777777" w:rsidTr="0089011A">
        <w:tc>
          <w:tcPr>
            <w:tcW w:w="2811" w:type="pct"/>
          </w:tcPr>
          <w:p w14:paraId="3D986702" w14:textId="77777777" w:rsidR="00BD035B" w:rsidRPr="00EC57FB" w:rsidRDefault="00BD035B" w:rsidP="0089011A">
            <w:pPr>
              <w:pStyle w:val="TableText0"/>
            </w:pPr>
            <w:r w:rsidRPr="00EC57FB">
              <w:t>Nirsevimab efficacy based on MELODY updated results from Muller 2023 (base case = 79.5%)</w:t>
            </w:r>
          </w:p>
          <w:p w14:paraId="1AB48FD8" w14:textId="77777777" w:rsidR="00BD035B" w:rsidRPr="00EC57FB" w:rsidRDefault="00BD035B" w:rsidP="0089011A">
            <w:pPr>
              <w:pStyle w:val="TableText0"/>
              <w:numPr>
                <w:ilvl w:val="0"/>
                <w:numId w:val="5"/>
              </w:numPr>
            </w:pPr>
            <w:r w:rsidRPr="00EC57FB">
              <w:t>76.4%; point estimate</w:t>
            </w:r>
          </w:p>
          <w:p w14:paraId="1BFF1C53" w14:textId="77777777" w:rsidR="00BD035B" w:rsidRPr="00EC57FB" w:rsidRDefault="00BD035B" w:rsidP="0089011A">
            <w:pPr>
              <w:pStyle w:val="TableText0"/>
              <w:numPr>
                <w:ilvl w:val="0"/>
                <w:numId w:val="5"/>
              </w:numPr>
            </w:pPr>
            <w:r w:rsidRPr="00EC57FB">
              <w:t>62.3%; lower limit</w:t>
            </w:r>
          </w:p>
          <w:p w14:paraId="24EE613D" w14:textId="77777777" w:rsidR="00BD035B" w:rsidRPr="00EC57FB" w:rsidRDefault="00BD035B" w:rsidP="0089011A">
            <w:pPr>
              <w:pStyle w:val="TableText0"/>
              <w:numPr>
                <w:ilvl w:val="0"/>
                <w:numId w:val="5"/>
              </w:numPr>
            </w:pPr>
            <w:r w:rsidRPr="00EC57FB">
              <w:t>85.2%; upper limit</w:t>
            </w:r>
          </w:p>
        </w:tc>
        <w:tc>
          <w:tcPr>
            <w:tcW w:w="610" w:type="pct"/>
          </w:tcPr>
          <w:p w14:paraId="681526C4" w14:textId="77777777" w:rsidR="00BD035B" w:rsidRPr="00EC57FB" w:rsidRDefault="00BD035B" w:rsidP="0089011A">
            <w:pPr>
              <w:pStyle w:val="TableText0"/>
              <w:jc w:val="center"/>
            </w:pPr>
          </w:p>
          <w:p w14:paraId="0E7D2398" w14:textId="77777777" w:rsidR="00BD035B" w:rsidRPr="00EC57FB" w:rsidRDefault="00BD035B" w:rsidP="0089011A">
            <w:pPr>
              <w:pStyle w:val="TableText0"/>
              <w:jc w:val="center"/>
            </w:pPr>
          </w:p>
          <w:p w14:paraId="71CB3164" w14:textId="0B21A3B5"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400"/>
                <w14:textFill>
                  <w14:solidFill>
                    <w14:srgbClr w14:val="000000">
                      <w14:alpha w14:val="100000"/>
                    </w14:srgbClr>
                  </w14:solidFill>
                </w14:textFill>
              </w:rPr>
              <w:t>|||</w:t>
            </w:r>
            <w:r w:rsidR="000641E5" w:rsidRPr="000641E5">
              <w:rPr>
                <w:color w:val="000000"/>
                <w:spacing w:val="2"/>
                <w:shd w:val="solid" w:color="000000" w:fill="000000"/>
                <w:fitText w:val="328" w:id="-662982400"/>
                <w14:textFill>
                  <w14:solidFill>
                    <w14:srgbClr w14:val="000000">
                      <w14:alpha w14:val="100000"/>
                    </w14:srgbClr>
                  </w14:solidFill>
                </w14:textFill>
              </w:rPr>
              <w:t>|</w:t>
            </w:r>
          </w:p>
          <w:p w14:paraId="1B32CBDB" w14:textId="300CE48A"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9"/>
                <w14:textFill>
                  <w14:solidFill>
                    <w14:srgbClr w14:val="000000">
                      <w14:alpha w14:val="100000"/>
                    </w14:srgbClr>
                  </w14:solidFill>
                </w14:textFill>
              </w:rPr>
              <w:t>|||</w:t>
            </w:r>
            <w:r w:rsidR="000641E5" w:rsidRPr="000641E5">
              <w:rPr>
                <w:color w:val="000000"/>
                <w:spacing w:val="2"/>
                <w:shd w:val="solid" w:color="000000" w:fill="000000"/>
                <w:fitText w:val="328" w:id="-662982399"/>
                <w14:textFill>
                  <w14:solidFill>
                    <w14:srgbClr w14:val="000000">
                      <w14:alpha w14:val="100000"/>
                    </w14:srgbClr>
                  </w14:solidFill>
                </w14:textFill>
              </w:rPr>
              <w:t>|</w:t>
            </w:r>
          </w:p>
          <w:p w14:paraId="06C35439" w14:textId="2708B7A2" w:rsidR="00BD035B" w:rsidRPr="00EC57FB" w:rsidRDefault="00BD035B" w:rsidP="0089011A">
            <w:pPr>
              <w:pStyle w:val="TableText0"/>
              <w:jc w:val="center"/>
            </w:pPr>
            <w:r w:rsidRPr="00EC57FB">
              <w:t>-$</w:t>
            </w:r>
            <w:r w:rsidR="000641E5" w:rsidRPr="000641E5">
              <w:rPr>
                <w:color w:val="000000"/>
                <w:spacing w:val="52"/>
                <w:shd w:val="solid" w:color="000000" w:fill="000000"/>
                <w:fitText w:val="327" w:id="-662982398"/>
                <w14:textFill>
                  <w14:solidFill>
                    <w14:srgbClr w14:val="000000">
                      <w14:alpha w14:val="100000"/>
                    </w14:srgbClr>
                  </w14:solidFill>
                </w14:textFill>
              </w:rPr>
              <w:t>|||</w:t>
            </w:r>
            <w:r w:rsidR="000641E5" w:rsidRPr="000641E5">
              <w:rPr>
                <w:color w:val="000000"/>
                <w:spacing w:val="1"/>
                <w:shd w:val="solid" w:color="000000" w:fill="000000"/>
                <w:fitText w:val="327" w:id="-662982398"/>
                <w14:textFill>
                  <w14:solidFill>
                    <w14:srgbClr w14:val="000000">
                      <w14:alpha w14:val="100000"/>
                    </w14:srgbClr>
                  </w14:solidFill>
                </w14:textFill>
              </w:rPr>
              <w:t>|</w:t>
            </w:r>
          </w:p>
        </w:tc>
        <w:tc>
          <w:tcPr>
            <w:tcW w:w="571" w:type="pct"/>
          </w:tcPr>
          <w:p w14:paraId="0E82C303" w14:textId="77777777" w:rsidR="00BD035B" w:rsidRPr="00EC57FB" w:rsidRDefault="00BD035B" w:rsidP="0089011A">
            <w:pPr>
              <w:pStyle w:val="TableText0"/>
              <w:jc w:val="center"/>
            </w:pPr>
          </w:p>
          <w:p w14:paraId="497FF553" w14:textId="77777777" w:rsidR="00BD035B" w:rsidRPr="00EC57FB" w:rsidRDefault="00BD035B" w:rsidP="0089011A">
            <w:pPr>
              <w:pStyle w:val="TableText0"/>
              <w:jc w:val="center"/>
            </w:pPr>
          </w:p>
          <w:p w14:paraId="4CF34393" w14:textId="77777777" w:rsidR="00BD035B" w:rsidRPr="00EC57FB" w:rsidRDefault="00BD035B" w:rsidP="0089011A">
            <w:pPr>
              <w:pStyle w:val="TableText0"/>
              <w:jc w:val="center"/>
            </w:pPr>
            <w:r w:rsidRPr="00EC57FB">
              <w:t>651.91</w:t>
            </w:r>
          </w:p>
          <w:p w14:paraId="2B7430C0" w14:textId="77777777" w:rsidR="00BD035B" w:rsidRPr="00EC57FB" w:rsidRDefault="00BD035B" w:rsidP="0089011A">
            <w:pPr>
              <w:pStyle w:val="TableText0"/>
              <w:jc w:val="center"/>
            </w:pPr>
            <w:r w:rsidRPr="00EC57FB">
              <w:t>530.24</w:t>
            </w:r>
          </w:p>
          <w:p w14:paraId="237F0121" w14:textId="77777777" w:rsidR="00BD035B" w:rsidRPr="00EC57FB" w:rsidRDefault="00BD035B" w:rsidP="0089011A">
            <w:pPr>
              <w:pStyle w:val="TableText0"/>
              <w:jc w:val="center"/>
            </w:pPr>
            <w:r w:rsidRPr="00EC57FB">
              <w:t>728.17</w:t>
            </w:r>
          </w:p>
        </w:tc>
        <w:tc>
          <w:tcPr>
            <w:tcW w:w="535" w:type="pct"/>
          </w:tcPr>
          <w:p w14:paraId="5A5B1E7C" w14:textId="77777777" w:rsidR="00BD035B" w:rsidRPr="00EC57FB" w:rsidRDefault="00BD035B" w:rsidP="0089011A">
            <w:pPr>
              <w:pStyle w:val="TableText0"/>
              <w:jc w:val="center"/>
            </w:pPr>
          </w:p>
          <w:p w14:paraId="74AD7088" w14:textId="77777777" w:rsidR="00BD035B" w:rsidRPr="00EC57FB" w:rsidRDefault="00BD035B" w:rsidP="0089011A">
            <w:pPr>
              <w:pStyle w:val="TableText0"/>
              <w:jc w:val="center"/>
            </w:pPr>
          </w:p>
          <w:p w14:paraId="3CC30A6A" w14:textId="153EC2B9"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7"/>
                <w14:textFill>
                  <w14:solidFill>
                    <w14:srgbClr w14:val="000000">
                      <w14:alpha w14:val="100000"/>
                    </w14:srgbClr>
                  </w14:solidFill>
                </w14:textFill>
              </w:rPr>
              <w:t>|||</w:t>
            </w:r>
            <w:r w:rsidR="000641E5" w:rsidRPr="000641E5">
              <w:rPr>
                <w:color w:val="000000"/>
                <w:spacing w:val="2"/>
                <w:shd w:val="solid" w:color="000000" w:fill="000000"/>
                <w:fitText w:val="328" w:id="-662982397"/>
                <w14:textFill>
                  <w14:solidFill>
                    <w14:srgbClr w14:val="000000">
                      <w14:alpha w14:val="100000"/>
                    </w14:srgbClr>
                  </w14:solidFill>
                </w14:textFill>
              </w:rPr>
              <w:t>|</w:t>
            </w:r>
            <w:r w:rsidR="0099105B">
              <w:rPr>
                <w:b/>
                <w:bCs w:val="0"/>
              </w:rPr>
              <w:t xml:space="preserve"> </w:t>
            </w:r>
            <w:r w:rsidR="0099105B">
              <w:rPr>
                <w:b/>
                <w:bCs w:val="0"/>
                <w:vertAlign w:val="superscript"/>
              </w:rPr>
              <w:t>2</w:t>
            </w:r>
          </w:p>
          <w:p w14:paraId="21736BD6" w14:textId="14934DE0"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6"/>
                <w14:textFill>
                  <w14:solidFill>
                    <w14:srgbClr w14:val="000000">
                      <w14:alpha w14:val="100000"/>
                    </w14:srgbClr>
                  </w14:solidFill>
                </w14:textFill>
              </w:rPr>
              <w:t>|||</w:t>
            </w:r>
            <w:r w:rsidR="000641E5" w:rsidRPr="000641E5">
              <w:rPr>
                <w:color w:val="000000"/>
                <w:spacing w:val="2"/>
                <w:shd w:val="solid" w:color="000000" w:fill="000000"/>
                <w:fitText w:val="328" w:id="-662982396"/>
                <w14:textFill>
                  <w14:solidFill>
                    <w14:srgbClr w14:val="000000">
                      <w14:alpha w14:val="100000"/>
                    </w14:srgbClr>
                  </w14:solidFill>
                </w14:textFill>
              </w:rPr>
              <w:t>|</w:t>
            </w:r>
            <w:r w:rsidR="0099105B">
              <w:rPr>
                <w:b/>
                <w:bCs w:val="0"/>
              </w:rPr>
              <w:t xml:space="preserve"> </w:t>
            </w:r>
            <w:r w:rsidR="0099105B">
              <w:rPr>
                <w:b/>
                <w:bCs w:val="0"/>
                <w:vertAlign w:val="superscript"/>
              </w:rPr>
              <w:t>3</w:t>
            </w:r>
          </w:p>
          <w:p w14:paraId="63FCB6B9" w14:textId="1A9093EA" w:rsidR="00BD035B" w:rsidRPr="00EC57FB" w:rsidRDefault="00BE42B6" w:rsidP="0089011A">
            <w:pPr>
              <w:pStyle w:val="TableText0"/>
              <w:jc w:val="center"/>
            </w:pPr>
            <w:r w:rsidRPr="00EC57FB">
              <w:rPr>
                <w:iCs/>
              </w:rPr>
              <w:t>Dominant</w:t>
            </w:r>
          </w:p>
        </w:tc>
        <w:tc>
          <w:tcPr>
            <w:tcW w:w="473" w:type="pct"/>
          </w:tcPr>
          <w:p w14:paraId="70FACA12" w14:textId="77777777" w:rsidR="00BD035B" w:rsidRPr="00EC57FB" w:rsidRDefault="00BD035B" w:rsidP="0089011A">
            <w:pPr>
              <w:pStyle w:val="TableText0"/>
              <w:jc w:val="center"/>
            </w:pPr>
          </w:p>
          <w:p w14:paraId="6026FFD6" w14:textId="77777777" w:rsidR="00BD035B" w:rsidRPr="00EC57FB" w:rsidRDefault="00BD035B" w:rsidP="0089011A">
            <w:pPr>
              <w:pStyle w:val="TableText0"/>
              <w:jc w:val="center"/>
            </w:pPr>
          </w:p>
          <w:p w14:paraId="533192C7" w14:textId="6980DCC5"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5"/>
                <w14:textFill>
                  <w14:solidFill>
                    <w14:srgbClr w14:val="000000">
                      <w14:alpha w14:val="100000"/>
                    </w14:srgbClr>
                  </w14:solidFill>
                </w14:textFill>
              </w:rPr>
              <w:t>|||</w:t>
            </w:r>
            <w:r w:rsidR="000641E5" w:rsidRPr="000641E5">
              <w:rPr>
                <w:color w:val="000000"/>
                <w:spacing w:val="2"/>
                <w:shd w:val="solid" w:color="000000" w:fill="000000"/>
                <w:fitText w:val="328" w:id="-662982395"/>
                <w14:textFill>
                  <w14:solidFill>
                    <w14:srgbClr w14:val="000000">
                      <w14:alpha w14:val="100000"/>
                    </w14:srgbClr>
                  </w14:solidFill>
                </w14:textFill>
              </w:rPr>
              <w:t>|</w:t>
            </w:r>
            <w:r w:rsidRPr="00EC57FB">
              <w:t>%</w:t>
            </w:r>
          </w:p>
          <w:p w14:paraId="2FD8B48F" w14:textId="62897AE5"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4"/>
                <w14:textFill>
                  <w14:solidFill>
                    <w14:srgbClr w14:val="000000">
                      <w14:alpha w14:val="100000"/>
                    </w14:srgbClr>
                  </w14:solidFill>
                </w14:textFill>
              </w:rPr>
              <w:t>|||</w:t>
            </w:r>
            <w:r w:rsidR="000641E5" w:rsidRPr="000641E5">
              <w:rPr>
                <w:color w:val="000000"/>
                <w:spacing w:val="2"/>
                <w:shd w:val="solid" w:color="000000" w:fill="000000"/>
                <w:fitText w:val="328" w:id="-662982394"/>
                <w14:textFill>
                  <w14:solidFill>
                    <w14:srgbClr w14:val="000000">
                      <w14:alpha w14:val="100000"/>
                    </w14:srgbClr>
                  </w14:solidFill>
                </w14:textFill>
              </w:rPr>
              <w:t>|</w:t>
            </w:r>
            <w:r w:rsidRPr="00EC57FB">
              <w:t>%</w:t>
            </w:r>
          </w:p>
          <w:p w14:paraId="2793AABE" w14:textId="3781DAB3" w:rsidR="00BD035B" w:rsidRPr="00EC57FB" w:rsidRDefault="00BD035B" w:rsidP="0089011A">
            <w:pPr>
              <w:pStyle w:val="TableText0"/>
              <w:jc w:val="center"/>
            </w:pPr>
            <w:r w:rsidRPr="00EC57FB">
              <w:t>-</w:t>
            </w:r>
            <w:r w:rsidR="000641E5" w:rsidRPr="000641E5">
              <w:rPr>
                <w:color w:val="000000"/>
                <w:spacing w:val="52"/>
                <w:shd w:val="solid" w:color="000000" w:fill="000000"/>
                <w:fitText w:val="327" w:id="-662982393"/>
                <w14:textFill>
                  <w14:solidFill>
                    <w14:srgbClr w14:val="000000">
                      <w14:alpha w14:val="100000"/>
                    </w14:srgbClr>
                  </w14:solidFill>
                </w14:textFill>
              </w:rPr>
              <w:t>|||</w:t>
            </w:r>
            <w:r w:rsidR="000641E5" w:rsidRPr="000641E5">
              <w:rPr>
                <w:color w:val="000000"/>
                <w:spacing w:val="1"/>
                <w:shd w:val="solid" w:color="000000" w:fill="000000"/>
                <w:fitText w:val="327" w:id="-662982393"/>
                <w14:textFill>
                  <w14:solidFill>
                    <w14:srgbClr w14:val="000000">
                      <w14:alpha w14:val="100000"/>
                    </w14:srgbClr>
                  </w14:solidFill>
                </w14:textFill>
              </w:rPr>
              <w:t>|</w:t>
            </w:r>
            <w:r w:rsidRPr="00EC57FB">
              <w:t>%</w:t>
            </w:r>
          </w:p>
        </w:tc>
      </w:tr>
      <w:tr w:rsidR="0089011A" w:rsidRPr="00EC57FB" w14:paraId="080752EA" w14:textId="77777777" w:rsidTr="0089011A">
        <w:tc>
          <w:tcPr>
            <w:tcW w:w="2811" w:type="pct"/>
          </w:tcPr>
          <w:p w14:paraId="0476C603" w14:textId="77777777" w:rsidR="00BD035B" w:rsidRPr="00EC57FB" w:rsidRDefault="00BD035B" w:rsidP="0089011A">
            <w:pPr>
              <w:pStyle w:val="TableText0"/>
            </w:pPr>
            <w:r w:rsidRPr="00EC57FB">
              <w:t>MA RSV LRTI rate (base case 10.8%)</w:t>
            </w:r>
          </w:p>
          <w:p w14:paraId="5B9703B5" w14:textId="77777777" w:rsidR="00BD035B" w:rsidRPr="00EC57FB" w:rsidRDefault="00BD035B" w:rsidP="0089011A">
            <w:pPr>
              <w:pStyle w:val="TableText0"/>
              <w:numPr>
                <w:ilvl w:val="0"/>
                <w:numId w:val="5"/>
              </w:numPr>
            </w:pPr>
            <w:r w:rsidRPr="00EC57FB">
              <w:t>5.4% (MELODY update)</w:t>
            </w:r>
          </w:p>
          <w:p w14:paraId="4B760D72" w14:textId="77777777" w:rsidR="00BD035B" w:rsidRPr="00EC57FB" w:rsidRDefault="00BD035B" w:rsidP="0089011A">
            <w:pPr>
              <w:pStyle w:val="TableText0"/>
              <w:numPr>
                <w:ilvl w:val="0"/>
                <w:numId w:val="5"/>
              </w:numPr>
            </w:pPr>
            <w:r w:rsidRPr="00EC57FB">
              <w:t>6.4% (MELODY update excluding southern hemisphere)</w:t>
            </w:r>
          </w:p>
        </w:tc>
        <w:tc>
          <w:tcPr>
            <w:tcW w:w="610" w:type="pct"/>
          </w:tcPr>
          <w:p w14:paraId="0AEEAE53" w14:textId="77777777" w:rsidR="00BD035B" w:rsidRPr="00EC57FB" w:rsidRDefault="00BD035B" w:rsidP="0089011A">
            <w:pPr>
              <w:pStyle w:val="TableText0"/>
              <w:jc w:val="center"/>
            </w:pPr>
          </w:p>
          <w:p w14:paraId="01A26CD0" w14:textId="439FEEDA"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2"/>
                <w14:textFill>
                  <w14:solidFill>
                    <w14:srgbClr w14:val="000000">
                      <w14:alpha w14:val="100000"/>
                    </w14:srgbClr>
                  </w14:solidFill>
                </w14:textFill>
              </w:rPr>
              <w:t>|||</w:t>
            </w:r>
            <w:r w:rsidR="000641E5" w:rsidRPr="000641E5">
              <w:rPr>
                <w:color w:val="000000"/>
                <w:spacing w:val="2"/>
                <w:shd w:val="solid" w:color="000000" w:fill="000000"/>
                <w:fitText w:val="328" w:id="-662982392"/>
                <w14:textFill>
                  <w14:solidFill>
                    <w14:srgbClr w14:val="000000">
                      <w14:alpha w14:val="100000"/>
                    </w14:srgbClr>
                  </w14:solidFill>
                </w14:textFill>
              </w:rPr>
              <w:t>|</w:t>
            </w:r>
          </w:p>
          <w:p w14:paraId="4F35260D" w14:textId="30479AC5"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1"/>
                <w14:textFill>
                  <w14:solidFill>
                    <w14:srgbClr w14:val="000000">
                      <w14:alpha w14:val="100000"/>
                    </w14:srgbClr>
                  </w14:solidFill>
                </w14:textFill>
              </w:rPr>
              <w:t>|||</w:t>
            </w:r>
            <w:r w:rsidR="000641E5" w:rsidRPr="000641E5">
              <w:rPr>
                <w:color w:val="000000"/>
                <w:spacing w:val="2"/>
                <w:shd w:val="solid" w:color="000000" w:fill="000000"/>
                <w:fitText w:val="328" w:id="-662982391"/>
                <w14:textFill>
                  <w14:solidFill>
                    <w14:srgbClr w14:val="000000">
                      <w14:alpha w14:val="100000"/>
                    </w14:srgbClr>
                  </w14:solidFill>
                </w14:textFill>
              </w:rPr>
              <w:t>|</w:t>
            </w:r>
          </w:p>
        </w:tc>
        <w:tc>
          <w:tcPr>
            <w:tcW w:w="571" w:type="pct"/>
          </w:tcPr>
          <w:p w14:paraId="4501AD4C" w14:textId="77777777" w:rsidR="00BD035B" w:rsidRPr="00EC57FB" w:rsidRDefault="00BD035B" w:rsidP="0089011A">
            <w:pPr>
              <w:pStyle w:val="TableText0"/>
              <w:jc w:val="center"/>
            </w:pPr>
          </w:p>
          <w:p w14:paraId="6C62031D" w14:textId="77777777" w:rsidR="00BD035B" w:rsidRPr="00EC57FB" w:rsidRDefault="00BD035B" w:rsidP="0089011A">
            <w:pPr>
              <w:pStyle w:val="TableText0"/>
              <w:jc w:val="center"/>
            </w:pPr>
            <w:r w:rsidRPr="00EC57FB">
              <w:t>640.29</w:t>
            </w:r>
          </w:p>
          <w:p w14:paraId="071E6CD2" w14:textId="77777777" w:rsidR="00BD035B" w:rsidRPr="00EC57FB" w:rsidRDefault="00BD035B" w:rsidP="0089011A">
            <w:pPr>
              <w:pStyle w:val="TableText0"/>
              <w:jc w:val="center"/>
            </w:pPr>
            <w:r w:rsidRPr="00EC57FB">
              <w:t>647.19</w:t>
            </w:r>
          </w:p>
        </w:tc>
        <w:tc>
          <w:tcPr>
            <w:tcW w:w="535" w:type="pct"/>
          </w:tcPr>
          <w:p w14:paraId="35415C60" w14:textId="77777777" w:rsidR="00BD035B" w:rsidRPr="00EC57FB" w:rsidRDefault="00BD035B" w:rsidP="0089011A">
            <w:pPr>
              <w:pStyle w:val="TableText0"/>
              <w:jc w:val="center"/>
            </w:pPr>
          </w:p>
          <w:p w14:paraId="2781AF89" w14:textId="097321C9"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0"/>
                <w14:textFill>
                  <w14:solidFill>
                    <w14:srgbClr w14:val="000000">
                      <w14:alpha w14:val="100000"/>
                    </w14:srgbClr>
                  </w14:solidFill>
                </w14:textFill>
              </w:rPr>
              <w:t>|||</w:t>
            </w:r>
            <w:r w:rsidR="000641E5" w:rsidRPr="000641E5">
              <w:rPr>
                <w:color w:val="000000"/>
                <w:spacing w:val="2"/>
                <w:shd w:val="solid" w:color="000000" w:fill="000000"/>
                <w:fitText w:val="328" w:id="-662982390"/>
                <w14:textFill>
                  <w14:solidFill>
                    <w14:srgbClr w14:val="000000">
                      <w14:alpha w14:val="100000"/>
                    </w14:srgbClr>
                  </w14:solidFill>
                </w14:textFill>
              </w:rPr>
              <w:t>|</w:t>
            </w:r>
            <w:r w:rsidR="0099105B">
              <w:rPr>
                <w:b/>
                <w:bCs w:val="0"/>
              </w:rPr>
              <w:t xml:space="preserve"> </w:t>
            </w:r>
            <w:r w:rsidR="0099105B">
              <w:rPr>
                <w:b/>
                <w:bCs w:val="0"/>
                <w:vertAlign w:val="superscript"/>
              </w:rPr>
              <w:t>4</w:t>
            </w:r>
          </w:p>
          <w:p w14:paraId="3537DA62" w14:textId="673E97DF"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89"/>
                <w14:textFill>
                  <w14:solidFill>
                    <w14:srgbClr w14:val="000000">
                      <w14:alpha w14:val="100000"/>
                    </w14:srgbClr>
                  </w14:solidFill>
                </w14:textFill>
              </w:rPr>
              <w:t>|||</w:t>
            </w:r>
            <w:r w:rsidR="000641E5" w:rsidRPr="000641E5">
              <w:rPr>
                <w:color w:val="000000"/>
                <w:spacing w:val="2"/>
                <w:shd w:val="solid" w:color="000000" w:fill="000000"/>
                <w:fitText w:val="328" w:id="-662982389"/>
                <w14:textFill>
                  <w14:solidFill>
                    <w14:srgbClr w14:val="000000">
                      <w14:alpha w14:val="100000"/>
                    </w14:srgbClr>
                  </w14:solidFill>
                </w14:textFill>
              </w:rPr>
              <w:t>|</w:t>
            </w:r>
            <w:r w:rsidR="0099105B">
              <w:rPr>
                <w:b/>
                <w:bCs w:val="0"/>
              </w:rPr>
              <w:t xml:space="preserve"> </w:t>
            </w:r>
            <w:r w:rsidR="0099105B">
              <w:rPr>
                <w:b/>
                <w:bCs w:val="0"/>
                <w:vertAlign w:val="superscript"/>
              </w:rPr>
              <w:t>4</w:t>
            </w:r>
          </w:p>
        </w:tc>
        <w:tc>
          <w:tcPr>
            <w:tcW w:w="473" w:type="pct"/>
          </w:tcPr>
          <w:p w14:paraId="3AC1C39C" w14:textId="77777777" w:rsidR="00BD035B" w:rsidRPr="00EC57FB" w:rsidRDefault="00BD035B" w:rsidP="0089011A">
            <w:pPr>
              <w:pStyle w:val="TableText0"/>
              <w:jc w:val="center"/>
            </w:pPr>
          </w:p>
          <w:p w14:paraId="367A01A1" w14:textId="23AAC5A3"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88"/>
                <w14:textFill>
                  <w14:solidFill>
                    <w14:srgbClr w14:val="000000">
                      <w14:alpha w14:val="100000"/>
                    </w14:srgbClr>
                  </w14:solidFill>
                </w14:textFill>
              </w:rPr>
              <w:t>|||</w:t>
            </w:r>
            <w:r w:rsidR="000641E5" w:rsidRPr="000641E5">
              <w:rPr>
                <w:color w:val="000000"/>
                <w:spacing w:val="2"/>
                <w:shd w:val="solid" w:color="000000" w:fill="000000"/>
                <w:fitText w:val="328" w:id="-662982388"/>
                <w14:textFill>
                  <w14:solidFill>
                    <w14:srgbClr w14:val="000000">
                      <w14:alpha w14:val="100000"/>
                    </w14:srgbClr>
                  </w14:solidFill>
                </w14:textFill>
              </w:rPr>
              <w:t>|</w:t>
            </w:r>
            <w:r w:rsidRPr="00EC57FB">
              <w:t>%</w:t>
            </w:r>
          </w:p>
          <w:p w14:paraId="019D3BAF" w14:textId="25C5281A"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87"/>
                <w14:textFill>
                  <w14:solidFill>
                    <w14:srgbClr w14:val="000000">
                      <w14:alpha w14:val="100000"/>
                    </w14:srgbClr>
                  </w14:solidFill>
                </w14:textFill>
              </w:rPr>
              <w:t>|||</w:t>
            </w:r>
            <w:r w:rsidR="000641E5" w:rsidRPr="000641E5">
              <w:rPr>
                <w:color w:val="000000"/>
                <w:spacing w:val="2"/>
                <w:shd w:val="solid" w:color="000000" w:fill="000000"/>
                <w:fitText w:val="328" w:id="-662982387"/>
                <w14:textFill>
                  <w14:solidFill>
                    <w14:srgbClr w14:val="000000">
                      <w14:alpha w14:val="100000"/>
                    </w14:srgbClr>
                  </w14:solidFill>
                </w14:textFill>
              </w:rPr>
              <w:t>|</w:t>
            </w:r>
            <w:r w:rsidRPr="00EC57FB">
              <w:t>%</w:t>
            </w:r>
          </w:p>
        </w:tc>
      </w:tr>
      <w:tr w:rsidR="0089011A" w:rsidRPr="00EC57FB" w14:paraId="34436CEC" w14:textId="77777777" w:rsidTr="0089011A">
        <w:tc>
          <w:tcPr>
            <w:tcW w:w="2811" w:type="pct"/>
          </w:tcPr>
          <w:p w14:paraId="34BC98CC" w14:textId="77777777" w:rsidR="00BD035B" w:rsidRPr="00EC57FB" w:rsidRDefault="00BD035B" w:rsidP="0089011A">
            <w:pPr>
              <w:pStyle w:val="TableText0"/>
            </w:pPr>
            <w:r w:rsidRPr="00EC57FB">
              <w:t>Varying health state costs (not varying recurrent wheezing and asthma costs)</w:t>
            </w:r>
          </w:p>
          <w:p w14:paraId="423EA7EB" w14:textId="77777777" w:rsidR="00BD035B" w:rsidRPr="00EC57FB" w:rsidRDefault="00BD035B" w:rsidP="0089011A">
            <w:pPr>
              <w:pStyle w:val="TableText0"/>
              <w:numPr>
                <w:ilvl w:val="0"/>
                <w:numId w:val="6"/>
              </w:numPr>
            </w:pPr>
            <w:r w:rsidRPr="00EC57FB">
              <w:t>Decrease by 20%</w:t>
            </w:r>
          </w:p>
          <w:p w14:paraId="78BCCC17" w14:textId="77777777" w:rsidR="00BD035B" w:rsidRPr="00EC57FB" w:rsidRDefault="00BD035B" w:rsidP="0089011A">
            <w:pPr>
              <w:pStyle w:val="TableText0"/>
              <w:numPr>
                <w:ilvl w:val="0"/>
                <w:numId w:val="6"/>
              </w:numPr>
            </w:pPr>
            <w:r w:rsidRPr="00EC57FB">
              <w:t>Increase by 20%</w:t>
            </w:r>
          </w:p>
          <w:p w14:paraId="7DEE99DE" w14:textId="77777777" w:rsidR="00BD035B" w:rsidRPr="00EC57FB" w:rsidRDefault="00BD035B" w:rsidP="0089011A">
            <w:pPr>
              <w:pStyle w:val="TableText0"/>
              <w:numPr>
                <w:ilvl w:val="0"/>
                <w:numId w:val="6"/>
              </w:numPr>
            </w:pPr>
            <w:r w:rsidRPr="00EC57FB">
              <w:t>Brusco 2018 only index and up to 30 days of readmissions</w:t>
            </w:r>
          </w:p>
        </w:tc>
        <w:tc>
          <w:tcPr>
            <w:tcW w:w="610" w:type="pct"/>
          </w:tcPr>
          <w:p w14:paraId="4591E23E" w14:textId="77777777" w:rsidR="00BD035B" w:rsidRPr="00EC57FB" w:rsidRDefault="00BD035B" w:rsidP="0089011A">
            <w:pPr>
              <w:pStyle w:val="TableText0"/>
              <w:jc w:val="center"/>
            </w:pPr>
          </w:p>
          <w:p w14:paraId="08A14376" w14:textId="77777777" w:rsidR="00BD035B" w:rsidRPr="00EC57FB" w:rsidRDefault="00BD035B" w:rsidP="0089011A">
            <w:pPr>
              <w:pStyle w:val="TableText0"/>
              <w:jc w:val="center"/>
            </w:pPr>
          </w:p>
          <w:p w14:paraId="2DA5BEAA" w14:textId="257BAA9F"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86"/>
                <w14:textFill>
                  <w14:solidFill>
                    <w14:srgbClr w14:val="000000">
                      <w14:alpha w14:val="100000"/>
                    </w14:srgbClr>
                  </w14:solidFill>
                </w14:textFill>
              </w:rPr>
              <w:t>|||</w:t>
            </w:r>
            <w:r w:rsidR="000641E5" w:rsidRPr="000641E5">
              <w:rPr>
                <w:color w:val="000000"/>
                <w:spacing w:val="2"/>
                <w:shd w:val="solid" w:color="000000" w:fill="000000"/>
                <w:fitText w:val="328" w:id="-662982386"/>
                <w14:textFill>
                  <w14:solidFill>
                    <w14:srgbClr w14:val="000000">
                      <w14:alpha w14:val="100000"/>
                    </w14:srgbClr>
                  </w14:solidFill>
                </w14:textFill>
              </w:rPr>
              <w:t>|</w:t>
            </w:r>
          </w:p>
          <w:p w14:paraId="4A904D75" w14:textId="361671DB" w:rsidR="00BD035B" w:rsidRPr="00EC57FB" w:rsidRDefault="00BD035B" w:rsidP="0089011A">
            <w:pPr>
              <w:pStyle w:val="TableText0"/>
              <w:jc w:val="center"/>
            </w:pPr>
            <w:r w:rsidRPr="00EC57FB">
              <w:t>-$</w:t>
            </w:r>
            <w:r w:rsidR="000641E5" w:rsidRPr="000641E5">
              <w:rPr>
                <w:color w:val="000000"/>
                <w:spacing w:val="52"/>
                <w:shd w:val="solid" w:color="000000" w:fill="000000"/>
                <w:fitText w:val="327" w:id="-662982385"/>
                <w14:textFill>
                  <w14:solidFill>
                    <w14:srgbClr w14:val="000000">
                      <w14:alpha w14:val="100000"/>
                    </w14:srgbClr>
                  </w14:solidFill>
                </w14:textFill>
              </w:rPr>
              <w:t>|||</w:t>
            </w:r>
            <w:r w:rsidR="000641E5" w:rsidRPr="000641E5">
              <w:rPr>
                <w:color w:val="000000"/>
                <w:spacing w:val="1"/>
                <w:shd w:val="solid" w:color="000000" w:fill="000000"/>
                <w:fitText w:val="327" w:id="-662982385"/>
                <w14:textFill>
                  <w14:solidFill>
                    <w14:srgbClr w14:val="000000">
                      <w14:alpha w14:val="100000"/>
                    </w14:srgbClr>
                  </w14:solidFill>
                </w14:textFill>
              </w:rPr>
              <w:t>|</w:t>
            </w:r>
          </w:p>
          <w:p w14:paraId="1CF86935" w14:textId="340E9EF6"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84"/>
                <w14:textFill>
                  <w14:solidFill>
                    <w14:srgbClr w14:val="000000">
                      <w14:alpha w14:val="100000"/>
                    </w14:srgbClr>
                  </w14:solidFill>
                </w14:textFill>
              </w:rPr>
              <w:t>|||</w:t>
            </w:r>
            <w:r w:rsidR="000641E5" w:rsidRPr="000641E5">
              <w:rPr>
                <w:color w:val="000000"/>
                <w:spacing w:val="2"/>
                <w:shd w:val="solid" w:color="000000" w:fill="000000"/>
                <w:fitText w:val="328" w:id="-662982384"/>
                <w14:textFill>
                  <w14:solidFill>
                    <w14:srgbClr w14:val="000000">
                      <w14:alpha w14:val="100000"/>
                    </w14:srgbClr>
                  </w14:solidFill>
                </w14:textFill>
              </w:rPr>
              <w:t>|</w:t>
            </w:r>
          </w:p>
        </w:tc>
        <w:tc>
          <w:tcPr>
            <w:tcW w:w="571" w:type="pct"/>
          </w:tcPr>
          <w:p w14:paraId="00E8D8B8" w14:textId="77777777" w:rsidR="00BD035B" w:rsidRPr="00EC57FB" w:rsidRDefault="00BD035B" w:rsidP="0089011A">
            <w:pPr>
              <w:pStyle w:val="TableText0"/>
              <w:jc w:val="center"/>
            </w:pPr>
          </w:p>
          <w:p w14:paraId="7FCEC2BD" w14:textId="77777777" w:rsidR="00BD035B" w:rsidRPr="00EC57FB" w:rsidRDefault="00BD035B" w:rsidP="0089011A">
            <w:pPr>
              <w:pStyle w:val="TableText0"/>
              <w:jc w:val="center"/>
            </w:pPr>
          </w:p>
          <w:p w14:paraId="3A11B9D5" w14:textId="77777777" w:rsidR="00BD035B" w:rsidRPr="00EC57FB" w:rsidRDefault="00BD035B" w:rsidP="0089011A">
            <w:pPr>
              <w:pStyle w:val="TableText0"/>
              <w:jc w:val="center"/>
            </w:pPr>
            <w:r w:rsidRPr="00EC57FB">
              <w:t>678.75</w:t>
            </w:r>
          </w:p>
          <w:p w14:paraId="5512F86B" w14:textId="77777777" w:rsidR="00BD035B" w:rsidRPr="00EC57FB" w:rsidRDefault="00BD035B" w:rsidP="0089011A">
            <w:pPr>
              <w:pStyle w:val="TableText0"/>
              <w:jc w:val="center"/>
            </w:pPr>
            <w:r w:rsidRPr="00EC57FB">
              <w:t>678.75</w:t>
            </w:r>
          </w:p>
          <w:p w14:paraId="53D10B1E" w14:textId="77777777" w:rsidR="00BD035B" w:rsidRPr="00EC57FB" w:rsidRDefault="00BD035B" w:rsidP="0089011A">
            <w:pPr>
              <w:pStyle w:val="TableText0"/>
              <w:jc w:val="center"/>
            </w:pPr>
            <w:r w:rsidRPr="00EC57FB">
              <w:t>678.75</w:t>
            </w:r>
          </w:p>
        </w:tc>
        <w:tc>
          <w:tcPr>
            <w:tcW w:w="535" w:type="pct"/>
          </w:tcPr>
          <w:p w14:paraId="15A46D78" w14:textId="77777777" w:rsidR="00BD035B" w:rsidRPr="00EC57FB" w:rsidRDefault="00BD035B" w:rsidP="0089011A">
            <w:pPr>
              <w:pStyle w:val="TableText0"/>
              <w:jc w:val="center"/>
            </w:pPr>
          </w:p>
          <w:p w14:paraId="600859D3" w14:textId="77777777" w:rsidR="00BD035B" w:rsidRPr="00EC57FB" w:rsidRDefault="00BD035B" w:rsidP="0089011A">
            <w:pPr>
              <w:pStyle w:val="TableText0"/>
              <w:jc w:val="center"/>
            </w:pPr>
          </w:p>
          <w:p w14:paraId="3B6AED90" w14:textId="1D6D5FCC"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400"/>
                <w14:textFill>
                  <w14:solidFill>
                    <w14:srgbClr w14:val="000000">
                      <w14:alpha w14:val="100000"/>
                    </w14:srgbClr>
                  </w14:solidFill>
                </w14:textFill>
              </w:rPr>
              <w:t>|||</w:t>
            </w:r>
            <w:r w:rsidR="000641E5" w:rsidRPr="000641E5">
              <w:rPr>
                <w:color w:val="000000"/>
                <w:spacing w:val="2"/>
                <w:shd w:val="solid" w:color="000000" w:fill="000000"/>
                <w:fitText w:val="328" w:id="-662982400"/>
                <w14:textFill>
                  <w14:solidFill>
                    <w14:srgbClr w14:val="000000">
                      <w14:alpha w14:val="100000"/>
                    </w14:srgbClr>
                  </w14:solidFill>
                </w14:textFill>
              </w:rPr>
              <w:t>|</w:t>
            </w:r>
            <w:r w:rsidR="0099105B">
              <w:rPr>
                <w:b/>
                <w:bCs w:val="0"/>
              </w:rPr>
              <w:t xml:space="preserve"> </w:t>
            </w:r>
            <w:r w:rsidR="0099105B">
              <w:rPr>
                <w:b/>
                <w:bCs w:val="0"/>
                <w:vertAlign w:val="superscript"/>
              </w:rPr>
              <w:t>5</w:t>
            </w:r>
          </w:p>
          <w:p w14:paraId="7B9877D8" w14:textId="77777777" w:rsidR="00BE42B6" w:rsidRPr="00EC57FB" w:rsidRDefault="00BE42B6" w:rsidP="0089011A">
            <w:pPr>
              <w:pStyle w:val="TableText0"/>
              <w:jc w:val="center"/>
            </w:pPr>
            <w:r w:rsidRPr="00EC57FB">
              <w:rPr>
                <w:iCs/>
              </w:rPr>
              <w:t>Dominant</w:t>
            </w:r>
            <w:r w:rsidRPr="00EC57FB">
              <w:t xml:space="preserve"> </w:t>
            </w:r>
          </w:p>
          <w:p w14:paraId="7B20F401" w14:textId="646477DC"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9"/>
                <w14:textFill>
                  <w14:solidFill>
                    <w14:srgbClr w14:val="000000">
                      <w14:alpha w14:val="100000"/>
                    </w14:srgbClr>
                  </w14:solidFill>
                </w14:textFill>
              </w:rPr>
              <w:t>|||</w:t>
            </w:r>
            <w:r w:rsidR="000641E5" w:rsidRPr="000641E5">
              <w:rPr>
                <w:color w:val="000000"/>
                <w:spacing w:val="2"/>
                <w:shd w:val="solid" w:color="000000" w:fill="000000"/>
                <w:fitText w:val="328" w:id="-662982399"/>
                <w14:textFill>
                  <w14:solidFill>
                    <w14:srgbClr w14:val="000000">
                      <w14:alpha w14:val="100000"/>
                    </w14:srgbClr>
                  </w14:solidFill>
                </w14:textFill>
              </w:rPr>
              <w:t>|</w:t>
            </w:r>
            <w:r w:rsidR="0099105B">
              <w:rPr>
                <w:b/>
                <w:bCs w:val="0"/>
              </w:rPr>
              <w:t xml:space="preserve"> </w:t>
            </w:r>
            <w:r w:rsidR="0099105B">
              <w:rPr>
                <w:b/>
                <w:bCs w:val="0"/>
                <w:vertAlign w:val="superscript"/>
              </w:rPr>
              <w:t>5</w:t>
            </w:r>
          </w:p>
        </w:tc>
        <w:tc>
          <w:tcPr>
            <w:tcW w:w="473" w:type="pct"/>
          </w:tcPr>
          <w:p w14:paraId="3A3DC5D9" w14:textId="77777777" w:rsidR="00BD035B" w:rsidRPr="00EC57FB" w:rsidRDefault="00BD035B" w:rsidP="0089011A">
            <w:pPr>
              <w:pStyle w:val="TableText0"/>
              <w:jc w:val="center"/>
            </w:pPr>
          </w:p>
          <w:p w14:paraId="6EDBD67E" w14:textId="77777777" w:rsidR="00BD035B" w:rsidRPr="00EC57FB" w:rsidRDefault="00BD035B" w:rsidP="0089011A">
            <w:pPr>
              <w:pStyle w:val="TableText0"/>
              <w:jc w:val="center"/>
            </w:pPr>
          </w:p>
          <w:p w14:paraId="02C0969D" w14:textId="4577C174"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8"/>
                <w14:textFill>
                  <w14:solidFill>
                    <w14:srgbClr w14:val="000000">
                      <w14:alpha w14:val="100000"/>
                    </w14:srgbClr>
                  </w14:solidFill>
                </w14:textFill>
              </w:rPr>
              <w:t>|||</w:t>
            </w:r>
            <w:r w:rsidR="000641E5" w:rsidRPr="000641E5">
              <w:rPr>
                <w:color w:val="000000"/>
                <w:spacing w:val="2"/>
                <w:shd w:val="solid" w:color="000000" w:fill="000000"/>
                <w:fitText w:val="328" w:id="-662982398"/>
                <w14:textFill>
                  <w14:solidFill>
                    <w14:srgbClr w14:val="000000">
                      <w14:alpha w14:val="100000"/>
                    </w14:srgbClr>
                  </w14:solidFill>
                </w14:textFill>
              </w:rPr>
              <w:t>|</w:t>
            </w:r>
            <w:r w:rsidRPr="00EC57FB">
              <w:t>%</w:t>
            </w:r>
          </w:p>
          <w:p w14:paraId="315EBBCF" w14:textId="4C87E696" w:rsidR="00BD035B" w:rsidRPr="00EC57FB" w:rsidRDefault="00BD035B" w:rsidP="0089011A">
            <w:pPr>
              <w:pStyle w:val="TableText0"/>
              <w:jc w:val="center"/>
            </w:pPr>
            <w:r w:rsidRPr="00EC57FB">
              <w:t>-</w:t>
            </w:r>
            <w:r w:rsidR="000641E5" w:rsidRPr="000641E5">
              <w:rPr>
                <w:color w:val="000000"/>
                <w:spacing w:val="52"/>
                <w:shd w:val="solid" w:color="000000" w:fill="000000"/>
                <w:fitText w:val="327" w:id="-662982397"/>
                <w14:textFill>
                  <w14:solidFill>
                    <w14:srgbClr w14:val="000000">
                      <w14:alpha w14:val="100000"/>
                    </w14:srgbClr>
                  </w14:solidFill>
                </w14:textFill>
              </w:rPr>
              <w:t>|||</w:t>
            </w:r>
            <w:r w:rsidR="000641E5" w:rsidRPr="000641E5">
              <w:rPr>
                <w:color w:val="000000"/>
                <w:spacing w:val="1"/>
                <w:shd w:val="solid" w:color="000000" w:fill="000000"/>
                <w:fitText w:val="327" w:id="-662982397"/>
                <w14:textFill>
                  <w14:solidFill>
                    <w14:srgbClr w14:val="000000">
                      <w14:alpha w14:val="100000"/>
                    </w14:srgbClr>
                  </w14:solidFill>
                </w14:textFill>
              </w:rPr>
              <w:t>|</w:t>
            </w:r>
            <w:r w:rsidRPr="0099105B">
              <w:t>%</w:t>
            </w:r>
          </w:p>
          <w:p w14:paraId="1A57C594" w14:textId="3D1F155A"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6"/>
                <w14:textFill>
                  <w14:solidFill>
                    <w14:srgbClr w14:val="000000">
                      <w14:alpha w14:val="100000"/>
                    </w14:srgbClr>
                  </w14:solidFill>
                </w14:textFill>
              </w:rPr>
              <w:t>|||</w:t>
            </w:r>
            <w:r w:rsidR="000641E5" w:rsidRPr="000641E5">
              <w:rPr>
                <w:color w:val="000000"/>
                <w:spacing w:val="2"/>
                <w:shd w:val="solid" w:color="000000" w:fill="000000"/>
                <w:fitText w:val="328" w:id="-662982396"/>
                <w14:textFill>
                  <w14:solidFill>
                    <w14:srgbClr w14:val="000000">
                      <w14:alpha w14:val="100000"/>
                    </w14:srgbClr>
                  </w14:solidFill>
                </w14:textFill>
              </w:rPr>
              <w:t>|</w:t>
            </w:r>
            <w:r w:rsidRPr="00EC57FB">
              <w:t>%</w:t>
            </w:r>
          </w:p>
        </w:tc>
      </w:tr>
      <w:tr w:rsidR="0089011A" w:rsidRPr="00EC57FB" w14:paraId="508D98C1" w14:textId="77777777" w:rsidTr="0089011A">
        <w:tc>
          <w:tcPr>
            <w:tcW w:w="2811" w:type="pct"/>
          </w:tcPr>
          <w:p w14:paraId="19B66F61" w14:textId="77777777" w:rsidR="00BD035B" w:rsidRPr="00EC57FB" w:rsidRDefault="00BD035B" w:rsidP="0089011A">
            <w:pPr>
              <w:pStyle w:val="TableText0"/>
            </w:pPr>
            <w:r w:rsidRPr="00EC57FB">
              <w:t>Hospitalisation rate (base case = 4.2%)</w:t>
            </w:r>
          </w:p>
          <w:p w14:paraId="52C54CCF" w14:textId="77777777" w:rsidR="00BD035B" w:rsidRPr="00EC57FB" w:rsidRDefault="00BD035B" w:rsidP="0089011A">
            <w:pPr>
              <w:pStyle w:val="TableText0"/>
              <w:numPr>
                <w:ilvl w:val="0"/>
                <w:numId w:val="6"/>
              </w:numPr>
            </w:pPr>
            <w:r w:rsidRPr="00EC57FB">
              <w:t>2.33%; per PBAC advice</w:t>
            </w:r>
          </w:p>
          <w:p w14:paraId="33AEA86A" w14:textId="179BF70F" w:rsidR="00684FAB" w:rsidRPr="00EC57FB" w:rsidRDefault="00684FAB" w:rsidP="0089011A">
            <w:pPr>
              <w:pStyle w:val="TableText0"/>
              <w:numPr>
                <w:ilvl w:val="0"/>
                <w:numId w:val="6"/>
              </w:numPr>
            </w:pPr>
            <w:r w:rsidRPr="00EC57FB">
              <w:t>3.67%; per PSCR</w:t>
            </w:r>
          </w:p>
        </w:tc>
        <w:tc>
          <w:tcPr>
            <w:tcW w:w="610" w:type="pct"/>
          </w:tcPr>
          <w:p w14:paraId="4E7FCA1E" w14:textId="77777777" w:rsidR="00BD035B" w:rsidRPr="00EC57FB" w:rsidRDefault="00BD035B" w:rsidP="0089011A">
            <w:pPr>
              <w:pStyle w:val="TableText0"/>
              <w:jc w:val="center"/>
            </w:pPr>
          </w:p>
          <w:p w14:paraId="617580CF" w14:textId="5D6BDC9E"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5"/>
                <w14:textFill>
                  <w14:solidFill>
                    <w14:srgbClr w14:val="000000">
                      <w14:alpha w14:val="100000"/>
                    </w14:srgbClr>
                  </w14:solidFill>
                </w14:textFill>
              </w:rPr>
              <w:t>|||</w:t>
            </w:r>
            <w:r w:rsidR="000641E5" w:rsidRPr="000641E5">
              <w:rPr>
                <w:color w:val="000000"/>
                <w:spacing w:val="2"/>
                <w:shd w:val="solid" w:color="000000" w:fill="000000"/>
                <w:fitText w:val="328" w:id="-662982395"/>
                <w14:textFill>
                  <w14:solidFill>
                    <w14:srgbClr w14:val="000000">
                      <w14:alpha w14:val="100000"/>
                    </w14:srgbClr>
                  </w14:solidFill>
                </w14:textFill>
              </w:rPr>
              <w:t>|</w:t>
            </w:r>
          </w:p>
          <w:p w14:paraId="32B04556" w14:textId="48DAC2D1" w:rsidR="008521A7" w:rsidRPr="00EC57FB" w:rsidRDefault="008A65F2" w:rsidP="0089011A">
            <w:pPr>
              <w:pStyle w:val="TableText0"/>
              <w:jc w:val="center"/>
            </w:pPr>
            <w:r w:rsidRPr="00EC57FB">
              <w:t>$</w:t>
            </w:r>
            <w:r w:rsidR="000641E5" w:rsidRPr="000641E5">
              <w:rPr>
                <w:color w:val="000000"/>
                <w:spacing w:val="52"/>
                <w:shd w:val="solid" w:color="000000" w:fill="000000"/>
                <w:fitText w:val="328" w:id="-662982394"/>
                <w14:textFill>
                  <w14:solidFill>
                    <w14:srgbClr w14:val="000000">
                      <w14:alpha w14:val="100000"/>
                    </w14:srgbClr>
                  </w14:solidFill>
                </w14:textFill>
              </w:rPr>
              <w:t>|||</w:t>
            </w:r>
            <w:r w:rsidR="000641E5" w:rsidRPr="000641E5">
              <w:rPr>
                <w:color w:val="000000"/>
                <w:spacing w:val="2"/>
                <w:shd w:val="solid" w:color="000000" w:fill="000000"/>
                <w:fitText w:val="328" w:id="-662982394"/>
                <w14:textFill>
                  <w14:solidFill>
                    <w14:srgbClr w14:val="000000">
                      <w14:alpha w14:val="100000"/>
                    </w14:srgbClr>
                  </w14:solidFill>
                </w14:textFill>
              </w:rPr>
              <w:t>|</w:t>
            </w:r>
          </w:p>
        </w:tc>
        <w:tc>
          <w:tcPr>
            <w:tcW w:w="571" w:type="pct"/>
          </w:tcPr>
          <w:p w14:paraId="2F60B8F4" w14:textId="77777777" w:rsidR="00BD035B" w:rsidRPr="00EC57FB" w:rsidRDefault="00BD035B" w:rsidP="0089011A">
            <w:pPr>
              <w:pStyle w:val="TableText0"/>
              <w:jc w:val="center"/>
            </w:pPr>
          </w:p>
          <w:p w14:paraId="0C5B2BAA" w14:textId="77777777" w:rsidR="00BD035B" w:rsidRPr="00EC57FB" w:rsidRDefault="00BD035B" w:rsidP="0089011A">
            <w:pPr>
              <w:pStyle w:val="TableText0"/>
              <w:jc w:val="center"/>
            </w:pPr>
            <w:r w:rsidRPr="00EC57FB">
              <w:t>410.24</w:t>
            </w:r>
          </w:p>
          <w:p w14:paraId="32163732" w14:textId="27B7962B" w:rsidR="008521A7" w:rsidRPr="00EC57FB" w:rsidRDefault="008A65F2" w:rsidP="0089011A">
            <w:pPr>
              <w:pStyle w:val="TableText0"/>
              <w:jc w:val="center"/>
            </w:pPr>
            <w:r w:rsidRPr="00EC57FB">
              <w:t>603.50</w:t>
            </w:r>
          </w:p>
        </w:tc>
        <w:tc>
          <w:tcPr>
            <w:tcW w:w="535" w:type="pct"/>
          </w:tcPr>
          <w:p w14:paraId="195050D5" w14:textId="77777777" w:rsidR="00BD035B" w:rsidRPr="00EC57FB" w:rsidRDefault="00BD035B" w:rsidP="0089011A">
            <w:pPr>
              <w:pStyle w:val="TableText0"/>
              <w:jc w:val="center"/>
            </w:pPr>
          </w:p>
          <w:p w14:paraId="0065D96A" w14:textId="11881145"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3"/>
                <w14:textFill>
                  <w14:solidFill>
                    <w14:srgbClr w14:val="000000">
                      <w14:alpha w14:val="100000"/>
                    </w14:srgbClr>
                  </w14:solidFill>
                </w14:textFill>
              </w:rPr>
              <w:t>|||</w:t>
            </w:r>
            <w:r w:rsidR="000641E5" w:rsidRPr="000641E5">
              <w:rPr>
                <w:color w:val="000000"/>
                <w:spacing w:val="2"/>
                <w:shd w:val="solid" w:color="000000" w:fill="000000"/>
                <w:fitText w:val="328" w:id="-662982393"/>
                <w14:textFill>
                  <w14:solidFill>
                    <w14:srgbClr w14:val="000000">
                      <w14:alpha w14:val="100000"/>
                    </w14:srgbClr>
                  </w14:solidFill>
                </w14:textFill>
              </w:rPr>
              <w:t>|</w:t>
            </w:r>
            <w:r w:rsidR="0099105B">
              <w:rPr>
                <w:b/>
                <w:bCs w:val="0"/>
              </w:rPr>
              <w:t xml:space="preserve"> </w:t>
            </w:r>
            <w:r w:rsidR="0099105B">
              <w:rPr>
                <w:b/>
                <w:bCs w:val="0"/>
                <w:vertAlign w:val="superscript"/>
              </w:rPr>
              <w:t>6</w:t>
            </w:r>
          </w:p>
          <w:p w14:paraId="77F276D4" w14:textId="779ACED8" w:rsidR="008521A7" w:rsidRPr="00EC57FB" w:rsidRDefault="008A65F2" w:rsidP="0089011A">
            <w:pPr>
              <w:pStyle w:val="TableText0"/>
              <w:jc w:val="center"/>
            </w:pPr>
            <w:r w:rsidRPr="00EC57FB">
              <w:t>$</w:t>
            </w:r>
            <w:r w:rsidR="000641E5" w:rsidRPr="000641E5">
              <w:rPr>
                <w:color w:val="000000"/>
                <w:spacing w:val="52"/>
                <w:shd w:val="solid" w:color="000000" w:fill="000000"/>
                <w:fitText w:val="328" w:id="-662982392"/>
                <w14:textFill>
                  <w14:solidFill>
                    <w14:srgbClr w14:val="000000">
                      <w14:alpha w14:val="100000"/>
                    </w14:srgbClr>
                  </w14:solidFill>
                </w14:textFill>
              </w:rPr>
              <w:t>|||</w:t>
            </w:r>
            <w:r w:rsidR="000641E5" w:rsidRPr="000641E5">
              <w:rPr>
                <w:color w:val="000000"/>
                <w:spacing w:val="2"/>
                <w:shd w:val="solid" w:color="000000" w:fill="000000"/>
                <w:fitText w:val="328" w:id="-662982392"/>
                <w14:textFill>
                  <w14:solidFill>
                    <w14:srgbClr w14:val="000000">
                      <w14:alpha w14:val="100000"/>
                    </w14:srgbClr>
                  </w14:solidFill>
                </w14:textFill>
              </w:rPr>
              <w:t>|</w:t>
            </w:r>
            <w:r w:rsidR="0099105B">
              <w:rPr>
                <w:b/>
                <w:bCs w:val="0"/>
              </w:rPr>
              <w:t xml:space="preserve"> </w:t>
            </w:r>
            <w:r w:rsidR="0099105B">
              <w:rPr>
                <w:b/>
                <w:bCs w:val="0"/>
                <w:vertAlign w:val="superscript"/>
              </w:rPr>
              <w:t>4</w:t>
            </w:r>
          </w:p>
        </w:tc>
        <w:tc>
          <w:tcPr>
            <w:tcW w:w="473" w:type="pct"/>
          </w:tcPr>
          <w:p w14:paraId="2BC58CBE" w14:textId="77777777" w:rsidR="00BD035B" w:rsidRPr="00EC57FB" w:rsidRDefault="00BD035B" w:rsidP="0089011A">
            <w:pPr>
              <w:pStyle w:val="TableText0"/>
              <w:jc w:val="center"/>
            </w:pPr>
          </w:p>
          <w:p w14:paraId="2A9DE5AF" w14:textId="50724609"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1"/>
                <w14:textFill>
                  <w14:solidFill>
                    <w14:srgbClr w14:val="000000">
                      <w14:alpha w14:val="100000"/>
                    </w14:srgbClr>
                  </w14:solidFill>
                </w14:textFill>
              </w:rPr>
              <w:t>|||</w:t>
            </w:r>
            <w:r w:rsidR="000641E5" w:rsidRPr="000641E5">
              <w:rPr>
                <w:color w:val="000000"/>
                <w:spacing w:val="2"/>
                <w:shd w:val="solid" w:color="000000" w:fill="000000"/>
                <w:fitText w:val="328" w:id="-662982391"/>
                <w14:textFill>
                  <w14:solidFill>
                    <w14:srgbClr w14:val="000000">
                      <w14:alpha w14:val="100000"/>
                    </w14:srgbClr>
                  </w14:solidFill>
                </w14:textFill>
              </w:rPr>
              <w:t>|</w:t>
            </w:r>
            <w:r w:rsidRPr="00EC57FB">
              <w:t>%</w:t>
            </w:r>
          </w:p>
          <w:p w14:paraId="41C8D484" w14:textId="39CD77DC" w:rsidR="008521A7" w:rsidRPr="00EC57FB" w:rsidRDefault="008A65F2" w:rsidP="0089011A">
            <w:pPr>
              <w:pStyle w:val="TableText0"/>
              <w:jc w:val="center"/>
            </w:pPr>
            <w:r w:rsidRPr="00EC57FB">
              <w:t>+</w:t>
            </w:r>
            <w:r w:rsidR="000641E5" w:rsidRPr="000641E5">
              <w:rPr>
                <w:color w:val="000000"/>
                <w:spacing w:val="52"/>
                <w:shd w:val="solid" w:color="000000" w:fill="000000"/>
                <w:fitText w:val="328" w:id="-662982390"/>
                <w14:textFill>
                  <w14:solidFill>
                    <w14:srgbClr w14:val="000000">
                      <w14:alpha w14:val="100000"/>
                    </w14:srgbClr>
                  </w14:solidFill>
                </w14:textFill>
              </w:rPr>
              <w:t>|||</w:t>
            </w:r>
            <w:r w:rsidR="000641E5" w:rsidRPr="000641E5">
              <w:rPr>
                <w:color w:val="000000"/>
                <w:spacing w:val="2"/>
                <w:shd w:val="solid" w:color="000000" w:fill="000000"/>
                <w:fitText w:val="328" w:id="-662982390"/>
                <w14:textFill>
                  <w14:solidFill>
                    <w14:srgbClr w14:val="000000">
                      <w14:alpha w14:val="100000"/>
                    </w14:srgbClr>
                  </w14:solidFill>
                </w14:textFill>
              </w:rPr>
              <w:t>|</w:t>
            </w:r>
            <w:r w:rsidRPr="00EC57FB">
              <w:t>%</w:t>
            </w:r>
          </w:p>
        </w:tc>
      </w:tr>
      <w:tr w:rsidR="0089011A" w:rsidRPr="00EC57FB" w14:paraId="5EBC6E10" w14:textId="77777777" w:rsidTr="0089011A">
        <w:tc>
          <w:tcPr>
            <w:tcW w:w="2811" w:type="pct"/>
          </w:tcPr>
          <w:p w14:paraId="632A04EB" w14:textId="77777777" w:rsidR="00BD035B" w:rsidRPr="00EC57FB" w:rsidRDefault="00BD035B" w:rsidP="0089011A">
            <w:pPr>
              <w:pStyle w:val="TableText0"/>
            </w:pPr>
            <w:r w:rsidRPr="00EC57FB">
              <w:t>Removal of recurrent wheezing and asthma</w:t>
            </w:r>
          </w:p>
        </w:tc>
        <w:tc>
          <w:tcPr>
            <w:tcW w:w="610" w:type="pct"/>
          </w:tcPr>
          <w:p w14:paraId="5E0B9F49" w14:textId="471378FB"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89"/>
                <w14:textFill>
                  <w14:solidFill>
                    <w14:srgbClr w14:val="000000">
                      <w14:alpha w14:val="100000"/>
                    </w14:srgbClr>
                  </w14:solidFill>
                </w14:textFill>
              </w:rPr>
              <w:t>|||</w:t>
            </w:r>
            <w:r w:rsidR="000641E5" w:rsidRPr="000641E5">
              <w:rPr>
                <w:color w:val="000000"/>
                <w:spacing w:val="2"/>
                <w:shd w:val="solid" w:color="000000" w:fill="000000"/>
                <w:fitText w:val="328" w:id="-662982389"/>
                <w14:textFill>
                  <w14:solidFill>
                    <w14:srgbClr w14:val="000000">
                      <w14:alpha w14:val="100000"/>
                    </w14:srgbClr>
                  </w14:solidFill>
                </w14:textFill>
              </w:rPr>
              <w:t>|</w:t>
            </w:r>
          </w:p>
        </w:tc>
        <w:tc>
          <w:tcPr>
            <w:tcW w:w="571" w:type="pct"/>
          </w:tcPr>
          <w:p w14:paraId="7EEA8D48" w14:textId="77777777" w:rsidR="00BD035B" w:rsidRPr="00EC57FB" w:rsidRDefault="00BD035B" w:rsidP="0089011A">
            <w:pPr>
              <w:pStyle w:val="TableText0"/>
              <w:jc w:val="center"/>
            </w:pPr>
            <w:r w:rsidRPr="00EC57FB">
              <w:t>592.49</w:t>
            </w:r>
          </w:p>
        </w:tc>
        <w:tc>
          <w:tcPr>
            <w:tcW w:w="535" w:type="pct"/>
          </w:tcPr>
          <w:p w14:paraId="073AF43A" w14:textId="5678BF47"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88"/>
                <w14:textFill>
                  <w14:solidFill>
                    <w14:srgbClr w14:val="000000">
                      <w14:alpha w14:val="100000"/>
                    </w14:srgbClr>
                  </w14:solidFill>
                </w14:textFill>
              </w:rPr>
              <w:t>|||</w:t>
            </w:r>
            <w:r w:rsidR="000641E5" w:rsidRPr="000641E5">
              <w:rPr>
                <w:color w:val="000000"/>
                <w:spacing w:val="2"/>
                <w:shd w:val="solid" w:color="000000" w:fill="000000"/>
                <w:fitText w:val="328" w:id="-662982388"/>
                <w14:textFill>
                  <w14:solidFill>
                    <w14:srgbClr w14:val="000000">
                      <w14:alpha w14:val="100000"/>
                    </w14:srgbClr>
                  </w14:solidFill>
                </w14:textFill>
              </w:rPr>
              <w:t>|</w:t>
            </w:r>
            <w:r w:rsidR="0099105B">
              <w:rPr>
                <w:b/>
                <w:bCs w:val="0"/>
              </w:rPr>
              <w:t xml:space="preserve"> </w:t>
            </w:r>
            <w:r w:rsidR="0099105B">
              <w:rPr>
                <w:b/>
                <w:bCs w:val="0"/>
                <w:vertAlign w:val="superscript"/>
              </w:rPr>
              <w:t>2</w:t>
            </w:r>
          </w:p>
        </w:tc>
        <w:tc>
          <w:tcPr>
            <w:tcW w:w="473" w:type="pct"/>
          </w:tcPr>
          <w:p w14:paraId="7BB80C4A" w14:textId="6056E0B8"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87"/>
                <w14:textFill>
                  <w14:solidFill>
                    <w14:srgbClr w14:val="000000">
                      <w14:alpha w14:val="100000"/>
                    </w14:srgbClr>
                  </w14:solidFill>
                </w14:textFill>
              </w:rPr>
              <w:t>|||</w:t>
            </w:r>
            <w:r w:rsidR="000641E5" w:rsidRPr="000641E5">
              <w:rPr>
                <w:color w:val="000000"/>
                <w:spacing w:val="2"/>
                <w:shd w:val="solid" w:color="000000" w:fill="000000"/>
                <w:fitText w:val="328" w:id="-662982387"/>
                <w14:textFill>
                  <w14:solidFill>
                    <w14:srgbClr w14:val="000000">
                      <w14:alpha w14:val="100000"/>
                    </w14:srgbClr>
                  </w14:solidFill>
                </w14:textFill>
              </w:rPr>
              <w:t>|</w:t>
            </w:r>
            <w:r w:rsidRPr="00EC57FB">
              <w:t>%</w:t>
            </w:r>
          </w:p>
        </w:tc>
      </w:tr>
      <w:tr w:rsidR="0089011A" w:rsidRPr="00EC57FB" w14:paraId="0842FB2F" w14:textId="77777777" w:rsidTr="0089011A">
        <w:tc>
          <w:tcPr>
            <w:tcW w:w="2811" w:type="pct"/>
          </w:tcPr>
          <w:p w14:paraId="7DD74D53" w14:textId="77777777" w:rsidR="00BD035B" w:rsidRPr="00EC57FB" w:rsidRDefault="00BD035B" w:rsidP="0089011A">
            <w:pPr>
              <w:pStyle w:val="TableText0"/>
            </w:pPr>
            <w:r w:rsidRPr="00EC57FB">
              <w:t>Baseline quality of life (base case = 1)</w:t>
            </w:r>
          </w:p>
          <w:p w14:paraId="47BE7079" w14:textId="77777777" w:rsidR="00BD035B" w:rsidRPr="00EC57FB" w:rsidRDefault="00BD035B" w:rsidP="0089011A">
            <w:pPr>
              <w:pStyle w:val="TableText0"/>
              <w:numPr>
                <w:ilvl w:val="0"/>
                <w:numId w:val="6"/>
              </w:numPr>
            </w:pPr>
            <w:r w:rsidRPr="00EC57FB">
              <w:t>0.86; as per Redwood 2024</w:t>
            </w:r>
          </w:p>
        </w:tc>
        <w:tc>
          <w:tcPr>
            <w:tcW w:w="610" w:type="pct"/>
          </w:tcPr>
          <w:p w14:paraId="6FEDAD97" w14:textId="77777777" w:rsidR="00BD035B" w:rsidRPr="00EC57FB" w:rsidRDefault="00BD035B" w:rsidP="0089011A">
            <w:pPr>
              <w:pStyle w:val="TableText0"/>
              <w:jc w:val="center"/>
            </w:pPr>
          </w:p>
          <w:p w14:paraId="0C297FAE" w14:textId="29B98A21"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86"/>
                <w14:textFill>
                  <w14:solidFill>
                    <w14:srgbClr w14:val="000000">
                      <w14:alpha w14:val="100000"/>
                    </w14:srgbClr>
                  </w14:solidFill>
                </w14:textFill>
              </w:rPr>
              <w:t>|||</w:t>
            </w:r>
            <w:r w:rsidR="000641E5" w:rsidRPr="000641E5">
              <w:rPr>
                <w:color w:val="000000"/>
                <w:spacing w:val="2"/>
                <w:shd w:val="solid" w:color="000000" w:fill="000000"/>
                <w:fitText w:val="328" w:id="-662982386"/>
                <w14:textFill>
                  <w14:solidFill>
                    <w14:srgbClr w14:val="000000">
                      <w14:alpha w14:val="100000"/>
                    </w14:srgbClr>
                  </w14:solidFill>
                </w14:textFill>
              </w:rPr>
              <w:t>|</w:t>
            </w:r>
          </w:p>
        </w:tc>
        <w:tc>
          <w:tcPr>
            <w:tcW w:w="571" w:type="pct"/>
          </w:tcPr>
          <w:p w14:paraId="2F13F993" w14:textId="77777777" w:rsidR="00BD035B" w:rsidRPr="00EC57FB" w:rsidRDefault="00BD035B" w:rsidP="0089011A">
            <w:pPr>
              <w:pStyle w:val="TableText0"/>
              <w:jc w:val="center"/>
            </w:pPr>
          </w:p>
          <w:p w14:paraId="2C5A3B32" w14:textId="77777777" w:rsidR="00BD035B" w:rsidRPr="00EC57FB" w:rsidRDefault="00BD035B" w:rsidP="0089011A">
            <w:pPr>
              <w:pStyle w:val="TableText0"/>
              <w:jc w:val="center"/>
            </w:pPr>
            <w:r w:rsidRPr="00EC57FB">
              <w:t>637.40</w:t>
            </w:r>
          </w:p>
        </w:tc>
        <w:tc>
          <w:tcPr>
            <w:tcW w:w="535" w:type="pct"/>
          </w:tcPr>
          <w:p w14:paraId="1C9DA8E2" w14:textId="77777777" w:rsidR="00BD035B" w:rsidRPr="00EC57FB" w:rsidRDefault="00BD035B" w:rsidP="0089011A">
            <w:pPr>
              <w:pStyle w:val="TableText0"/>
              <w:jc w:val="center"/>
            </w:pPr>
          </w:p>
          <w:p w14:paraId="6764B706" w14:textId="7218D36F"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85"/>
                <w14:textFill>
                  <w14:solidFill>
                    <w14:srgbClr w14:val="000000">
                      <w14:alpha w14:val="100000"/>
                    </w14:srgbClr>
                  </w14:solidFill>
                </w14:textFill>
              </w:rPr>
              <w:t>|||</w:t>
            </w:r>
            <w:r w:rsidR="000641E5" w:rsidRPr="000641E5">
              <w:rPr>
                <w:color w:val="000000"/>
                <w:spacing w:val="2"/>
                <w:shd w:val="solid" w:color="000000" w:fill="000000"/>
                <w:fitText w:val="328" w:id="-662982385"/>
                <w14:textFill>
                  <w14:solidFill>
                    <w14:srgbClr w14:val="000000">
                      <w14:alpha w14:val="100000"/>
                    </w14:srgbClr>
                  </w14:solidFill>
                </w14:textFill>
              </w:rPr>
              <w:t>|</w:t>
            </w:r>
            <w:r w:rsidR="0099105B">
              <w:rPr>
                <w:b/>
                <w:bCs w:val="0"/>
              </w:rPr>
              <w:t xml:space="preserve"> </w:t>
            </w:r>
            <w:r w:rsidR="0099105B">
              <w:rPr>
                <w:b/>
                <w:bCs w:val="0"/>
                <w:vertAlign w:val="superscript"/>
              </w:rPr>
              <w:t>2</w:t>
            </w:r>
          </w:p>
        </w:tc>
        <w:tc>
          <w:tcPr>
            <w:tcW w:w="473" w:type="pct"/>
          </w:tcPr>
          <w:p w14:paraId="1DCE419D" w14:textId="77777777" w:rsidR="00BD035B" w:rsidRPr="00EC57FB" w:rsidRDefault="00BD035B" w:rsidP="0089011A">
            <w:pPr>
              <w:pStyle w:val="TableText0"/>
              <w:jc w:val="center"/>
            </w:pPr>
          </w:p>
          <w:p w14:paraId="0CB7F51C" w14:textId="2E93F0CD"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84"/>
                <w14:textFill>
                  <w14:solidFill>
                    <w14:srgbClr w14:val="000000">
                      <w14:alpha w14:val="100000"/>
                    </w14:srgbClr>
                  </w14:solidFill>
                </w14:textFill>
              </w:rPr>
              <w:t>|||</w:t>
            </w:r>
            <w:r w:rsidR="000641E5" w:rsidRPr="000641E5">
              <w:rPr>
                <w:color w:val="000000"/>
                <w:spacing w:val="2"/>
                <w:shd w:val="solid" w:color="000000" w:fill="000000"/>
                <w:fitText w:val="328" w:id="-662982384"/>
                <w14:textFill>
                  <w14:solidFill>
                    <w14:srgbClr w14:val="000000">
                      <w14:alpha w14:val="100000"/>
                    </w14:srgbClr>
                  </w14:solidFill>
                </w14:textFill>
              </w:rPr>
              <w:t>|</w:t>
            </w:r>
            <w:r w:rsidRPr="00EC57FB">
              <w:t>%</w:t>
            </w:r>
          </w:p>
        </w:tc>
      </w:tr>
      <w:tr w:rsidR="00BD035B" w:rsidRPr="00EC57FB" w14:paraId="11DB8941" w14:textId="77777777" w:rsidTr="0089011A">
        <w:tc>
          <w:tcPr>
            <w:tcW w:w="5000" w:type="pct"/>
            <w:gridSpan w:val="5"/>
            <w:vAlign w:val="center"/>
          </w:tcPr>
          <w:p w14:paraId="0CAADC8B" w14:textId="60BB8E32" w:rsidR="00BD035B" w:rsidRPr="00EC57FB" w:rsidRDefault="00BD035B" w:rsidP="0089011A">
            <w:pPr>
              <w:pStyle w:val="TableText0"/>
              <w:rPr>
                <w:b/>
              </w:rPr>
            </w:pPr>
            <w:r w:rsidRPr="00EC57FB">
              <w:rPr>
                <w:b/>
                <w:bCs w:val="0"/>
              </w:rPr>
              <w:t>Multivariate sensitivity analyses</w:t>
            </w:r>
            <w:r w:rsidR="00902435" w:rsidRPr="00EC57FB">
              <w:rPr>
                <w:b/>
                <w:bCs w:val="0"/>
                <w:vertAlign w:val="superscript"/>
              </w:rPr>
              <w:t>a</w:t>
            </w:r>
          </w:p>
        </w:tc>
      </w:tr>
      <w:tr w:rsidR="0089011A" w:rsidRPr="00EC57FB" w14:paraId="481CAECE" w14:textId="77777777" w:rsidTr="0089011A">
        <w:tc>
          <w:tcPr>
            <w:tcW w:w="2811" w:type="pct"/>
          </w:tcPr>
          <w:p w14:paraId="2E2D4467" w14:textId="4D63F616" w:rsidR="00BD035B" w:rsidRPr="00EC57FB" w:rsidRDefault="00BD035B" w:rsidP="0089011A">
            <w:pPr>
              <w:pStyle w:val="TableText0"/>
            </w:pPr>
            <w:r w:rsidRPr="00EC57FB">
              <w:t xml:space="preserve">As per </w:t>
            </w:r>
            <w:r w:rsidR="004A576E" w:rsidRPr="00EC57FB">
              <w:t xml:space="preserve">July 2024 </w:t>
            </w:r>
            <w:r w:rsidRPr="00EC57FB">
              <w:t>PBAC advice</w:t>
            </w:r>
            <w:r w:rsidR="00840C93" w:rsidRPr="00EC57FB">
              <w:t xml:space="preserve">, noting this is not a comprehensive list of uncertainties identified in the July 2024 PBAC consideration (see paragraph </w:t>
            </w:r>
            <w:r w:rsidR="00840C93" w:rsidRPr="00EC57FB">
              <w:fldChar w:fldCharType="begin"/>
            </w:r>
            <w:r w:rsidR="00840C93" w:rsidRPr="00EC57FB">
              <w:instrText xml:space="preserve"> REF _Ref188522537 \r \h </w:instrText>
            </w:r>
            <w:r w:rsidR="00F44A84" w:rsidRPr="00EC57FB">
              <w:instrText xml:space="preserve"> \* MERGEFORMAT </w:instrText>
            </w:r>
            <w:r w:rsidR="00840C93" w:rsidRPr="00EC57FB">
              <w:fldChar w:fldCharType="separate"/>
            </w:r>
            <w:r w:rsidR="00502C25">
              <w:t>6.64</w:t>
            </w:r>
            <w:r w:rsidR="00840C93" w:rsidRPr="00EC57FB">
              <w:fldChar w:fldCharType="end"/>
            </w:r>
            <w:r w:rsidR="00840C93" w:rsidRPr="00EC57FB">
              <w:t>).</w:t>
            </w:r>
          </w:p>
          <w:p w14:paraId="19A5E954" w14:textId="77777777" w:rsidR="00BD035B" w:rsidRPr="00EC57FB" w:rsidRDefault="00BD035B" w:rsidP="0089011A">
            <w:pPr>
              <w:pStyle w:val="TableText0"/>
              <w:numPr>
                <w:ilvl w:val="0"/>
                <w:numId w:val="23"/>
              </w:numPr>
            </w:pPr>
            <w:r w:rsidRPr="00EC57FB">
              <w:t>Removal of asthma and recurrent wheezing</w:t>
            </w:r>
          </w:p>
          <w:p w14:paraId="0CF5010D" w14:textId="77777777" w:rsidR="00BD035B" w:rsidRPr="00EC57FB" w:rsidRDefault="00BD035B" w:rsidP="0089011A">
            <w:pPr>
              <w:pStyle w:val="TableText0"/>
              <w:numPr>
                <w:ilvl w:val="0"/>
                <w:numId w:val="23"/>
              </w:numPr>
            </w:pPr>
            <w:r w:rsidRPr="00EC57FB">
              <w:t>Hospitalisation rate of 2.33%</w:t>
            </w:r>
          </w:p>
          <w:p w14:paraId="2E3618C7" w14:textId="77777777" w:rsidR="00BD035B" w:rsidRPr="00EC57FB" w:rsidRDefault="00BD035B" w:rsidP="0089011A">
            <w:pPr>
              <w:pStyle w:val="TableText0"/>
              <w:numPr>
                <w:ilvl w:val="0"/>
                <w:numId w:val="23"/>
              </w:numPr>
            </w:pPr>
            <w:r w:rsidRPr="00EC57FB">
              <w:t>Effectiveness of nirsevimab 74.5%</w:t>
            </w:r>
          </w:p>
          <w:p w14:paraId="6C6167F3" w14:textId="24B02663" w:rsidR="00BD035B" w:rsidRPr="00EC57FB" w:rsidRDefault="00BD035B" w:rsidP="0089011A">
            <w:pPr>
              <w:pStyle w:val="TableText0"/>
              <w:numPr>
                <w:ilvl w:val="0"/>
                <w:numId w:val="23"/>
              </w:numPr>
            </w:pPr>
            <w:r w:rsidRPr="00EC57FB">
              <w:t xml:space="preserve">Hospitalisation costs reduced to index admission and 1-month of readmission costs from Brusco 2018 </w:t>
            </w:r>
          </w:p>
        </w:tc>
        <w:tc>
          <w:tcPr>
            <w:tcW w:w="610" w:type="pct"/>
            <w:vAlign w:val="center"/>
          </w:tcPr>
          <w:p w14:paraId="6FDDD76D" w14:textId="1B674421"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400"/>
                <w14:textFill>
                  <w14:solidFill>
                    <w14:srgbClr w14:val="000000">
                      <w14:alpha w14:val="100000"/>
                    </w14:srgbClr>
                  </w14:solidFill>
                </w14:textFill>
              </w:rPr>
              <w:t>|||</w:t>
            </w:r>
            <w:r w:rsidR="000641E5" w:rsidRPr="000641E5">
              <w:rPr>
                <w:color w:val="000000"/>
                <w:spacing w:val="2"/>
                <w:shd w:val="solid" w:color="000000" w:fill="000000"/>
                <w:fitText w:val="328" w:id="-662982400"/>
                <w14:textFill>
                  <w14:solidFill>
                    <w14:srgbClr w14:val="000000">
                      <w14:alpha w14:val="100000"/>
                    </w14:srgbClr>
                  </w14:solidFill>
                </w14:textFill>
              </w:rPr>
              <w:t>|</w:t>
            </w:r>
          </w:p>
        </w:tc>
        <w:tc>
          <w:tcPr>
            <w:tcW w:w="571" w:type="pct"/>
            <w:vAlign w:val="center"/>
          </w:tcPr>
          <w:p w14:paraId="2C9E5E12" w14:textId="77777777" w:rsidR="00BD035B" w:rsidRPr="00EC57FB" w:rsidRDefault="00BD035B" w:rsidP="0089011A">
            <w:pPr>
              <w:pStyle w:val="TableText0"/>
              <w:jc w:val="center"/>
            </w:pPr>
            <w:r w:rsidRPr="00EC57FB">
              <w:t>338.40</w:t>
            </w:r>
          </w:p>
        </w:tc>
        <w:tc>
          <w:tcPr>
            <w:tcW w:w="535" w:type="pct"/>
            <w:vAlign w:val="center"/>
          </w:tcPr>
          <w:p w14:paraId="528B9A8D" w14:textId="71D1C262"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9"/>
                <w14:textFill>
                  <w14:solidFill>
                    <w14:srgbClr w14:val="000000">
                      <w14:alpha w14:val="100000"/>
                    </w14:srgbClr>
                  </w14:solidFill>
                </w14:textFill>
              </w:rPr>
              <w:t>|||</w:t>
            </w:r>
            <w:r w:rsidR="000641E5" w:rsidRPr="000641E5">
              <w:rPr>
                <w:color w:val="000000"/>
                <w:spacing w:val="2"/>
                <w:shd w:val="solid" w:color="000000" w:fill="000000"/>
                <w:fitText w:val="328" w:id="-662982399"/>
                <w14:textFill>
                  <w14:solidFill>
                    <w14:srgbClr w14:val="000000">
                      <w14:alpha w14:val="100000"/>
                    </w14:srgbClr>
                  </w14:solidFill>
                </w14:textFill>
              </w:rPr>
              <w:t>|</w:t>
            </w:r>
            <w:r w:rsidR="0099105B">
              <w:rPr>
                <w:b/>
                <w:bCs w:val="0"/>
              </w:rPr>
              <w:t xml:space="preserve"> </w:t>
            </w:r>
            <w:r w:rsidR="0099105B">
              <w:rPr>
                <w:b/>
                <w:bCs w:val="0"/>
                <w:vertAlign w:val="superscript"/>
              </w:rPr>
              <w:t>7</w:t>
            </w:r>
          </w:p>
        </w:tc>
        <w:tc>
          <w:tcPr>
            <w:tcW w:w="473" w:type="pct"/>
            <w:vAlign w:val="center"/>
          </w:tcPr>
          <w:p w14:paraId="50B4EE09" w14:textId="0576CF1A" w:rsidR="00BD035B" w:rsidRPr="00EC57FB" w:rsidRDefault="00BD035B" w:rsidP="0089011A">
            <w:pPr>
              <w:pStyle w:val="TableText0"/>
              <w:jc w:val="center"/>
            </w:pPr>
            <w:r w:rsidRPr="00EC57FB">
              <w:t>+</w:t>
            </w:r>
            <w:r w:rsidR="000641E5" w:rsidRPr="000641E5">
              <w:rPr>
                <w:color w:val="000000"/>
                <w:spacing w:val="52"/>
                <w:shd w:val="solid" w:color="000000" w:fill="000000"/>
                <w:fitText w:val="328" w:id="-662982398"/>
                <w14:textFill>
                  <w14:solidFill>
                    <w14:srgbClr w14:val="000000">
                      <w14:alpha w14:val="100000"/>
                    </w14:srgbClr>
                  </w14:solidFill>
                </w14:textFill>
              </w:rPr>
              <w:t>|||</w:t>
            </w:r>
            <w:r w:rsidR="000641E5" w:rsidRPr="000641E5">
              <w:rPr>
                <w:color w:val="000000"/>
                <w:spacing w:val="2"/>
                <w:shd w:val="solid" w:color="000000" w:fill="000000"/>
                <w:fitText w:val="328" w:id="-662982398"/>
                <w14:textFill>
                  <w14:solidFill>
                    <w14:srgbClr w14:val="000000">
                      <w14:alpha w14:val="100000"/>
                    </w14:srgbClr>
                  </w14:solidFill>
                </w14:textFill>
              </w:rPr>
              <w:t>|</w:t>
            </w:r>
            <w:r w:rsidRPr="00EC57FB">
              <w:t>%</w:t>
            </w:r>
          </w:p>
        </w:tc>
      </w:tr>
      <w:tr w:rsidR="0089011A" w:rsidRPr="00EC57FB" w14:paraId="541D4323" w14:textId="77777777" w:rsidTr="0089011A">
        <w:tc>
          <w:tcPr>
            <w:tcW w:w="2811" w:type="pct"/>
          </w:tcPr>
          <w:p w14:paraId="2F526040" w14:textId="28DBF04D" w:rsidR="00CE0425" w:rsidRPr="00EC57FB" w:rsidRDefault="00462D7B" w:rsidP="0089011A">
            <w:pPr>
              <w:pStyle w:val="TableText0"/>
              <w:rPr>
                <w:b/>
                <w:bCs w:val="0"/>
                <w:iCs/>
              </w:rPr>
            </w:pPr>
            <w:r w:rsidRPr="00EC57FB">
              <w:rPr>
                <w:b/>
                <w:bCs w:val="0"/>
                <w:iCs/>
              </w:rPr>
              <w:t>Additional</w:t>
            </w:r>
            <w:r w:rsidR="00577C66">
              <w:rPr>
                <w:b/>
                <w:bCs w:val="0"/>
                <w:iCs/>
              </w:rPr>
              <w:t xml:space="preserve"> </w:t>
            </w:r>
            <w:r w:rsidR="001A1E47" w:rsidRPr="00EC57FB">
              <w:rPr>
                <w:b/>
                <w:bCs w:val="0"/>
                <w:iCs/>
              </w:rPr>
              <w:t>analysis proposed by ESC</w:t>
            </w:r>
          </w:p>
          <w:p w14:paraId="1001D78F" w14:textId="6A4D3760" w:rsidR="00F402F1" w:rsidRPr="00EC57FB" w:rsidRDefault="00F402F1" w:rsidP="0089011A">
            <w:pPr>
              <w:pStyle w:val="TableText0"/>
              <w:numPr>
                <w:ilvl w:val="0"/>
                <w:numId w:val="23"/>
              </w:numPr>
              <w:rPr>
                <w:iCs/>
              </w:rPr>
            </w:pPr>
            <w:r w:rsidRPr="00EC57FB">
              <w:rPr>
                <w:iCs/>
              </w:rPr>
              <w:t>Removal of asthma and recurrent wheezing</w:t>
            </w:r>
          </w:p>
          <w:p w14:paraId="31B7329C" w14:textId="35C9856C" w:rsidR="00F402F1" w:rsidRPr="00EC57FB" w:rsidRDefault="00F402F1" w:rsidP="0089011A">
            <w:pPr>
              <w:pStyle w:val="TableText0"/>
              <w:numPr>
                <w:ilvl w:val="0"/>
                <w:numId w:val="23"/>
              </w:numPr>
              <w:rPr>
                <w:iCs/>
              </w:rPr>
            </w:pPr>
            <w:r w:rsidRPr="00EC57FB">
              <w:rPr>
                <w:iCs/>
              </w:rPr>
              <w:t>Hospitalisation rate of 3.67%</w:t>
            </w:r>
          </w:p>
          <w:p w14:paraId="7B70F54F" w14:textId="77777777" w:rsidR="00F402F1" w:rsidRPr="00EC57FB" w:rsidRDefault="00F402F1" w:rsidP="0089011A">
            <w:pPr>
              <w:pStyle w:val="TableText0"/>
              <w:numPr>
                <w:ilvl w:val="0"/>
                <w:numId w:val="23"/>
              </w:numPr>
              <w:rPr>
                <w:iCs/>
              </w:rPr>
            </w:pPr>
            <w:r w:rsidRPr="00EC57FB">
              <w:rPr>
                <w:iCs/>
              </w:rPr>
              <w:t>Effectiveness of nirsevimab 76.4%</w:t>
            </w:r>
          </w:p>
          <w:p w14:paraId="4D572EE1" w14:textId="77777777" w:rsidR="004A576E" w:rsidRPr="00EC57FB" w:rsidRDefault="004A576E" w:rsidP="0089011A">
            <w:pPr>
              <w:pStyle w:val="TableText0"/>
              <w:numPr>
                <w:ilvl w:val="0"/>
                <w:numId w:val="23"/>
              </w:numPr>
              <w:rPr>
                <w:iCs/>
              </w:rPr>
            </w:pPr>
            <w:r w:rsidRPr="00EC57FB">
              <w:t xml:space="preserve">Hospitalisation costs reduced to index admission and 1-month of readmission costs from Brusco 2018 </w:t>
            </w:r>
          </w:p>
          <w:p w14:paraId="5470A4E8" w14:textId="58F86C14" w:rsidR="00F402F1" w:rsidRPr="00EC57FB" w:rsidRDefault="00F402F1" w:rsidP="0089011A">
            <w:pPr>
              <w:pStyle w:val="TableText0"/>
              <w:numPr>
                <w:ilvl w:val="0"/>
                <w:numId w:val="23"/>
              </w:numPr>
              <w:rPr>
                <w:iCs/>
              </w:rPr>
            </w:pPr>
            <w:r w:rsidRPr="00EC57FB">
              <w:rPr>
                <w:iCs/>
              </w:rPr>
              <w:t>Administration cost of $9.80</w:t>
            </w:r>
          </w:p>
        </w:tc>
        <w:tc>
          <w:tcPr>
            <w:tcW w:w="610" w:type="pct"/>
            <w:vAlign w:val="center"/>
          </w:tcPr>
          <w:p w14:paraId="007342C2" w14:textId="7D7C7A6F" w:rsidR="00F402F1" w:rsidRPr="00EC57FB" w:rsidRDefault="00F402F1" w:rsidP="0089011A">
            <w:pPr>
              <w:pStyle w:val="TableText0"/>
              <w:jc w:val="center"/>
              <w:rPr>
                <w:iCs/>
              </w:rPr>
            </w:pPr>
            <w:r w:rsidRPr="00EC57FB">
              <w:rPr>
                <w:iCs/>
              </w:rPr>
              <w:t>$</w:t>
            </w:r>
            <w:r w:rsidR="000641E5" w:rsidRPr="000641E5">
              <w:rPr>
                <w:iCs/>
                <w:color w:val="000000"/>
                <w:spacing w:val="52"/>
                <w:shd w:val="solid" w:color="000000" w:fill="000000"/>
                <w:fitText w:val="328" w:id="-662982397"/>
                <w14:textFill>
                  <w14:solidFill>
                    <w14:srgbClr w14:val="000000">
                      <w14:alpha w14:val="100000"/>
                    </w14:srgbClr>
                  </w14:solidFill>
                </w14:textFill>
              </w:rPr>
              <w:t>|||</w:t>
            </w:r>
            <w:r w:rsidR="000641E5" w:rsidRPr="000641E5">
              <w:rPr>
                <w:iCs/>
                <w:color w:val="000000"/>
                <w:spacing w:val="2"/>
                <w:shd w:val="solid" w:color="000000" w:fill="000000"/>
                <w:fitText w:val="328" w:id="-662982397"/>
                <w14:textFill>
                  <w14:solidFill>
                    <w14:srgbClr w14:val="000000">
                      <w14:alpha w14:val="100000"/>
                    </w14:srgbClr>
                  </w14:solidFill>
                </w14:textFill>
              </w:rPr>
              <w:t>|</w:t>
            </w:r>
          </w:p>
        </w:tc>
        <w:tc>
          <w:tcPr>
            <w:tcW w:w="571" w:type="pct"/>
            <w:vAlign w:val="center"/>
          </w:tcPr>
          <w:p w14:paraId="60D4C439" w14:textId="77406576" w:rsidR="00F402F1" w:rsidRPr="00EC57FB" w:rsidRDefault="00F402F1" w:rsidP="0089011A">
            <w:pPr>
              <w:pStyle w:val="TableText0"/>
              <w:jc w:val="center"/>
              <w:rPr>
                <w:iCs/>
              </w:rPr>
            </w:pPr>
            <w:r w:rsidRPr="00EC57FB">
              <w:rPr>
                <w:iCs/>
              </w:rPr>
              <w:t>506.89</w:t>
            </w:r>
          </w:p>
        </w:tc>
        <w:tc>
          <w:tcPr>
            <w:tcW w:w="535" w:type="pct"/>
            <w:vAlign w:val="center"/>
          </w:tcPr>
          <w:p w14:paraId="5D789DF1" w14:textId="1BF28636" w:rsidR="00F402F1" w:rsidRPr="00EC57FB" w:rsidRDefault="00F402F1" w:rsidP="0089011A">
            <w:pPr>
              <w:pStyle w:val="TableText0"/>
              <w:jc w:val="center"/>
              <w:rPr>
                <w:iCs/>
              </w:rPr>
            </w:pPr>
            <w:r w:rsidRPr="00EC57FB">
              <w:rPr>
                <w:iCs/>
              </w:rPr>
              <w:t>$</w:t>
            </w:r>
            <w:r w:rsidR="000641E5" w:rsidRPr="000641E5">
              <w:rPr>
                <w:iCs/>
                <w:color w:val="000000"/>
                <w:spacing w:val="52"/>
                <w:shd w:val="solid" w:color="000000" w:fill="000000"/>
                <w:fitText w:val="328" w:id="-662982396"/>
                <w14:textFill>
                  <w14:solidFill>
                    <w14:srgbClr w14:val="000000">
                      <w14:alpha w14:val="100000"/>
                    </w14:srgbClr>
                  </w14:solidFill>
                </w14:textFill>
              </w:rPr>
              <w:t>|||</w:t>
            </w:r>
            <w:r w:rsidR="000641E5" w:rsidRPr="000641E5">
              <w:rPr>
                <w:iCs/>
                <w:color w:val="000000"/>
                <w:spacing w:val="2"/>
                <w:shd w:val="solid" w:color="000000" w:fill="000000"/>
                <w:fitText w:val="328" w:id="-662982396"/>
                <w14:textFill>
                  <w14:solidFill>
                    <w14:srgbClr w14:val="000000">
                      <w14:alpha w14:val="100000"/>
                    </w14:srgbClr>
                  </w14:solidFill>
                </w14:textFill>
              </w:rPr>
              <w:t>|</w:t>
            </w:r>
            <w:r w:rsidR="0099105B">
              <w:rPr>
                <w:b/>
                <w:bCs w:val="0"/>
              </w:rPr>
              <w:t xml:space="preserve"> </w:t>
            </w:r>
            <w:r w:rsidR="0099105B">
              <w:rPr>
                <w:b/>
                <w:bCs w:val="0"/>
                <w:vertAlign w:val="superscript"/>
              </w:rPr>
              <w:t>8</w:t>
            </w:r>
          </w:p>
        </w:tc>
        <w:tc>
          <w:tcPr>
            <w:tcW w:w="473" w:type="pct"/>
            <w:vAlign w:val="center"/>
          </w:tcPr>
          <w:p w14:paraId="775006AE" w14:textId="693197CE" w:rsidR="00F402F1" w:rsidRPr="00EC57FB" w:rsidRDefault="00F402F1" w:rsidP="0089011A">
            <w:pPr>
              <w:pStyle w:val="TableText0"/>
              <w:jc w:val="center"/>
              <w:rPr>
                <w:iCs/>
              </w:rPr>
            </w:pPr>
            <w:r w:rsidRPr="00EC57FB">
              <w:rPr>
                <w:iCs/>
              </w:rPr>
              <w:t>+</w:t>
            </w:r>
            <w:r w:rsidR="000641E5" w:rsidRPr="00B73761">
              <w:rPr>
                <w:iCs/>
                <w:color w:val="000000"/>
                <w:spacing w:val="52"/>
                <w:shd w:val="solid" w:color="000000" w:fill="000000"/>
                <w:fitText w:val="328" w:id="-662982395"/>
                <w14:textFill>
                  <w14:solidFill>
                    <w14:srgbClr w14:val="000000">
                      <w14:alpha w14:val="100000"/>
                    </w14:srgbClr>
                  </w14:solidFill>
                </w14:textFill>
              </w:rPr>
              <w:t>|||</w:t>
            </w:r>
            <w:r w:rsidR="000641E5" w:rsidRPr="00B73761">
              <w:rPr>
                <w:iCs/>
                <w:color w:val="000000"/>
                <w:spacing w:val="2"/>
                <w:shd w:val="solid" w:color="000000" w:fill="000000"/>
                <w:fitText w:val="328" w:id="-662982395"/>
                <w14:textFill>
                  <w14:solidFill>
                    <w14:srgbClr w14:val="000000">
                      <w14:alpha w14:val="100000"/>
                    </w14:srgbClr>
                  </w14:solidFill>
                </w14:textFill>
              </w:rPr>
              <w:t>|</w:t>
            </w:r>
            <w:r w:rsidRPr="00EC57FB">
              <w:rPr>
                <w:iCs/>
              </w:rPr>
              <w:t>%</w:t>
            </w:r>
          </w:p>
        </w:tc>
      </w:tr>
    </w:tbl>
    <w:p w14:paraId="45D4F931" w14:textId="77777777" w:rsidR="003E0AD1" w:rsidRPr="00EC57FB" w:rsidRDefault="003E0AD1" w:rsidP="0089011A">
      <w:pPr>
        <w:pStyle w:val="FooterTableFigure"/>
        <w:keepNext/>
        <w:keepLines/>
      </w:pPr>
      <w:r w:rsidRPr="00EC57FB">
        <w:t>ICER = incremental cost-effectiveness ratio; LRTI = lower respiratory tract infection; MA = medically attended; NIP = National Immunisation Program; PBS = Pharmaceutical Benefits Scheme; QALY = quality-adjusted life year; RSV = respiratory syncytial virus.</w:t>
      </w:r>
    </w:p>
    <w:p w14:paraId="7FD68BB4" w14:textId="243A1F30" w:rsidR="00A02E7A" w:rsidRPr="00EC57FB" w:rsidRDefault="00902435" w:rsidP="0089011A">
      <w:pPr>
        <w:pStyle w:val="FooterTableFigure"/>
        <w:keepNext/>
        <w:keepLines/>
      </w:pPr>
      <w:r w:rsidRPr="00EC57FB">
        <w:rPr>
          <w:vertAlign w:val="superscript"/>
        </w:rPr>
        <w:t>a</w:t>
      </w:r>
      <w:r w:rsidR="00A02E7A" w:rsidRPr="00EC57FB">
        <w:t xml:space="preserve"> The multivariate sensitivity analyses were prepared by changing the following inputs:</w:t>
      </w:r>
    </w:p>
    <w:p w14:paraId="64BA74B2" w14:textId="580BDD0E" w:rsidR="00A02E7A" w:rsidRPr="00EC57FB" w:rsidRDefault="00A02E7A" w:rsidP="0089011A">
      <w:pPr>
        <w:pStyle w:val="FooterTableFigure"/>
        <w:keepNext/>
        <w:keepLines/>
        <w:ind w:left="720"/>
      </w:pPr>
      <w:r w:rsidRPr="00EC57FB">
        <w:t xml:space="preserve">Treatment inputs </w:t>
      </w:r>
      <w:r w:rsidRPr="00EC57FB">
        <w:tab/>
        <w:t>E13 as shown in table above (efficacy rate);</w:t>
      </w:r>
    </w:p>
    <w:p w14:paraId="601BB7B0" w14:textId="4F512859" w:rsidR="00A02E7A" w:rsidRPr="00EC57FB" w:rsidRDefault="00A02E7A" w:rsidP="0089011A">
      <w:pPr>
        <w:pStyle w:val="FooterTableFigure"/>
        <w:keepNext/>
        <w:keepLines/>
        <w:ind w:left="720"/>
      </w:pPr>
      <w:r w:rsidRPr="00EC57FB">
        <w:t xml:space="preserve">Treatment inputs </w:t>
      </w:r>
      <w:r w:rsidRPr="00EC57FB">
        <w:tab/>
        <w:t>Q40 as shown in table above (admin cost);</w:t>
      </w:r>
    </w:p>
    <w:p w14:paraId="2262D1C7" w14:textId="4DD347C5" w:rsidR="00A02E7A" w:rsidRPr="00EC57FB" w:rsidRDefault="00A02E7A" w:rsidP="0089011A">
      <w:pPr>
        <w:pStyle w:val="FooterTableFigure"/>
        <w:keepNext/>
        <w:keepLines/>
        <w:ind w:left="720"/>
      </w:pPr>
      <w:r w:rsidRPr="00EC57FB">
        <w:t>Health events</w:t>
      </w:r>
      <w:r w:rsidRPr="00EC57FB">
        <w:tab/>
        <w:t>E160, G160, J160, M160</w:t>
      </w:r>
      <w:r w:rsidRPr="00EC57FB">
        <w:tab/>
        <w:t>0% (recurrent wheeze and asthma);</w:t>
      </w:r>
    </w:p>
    <w:p w14:paraId="441675EA" w14:textId="260ED57A" w:rsidR="00A02E7A" w:rsidRPr="00EC57FB" w:rsidRDefault="00A02E7A" w:rsidP="0089011A">
      <w:pPr>
        <w:pStyle w:val="FooterTableFigure"/>
        <w:keepNext/>
        <w:keepLines/>
        <w:ind w:left="720"/>
      </w:pPr>
      <w:r w:rsidRPr="00EC57FB">
        <w:t>Health events</w:t>
      </w:r>
      <w:r w:rsidRPr="00EC57FB">
        <w:tab/>
        <w:t>AC25</w:t>
      </w:r>
      <w:r w:rsidRPr="00EC57FB">
        <w:tab/>
        <w:t>as shown in table above (hospitalisation rate);</w:t>
      </w:r>
    </w:p>
    <w:p w14:paraId="2CB67BCF" w14:textId="62F4B602" w:rsidR="00A02E7A" w:rsidRPr="00EC57FB" w:rsidRDefault="00A02E7A" w:rsidP="0089011A">
      <w:pPr>
        <w:pStyle w:val="FooterTableFigure"/>
        <w:keepNext/>
        <w:keepLines/>
        <w:ind w:left="720"/>
      </w:pPr>
      <w:r w:rsidRPr="00EC57FB">
        <w:t>Health event costs</w:t>
      </w:r>
      <w:r w:rsidRPr="00EC57FB">
        <w:tab/>
        <w:t>E13</w:t>
      </w:r>
      <w:r w:rsidRPr="00EC57FB">
        <w:tab/>
        <w:t>$8,419.06 (hospitalisations alone);</w:t>
      </w:r>
    </w:p>
    <w:p w14:paraId="6FB879F4" w14:textId="140FB236" w:rsidR="00A02E7A" w:rsidRPr="00EC57FB" w:rsidRDefault="00A02E7A" w:rsidP="0089011A">
      <w:pPr>
        <w:pStyle w:val="FooterTableFigure"/>
        <w:keepNext/>
        <w:keepLines/>
        <w:ind w:left="720"/>
      </w:pPr>
      <w:r w:rsidRPr="00EC57FB">
        <w:t>Health event costs</w:t>
      </w:r>
      <w:r w:rsidRPr="00EC57FB">
        <w:tab/>
        <w:t>E14</w:t>
      </w:r>
      <w:r w:rsidRPr="00EC57FB">
        <w:tab/>
        <w:t>$6,488.71 (ICU);</w:t>
      </w:r>
    </w:p>
    <w:p w14:paraId="4538E302" w14:textId="0DBD5943" w:rsidR="00A02E7A" w:rsidRDefault="00A02E7A" w:rsidP="0089011A">
      <w:pPr>
        <w:pStyle w:val="FooterTableFigure"/>
        <w:keepNext/>
        <w:keepLines/>
        <w:spacing w:after="0"/>
        <w:ind w:left="720"/>
      </w:pPr>
      <w:r w:rsidRPr="00EC57FB">
        <w:t>Health event costs</w:t>
      </w:r>
      <w:r w:rsidRPr="00EC57FB">
        <w:tab/>
        <w:t>E16</w:t>
      </w:r>
      <w:r w:rsidRPr="00EC57FB">
        <w:tab/>
        <w:t>$1,498.49 (ER visits).</w:t>
      </w:r>
    </w:p>
    <w:p w14:paraId="1E44DBFE" w14:textId="77777777" w:rsidR="002C353C" w:rsidRPr="009A6D58" w:rsidRDefault="002C353C" w:rsidP="0089011A">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2B86362" w14:textId="70BF9DD8" w:rsidR="002C353C" w:rsidRPr="009A6D58" w:rsidRDefault="002C353C" w:rsidP="0089011A">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ED430C" w:rsidRPr="00ED430C">
        <w:rPr>
          <w:rFonts w:ascii="Arial Narrow" w:hAnsi="Arial Narrow"/>
          <w:i/>
          <w:sz w:val="18"/>
          <w:szCs w:val="18"/>
        </w:rPr>
        <w:t>$0 to &lt; $5,000</w:t>
      </w:r>
    </w:p>
    <w:p w14:paraId="06C984B7" w14:textId="093CCFB6" w:rsidR="002C353C" w:rsidRPr="009A6D58" w:rsidRDefault="002C353C" w:rsidP="0089011A">
      <w:pPr>
        <w:keepNext/>
        <w:keepLines/>
        <w:rPr>
          <w:rFonts w:ascii="Arial Narrow" w:hAnsi="Arial Narrow"/>
          <w:i/>
          <w:sz w:val="18"/>
          <w:szCs w:val="18"/>
        </w:rPr>
      </w:pPr>
      <w:r w:rsidRPr="009A6D58">
        <w:rPr>
          <w:rFonts w:ascii="Arial Narrow" w:hAnsi="Arial Narrow"/>
          <w:i/>
          <w:sz w:val="18"/>
          <w:szCs w:val="18"/>
          <w:vertAlign w:val="superscript"/>
        </w:rPr>
        <w:lastRenderedPageBreak/>
        <w:t>2</w:t>
      </w:r>
      <w:r>
        <w:rPr>
          <w:rFonts w:ascii="Arial Narrow" w:hAnsi="Arial Narrow"/>
          <w:i/>
          <w:sz w:val="18"/>
          <w:szCs w:val="18"/>
        </w:rPr>
        <w:t xml:space="preserve"> </w:t>
      </w:r>
      <w:r w:rsidR="00364452" w:rsidRPr="00364452">
        <w:rPr>
          <w:rFonts w:ascii="Arial Narrow" w:hAnsi="Arial Narrow"/>
          <w:i/>
          <w:sz w:val="18"/>
          <w:szCs w:val="18"/>
        </w:rPr>
        <w:t>$5,000 to &lt; $15,000</w:t>
      </w:r>
    </w:p>
    <w:p w14:paraId="7BF51959" w14:textId="4F4AF6CA" w:rsidR="002C353C" w:rsidRDefault="002C353C" w:rsidP="0089011A">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8A28F7" w:rsidRPr="008A28F7">
        <w:rPr>
          <w:rFonts w:ascii="Arial Narrow" w:hAnsi="Arial Narrow"/>
          <w:i/>
          <w:sz w:val="18"/>
          <w:szCs w:val="18"/>
        </w:rPr>
        <w:t>$45,000 to &lt; $55,000</w:t>
      </w:r>
    </w:p>
    <w:p w14:paraId="04DA665E" w14:textId="414E70BA" w:rsidR="002C353C" w:rsidRDefault="002C353C" w:rsidP="0089011A">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B952F5" w:rsidRPr="00B952F5">
        <w:rPr>
          <w:rFonts w:ascii="Arial Narrow" w:hAnsi="Arial Narrow"/>
          <w:i/>
          <w:sz w:val="18"/>
          <w:szCs w:val="18"/>
        </w:rPr>
        <w:t>$15,000 to &lt; $25,000</w:t>
      </w:r>
    </w:p>
    <w:p w14:paraId="4995E184" w14:textId="644D3BD4" w:rsidR="002C353C" w:rsidRDefault="002C353C" w:rsidP="0089011A">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5C3E48" w:rsidRPr="005C3E48">
        <w:rPr>
          <w:rFonts w:ascii="Arial Narrow" w:hAnsi="Arial Narrow"/>
          <w:i/>
          <w:sz w:val="18"/>
          <w:szCs w:val="18"/>
        </w:rPr>
        <w:t>$35,000 to &lt; $45,000</w:t>
      </w:r>
    </w:p>
    <w:p w14:paraId="15F955BB" w14:textId="11803C24" w:rsidR="002C353C" w:rsidRDefault="002C353C" w:rsidP="0089011A">
      <w:pPr>
        <w:keepNext/>
        <w:keepLines/>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936C73" w:rsidRPr="00936C73">
        <w:rPr>
          <w:rFonts w:ascii="Arial Narrow" w:hAnsi="Arial Narrow"/>
          <w:i/>
          <w:sz w:val="18"/>
          <w:szCs w:val="18"/>
        </w:rPr>
        <w:t>$95,000 to &lt; $115,000</w:t>
      </w:r>
    </w:p>
    <w:p w14:paraId="551A4C27" w14:textId="79A346E7" w:rsidR="007A589D" w:rsidRDefault="002C353C" w:rsidP="0089011A">
      <w:pPr>
        <w:keepNext/>
        <w:keepLines/>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A267F7" w:rsidRPr="00A267F7">
        <w:rPr>
          <w:rFonts w:ascii="Arial Narrow" w:hAnsi="Arial Narrow"/>
          <w:i/>
          <w:sz w:val="18"/>
          <w:szCs w:val="18"/>
        </w:rPr>
        <w:t>$155,000 to &lt; $255,000</w:t>
      </w:r>
    </w:p>
    <w:p w14:paraId="1856669C" w14:textId="39552FC7" w:rsidR="006B2F27" w:rsidRPr="002C353C" w:rsidRDefault="007A589D" w:rsidP="007A589D">
      <w:pPr>
        <w:spacing w:after="120"/>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89011A" w:rsidRPr="0089011A">
        <w:rPr>
          <w:rFonts w:ascii="Arial Narrow" w:hAnsi="Arial Narrow"/>
          <w:i/>
          <w:sz w:val="18"/>
          <w:szCs w:val="18"/>
        </w:rPr>
        <w:t>$75,000 to &lt; $95,000</w:t>
      </w:r>
    </w:p>
    <w:p w14:paraId="39FD0907" w14:textId="014B1D55" w:rsidR="00902435" w:rsidRPr="00EC57FB" w:rsidRDefault="005D3AEC" w:rsidP="00DC4191">
      <w:pPr>
        <w:pStyle w:val="3-BodyText"/>
      </w:pPr>
      <w:bookmarkStart w:id="138" w:name="_Ref195718415"/>
      <w:r w:rsidRPr="00EC57FB">
        <w:t>The ESC noted that if</w:t>
      </w:r>
      <w:r w:rsidRPr="00EC57FB">
        <w:rPr>
          <w:iCs/>
        </w:rPr>
        <w:t xml:space="preserve"> nirsevimab is considered non-inferior to RSVpreF when used in Season 1, inclusion of nirsevimab on the NIP for use in Season 1 would be appropriate on a cost-minimisation basis versus maternal RSVpreF.</w:t>
      </w:r>
      <w:r w:rsidR="00577C66">
        <w:rPr>
          <w:iCs/>
        </w:rPr>
        <w:t xml:space="preserve"> </w:t>
      </w:r>
      <w:bookmarkStart w:id="139" w:name="_Ref199429485"/>
      <w:r w:rsidR="00902435" w:rsidRPr="00EC57FB">
        <w:t xml:space="preserve">No cost-minimisation analysis comparing nirsevimab with RSVpreF was presented in the resubmission, however a comparison of nirsevimab and RSVpreF costs </w:t>
      </w:r>
      <w:r w:rsidR="00902435" w:rsidRPr="00EC57FB">
        <w:rPr>
          <w:color w:val="000000" w:themeColor="text1"/>
        </w:rPr>
        <w:t xml:space="preserve">is presented in </w:t>
      </w:r>
      <w:r w:rsidR="00902435" w:rsidRPr="00EC57FB">
        <w:fldChar w:fldCharType="begin"/>
      </w:r>
      <w:r w:rsidR="00902435" w:rsidRPr="00EC57FB">
        <w:instrText xml:space="preserve"> REF _Ref174960645 \h </w:instrText>
      </w:r>
      <w:r w:rsidR="00F746B9" w:rsidRPr="00EC57FB">
        <w:instrText xml:space="preserve"> \* MERGEFORMAT </w:instrText>
      </w:r>
      <w:r w:rsidR="00902435" w:rsidRPr="00EC57FB">
        <w:fldChar w:fldCharType="separate"/>
      </w:r>
      <w:r w:rsidR="00502C25" w:rsidRPr="00EC57FB">
        <w:t xml:space="preserve">Table </w:t>
      </w:r>
      <w:r w:rsidR="00502C25">
        <w:t>30</w:t>
      </w:r>
      <w:r w:rsidR="00902435" w:rsidRPr="00EC57FB">
        <w:fldChar w:fldCharType="end"/>
      </w:r>
      <w:r w:rsidR="00902435" w:rsidRPr="00EC57FB">
        <w:rPr>
          <w:color w:val="000000" w:themeColor="text1"/>
        </w:rPr>
        <w:t>.</w:t>
      </w:r>
      <w:r w:rsidR="00577C66">
        <w:rPr>
          <w:color w:val="000000" w:themeColor="text1"/>
        </w:rPr>
        <w:t xml:space="preserve"> </w:t>
      </w:r>
      <w:r w:rsidR="00902435" w:rsidRPr="00EC57FB">
        <w:t>The comparison of nirsevimab vs RSVpreF is based on an equi-effective dose of 1 nirsevimab dose (administered to the infant) to 1 RSVpreF dose (administered to the mother).</w:t>
      </w:r>
      <w:bookmarkEnd w:id="139"/>
      <w:r w:rsidR="00577C66">
        <w:t xml:space="preserve"> </w:t>
      </w:r>
      <w:bookmarkStart w:id="140" w:name="_Ref199429487"/>
      <w:r w:rsidR="00902435" w:rsidRPr="00EC57FB">
        <w:t xml:space="preserve">The cost of RSVpreF in </w:t>
      </w:r>
      <w:r w:rsidR="00902435" w:rsidRPr="00EC57FB">
        <w:fldChar w:fldCharType="begin"/>
      </w:r>
      <w:r w:rsidR="00902435" w:rsidRPr="00EC57FB">
        <w:instrText xml:space="preserve"> REF _Ref174960645 \h </w:instrText>
      </w:r>
      <w:r w:rsidR="00F746B9" w:rsidRPr="00EC57FB">
        <w:instrText xml:space="preserve"> \* MERGEFORMAT </w:instrText>
      </w:r>
      <w:r w:rsidR="00902435" w:rsidRPr="00EC57FB">
        <w:fldChar w:fldCharType="separate"/>
      </w:r>
      <w:r w:rsidR="00502C25" w:rsidRPr="00EC57FB">
        <w:t xml:space="preserve">Table </w:t>
      </w:r>
      <w:r w:rsidR="00502C25">
        <w:t>30</w:t>
      </w:r>
      <w:r w:rsidR="00902435" w:rsidRPr="00EC57FB">
        <w:fldChar w:fldCharType="end"/>
      </w:r>
      <w:r w:rsidR="00902435" w:rsidRPr="00EC57FB">
        <w:t xml:space="preserve"> is the price assumed by the submission, reflecting the private prescription price of Abrysvo ($331.99).</w:t>
      </w:r>
      <w:bookmarkEnd w:id="140"/>
    </w:p>
    <w:p w14:paraId="3B501341" w14:textId="64B310A8" w:rsidR="00902435" w:rsidRPr="00EC57FB" w:rsidRDefault="00902435" w:rsidP="00902435">
      <w:pPr>
        <w:pStyle w:val="Caption"/>
      </w:pPr>
      <w:bookmarkStart w:id="141" w:name="_Ref174960645"/>
      <w:r w:rsidRPr="00EC57FB">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30</w:t>
      </w:r>
      <w:r w:rsidR="00C51E7C" w:rsidRPr="00EC57FB">
        <w:fldChar w:fldCharType="end"/>
      </w:r>
      <w:bookmarkEnd w:id="141"/>
      <w:r w:rsidRPr="00EC57FB">
        <w:t>: Comparison of nirsevimab and RSVpreF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4481"/>
        <w:gridCol w:w="2995"/>
      </w:tblGrid>
      <w:tr w:rsidR="00902435" w:rsidRPr="00EC57FB" w14:paraId="452D42E4" w14:textId="77777777" w:rsidTr="00DC4191">
        <w:tc>
          <w:tcPr>
            <w:tcW w:w="854" w:type="pct"/>
          </w:tcPr>
          <w:p w14:paraId="09FF89EC" w14:textId="77777777" w:rsidR="00902435" w:rsidRPr="00EC57FB" w:rsidRDefault="00902435" w:rsidP="00DC4191">
            <w:pPr>
              <w:pStyle w:val="COMTableheadingrow"/>
              <w:rPr>
                <w:lang w:val="en-AU"/>
              </w:rPr>
            </w:pPr>
            <w:r w:rsidRPr="00EC57FB">
              <w:rPr>
                <w:lang w:val="en-AU"/>
              </w:rPr>
              <w:t>Component</w:t>
            </w:r>
          </w:p>
        </w:tc>
        <w:tc>
          <w:tcPr>
            <w:tcW w:w="2485" w:type="pct"/>
          </w:tcPr>
          <w:p w14:paraId="2B5AC607" w14:textId="77777777" w:rsidR="00902435" w:rsidRPr="00EC57FB" w:rsidRDefault="00902435" w:rsidP="00DC4191">
            <w:pPr>
              <w:pStyle w:val="COMTableheadingrow"/>
              <w:jc w:val="center"/>
              <w:rPr>
                <w:lang w:val="en-AU"/>
              </w:rPr>
            </w:pPr>
            <w:r w:rsidRPr="00EC57FB">
              <w:rPr>
                <w:lang w:val="en-AU"/>
              </w:rPr>
              <w:t>Nirsevimab</w:t>
            </w:r>
          </w:p>
        </w:tc>
        <w:tc>
          <w:tcPr>
            <w:tcW w:w="1661" w:type="pct"/>
          </w:tcPr>
          <w:p w14:paraId="546BC339" w14:textId="77777777" w:rsidR="00902435" w:rsidRPr="00EC57FB" w:rsidRDefault="00902435" w:rsidP="00DC4191">
            <w:pPr>
              <w:pStyle w:val="COMTableheadingrow"/>
              <w:jc w:val="center"/>
              <w:rPr>
                <w:lang w:val="en-AU"/>
              </w:rPr>
            </w:pPr>
            <w:r w:rsidRPr="00EC57FB">
              <w:rPr>
                <w:lang w:val="en-AU"/>
              </w:rPr>
              <w:t>RSVpreF</w:t>
            </w:r>
          </w:p>
        </w:tc>
      </w:tr>
      <w:tr w:rsidR="00902435" w:rsidRPr="00EC57FB" w14:paraId="4A8DCC48" w14:textId="77777777" w:rsidTr="00DC4191">
        <w:tc>
          <w:tcPr>
            <w:tcW w:w="854" w:type="pct"/>
          </w:tcPr>
          <w:p w14:paraId="746BEEDB" w14:textId="77777777" w:rsidR="00902435" w:rsidRPr="00EC57FB" w:rsidRDefault="00902435" w:rsidP="00DC4191">
            <w:pPr>
              <w:pStyle w:val="TableText0"/>
            </w:pPr>
            <w:r w:rsidRPr="00EC57FB">
              <w:t>Intervention</w:t>
            </w:r>
          </w:p>
        </w:tc>
        <w:tc>
          <w:tcPr>
            <w:tcW w:w="2485" w:type="pct"/>
          </w:tcPr>
          <w:p w14:paraId="6BB73314" w14:textId="77777777" w:rsidR="00902435" w:rsidRPr="00EC57FB" w:rsidRDefault="00902435" w:rsidP="00DC4191">
            <w:pPr>
              <w:pStyle w:val="TableText0"/>
              <w:jc w:val="center"/>
            </w:pPr>
            <w:r w:rsidRPr="00EC57FB">
              <w:t>• Nirsevimab, 50 mg/0.5 mL, for Season 1 &lt; 5 kg</w:t>
            </w:r>
          </w:p>
          <w:p w14:paraId="6E2F7947" w14:textId="77777777" w:rsidR="00902435" w:rsidRPr="00EC57FB" w:rsidRDefault="00902435" w:rsidP="00DC4191">
            <w:pPr>
              <w:pStyle w:val="TableText0"/>
              <w:jc w:val="center"/>
            </w:pPr>
            <w:r w:rsidRPr="00EC57FB">
              <w:t>• Nirsevimab, 100 mg/1 mL, for Season 1 ≥ 5 kg</w:t>
            </w:r>
          </w:p>
        </w:tc>
        <w:tc>
          <w:tcPr>
            <w:tcW w:w="1661" w:type="pct"/>
          </w:tcPr>
          <w:p w14:paraId="2E4C921A" w14:textId="77777777" w:rsidR="00902435" w:rsidRPr="00EC57FB" w:rsidRDefault="00902435" w:rsidP="00DC4191">
            <w:pPr>
              <w:pStyle w:val="TableText0"/>
              <w:jc w:val="center"/>
            </w:pPr>
            <w:r w:rsidRPr="00EC57FB">
              <w:t>• RSVpreF maternal vaccination</w:t>
            </w:r>
          </w:p>
        </w:tc>
      </w:tr>
      <w:tr w:rsidR="00902435" w:rsidRPr="00EC57FB" w14:paraId="38D3A90E" w14:textId="77777777" w:rsidTr="00DC4191">
        <w:tc>
          <w:tcPr>
            <w:tcW w:w="854" w:type="pct"/>
          </w:tcPr>
          <w:p w14:paraId="3CE2C205" w14:textId="77777777" w:rsidR="00902435" w:rsidRPr="00EC57FB" w:rsidRDefault="00902435" w:rsidP="00DC4191">
            <w:pPr>
              <w:pStyle w:val="TableText0"/>
            </w:pPr>
            <w:r w:rsidRPr="00EC57FB">
              <w:t>Number of doses</w:t>
            </w:r>
          </w:p>
        </w:tc>
        <w:tc>
          <w:tcPr>
            <w:tcW w:w="2485" w:type="pct"/>
          </w:tcPr>
          <w:p w14:paraId="623A07D1" w14:textId="77777777" w:rsidR="00902435" w:rsidRPr="00EC57FB" w:rsidRDefault="00902435" w:rsidP="00DC4191">
            <w:pPr>
              <w:pStyle w:val="TableText0"/>
              <w:jc w:val="center"/>
            </w:pPr>
            <w:r w:rsidRPr="00EC57FB">
              <w:t>1</w:t>
            </w:r>
          </w:p>
        </w:tc>
        <w:tc>
          <w:tcPr>
            <w:tcW w:w="1661" w:type="pct"/>
          </w:tcPr>
          <w:p w14:paraId="674ABA22" w14:textId="77777777" w:rsidR="00902435" w:rsidRPr="00EC57FB" w:rsidRDefault="00902435" w:rsidP="00DC4191">
            <w:pPr>
              <w:pStyle w:val="TableText0"/>
              <w:jc w:val="center"/>
            </w:pPr>
            <w:r w:rsidRPr="00EC57FB">
              <w:t>1</w:t>
            </w:r>
          </w:p>
        </w:tc>
      </w:tr>
      <w:tr w:rsidR="00902435" w:rsidRPr="00EC57FB" w14:paraId="59390D06" w14:textId="77777777" w:rsidTr="00DC4191">
        <w:tc>
          <w:tcPr>
            <w:tcW w:w="854" w:type="pct"/>
          </w:tcPr>
          <w:p w14:paraId="2B095DD9" w14:textId="77777777" w:rsidR="00902435" w:rsidRPr="00EC57FB" w:rsidRDefault="00902435" w:rsidP="00DC4191">
            <w:pPr>
              <w:pStyle w:val="TableText0"/>
            </w:pPr>
            <w:r w:rsidRPr="00EC57FB">
              <w:t>Cost per dose</w:t>
            </w:r>
          </w:p>
        </w:tc>
        <w:tc>
          <w:tcPr>
            <w:tcW w:w="2485" w:type="pct"/>
          </w:tcPr>
          <w:p w14:paraId="2162068E" w14:textId="3F4BD4E1" w:rsidR="00902435" w:rsidRPr="00EC57FB" w:rsidRDefault="00902435" w:rsidP="00DC4191">
            <w:pPr>
              <w:pStyle w:val="TableText0"/>
              <w:jc w:val="center"/>
            </w:pPr>
            <w:r w:rsidRPr="00EC57FB">
              <w:t>$</w:t>
            </w:r>
            <w:r w:rsidR="000641E5" w:rsidRPr="000641E5">
              <w:rPr>
                <w:color w:val="000000"/>
                <w:spacing w:val="52"/>
                <w:shd w:val="solid" w:color="000000" w:fill="000000"/>
                <w:fitText w:val="328" w:id="-662982394"/>
                <w14:textFill>
                  <w14:solidFill>
                    <w14:srgbClr w14:val="000000">
                      <w14:alpha w14:val="100000"/>
                    </w14:srgbClr>
                  </w14:solidFill>
                </w14:textFill>
              </w:rPr>
              <w:t>|||</w:t>
            </w:r>
            <w:r w:rsidR="000641E5" w:rsidRPr="000641E5">
              <w:rPr>
                <w:color w:val="000000"/>
                <w:spacing w:val="2"/>
                <w:shd w:val="solid" w:color="000000" w:fill="000000"/>
                <w:fitText w:val="328" w:id="-662982394"/>
                <w14:textFill>
                  <w14:solidFill>
                    <w14:srgbClr w14:val="000000">
                      <w14:alpha w14:val="100000"/>
                    </w14:srgbClr>
                  </w14:solidFill>
                </w14:textFill>
              </w:rPr>
              <w:t>|</w:t>
            </w:r>
            <w:r w:rsidRPr="00EC57FB">
              <w:t xml:space="preserve"> </w:t>
            </w:r>
          </w:p>
          <w:p w14:paraId="48A23C51" w14:textId="77777777" w:rsidR="00902435" w:rsidRPr="00EC57FB" w:rsidRDefault="00902435" w:rsidP="00DC4191">
            <w:pPr>
              <w:pStyle w:val="TableText0"/>
              <w:jc w:val="center"/>
            </w:pPr>
            <w:r w:rsidRPr="00EC57FB">
              <w:t>(price requested by resubmission)</w:t>
            </w:r>
          </w:p>
        </w:tc>
        <w:tc>
          <w:tcPr>
            <w:tcW w:w="1661" w:type="pct"/>
          </w:tcPr>
          <w:p w14:paraId="12F0DB40" w14:textId="77777777" w:rsidR="00902435" w:rsidRPr="00EC57FB" w:rsidRDefault="00902435" w:rsidP="00DC4191">
            <w:pPr>
              <w:pStyle w:val="TableText0"/>
              <w:jc w:val="center"/>
            </w:pPr>
            <w:r w:rsidRPr="00EC57FB">
              <w:t xml:space="preserve">$331.99 </w:t>
            </w:r>
          </w:p>
          <w:p w14:paraId="3D17E856" w14:textId="77777777" w:rsidR="00902435" w:rsidRPr="00EC57FB" w:rsidRDefault="00902435" w:rsidP="00DC4191">
            <w:pPr>
              <w:pStyle w:val="TableText0"/>
              <w:jc w:val="center"/>
            </w:pPr>
            <w:r w:rsidRPr="00EC57FB">
              <w:t>(price assumed by resubmission)</w:t>
            </w:r>
          </w:p>
        </w:tc>
      </w:tr>
      <w:tr w:rsidR="00902435" w:rsidRPr="00EC57FB" w14:paraId="4CA8F4D3" w14:textId="77777777" w:rsidTr="00DC4191">
        <w:tc>
          <w:tcPr>
            <w:tcW w:w="854" w:type="pct"/>
          </w:tcPr>
          <w:p w14:paraId="7CB57A97" w14:textId="77777777" w:rsidR="00902435" w:rsidRPr="00EC57FB" w:rsidRDefault="00902435" w:rsidP="00DC4191">
            <w:pPr>
              <w:pStyle w:val="TableText0"/>
              <w:rPr>
                <w:b/>
              </w:rPr>
            </w:pPr>
            <w:r w:rsidRPr="00EC57FB">
              <w:rPr>
                <w:b/>
              </w:rPr>
              <w:t>Total cost</w:t>
            </w:r>
          </w:p>
        </w:tc>
        <w:tc>
          <w:tcPr>
            <w:tcW w:w="2485" w:type="pct"/>
          </w:tcPr>
          <w:p w14:paraId="592CE3C5" w14:textId="2798CD69" w:rsidR="00902435" w:rsidRPr="00EC57FB" w:rsidRDefault="00902435" w:rsidP="00DC4191">
            <w:pPr>
              <w:pStyle w:val="TableText0"/>
              <w:jc w:val="center"/>
              <w:rPr>
                <w:b/>
              </w:rPr>
            </w:pPr>
            <w:r w:rsidRPr="00EC57FB">
              <w:rPr>
                <w:b/>
              </w:rPr>
              <w:t>$</w:t>
            </w:r>
            <w:r w:rsidR="000641E5" w:rsidRPr="00B73761">
              <w:rPr>
                <w:b/>
                <w:color w:val="000000"/>
                <w:spacing w:val="55"/>
                <w:shd w:val="solid" w:color="000000" w:fill="000000"/>
                <w:fitText w:val="350" w:id="-662982393"/>
                <w14:textFill>
                  <w14:solidFill>
                    <w14:srgbClr w14:val="000000">
                      <w14:alpha w14:val="100000"/>
                    </w14:srgbClr>
                  </w14:solidFill>
                </w14:textFill>
              </w:rPr>
              <w:t>|||</w:t>
            </w:r>
            <w:r w:rsidR="000641E5" w:rsidRPr="00B73761">
              <w:rPr>
                <w:b/>
                <w:color w:val="000000"/>
                <w:spacing w:val="2"/>
                <w:shd w:val="solid" w:color="000000" w:fill="000000"/>
                <w:fitText w:val="350" w:id="-662982393"/>
                <w14:textFill>
                  <w14:solidFill>
                    <w14:srgbClr w14:val="000000">
                      <w14:alpha w14:val="100000"/>
                    </w14:srgbClr>
                  </w14:solidFill>
                </w14:textFill>
              </w:rPr>
              <w:t>|</w:t>
            </w:r>
          </w:p>
        </w:tc>
        <w:tc>
          <w:tcPr>
            <w:tcW w:w="1661" w:type="pct"/>
          </w:tcPr>
          <w:p w14:paraId="2A2AF295" w14:textId="22590D39" w:rsidR="00902435" w:rsidRPr="00EC57FB" w:rsidRDefault="00902435" w:rsidP="00DC4191">
            <w:pPr>
              <w:pStyle w:val="TableText0"/>
              <w:jc w:val="center"/>
              <w:rPr>
                <w:b/>
              </w:rPr>
            </w:pPr>
            <w:r w:rsidRPr="00EC57FB">
              <w:rPr>
                <w:b/>
              </w:rPr>
              <w:t>$331.99</w:t>
            </w:r>
            <w:r w:rsidR="00BC5781" w:rsidRPr="00BC5781">
              <w:rPr>
                <w:b/>
                <w:vertAlign w:val="superscript"/>
              </w:rPr>
              <w:t>a</w:t>
            </w:r>
          </w:p>
        </w:tc>
      </w:tr>
    </w:tbl>
    <w:p w14:paraId="4DDBA891" w14:textId="686110D3" w:rsidR="00BC5781" w:rsidRDefault="00BC5781" w:rsidP="00BC5781">
      <w:pPr>
        <w:pStyle w:val="COMTablefooter"/>
      </w:pPr>
      <w:r>
        <w:t xml:space="preserve">a. Price assumed by resubmission, </w:t>
      </w:r>
      <w:r w:rsidRPr="00BC5781">
        <w:t>reflecting the private prescription price of Abrysvo</w:t>
      </w:r>
      <w:r>
        <w:t>.</w:t>
      </w:r>
    </w:p>
    <w:p w14:paraId="08C5336C" w14:textId="3CEC3C8C" w:rsidR="00902435" w:rsidRPr="00EC57FB" w:rsidRDefault="00902435" w:rsidP="00902435">
      <w:pPr>
        <w:pStyle w:val="COMTablefooter"/>
      </w:pPr>
      <w:r w:rsidRPr="00EC57FB">
        <w:t xml:space="preserve">Source: Prepared </w:t>
      </w:r>
      <w:r w:rsidR="00BD273C" w:rsidRPr="00EC57FB">
        <w:t>by Secretariat</w:t>
      </w:r>
      <w:r w:rsidRPr="00EC57FB">
        <w:t>.</w:t>
      </w:r>
    </w:p>
    <w:bookmarkEnd w:id="138"/>
    <w:p w14:paraId="5E3FAECF" w14:textId="4F65B848" w:rsidR="00BA5BDE" w:rsidRPr="00EC57FB" w:rsidRDefault="00D04119" w:rsidP="00DC4191">
      <w:pPr>
        <w:pStyle w:val="3-BodyText"/>
        <w:rPr>
          <w:iCs/>
        </w:rPr>
      </w:pPr>
      <w:r w:rsidRPr="00EC57FB">
        <w:rPr>
          <w:iCs/>
        </w:rPr>
        <w:t xml:space="preserve">The ESC did not agree with the PSCR that all infants receiving nirsevimab in Season 1 should be considered a single population. </w:t>
      </w:r>
      <w:r w:rsidR="00146CCD" w:rsidRPr="00EC57FB">
        <w:rPr>
          <w:iCs/>
        </w:rPr>
        <w:t>T</w:t>
      </w:r>
      <w:r w:rsidR="00937FBC" w:rsidRPr="00EC57FB">
        <w:rPr>
          <w:iCs/>
        </w:rPr>
        <w:t>he ESC considered t</w:t>
      </w:r>
      <w:r w:rsidRPr="00EC57FB">
        <w:rPr>
          <w:iCs/>
        </w:rPr>
        <w:t>he populations eligible to receive nirsevimab following administration of RSVpreF as detailed in the AIH (Population B and Population C(b) in Figure 1) should be distinguished and considered separately. The relevant comparison in these populations would be nirsevimab + RSVpreF vs RSVpreF alone.</w:t>
      </w:r>
      <w:r w:rsidR="00577C66">
        <w:rPr>
          <w:iCs/>
        </w:rPr>
        <w:t xml:space="preserve"> </w:t>
      </w:r>
    </w:p>
    <w:p w14:paraId="38BBCB52" w14:textId="2AE95F8C" w:rsidR="00D04119" w:rsidRPr="00EC57FB" w:rsidRDefault="00D04119" w:rsidP="00DC4191">
      <w:pPr>
        <w:pStyle w:val="3-BodyText"/>
        <w:rPr>
          <w:iCs/>
        </w:rPr>
      </w:pPr>
      <w:r w:rsidRPr="00EC57FB">
        <w:rPr>
          <w:iCs/>
        </w:rPr>
        <w:t>Given that the resubmission did not provide an economic evaluation for Population B and Population C(b) in Figure 1, the cost-effectiveness of nirsevimab in these scenarios is unknown.</w:t>
      </w:r>
      <w:r w:rsidR="00577C66">
        <w:rPr>
          <w:iCs/>
        </w:rPr>
        <w:t xml:space="preserve"> </w:t>
      </w:r>
      <w:r w:rsidRPr="00EC57FB">
        <w:rPr>
          <w:iCs/>
        </w:rPr>
        <w:t>The PSCR acknowledged that “Cost effectiveness may be compromised in scenarios where infants receive both therapies” and proposed that “nirsevimab should be given preferentially</w:t>
      </w:r>
      <w:r w:rsidR="005D3AEC" w:rsidRPr="00EC57FB">
        <w:rPr>
          <w:iCs/>
        </w:rPr>
        <w:t>”</w:t>
      </w:r>
      <w:r w:rsidRPr="00EC57FB">
        <w:rPr>
          <w:iCs/>
        </w:rPr>
        <w:t>.</w:t>
      </w:r>
      <w:r w:rsidR="00577C66">
        <w:rPr>
          <w:iCs/>
        </w:rPr>
        <w:t xml:space="preserve"> </w:t>
      </w:r>
      <w:r w:rsidRPr="00EC57FB">
        <w:rPr>
          <w:iCs/>
        </w:rPr>
        <w:t>The PSCR also proposed that any “reduction in overall cost effectiveness caused by a failed RSVpreF vaccination followed by immunisation with nirsevimab should not be borne by nirsevimab”. The PSCR considered that “An infant in this scenario is identical to an unvaccinated infant and, therefore, should be considered within that cost effectiveness framework.”</w:t>
      </w:r>
    </w:p>
    <w:p w14:paraId="2BC7C2AE" w14:textId="7239CB51" w:rsidR="00645124" w:rsidRPr="00EC57FB" w:rsidRDefault="00C46126" w:rsidP="001E2EC7">
      <w:pPr>
        <w:spacing w:after="120"/>
        <w:rPr>
          <w:b/>
        </w:rPr>
      </w:pPr>
      <w:r w:rsidRPr="00EC57FB">
        <w:rPr>
          <w:b/>
          <w:iCs/>
          <w:u w:val="single"/>
        </w:rPr>
        <w:t xml:space="preserve">Season </w:t>
      </w:r>
      <w:r w:rsidR="00902435" w:rsidRPr="00EC57FB">
        <w:rPr>
          <w:b/>
          <w:iCs/>
          <w:u w:val="single"/>
        </w:rPr>
        <w:t>2</w:t>
      </w:r>
      <w:r w:rsidRPr="00EC57FB">
        <w:rPr>
          <w:b/>
          <w:iCs/>
          <w:u w:val="single"/>
        </w:rPr>
        <w:t xml:space="preserve"> </w:t>
      </w:r>
      <w:r w:rsidR="00BD273C" w:rsidRPr="00EC57FB">
        <w:rPr>
          <w:b/>
          <w:iCs/>
          <w:u w:val="single"/>
        </w:rPr>
        <w:t>summary</w:t>
      </w:r>
    </w:p>
    <w:p w14:paraId="68A5F0EA" w14:textId="21F5E692" w:rsidR="009672EC" w:rsidRPr="00EC57FB" w:rsidRDefault="00463F25">
      <w:pPr>
        <w:pStyle w:val="3-BodyText"/>
      </w:pPr>
      <w:bookmarkStart w:id="142" w:name="_Ref200114773"/>
      <w:bookmarkStart w:id="143" w:name="_Ref188447971"/>
      <w:bookmarkStart w:id="144" w:name="_Ref200112069"/>
      <w:r w:rsidRPr="00EC57FB">
        <w:t>The resubmission presented o</w:t>
      </w:r>
      <w:r w:rsidR="00BA7FEF" w:rsidRPr="00EC57FB">
        <w:t xml:space="preserve">verall results of the economic evaluation for nirsevimab in </w:t>
      </w:r>
      <w:r w:rsidR="008B2FF1" w:rsidRPr="00EC57FB">
        <w:t>infants with risk conditions</w:t>
      </w:r>
      <w:r w:rsidR="00BA7FEF" w:rsidRPr="00EC57FB">
        <w:t xml:space="preserve"> versus </w:t>
      </w:r>
      <w:r w:rsidR="008B2FF1" w:rsidRPr="00EC57FB">
        <w:t>no immunisation</w:t>
      </w:r>
      <w:r w:rsidR="00CF0B09" w:rsidRPr="00EC57FB">
        <w:t xml:space="preserve"> for two RSV seasons</w:t>
      </w:r>
      <w:r w:rsidRPr="00EC57FB">
        <w:t xml:space="preserve"> (results not shown).</w:t>
      </w:r>
      <w:r w:rsidR="00577C66">
        <w:t xml:space="preserve"> </w:t>
      </w:r>
      <w:r w:rsidR="00CB1E4F" w:rsidRPr="00EC57FB">
        <w:t xml:space="preserve">The evaluation noted that baseline risk of hospitalisation for RSV LRTI is likely </w:t>
      </w:r>
      <w:r w:rsidR="00CB1E4F" w:rsidRPr="00EC57FB">
        <w:lastRenderedPageBreak/>
        <w:t xml:space="preserve">to be reduced in Season 2 compared with Season 1, and there are potential differences in the effectiveness of nirsevimab in Season 2 versus Season 1 (paragraph </w:t>
      </w:r>
      <w:r w:rsidR="00CB1E4F" w:rsidRPr="00EC57FB">
        <w:fldChar w:fldCharType="begin"/>
      </w:r>
      <w:r w:rsidR="00CB1E4F" w:rsidRPr="00EC57FB">
        <w:instrText xml:space="preserve"> REF _Ref187081489 \r \h  \* MERGEFORMAT </w:instrText>
      </w:r>
      <w:r w:rsidR="00CB1E4F" w:rsidRPr="00EC57FB">
        <w:fldChar w:fldCharType="separate"/>
      </w:r>
      <w:r w:rsidR="00502C25">
        <w:t>6.43</w:t>
      </w:r>
      <w:r w:rsidR="00CB1E4F" w:rsidRPr="00EC57FB">
        <w:fldChar w:fldCharType="end"/>
      </w:r>
      <w:r w:rsidR="00CB1E4F" w:rsidRPr="00EC57FB">
        <w:t xml:space="preserve">). </w:t>
      </w:r>
      <w:r w:rsidR="00204B01" w:rsidRPr="00EC57FB">
        <w:rPr>
          <w:rFonts w:eastAsia="Calibri"/>
          <w:iCs/>
        </w:rPr>
        <w:t>The ESC considered the evidence to support efficacy of nirsevimab in Season 2 was limited and noted uncertainty regarding the baseline rate of hospitalisation due to RSV in children with risk conditions entering their second RSV season.</w:t>
      </w:r>
      <w:r w:rsidR="00577C66">
        <w:rPr>
          <w:rFonts w:eastAsia="Calibri"/>
          <w:iCs/>
        </w:rPr>
        <w:t xml:space="preserve"> </w:t>
      </w:r>
      <w:r w:rsidR="00942184" w:rsidRPr="00EC57FB">
        <w:rPr>
          <w:iCs/>
        </w:rPr>
        <w:t>T</w:t>
      </w:r>
      <w:r w:rsidRPr="00EC57FB">
        <w:rPr>
          <w:iCs/>
        </w:rPr>
        <w:t xml:space="preserve">he PSCR </w:t>
      </w:r>
      <w:r w:rsidR="00937FBC" w:rsidRPr="00EC57FB">
        <w:rPr>
          <w:iCs/>
        </w:rPr>
        <w:t xml:space="preserve">and pre-PBAC response </w:t>
      </w:r>
      <w:r w:rsidR="00942184" w:rsidRPr="00EC57FB">
        <w:rPr>
          <w:iCs/>
        </w:rPr>
        <w:t>presented the results for Season 2 separately</w:t>
      </w:r>
      <w:r w:rsidR="00937FBC" w:rsidRPr="00EC57FB">
        <w:rPr>
          <w:iCs/>
        </w:rPr>
        <w:t xml:space="preserve">. </w:t>
      </w:r>
      <w:r w:rsidR="00622482" w:rsidRPr="00EC57FB">
        <w:rPr>
          <w:iCs/>
        </w:rPr>
        <w:t xml:space="preserve">The Season 2 model was not evaluated, however </w:t>
      </w:r>
      <w:bookmarkStart w:id="145" w:name="_Ref195718449"/>
      <w:r w:rsidR="00CB1E4F" w:rsidRPr="00EC57FB">
        <w:t>t</w:t>
      </w:r>
      <w:r w:rsidR="00CB1E4F" w:rsidRPr="00EC57FB">
        <w:rPr>
          <w:iCs/>
        </w:rPr>
        <w:t xml:space="preserve">he ESC noted that the PSCR model inappropriately included benefits for asthma and wheezing, inappropriately assumed immunisation efficacy of 79.5%, and inappropriately applied costs of hospitalisation that included costs for any re-admissions over the following six months. </w:t>
      </w:r>
      <w:bookmarkEnd w:id="145"/>
      <w:r w:rsidR="00CB1E4F" w:rsidRPr="00EC57FB">
        <w:t>Due to a lack o</w:t>
      </w:r>
      <w:r w:rsidR="00A171C7" w:rsidRPr="00EC57FB">
        <w:t>f</w:t>
      </w:r>
      <w:r w:rsidR="00CB1E4F" w:rsidRPr="00EC57FB">
        <w:t xml:space="preserve"> data on the percentage of high</w:t>
      </w:r>
      <w:r w:rsidR="00CB1E4F" w:rsidRPr="00EC57FB">
        <w:noBreakHyphen/>
        <w:t>risk patients from tropical or temperate climates, an assumption of 50% of each was made for the Season 2 population.</w:t>
      </w:r>
      <w:r w:rsidR="00577C66">
        <w:t xml:space="preserve"> </w:t>
      </w:r>
      <w:r w:rsidR="00CB1E4F" w:rsidRPr="00EC57FB">
        <w:rPr>
          <w:iCs/>
        </w:rPr>
        <w:t>The ESC noted that t</w:t>
      </w:r>
      <w:r w:rsidR="00CB1E4F" w:rsidRPr="00EC57FB">
        <w:t>he resubmission applied a cost in Season 2 of $</w:t>
      </w:r>
      <w:r w:rsidR="000641E5" w:rsidRPr="000641E5">
        <w:rPr>
          <w:color w:val="000000"/>
          <w:w w:val="61"/>
          <w:shd w:val="solid" w:color="000000" w:fill="000000"/>
          <w:fitText w:val="471" w:id="-662982392"/>
          <w14:textFill>
            <w14:solidFill>
              <w14:srgbClr w14:val="000000">
                <w14:alpha w14:val="100000"/>
              </w14:srgbClr>
            </w14:solidFill>
          </w14:textFill>
        </w:rPr>
        <w:t>|||  ||</w:t>
      </w:r>
      <w:r w:rsidR="000641E5" w:rsidRPr="000641E5">
        <w:rPr>
          <w:color w:val="000000"/>
          <w:spacing w:val="1"/>
          <w:w w:val="61"/>
          <w:shd w:val="solid" w:color="000000" w:fill="000000"/>
          <w:fitText w:val="471" w:id="-662982392"/>
          <w14:textFill>
            <w14:solidFill>
              <w14:srgbClr w14:val="000000">
                <w14:alpha w14:val="100000"/>
              </w14:srgbClr>
            </w14:solidFill>
          </w14:textFill>
        </w:rPr>
        <w:t>|</w:t>
      </w:r>
      <w:r w:rsidR="00CB1E4F" w:rsidRPr="00EC57FB">
        <w:t xml:space="preserve"> rather than $</w:t>
      </w:r>
      <w:r w:rsidR="000641E5" w:rsidRPr="000641E5">
        <w:rPr>
          <w:color w:val="000000"/>
          <w:w w:val="61"/>
          <w:shd w:val="solid" w:color="000000" w:fill="000000"/>
          <w:fitText w:val="471" w:id="-662982391"/>
          <w14:textFill>
            <w14:solidFill>
              <w14:srgbClr w14:val="000000">
                <w14:alpha w14:val="100000"/>
              </w14:srgbClr>
            </w14:solidFill>
          </w14:textFill>
        </w:rPr>
        <w:t>|||  ||</w:t>
      </w:r>
      <w:r w:rsidR="000641E5" w:rsidRPr="000641E5">
        <w:rPr>
          <w:color w:val="000000"/>
          <w:spacing w:val="1"/>
          <w:w w:val="61"/>
          <w:shd w:val="solid" w:color="000000" w:fill="000000"/>
          <w:fitText w:val="471" w:id="-662982391"/>
          <w14:textFill>
            <w14:solidFill>
              <w14:srgbClr w14:val="000000">
                <w14:alpha w14:val="100000"/>
              </w14:srgbClr>
            </w14:solidFill>
          </w14:textFill>
        </w:rPr>
        <w:t>|</w:t>
      </w:r>
      <w:r w:rsidR="00CB1E4F" w:rsidRPr="00EC57FB">
        <w:t>, due to an error (as clarified by the sponsor in the pre-PBAC response).</w:t>
      </w:r>
      <w:r w:rsidR="00577C66">
        <w:t xml:space="preserve"> </w:t>
      </w:r>
      <w:r w:rsidR="00622482" w:rsidRPr="00EC57FB">
        <w:t xml:space="preserve">Additional errors were subsequently identified </w:t>
      </w:r>
      <w:r w:rsidR="00937FBC" w:rsidRPr="00EC57FB">
        <w:rPr>
          <w:iCs/>
        </w:rPr>
        <w:t>including underestimation of nirsevimab treatment</w:t>
      </w:r>
      <w:r w:rsidR="00577C66">
        <w:rPr>
          <w:iCs/>
        </w:rPr>
        <w:t xml:space="preserve"> </w:t>
      </w:r>
      <w:r w:rsidR="00937FBC" w:rsidRPr="00EC57FB">
        <w:rPr>
          <w:iCs/>
        </w:rPr>
        <w:t>costs</w:t>
      </w:r>
      <w:r w:rsidR="00937FBC" w:rsidRPr="00EC57FB">
        <w:rPr>
          <w:rStyle w:val="FootnoteReference"/>
          <w:iCs/>
        </w:rPr>
        <w:footnoteReference w:id="18"/>
      </w:r>
      <w:r w:rsidR="00937FBC" w:rsidRPr="00EC57FB">
        <w:rPr>
          <w:iCs/>
        </w:rPr>
        <w:t xml:space="preserve">, and therefore the PBAC considered </w:t>
      </w:r>
      <w:r w:rsidR="00622482" w:rsidRPr="00EC57FB">
        <w:rPr>
          <w:iCs/>
        </w:rPr>
        <w:t xml:space="preserve">that the Season 2 model </w:t>
      </w:r>
      <w:r w:rsidR="00937FBC" w:rsidRPr="00EC57FB">
        <w:rPr>
          <w:iCs/>
        </w:rPr>
        <w:t>was not reliable for decision-making</w:t>
      </w:r>
      <w:r w:rsidRPr="00EC57FB">
        <w:rPr>
          <w:iCs/>
        </w:rPr>
        <w:t>.</w:t>
      </w:r>
      <w:bookmarkEnd w:id="142"/>
      <w:r w:rsidR="00BA7FEF" w:rsidRPr="00EC57FB">
        <w:t xml:space="preserve"> </w:t>
      </w:r>
      <w:bookmarkEnd w:id="143"/>
      <w:bookmarkEnd w:id="144"/>
    </w:p>
    <w:p w14:paraId="472842D7" w14:textId="1A87B77D" w:rsidR="00C25D9C" w:rsidRPr="00EC57FB" w:rsidRDefault="00C25D9C" w:rsidP="00BB732D">
      <w:pPr>
        <w:pStyle w:val="4-SubsectionHeading"/>
      </w:pPr>
      <w:bookmarkStart w:id="146" w:name="_Toc22897646"/>
      <w:bookmarkStart w:id="147" w:name="_Toc188619265"/>
      <w:r w:rsidRPr="00EC57FB">
        <w:t>Drug cost/patient/course</w:t>
      </w:r>
      <w:bookmarkEnd w:id="146"/>
      <w:bookmarkEnd w:id="147"/>
    </w:p>
    <w:p w14:paraId="0AD5E56B" w14:textId="0A0860B4" w:rsidR="00057E52" w:rsidRPr="00EC57FB" w:rsidRDefault="00410822" w:rsidP="00905412">
      <w:pPr>
        <w:pStyle w:val="3-BodyText"/>
      </w:pPr>
      <w:bookmarkStart w:id="148" w:name="_Ref104805102"/>
      <w:r w:rsidRPr="00EC57FB">
        <w:t>The</w:t>
      </w:r>
      <w:r w:rsidR="00912DB3" w:rsidRPr="00EC57FB">
        <w:t xml:space="preserve"> ex-manufacturer price proposed for nirsevimab was unchang</w:t>
      </w:r>
      <w:r w:rsidR="007C35AE" w:rsidRPr="00EC57FB">
        <w:t xml:space="preserve">ed from the </w:t>
      </w:r>
      <w:r w:rsidR="003172A2" w:rsidRPr="00EC57FB">
        <w:t xml:space="preserve">first </w:t>
      </w:r>
      <w:r w:rsidR="007C35AE" w:rsidRPr="00EC57FB">
        <w:t>submission</w:t>
      </w:r>
      <w:r w:rsidR="001F1A31" w:rsidRPr="00EC57FB">
        <w:t>:</w:t>
      </w:r>
      <w:r w:rsidR="0029261A" w:rsidRPr="00EC57FB">
        <w:t xml:space="preserve"> </w:t>
      </w:r>
      <w:r w:rsidR="00B1584F" w:rsidRPr="00EC57FB">
        <w:t>$</w:t>
      </w:r>
      <w:r w:rsidR="000641E5" w:rsidRPr="000641E5">
        <w:rPr>
          <w:color w:val="000000"/>
          <w:w w:val="62"/>
          <w:shd w:val="solid" w:color="000000" w:fill="000000"/>
          <w:fitText w:val="481" w:id="-662982390"/>
          <w14:textFill>
            <w14:solidFill>
              <w14:srgbClr w14:val="000000">
                <w14:alpha w14:val="100000"/>
              </w14:srgbClr>
            </w14:solidFill>
          </w14:textFill>
        </w:rPr>
        <w:t>|||  ||</w:t>
      </w:r>
      <w:r w:rsidR="000641E5" w:rsidRPr="000641E5">
        <w:rPr>
          <w:color w:val="000000"/>
          <w:spacing w:val="3"/>
          <w:w w:val="62"/>
          <w:shd w:val="solid" w:color="000000" w:fill="000000"/>
          <w:fitText w:val="481" w:id="-662982390"/>
          <w14:textFill>
            <w14:solidFill>
              <w14:srgbClr w14:val="000000">
                <w14:alpha w14:val="100000"/>
              </w14:srgbClr>
            </w14:solidFill>
          </w14:textFill>
        </w:rPr>
        <w:t>|</w:t>
      </w:r>
      <w:r w:rsidR="00B1584F" w:rsidRPr="00EC57FB">
        <w:t xml:space="preserve">/infant </w:t>
      </w:r>
      <w:r w:rsidR="00057E52" w:rsidRPr="00EC57FB">
        <w:t>entering their first RSV season and $</w:t>
      </w:r>
      <w:r w:rsidR="000641E5" w:rsidRPr="000641E5">
        <w:rPr>
          <w:color w:val="000000"/>
          <w:w w:val="61"/>
          <w:shd w:val="solid" w:color="000000" w:fill="000000"/>
          <w:fitText w:val="471" w:id="-662982389"/>
          <w14:textFill>
            <w14:solidFill>
              <w14:srgbClr w14:val="000000">
                <w14:alpha w14:val="100000"/>
              </w14:srgbClr>
            </w14:solidFill>
          </w14:textFill>
        </w:rPr>
        <w:t>|||  ||</w:t>
      </w:r>
      <w:r w:rsidR="000641E5" w:rsidRPr="000641E5">
        <w:rPr>
          <w:color w:val="000000"/>
          <w:spacing w:val="1"/>
          <w:w w:val="61"/>
          <w:shd w:val="solid" w:color="000000" w:fill="000000"/>
          <w:fitText w:val="471" w:id="-662982389"/>
          <w14:textFill>
            <w14:solidFill>
              <w14:srgbClr w14:val="000000">
                <w14:alpha w14:val="100000"/>
              </w14:srgbClr>
            </w14:solidFill>
          </w14:textFill>
        </w:rPr>
        <w:t>|</w:t>
      </w:r>
      <w:r w:rsidR="00057E52" w:rsidRPr="00EC57FB">
        <w:t>/child entering their second RSV season.</w:t>
      </w:r>
      <w:r w:rsidR="00670AA3" w:rsidRPr="00EC57FB">
        <w:t xml:space="preserve"> </w:t>
      </w:r>
    </w:p>
    <w:p w14:paraId="268768EF" w14:textId="4C1F3414" w:rsidR="00B60939" w:rsidRPr="00EC57FB" w:rsidRDefault="00B60939" w:rsidP="002B05A1">
      <w:pPr>
        <w:pStyle w:val="4-SubsectionHeading"/>
      </w:pPr>
      <w:bookmarkStart w:id="149" w:name="_Toc22897647"/>
      <w:bookmarkStart w:id="150" w:name="_Toc188619266"/>
      <w:bookmarkEnd w:id="148"/>
      <w:r w:rsidRPr="00EC57FB">
        <w:t>Estimated PBS usage &amp; financial implications</w:t>
      </w:r>
      <w:bookmarkEnd w:id="149"/>
      <w:bookmarkEnd w:id="150"/>
      <w:r w:rsidR="00480BE7" w:rsidRPr="00EC57FB">
        <w:t xml:space="preserve"> </w:t>
      </w:r>
    </w:p>
    <w:p w14:paraId="5FB363D7" w14:textId="5E322289" w:rsidR="005C63F7" w:rsidRPr="00EC57FB" w:rsidRDefault="00C25D9C" w:rsidP="00DC4191">
      <w:pPr>
        <w:pStyle w:val="3-BodyText"/>
        <w:rPr>
          <w:color w:val="000000" w:themeColor="text1"/>
        </w:rPr>
      </w:pPr>
      <w:r w:rsidRPr="00EC57FB">
        <w:t xml:space="preserve">This </w:t>
      </w:r>
      <w:r w:rsidR="002F4D6C" w:rsidRPr="00EC57FB">
        <w:t>re</w:t>
      </w:r>
      <w:r w:rsidRPr="00EC57FB">
        <w:t xml:space="preserve">submission </w:t>
      </w:r>
      <w:r w:rsidR="006F21CA" w:rsidRPr="00EC57FB">
        <w:t>was</w:t>
      </w:r>
      <w:r w:rsidR="00A93BD8" w:rsidRPr="00EC57FB">
        <w:t xml:space="preserve"> not</w:t>
      </w:r>
      <w:r w:rsidRPr="00EC57FB">
        <w:t xml:space="preserve"> considered by DUSC</w:t>
      </w:r>
      <w:r w:rsidR="0043421B" w:rsidRPr="00EC57FB">
        <w:t>,</w:t>
      </w:r>
      <w:r w:rsidR="002F4D6C" w:rsidRPr="00EC57FB">
        <w:t xml:space="preserve"> ho</w:t>
      </w:r>
      <w:r w:rsidR="002F4D6C" w:rsidRPr="00EC57FB">
        <w:rPr>
          <w:color w:val="000000" w:themeColor="text1"/>
        </w:rPr>
        <w:t xml:space="preserve">wever the </w:t>
      </w:r>
      <w:r w:rsidR="0043421B" w:rsidRPr="00EC57FB">
        <w:rPr>
          <w:color w:val="000000" w:themeColor="text1"/>
        </w:rPr>
        <w:t xml:space="preserve">first </w:t>
      </w:r>
      <w:r w:rsidR="002F4D6C" w:rsidRPr="00EC57FB">
        <w:rPr>
          <w:color w:val="000000" w:themeColor="text1"/>
        </w:rPr>
        <w:t>submission</w:t>
      </w:r>
      <w:r w:rsidR="0043421B" w:rsidRPr="00EC57FB">
        <w:rPr>
          <w:color w:val="000000" w:themeColor="text1"/>
        </w:rPr>
        <w:t xml:space="preserve"> for the July 2024 PBAC consideration</w:t>
      </w:r>
      <w:r w:rsidR="002F4D6C" w:rsidRPr="00EC57FB">
        <w:rPr>
          <w:color w:val="000000" w:themeColor="text1"/>
        </w:rPr>
        <w:t xml:space="preserve"> had previously been considered by DUSC</w:t>
      </w:r>
      <w:r w:rsidRPr="00EC57FB">
        <w:rPr>
          <w:color w:val="000000" w:themeColor="text1"/>
        </w:rPr>
        <w:t>.</w:t>
      </w:r>
    </w:p>
    <w:p w14:paraId="191667E7" w14:textId="559272BA" w:rsidR="0033399B" w:rsidRPr="00EC57FB" w:rsidRDefault="007A3FE3" w:rsidP="002B05A1">
      <w:pPr>
        <w:pStyle w:val="3-BodyText"/>
        <w:rPr>
          <w:color w:val="000000" w:themeColor="text1"/>
        </w:rPr>
      </w:pPr>
      <w:r w:rsidRPr="00EC57FB">
        <w:rPr>
          <w:color w:val="000000" w:themeColor="text1"/>
        </w:rPr>
        <w:t xml:space="preserve">As with the </w:t>
      </w:r>
      <w:r w:rsidR="000076A1" w:rsidRPr="00EC57FB">
        <w:rPr>
          <w:color w:val="000000" w:themeColor="text1"/>
        </w:rPr>
        <w:t xml:space="preserve">first </w:t>
      </w:r>
      <w:r w:rsidRPr="00EC57FB">
        <w:rPr>
          <w:color w:val="000000" w:themeColor="text1"/>
        </w:rPr>
        <w:t xml:space="preserve">submission, the resubmission, </w:t>
      </w:r>
      <w:r w:rsidR="005F466B" w:rsidRPr="00EC57FB">
        <w:rPr>
          <w:color w:val="000000" w:themeColor="text1"/>
        </w:rPr>
        <w:t>took</w:t>
      </w:r>
      <w:r w:rsidRPr="00EC57FB">
        <w:rPr>
          <w:color w:val="000000" w:themeColor="text1"/>
        </w:rPr>
        <w:t xml:space="preserve"> an epidemiological </w:t>
      </w:r>
      <w:r w:rsidR="005C63F7" w:rsidRPr="00EC57FB">
        <w:rPr>
          <w:color w:val="000000" w:themeColor="text1"/>
        </w:rPr>
        <w:t>approach</w:t>
      </w:r>
      <w:r w:rsidR="000076A1" w:rsidRPr="00EC57FB">
        <w:rPr>
          <w:color w:val="000000" w:themeColor="text1"/>
        </w:rPr>
        <w:t xml:space="preserve"> in the</w:t>
      </w:r>
      <w:r w:rsidR="005C63F7" w:rsidRPr="00EC57FB">
        <w:rPr>
          <w:color w:val="000000" w:themeColor="text1"/>
        </w:rPr>
        <w:t xml:space="preserve"> estimation of the number of infants and children that would receive nirsevimab should it be added to the NIP</w:t>
      </w:r>
      <w:r w:rsidR="0033399B" w:rsidRPr="00EC57FB">
        <w:rPr>
          <w:color w:val="000000" w:themeColor="text1"/>
        </w:rPr>
        <w:t>.</w:t>
      </w:r>
    </w:p>
    <w:p w14:paraId="1183FBD6" w14:textId="5A4BD243" w:rsidR="00B33EA6" w:rsidRPr="00EC57FB" w:rsidRDefault="005F466B" w:rsidP="002B05A1">
      <w:pPr>
        <w:pStyle w:val="3-BodyText"/>
        <w:rPr>
          <w:color w:val="000000" w:themeColor="text1"/>
        </w:rPr>
      </w:pPr>
      <w:r w:rsidRPr="00EC57FB">
        <w:rPr>
          <w:color w:val="000000" w:themeColor="text1"/>
        </w:rPr>
        <w:t>T</w:t>
      </w:r>
      <w:r w:rsidR="00AF4647" w:rsidRPr="00EC57FB">
        <w:rPr>
          <w:color w:val="000000" w:themeColor="text1"/>
        </w:rPr>
        <w:t xml:space="preserve">he estimates </w:t>
      </w:r>
      <w:r w:rsidR="007E481D" w:rsidRPr="00EC57FB">
        <w:rPr>
          <w:color w:val="000000" w:themeColor="text1"/>
        </w:rPr>
        <w:t xml:space="preserve">provided in the resubmission </w:t>
      </w:r>
      <w:r w:rsidRPr="00EC57FB">
        <w:rPr>
          <w:color w:val="000000" w:themeColor="text1"/>
        </w:rPr>
        <w:t xml:space="preserve">did </w:t>
      </w:r>
      <w:r w:rsidR="00AF4647" w:rsidRPr="00EC57FB">
        <w:rPr>
          <w:color w:val="000000" w:themeColor="text1"/>
        </w:rPr>
        <w:t xml:space="preserve">not account for potential use of the </w:t>
      </w:r>
      <w:r w:rsidR="00B00317" w:rsidRPr="00EC57FB">
        <w:rPr>
          <w:color w:val="000000" w:themeColor="text1"/>
        </w:rPr>
        <w:t>RSVpreF vaccine in the mother</w:t>
      </w:r>
      <w:r w:rsidR="000B45FC" w:rsidRPr="00EC57FB">
        <w:rPr>
          <w:color w:val="000000" w:themeColor="text1"/>
        </w:rPr>
        <w:t xml:space="preserve"> (in terms of both</w:t>
      </w:r>
      <w:r w:rsidR="00D41657" w:rsidRPr="00EC57FB">
        <w:rPr>
          <w:color w:val="000000" w:themeColor="text1"/>
        </w:rPr>
        <w:t xml:space="preserve"> nirsevimab </w:t>
      </w:r>
      <w:r w:rsidR="00393FF2" w:rsidRPr="00EC57FB">
        <w:rPr>
          <w:color w:val="000000" w:themeColor="text1"/>
        </w:rPr>
        <w:t>administration</w:t>
      </w:r>
      <w:r w:rsidR="00D41657" w:rsidRPr="00EC57FB">
        <w:rPr>
          <w:color w:val="000000" w:themeColor="text1"/>
        </w:rPr>
        <w:t xml:space="preserve"> in the infant</w:t>
      </w:r>
      <w:r w:rsidR="000B45FC" w:rsidRPr="00EC57FB">
        <w:rPr>
          <w:color w:val="000000" w:themeColor="text1"/>
        </w:rPr>
        <w:t xml:space="preserve"> </w:t>
      </w:r>
      <w:r w:rsidR="00737BB0" w:rsidRPr="00EC57FB">
        <w:rPr>
          <w:color w:val="000000" w:themeColor="text1"/>
        </w:rPr>
        <w:t xml:space="preserve">replacing </w:t>
      </w:r>
      <w:r w:rsidR="00E97D01" w:rsidRPr="00EC57FB">
        <w:rPr>
          <w:color w:val="000000" w:themeColor="text1"/>
        </w:rPr>
        <w:t>prior vaccination with</w:t>
      </w:r>
      <w:r w:rsidR="00737BB0" w:rsidRPr="00EC57FB">
        <w:rPr>
          <w:color w:val="000000" w:themeColor="text1"/>
        </w:rPr>
        <w:t xml:space="preserve"> RSVpreF </w:t>
      </w:r>
      <w:r w:rsidR="00D41657" w:rsidRPr="00EC57FB">
        <w:rPr>
          <w:color w:val="000000" w:themeColor="text1"/>
        </w:rPr>
        <w:t>in the mo</w:t>
      </w:r>
      <w:r w:rsidR="00163149" w:rsidRPr="00EC57FB">
        <w:rPr>
          <w:color w:val="000000" w:themeColor="text1"/>
        </w:rPr>
        <w:t>th</w:t>
      </w:r>
      <w:r w:rsidR="00D41657" w:rsidRPr="00EC57FB">
        <w:rPr>
          <w:color w:val="000000" w:themeColor="text1"/>
        </w:rPr>
        <w:t>er</w:t>
      </w:r>
      <w:r w:rsidR="00163149" w:rsidRPr="00EC57FB">
        <w:rPr>
          <w:color w:val="000000" w:themeColor="text1"/>
        </w:rPr>
        <w:t>,</w:t>
      </w:r>
      <w:r w:rsidR="00737BB0" w:rsidRPr="00EC57FB">
        <w:rPr>
          <w:color w:val="000000" w:themeColor="text1"/>
        </w:rPr>
        <w:t xml:space="preserve"> or of</w:t>
      </w:r>
      <w:r w:rsidR="00D41657" w:rsidRPr="00EC57FB">
        <w:rPr>
          <w:color w:val="000000" w:themeColor="text1"/>
        </w:rPr>
        <w:t xml:space="preserve"> </w:t>
      </w:r>
      <w:r w:rsidR="00393FF2" w:rsidRPr="00EC57FB">
        <w:rPr>
          <w:color w:val="000000" w:themeColor="text1"/>
        </w:rPr>
        <w:t xml:space="preserve">a </w:t>
      </w:r>
      <w:r w:rsidR="00D41657" w:rsidRPr="00EC57FB">
        <w:rPr>
          <w:color w:val="000000" w:themeColor="text1"/>
        </w:rPr>
        <w:t>healthy infant</w:t>
      </w:r>
      <w:r w:rsidR="00737BB0" w:rsidRPr="00EC57FB">
        <w:rPr>
          <w:color w:val="000000" w:themeColor="text1"/>
        </w:rPr>
        <w:t xml:space="preserve"> not being eligible for nirsevimab after </w:t>
      </w:r>
      <w:r w:rsidR="00F960DF" w:rsidRPr="00EC57FB">
        <w:rPr>
          <w:color w:val="000000" w:themeColor="text1"/>
        </w:rPr>
        <w:t>the mother received the RSVpreF vaccine)</w:t>
      </w:r>
      <w:r w:rsidR="006B36FA" w:rsidRPr="00EC57FB">
        <w:rPr>
          <w:color w:val="000000" w:themeColor="text1"/>
        </w:rPr>
        <w:t>,</w:t>
      </w:r>
      <w:r w:rsidR="007E481D" w:rsidRPr="00EC57FB">
        <w:rPr>
          <w:color w:val="000000" w:themeColor="text1"/>
        </w:rPr>
        <w:t xml:space="preserve"> nor the </w:t>
      </w:r>
      <w:r w:rsidR="00F419B6" w:rsidRPr="00EC57FB">
        <w:rPr>
          <w:color w:val="000000" w:themeColor="text1"/>
        </w:rPr>
        <w:t xml:space="preserve">potential use of </w:t>
      </w:r>
      <w:r w:rsidR="00485EA7" w:rsidRPr="00EC57FB">
        <w:rPr>
          <w:color w:val="000000" w:themeColor="text1"/>
        </w:rPr>
        <w:t xml:space="preserve">RSVpreF </w:t>
      </w:r>
      <w:r w:rsidR="00B00317" w:rsidRPr="00EC57FB">
        <w:rPr>
          <w:color w:val="000000" w:themeColor="text1"/>
        </w:rPr>
        <w:t xml:space="preserve">together with use of nirsevimab in the </w:t>
      </w:r>
      <w:r w:rsidR="00F419B6" w:rsidRPr="00EC57FB">
        <w:rPr>
          <w:color w:val="000000" w:themeColor="text1"/>
        </w:rPr>
        <w:t>infant</w:t>
      </w:r>
      <w:r w:rsidR="00B00317" w:rsidRPr="00EC57FB">
        <w:rPr>
          <w:color w:val="000000" w:themeColor="text1"/>
        </w:rPr>
        <w:t>.</w:t>
      </w:r>
      <w:r w:rsidR="00577C66">
        <w:rPr>
          <w:color w:val="000000" w:themeColor="text1"/>
        </w:rPr>
        <w:t xml:space="preserve"> </w:t>
      </w:r>
    </w:p>
    <w:p w14:paraId="063108F4" w14:textId="0B2CD400" w:rsidR="001926FE" w:rsidRPr="00EC57FB" w:rsidRDefault="001926FE" w:rsidP="001926FE">
      <w:pPr>
        <w:pStyle w:val="3-BodyText"/>
        <w:rPr>
          <w:color w:val="000000" w:themeColor="text1"/>
        </w:rPr>
      </w:pPr>
      <w:r w:rsidRPr="00EC57FB">
        <w:rPr>
          <w:color w:val="000000" w:themeColor="text1"/>
        </w:rPr>
        <w:t>The key inputs to the estimation of extent of use of nirsevimab</w:t>
      </w:r>
      <w:r w:rsidR="00DF5149" w:rsidRPr="00EC57FB">
        <w:rPr>
          <w:color w:val="000000" w:themeColor="text1"/>
        </w:rPr>
        <w:t xml:space="preserve"> in the resubmission</w:t>
      </w:r>
      <w:r w:rsidRPr="00EC57FB">
        <w:rPr>
          <w:color w:val="000000" w:themeColor="text1"/>
        </w:rPr>
        <w:t xml:space="preserve"> are summarised in </w:t>
      </w:r>
      <w:r w:rsidRPr="00EC57FB">
        <w:rPr>
          <w:color w:val="000000" w:themeColor="text1"/>
        </w:rPr>
        <w:fldChar w:fldCharType="begin"/>
      </w:r>
      <w:r w:rsidRPr="00EC57FB">
        <w:rPr>
          <w:color w:val="000000" w:themeColor="text1"/>
        </w:rPr>
        <w:instrText xml:space="preserve"> REF _Ref104805262 \h </w:instrText>
      </w:r>
      <w:r w:rsidRPr="00EC57FB">
        <w:rPr>
          <w:color w:val="000000" w:themeColor="text1"/>
        </w:rPr>
      </w:r>
      <w:r w:rsidRPr="00EC57FB">
        <w:rPr>
          <w:color w:val="000000" w:themeColor="text1"/>
        </w:rPr>
        <w:fldChar w:fldCharType="separate"/>
      </w:r>
      <w:r w:rsidR="00502C25" w:rsidRPr="00EC57FB">
        <w:t xml:space="preserve">Table </w:t>
      </w:r>
      <w:r w:rsidR="00502C25">
        <w:rPr>
          <w:noProof/>
        </w:rPr>
        <w:t>31</w:t>
      </w:r>
      <w:r w:rsidRPr="00EC57FB">
        <w:rPr>
          <w:color w:val="000000" w:themeColor="text1"/>
        </w:rPr>
        <w:fldChar w:fldCharType="end"/>
      </w:r>
      <w:r w:rsidRPr="00EC57FB">
        <w:rPr>
          <w:color w:val="000000" w:themeColor="text1"/>
        </w:rPr>
        <w:t>.</w:t>
      </w:r>
      <w:r w:rsidR="008842C2" w:rsidRPr="00EC57FB">
        <w:rPr>
          <w:color w:val="000000" w:themeColor="text1"/>
        </w:rPr>
        <w:t xml:space="preserve"> The approach taken in the resubmission </w:t>
      </w:r>
      <w:r w:rsidR="00950B67" w:rsidRPr="00EC57FB">
        <w:rPr>
          <w:color w:val="000000" w:themeColor="text1"/>
        </w:rPr>
        <w:t>was</w:t>
      </w:r>
      <w:r w:rsidR="008842C2" w:rsidRPr="00EC57FB">
        <w:rPr>
          <w:color w:val="000000" w:themeColor="text1"/>
        </w:rPr>
        <w:t xml:space="preserve"> </w:t>
      </w:r>
      <w:r w:rsidR="00950B67" w:rsidRPr="00EC57FB">
        <w:rPr>
          <w:color w:val="000000" w:themeColor="text1"/>
        </w:rPr>
        <w:t xml:space="preserve">largely unchanged from the approach </w:t>
      </w:r>
      <w:r w:rsidR="007F043F" w:rsidRPr="00EC57FB">
        <w:rPr>
          <w:color w:val="000000" w:themeColor="text1"/>
        </w:rPr>
        <w:t>taken</w:t>
      </w:r>
      <w:r w:rsidR="00950B67" w:rsidRPr="00EC57FB">
        <w:rPr>
          <w:color w:val="000000" w:themeColor="text1"/>
        </w:rPr>
        <w:t xml:space="preserve"> in the </w:t>
      </w:r>
      <w:r w:rsidR="003172A2" w:rsidRPr="00EC57FB">
        <w:rPr>
          <w:color w:val="000000" w:themeColor="text1"/>
        </w:rPr>
        <w:t xml:space="preserve">first </w:t>
      </w:r>
      <w:r w:rsidR="00A8378B" w:rsidRPr="00EC57FB">
        <w:rPr>
          <w:color w:val="000000" w:themeColor="text1"/>
        </w:rPr>
        <w:t>submission</w:t>
      </w:r>
      <w:r w:rsidR="007F043F" w:rsidRPr="00EC57FB">
        <w:rPr>
          <w:color w:val="000000" w:themeColor="text1"/>
        </w:rPr>
        <w:t xml:space="preserve"> on the groun</w:t>
      </w:r>
      <w:r w:rsidR="008A75E2" w:rsidRPr="00EC57FB">
        <w:rPr>
          <w:color w:val="000000" w:themeColor="text1"/>
        </w:rPr>
        <w:t>d</w:t>
      </w:r>
      <w:r w:rsidR="007F043F" w:rsidRPr="00EC57FB">
        <w:rPr>
          <w:color w:val="000000" w:themeColor="text1"/>
        </w:rPr>
        <w:t>s that</w:t>
      </w:r>
      <w:r w:rsidR="00EC12F7" w:rsidRPr="00EC57FB">
        <w:rPr>
          <w:color w:val="000000" w:themeColor="text1"/>
        </w:rPr>
        <w:t xml:space="preserve">, </w:t>
      </w:r>
      <w:r w:rsidR="00EC12F7" w:rsidRPr="00EC57FB">
        <w:rPr>
          <w:color w:val="000000" w:themeColor="text1"/>
        </w:rPr>
        <w:lastRenderedPageBreak/>
        <w:t>overall, the</w:t>
      </w:r>
      <w:r w:rsidR="009C016A" w:rsidRPr="00EC57FB">
        <w:rPr>
          <w:color w:val="000000" w:themeColor="text1"/>
        </w:rPr>
        <w:t xml:space="preserve"> approach taken was considered reasonable by</w:t>
      </w:r>
      <w:r w:rsidR="008A75E2" w:rsidRPr="00EC57FB">
        <w:rPr>
          <w:color w:val="000000" w:themeColor="text1"/>
        </w:rPr>
        <w:t xml:space="preserve"> the DUSC.</w:t>
      </w:r>
      <w:r w:rsidR="003C72A5" w:rsidRPr="00EC57FB">
        <w:rPr>
          <w:color w:val="000000" w:themeColor="text1"/>
        </w:rPr>
        <w:t xml:space="preserve"> Key changes</w:t>
      </w:r>
      <w:r w:rsidR="003D21F5" w:rsidRPr="00EC57FB">
        <w:rPr>
          <w:color w:val="000000" w:themeColor="text1"/>
        </w:rPr>
        <w:t xml:space="preserve"> to the approach include:</w:t>
      </w:r>
    </w:p>
    <w:p w14:paraId="306DD63D" w14:textId="12E6105E" w:rsidR="008D5A88" w:rsidRPr="00EC57FB" w:rsidRDefault="003D21F5" w:rsidP="008D5A88">
      <w:pPr>
        <w:pStyle w:val="ListParagraph"/>
        <w:ind w:left="1080"/>
        <w:jc w:val="both"/>
        <w:rPr>
          <w:iCs/>
        </w:rPr>
      </w:pPr>
      <w:r w:rsidRPr="00EC57FB">
        <w:t xml:space="preserve">Uptake rate </w:t>
      </w:r>
      <w:r w:rsidR="003D44C2" w:rsidRPr="00EC57FB">
        <w:t xml:space="preserve">for infants entering their first RSV season </w:t>
      </w:r>
      <w:r w:rsidRPr="00EC57FB">
        <w:t xml:space="preserve">was increased from </w:t>
      </w:r>
      <w:r w:rsidR="000641E5" w:rsidRPr="000641E5">
        <w:rPr>
          <w:color w:val="000000"/>
          <w:w w:val="61"/>
          <w:shd w:val="solid" w:color="000000" w:fill="000000"/>
          <w:fitText w:val="471" w:id="-662982388"/>
          <w14:textFill>
            <w14:solidFill>
              <w14:srgbClr w14:val="000000">
                <w14:alpha w14:val="100000"/>
              </w14:srgbClr>
            </w14:solidFill>
          </w14:textFill>
        </w:rPr>
        <w:t>|||  ||</w:t>
      </w:r>
      <w:r w:rsidR="000641E5" w:rsidRPr="000641E5">
        <w:rPr>
          <w:color w:val="000000"/>
          <w:spacing w:val="1"/>
          <w:w w:val="61"/>
          <w:shd w:val="solid" w:color="000000" w:fill="000000"/>
          <w:fitText w:val="471" w:id="-662982388"/>
          <w14:textFill>
            <w14:solidFill>
              <w14:srgbClr w14:val="000000">
                <w14:alpha w14:val="100000"/>
              </w14:srgbClr>
            </w14:solidFill>
          </w14:textFill>
        </w:rPr>
        <w:t>|</w:t>
      </w:r>
      <w:r w:rsidRPr="00EC57FB">
        <w:t xml:space="preserve">% to </w:t>
      </w:r>
      <w:r w:rsidR="000641E5" w:rsidRPr="000641E5">
        <w:rPr>
          <w:color w:val="000000"/>
          <w:w w:val="61"/>
          <w:shd w:val="solid" w:color="000000" w:fill="000000"/>
          <w:fitText w:val="471" w:id="-662982387"/>
          <w14:textFill>
            <w14:solidFill>
              <w14:srgbClr w14:val="000000">
                <w14:alpha w14:val="100000"/>
              </w14:srgbClr>
            </w14:solidFill>
          </w14:textFill>
        </w:rPr>
        <w:t>|||  ||</w:t>
      </w:r>
      <w:r w:rsidR="000641E5" w:rsidRPr="000641E5">
        <w:rPr>
          <w:color w:val="000000"/>
          <w:spacing w:val="1"/>
          <w:w w:val="61"/>
          <w:shd w:val="solid" w:color="000000" w:fill="000000"/>
          <w:fitText w:val="471" w:id="-662982387"/>
          <w14:textFill>
            <w14:solidFill>
              <w14:srgbClr w14:val="000000">
                <w14:alpha w14:val="100000"/>
              </w14:srgbClr>
            </w14:solidFill>
          </w14:textFill>
        </w:rPr>
        <w:t>|</w:t>
      </w:r>
      <w:r w:rsidRPr="00EC57FB">
        <w:t>%</w:t>
      </w:r>
      <w:r w:rsidR="00E14D77" w:rsidRPr="00EC57FB">
        <w:t xml:space="preserve"> to reflect uptake rates observed in state-based programs and in </w:t>
      </w:r>
      <w:r w:rsidR="000F77BF" w:rsidRPr="00EC57FB">
        <w:t>internati</w:t>
      </w:r>
      <w:r w:rsidR="0010434A" w:rsidRPr="00EC57FB">
        <w:t xml:space="preserve">onal settings. </w:t>
      </w:r>
      <w:r w:rsidR="00956E74" w:rsidRPr="00EC57FB">
        <w:t xml:space="preserve">For the July 2024 consideration, </w:t>
      </w:r>
      <w:r w:rsidR="00065382" w:rsidRPr="00EC57FB">
        <w:t xml:space="preserve">DUSC considered an uptake rate of </w:t>
      </w:r>
      <w:r w:rsidR="000641E5" w:rsidRPr="000641E5">
        <w:rPr>
          <w:color w:val="000000"/>
          <w:w w:val="62"/>
          <w:shd w:val="solid" w:color="000000" w:fill="000000"/>
          <w:fitText w:val="481" w:id="-662982386"/>
          <w14:textFill>
            <w14:solidFill>
              <w14:srgbClr w14:val="000000">
                <w14:alpha w14:val="100000"/>
              </w14:srgbClr>
            </w14:solidFill>
          </w14:textFill>
        </w:rPr>
        <w:t>|||  ||</w:t>
      </w:r>
      <w:r w:rsidR="000641E5" w:rsidRPr="000641E5">
        <w:rPr>
          <w:color w:val="000000"/>
          <w:spacing w:val="3"/>
          <w:w w:val="62"/>
          <w:shd w:val="solid" w:color="000000" w:fill="000000"/>
          <w:fitText w:val="481" w:id="-662982386"/>
          <w14:textFill>
            <w14:solidFill>
              <w14:srgbClr w14:val="000000">
                <w14:alpha w14:val="100000"/>
              </w14:srgbClr>
            </w14:solidFill>
          </w14:textFill>
        </w:rPr>
        <w:t>|</w:t>
      </w:r>
      <w:r w:rsidR="00065382" w:rsidRPr="00EC57FB">
        <w:t>% to</w:t>
      </w:r>
      <w:r w:rsidR="007302A8" w:rsidRPr="00EC57FB">
        <w:t xml:space="preserve"> be reasonable</w:t>
      </w:r>
      <w:r w:rsidR="003E6AE3" w:rsidRPr="00EC57FB">
        <w:t>.</w:t>
      </w:r>
      <w:r w:rsidR="00DB2074" w:rsidRPr="00EC57FB">
        <w:t xml:space="preserve"> However, </w:t>
      </w:r>
      <w:r w:rsidR="00C64CC4" w:rsidRPr="00EC57FB">
        <w:t xml:space="preserve">the </w:t>
      </w:r>
      <w:r w:rsidR="00A30F59" w:rsidRPr="00EC57FB">
        <w:t xml:space="preserve">ESC considered that the </w:t>
      </w:r>
      <w:r w:rsidR="00DB2074" w:rsidRPr="00EC57FB">
        <w:t xml:space="preserve">uptake rate should </w:t>
      </w:r>
      <w:r w:rsidR="00C64CC4" w:rsidRPr="00EC57FB">
        <w:t>be adjusted</w:t>
      </w:r>
      <w:r w:rsidR="0061678A" w:rsidRPr="00EC57FB">
        <w:t xml:space="preserve">, taking into consideration that </w:t>
      </w:r>
      <w:r w:rsidR="00A30F59" w:rsidRPr="00EC57FB">
        <w:t>RSVpreF</w:t>
      </w:r>
      <w:r w:rsidR="0061678A" w:rsidRPr="00EC57FB">
        <w:t xml:space="preserve"> is </w:t>
      </w:r>
      <w:r w:rsidR="00A30F59" w:rsidRPr="00EC57FB">
        <w:t>now available via the</w:t>
      </w:r>
      <w:r w:rsidR="00C64CC4" w:rsidRPr="00EC57FB">
        <w:t xml:space="preserve"> NIP.</w:t>
      </w:r>
      <w:r w:rsidR="00577C66">
        <w:t xml:space="preserve"> </w:t>
      </w:r>
      <w:r w:rsidR="00542116" w:rsidRPr="00EC57FB">
        <w:t>Since RSVpreF is now included on the NIP, this estimate is now likely to be a substantial overestimate assuming infants born to mothers who have received RSVpreF won’t, for the most part, be eligible to receive nirsevimab.</w:t>
      </w:r>
      <w:r w:rsidR="00577C66">
        <w:t xml:space="preserve"> </w:t>
      </w:r>
      <w:r w:rsidR="00893D66" w:rsidRPr="00EC57FB">
        <w:t>The ATAGI advice stated that programmatically, the goal will be to encourage strong RSVpreF vaccine uptake, and to offer nirsevimab to infants whose mothers do not receive the vaccine (or who meet other eligibility criteria). ATAGI considered it is currently unclear whether a pattern of provider or parental choice will emerge, and the relative uptake of nirsevimab vs maternal RSVpreF is therefore uncertain, noting that for the majority of infants only one approach will be used.</w:t>
      </w:r>
    </w:p>
    <w:p w14:paraId="21834055" w14:textId="5794C5C6" w:rsidR="003E6AE3" w:rsidRPr="00EC57FB" w:rsidRDefault="005034DD" w:rsidP="000B5384">
      <w:pPr>
        <w:pStyle w:val="ListParagraph"/>
        <w:ind w:left="1080"/>
        <w:jc w:val="both"/>
        <w:rPr>
          <w:iCs/>
        </w:rPr>
      </w:pPr>
      <w:r w:rsidRPr="00EC57FB">
        <w:t>The estimate</w:t>
      </w:r>
      <w:r w:rsidR="00322ED4" w:rsidRPr="00EC57FB">
        <w:t xml:space="preserve"> of children entering their second RSV season </w:t>
      </w:r>
      <w:r w:rsidR="00C77F15" w:rsidRPr="00EC57FB">
        <w:t xml:space="preserve">in any year </w:t>
      </w:r>
      <w:r w:rsidR="00322ED4" w:rsidRPr="00EC57FB">
        <w:t>was updated</w:t>
      </w:r>
      <w:r w:rsidR="000710FB" w:rsidRPr="00EC57FB">
        <w:t xml:space="preserve"> to reflect</w:t>
      </w:r>
      <w:r w:rsidR="005961A8" w:rsidRPr="00EC57FB">
        <w:t xml:space="preserve"> the number of live births</w:t>
      </w:r>
      <w:r w:rsidR="00C77F15" w:rsidRPr="00EC57FB">
        <w:t xml:space="preserve"> in the prior year</w:t>
      </w:r>
      <w:r w:rsidR="009E2003" w:rsidRPr="00EC57FB">
        <w:t xml:space="preserve"> as estimated by the </w:t>
      </w:r>
      <w:r w:rsidR="003015BA" w:rsidRPr="00EC57FB">
        <w:t xml:space="preserve">AIHW </w:t>
      </w:r>
      <w:r w:rsidR="00427BC7" w:rsidRPr="00EC57FB">
        <w:t xml:space="preserve">2022 </w:t>
      </w:r>
      <w:r w:rsidR="003015BA" w:rsidRPr="00EC57FB">
        <w:t>(</w:t>
      </w:r>
      <w:r w:rsidR="00AD0D85" w:rsidRPr="00EC57FB">
        <w:t>which is consistent with</w:t>
      </w:r>
      <w:r w:rsidR="00693FFD" w:rsidRPr="00EC57FB">
        <w:t xml:space="preserve"> prior</w:t>
      </w:r>
      <w:r w:rsidR="00AD0D85" w:rsidRPr="00EC57FB">
        <w:t xml:space="preserve"> </w:t>
      </w:r>
      <w:r w:rsidR="00A30F59" w:rsidRPr="00EC57FB">
        <w:t xml:space="preserve">DUSC advice </w:t>
      </w:r>
      <w:r w:rsidR="00B42388" w:rsidRPr="00EC57FB">
        <w:t xml:space="preserve">and consistent with the </w:t>
      </w:r>
      <w:r w:rsidR="00AD0D85" w:rsidRPr="00EC57FB">
        <w:t>approach taken to</w:t>
      </w:r>
      <w:r w:rsidR="002F196C" w:rsidRPr="00EC57FB">
        <w:t xml:space="preserve"> estimate </w:t>
      </w:r>
      <w:r w:rsidR="000B6E8B" w:rsidRPr="00EC57FB">
        <w:t>the number of infants entering their first RSV season)</w:t>
      </w:r>
      <w:r w:rsidR="00F91F88" w:rsidRPr="00EC57FB">
        <w:t>.</w:t>
      </w:r>
    </w:p>
    <w:p w14:paraId="2BCFB9C4" w14:textId="037636BA" w:rsidR="001B4C7E" w:rsidRPr="00EC57FB" w:rsidRDefault="00527451" w:rsidP="000B5384">
      <w:pPr>
        <w:pStyle w:val="ListParagraph"/>
        <w:ind w:left="1080"/>
        <w:jc w:val="both"/>
      </w:pPr>
      <w:r w:rsidRPr="00EC57FB">
        <w:t xml:space="preserve">The </w:t>
      </w:r>
      <w:r w:rsidR="002045DB" w:rsidRPr="00EC57FB">
        <w:t>estimated</w:t>
      </w:r>
      <w:r w:rsidR="00A637F3" w:rsidRPr="00EC57FB">
        <w:t xml:space="preserve"> </w:t>
      </w:r>
      <w:r w:rsidRPr="00EC57FB">
        <w:t>proportion of infa</w:t>
      </w:r>
      <w:r w:rsidR="00927A9F" w:rsidRPr="00EC57FB">
        <w:t xml:space="preserve">nts </w:t>
      </w:r>
      <w:r w:rsidR="00643E7A" w:rsidRPr="00EC57FB">
        <w:t xml:space="preserve">and children with risk conditions </w:t>
      </w:r>
      <w:r w:rsidR="00A637F3" w:rsidRPr="00EC57FB">
        <w:t xml:space="preserve">was increased from 4.34% (based on </w:t>
      </w:r>
      <w:r w:rsidR="00134FB8" w:rsidRPr="00EC57FB">
        <w:t xml:space="preserve">the </w:t>
      </w:r>
      <w:r w:rsidR="006904E5" w:rsidRPr="00EC57FB">
        <w:t>proportion</w:t>
      </w:r>
      <w:r w:rsidR="00134FB8" w:rsidRPr="00EC57FB">
        <w:t xml:space="preserve"> of </w:t>
      </w:r>
      <w:r w:rsidR="006904E5" w:rsidRPr="00EC57FB">
        <w:t>births with gestational age &lt;</w:t>
      </w:r>
      <w:r w:rsidR="004A3866">
        <w:t> </w:t>
      </w:r>
      <w:r w:rsidR="006904E5" w:rsidRPr="00EC57FB">
        <w:t>36</w:t>
      </w:r>
      <w:r w:rsidR="004A3866">
        <w:t> </w:t>
      </w:r>
      <w:r w:rsidR="006904E5" w:rsidRPr="00EC57FB">
        <w:t>weeks</w:t>
      </w:r>
      <w:r w:rsidR="00C025CC" w:rsidRPr="00EC57FB">
        <w:t>)</w:t>
      </w:r>
      <w:r w:rsidR="006904E5" w:rsidRPr="00EC57FB">
        <w:t xml:space="preserve"> to </w:t>
      </w:r>
      <w:r w:rsidR="008A3A35" w:rsidRPr="00EC57FB">
        <w:t>8.18</w:t>
      </w:r>
      <w:r w:rsidR="00FD750F" w:rsidRPr="00EC57FB">
        <w:t>%</w:t>
      </w:r>
      <w:r w:rsidR="00724383" w:rsidRPr="00EC57FB">
        <w:t xml:space="preserve"> (based on </w:t>
      </w:r>
      <w:r w:rsidR="005908E6" w:rsidRPr="00EC57FB">
        <w:t xml:space="preserve">the </w:t>
      </w:r>
      <w:r w:rsidR="00697D29" w:rsidRPr="00EC57FB">
        <w:t>estima</w:t>
      </w:r>
      <w:r w:rsidR="00CF46C9" w:rsidRPr="00EC57FB">
        <w:t>ted proportion of births with gestational age &lt;32 weeks [1.08%</w:t>
      </w:r>
      <w:r w:rsidR="005A6560" w:rsidRPr="00EC57FB">
        <w:t xml:space="preserve">], </w:t>
      </w:r>
      <w:r w:rsidR="005908E6" w:rsidRPr="00EC57FB">
        <w:t xml:space="preserve">the </w:t>
      </w:r>
      <w:r w:rsidR="00CD60C9" w:rsidRPr="00EC57FB">
        <w:t>prevalence</w:t>
      </w:r>
      <w:r w:rsidR="005908E6" w:rsidRPr="00EC57FB">
        <w:t xml:space="preserve"> of congenital heart disease in infants</w:t>
      </w:r>
      <w:r w:rsidR="0052062F" w:rsidRPr="00EC57FB">
        <w:t xml:space="preserve"> </w:t>
      </w:r>
      <w:r w:rsidR="00FA49D9" w:rsidRPr="00EC57FB">
        <w:t>[</w:t>
      </w:r>
      <w:r w:rsidR="0052062F" w:rsidRPr="00EC57FB">
        <w:t>0.9%</w:t>
      </w:r>
      <w:r w:rsidR="00FA49D9" w:rsidRPr="00EC57FB">
        <w:t>]</w:t>
      </w:r>
      <w:r w:rsidR="0052062F" w:rsidRPr="00EC57FB">
        <w:t xml:space="preserve"> and </w:t>
      </w:r>
      <w:r w:rsidR="005908E6" w:rsidRPr="00EC57FB">
        <w:t xml:space="preserve">the </w:t>
      </w:r>
      <w:r w:rsidR="00F05070" w:rsidRPr="00EC57FB">
        <w:t xml:space="preserve">estimated proportion of </w:t>
      </w:r>
      <w:r w:rsidR="0056587E" w:rsidRPr="00EC57FB">
        <w:t>Aboriginal and Torres Strait Islander people</w:t>
      </w:r>
      <w:r w:rsidR="00FA49D9" w:rsidRPr="00EC57FB">
        <w:t xml:space="preserve"> [6.2%</w:t>
      </w:r>
      <w:r w:rsidR="00EC526E" w:rsidRPr="00EC57FB">
        <w:t>]). These changes were made in response to</w:t>
      </w:r>
      <w:r w:rsidR="00BA2161" w:rsidRPr="00EC57FB">
        <w:t xml:space="preserve"> prior</w:t>
      </w:r>
      <w:r w:rsidR="00EC526E" w:rsidRPr="00EC57FB">
        <w:t xml:space="preserve"> </w:t>
      </w:r>
      <w:r w:rsidR="005908E6" w:rsidRPr="00EC57FB">
        <w:t xml:space="preserve">advice </w:t>
      </w:r>
      <w:r w:rsidR="00106DCA" w:rsidRPr="00EC57FB">
        <w:t xml:space="preserve">from the DUSC </w:t>
      </w:r>
      <w:r w:rsidR="005908E6" w:rsidRPr="00EC57FB">
        <w:t>that infants with congenital heart disease and Indigenous children were not accounted for in the financial estimates.</w:t>
      </w:r>
      <w:r w:rsidR="00577C66">
        <w:t xml:space="preserve"> </w:t>
      </w:r>
      <w:r w:rsidR="008D2678" w:rsidRPr="00EC57FB">
        <w:t xml:space="preserve">The pre-PBAC response provided revised estimates in which this population was reduced </w:t>
      </w:r>
      <w:r w:rsidR="006453D5" w:rsidRPr="00EC57FB">
        <w:t xml:space="preserve">to </w:t>
      </w:r>
      <w:r w:rsidR="009F15A3" w:rsidRPr="00EC57FB">
        <w:t xml:space="preserve">2.0% of infants </w:t>
      </w:r>
      <w:r w:rsidR="008D2678" w:rsidRPr="00EC57FB">
        <w:t xml:space="preserve">due to removing </w:t>
      </w:r>
      <w:r w:rsidR="009F15A3" w:rsidRPr="00EC57FB">
        <w:t xml:space="preserve">the criterion for </w:t>
      </w:r>
      <w:r w:rsidR="008D2678" w:rsidRPr="00EC57FB">
        <w:t xml:space="preserve">Aboriginal and Torres Strait Islander people (see paragraph </w:t>
      </w:r>
      <w:r w:rsidR="00893D66" w:rsidRPr="00EC57FB">
        <w:fldChar w:fldCharType="begin"/>
      </w:r>
      <w:r w:rsidR="00893D66" w:rsidRPr="00EC57FB">
        <w:instrText xml:space="preserve"> REF _Ref199406836 \r \h </w:instrText>
      </w:r>
      <w:r w:rsidR="00893D66" w:rsidRPr="00EC57FB">
        <w:fldChar w:fldCharType="separate"/>
      </w:r>
      <w:r w:rsidR="00502C25">
        <w:t>6.82</w:t>
      </w:r>
      <w:r w:rsidR="00893D66" w:rsidRPr="00EC57FB">
        <w:fldChar w:fldCharType="end"/>
      </w:r>
      <w:r w:rsidR="008D2678" w:rsidRPr="00EC57FB">
        <w:t>).</w:t>
      </w:r>
    </w:p>
    <w:p w14:paraId="5AE03174" w14:textId="77777777" w:rsidR="009C76C5" w:rsidRPr="00EC57FB" w:rsidRDefault="00223C5D" w:rsidP="009C76C5">
      <w:pPr>
        <w:pStyle w:val="ListParagraph"/>
        <w:ind w:left="1080"/>
        <w:jc w:val="both"/>
      </w:pPr>
      <w:r w:rsidRPr="00EC57FB">
        <w:t xml:space="preserve">Wholesaler and pharmacy mark-ups and dispensing fees were </w:t>
      </w:r>
      <w:r w:rsidR="00A30F59" w:rsidRPr="00EC57FB">
        <w:t xml:space="preserve">appropriately </w:t>
      </w:r>
      <w:r w:rsidRPr="00EC57FB">
        <w:t>excluded from costs</w:t>
      </w:r>
      <w:r w:rsidR="00285CFB" w:rsidRPr="00EC57FB">
        <w:t xml:space="preserve"> of nirsevimab. </w:t>
      </w:r>
    </w:p>
    <w:p w14:paraId="0BE6D7AC" w14:textId="5E7E31CE" w:rsidR="00F02A4D" w:rsidRPr="00EC57FB" w:rsidRDefault="000830C1" w:rsidP="00DC4191">
      <w:pPr>
        <w:pStyle w:val="ListParagraph"/>
        <w:ind w:left="1080"/>
        <w:jc w:val="both"/>
      </w:pPr>
      <w:r w:rsidRPr="00EC57FB">
        <w:t xml:space="preserve">MBS fees for administration </w:t>
      </w:r>
      <w:r w:rsidR="002E1DD4" w:rsidRPr="00EC57FB">
        <w:t xml:space="preserve">of nirsevimab by GPs were </w:t>
      </w:r>
      <w:r w:rsidR="009C76C5" w:rsidRPr="00EC57FB">
        <w:t xml:space="preserve">inappropriately </w:t>
      </w:r>
      <w:r w:rsidR="002E1DD4" w:rsidRPr="00EC57FB">
        <w:t>excluded from the finan</w:t>
      </w:r>
      <w:r w:rsidR="001D2CBF" w:rsidRPr="00EC57FB">
        <w:t>cial analyses.</w:t>
      </w:r>
      <w:r w:rsidR="009C76C5" w:rsidRPr="00EC57FB">
        <w:t xml:space="preserve"> </w:t>
      </w:r>
      <w:r w:rsidR="00455403" w:rsidRPr="00EC57FB">
        <w:t>The resubmission estimated reduce primary care visits due to the introduction of nirsevimab.</w:t>
      </w:r>
      <w:r w:rsidR="00577C66">
        <w:t xml:space="preserve"> </w:t>
      </w:r>
      <w:r w:rsidR="009C76C5" w:rsidRPr="00EC57FB">
        <w:t>The ESC advised that MBS fees for administration of nirsevimab should be considered in the financial estimates. Some infants will not be immunised at birth and all children with risk conditions entering their second RSV season are likely to be immunised in the community.</w:t>
      </w:r>
      <w:r w:rsidR="001D2CBF" w:rsidRPr="00EC57FB">
        <w:t xml:space="preserve"> </w:t>
      </w:r>
    </w:p>
    <w:p w14:paraId="3393BCE7" w14:textId="214B0A7B" w:rsidR="00E42F73" w:rsidRPr="00EC57FB" w:rsidRDefault="00E16AD8" w:rsidP="00E16AD8">
      <w:pPr>
        <w:pStyle w:val="Caption"/>
        <w:rPr>
          <w:rStyle w:val="CommentReference"/>
          <w:b/>
          <w:szCs w:val="24"/>
        </w:rPr>
      </w:pPr>
      <w:bookmarkStart w:id="151" w:name="_Ref104805262"/>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31</w:t>
      </w:r>
      <w:r w:rsidR="00C51E7C" w:rsidRPr="00EC57FB">
        <w:fldChar w:fldCharType="end"/>
      </w:r>
      <w:bookmarkEnd w:id="151"/>
      <w:r w:rsidRPr="00EC57FB">
        <w:t>:</w:t>
      </w:r>
      <w:r w:rsidR="00E42F73" w:rsidRPr="00EC57FB">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2410"/>
        <w:gridCol w:w="3940"/>
      </w:tblGrid>
      <w:tr w:rsidR="00CF6373" w:rsidRPr="00EC57FB" w14:paraId="6DD89FAA" w14:textId="77777777" w:rsidTr="002F3C04">
        <w:trPr>
          <w:tblHeader/>
        </w:trPr>
        <w:tc>
          <w:tcPr>
            <w:tcW w:w="1413" w:type="dxa"/>
            <w:vAlign w:val="center"/>
          </w:tcPr>
          <w:p w14:paraId="000B4AE0" w14:textId="77777777" w:rsidR="00CF6373" w:rsidRPr="00EC57FB" w:rsidRDefault="00CF6373" w:rsidP="006A48E9">
            <w:pPr>
              <w:keepNext/>
              <w:jc w:val="left"/>
              <w:rPr>
                <w:rFonts w:ascii="Arial Narrow" w:eastAsiaTheme="majorEastAsia" w:hAnsi="Arial Narrow" w:cs="Times New Roman"/>
                <w:b/>
                <w:sz w:val="20"/>
              </w:rPr>
            </w:pPr>
            <w:r w:rsidRPr="00EC57FB">
              <w:rPr>
                <w:rFonts w:ascii="Arial Narrow" w:eastAsiaTheme="majorEastAsia" w:hAnsi="Arial Narrow" w:cs="Times New Roman"/>
                <w:b/>
                <w:sz w:val="20"/>
              </w:rPr>
              <w:t>Data</w:t>
            </w:r>
          </w:p>
        </w:tc>
        <w:tc>
          <w:tcPr>
            <w:tcW w:w="1417" w:type="dxa"/>
            <w:vAlign w:val="center"/>
          </w:tcPr>
          <w:p w14:paraId="4C443037" w14:textId="77777777" w:rsidR="00CF6373" w:rsidRPr="00EC57FB" w:rsidRDefault="00CF6373">
            <w:pPr>
              <w:keepNext/>
              <w:jc w:val="center"/>
              <w:rPr>
                <w:rFonts w:ascii="Arial Narrow" w:eastAsiaTheme="majorEastAsia" w:hAnsi="Arial Narrow" w:cs="Times New Roman"/>
                <w:b/>
                <w:sz w:val="20"/>
              </w:rPr>
            </w:pPr>
            <w:r w:rsidRPr="00EC57FB">
              <w:rPr>
                <w:rFonts w:ascii="Arial Narrow" w:eastAsiaTheme="majorEastAsia" w:hAnsi="Arial Narrow" w:cs="Times New Roman"/>
                <w:b/>
                <w:sz w:val="20"/>
              </w:rPr>
              <w:t>Value</w:t>
            </w:r>
          </w:p>
        </w:tc>
        <w:tc>
          <w:tcPr>
            <w:tcW w:w="2410" w:type="dxa"/>
            <w:vAlign w:val="center"/>
          </w:tcPr>
          <w:p w14:paraId="6EFA9AB3" w14:textId="77777777" w:rsidR="00CF6373" w:rsidRPr="00EC57FB" w:rsidRDefault="00CF6373">
            <w:pPr>
              <w:keepNext/>
              <w:jc w:val="center"/>
              <w:rPr>
                <w:rFonts w:ascii="Arial Narrow" w:eastAsiaTheme="majorEastAsia" w:hAnsi="Arial Narrow" w:cs="Times New Roman"/>
                <w:b/>
                <w:sz w:val="20"/>
              </w:rPr>
            </w:pPr>
            <w:r w:rsidRPr="00EC57FB">
              <w:rPr>
                <w:rFonts w:ascii="Arial Narrow" w:eastAsiaTheme="majorEastAsia" w:hAnsi="Arial Narrow" w:cs="Times New Roman"/>
                <w:b/>
                <w:sz w:val="20"/>
              </w:rPr>
              <w:t>Source</w:t>
            </w:r>
          </w:p>
        </w:tc>
        <w:tc>
          <w:tcPr>
            <w:tcW w:w="3940" w:type="dxa"/>
            <w:vAlign w:val="center"/>
          </w:tcPr>
          <w:p w14:paraId="1F0DC203" w14:textId="77777777" w:rsidR="00CF6373" w:rsidRPr="00EC57FB" w:rsidRDefault="00CF6373">
            <w:pPr>
              <w:keepNext/>
              <w:jc w:val="center"/>
              <w:rPr>
                <w:rFonts w:ascii="Arial Narrow" w:eastAsiaTheme="majorEastAsia" w:hAnsi="Arial Narrow" w:cs="Times New Roman"/>
                <w:b/>
                <w:sz w:val="20"/>
              </w:rPr>
            </w:pPr>
            <w:r w:rsidRPr="00EC57FB">
              <w:rPr>
                <w:rFonts w:ascii="Arial Narrow" w:eastAsiaTheme="majorEastAsia" w:hAnsi="Arial Narrow" w:cs="Times New Roman"/>
                <w:b/>
                <w:sz w:val="20"/>
              </w:rPr>
              <w:t>Comment</w:t>
            </w:r>
          </w:p>
        </w:tc>
      </w:tr>
      <w:tr w:rsidR="00CF6373" w:rsidRPr="00EC57FB" w14:paraId="7957B52E" w14:textId="77777777">
        <w:tc>
          <w:tcPr>
            <w:tcW w:w="9180" w:type="dxa"/>
            <w:gridSpan w:val="4"/>
            <w:vAlign w:val="center"/>
          </w:tcPr>
          <w:p w14:paraId="2A722DE7" w14:textId="77777777" w:rsidR="00CF6373" w:rsidRPr="00EC57FB" w:rsidRDefault="00CF6373">
            <w:pPr>
              <w:keepNext/>
              <w:jc w:val="left"/>
              <w:rPr>
                <w:rFonts w:ascii="Arial Narrow" w:eastAsiaTheme="majorEastAsia" w:hAnsi="Arial Narrow" w:cs="Times New Roman"/>
                <w:b/>
                <w:sz w:val="20"/>
              </w:rPr>
            </w:pPr>
            <w:r w:rsidRPr="00EC57FB">
              <w:rPr>
                <w:rFonts w:ascii="Arial Narrow" w:eastAsiaTheme="majorEastAsia" w:hAnsi="Arial Narrow" w:cs="Times New Roman"/>
                <w:b/>
                <w:sz w:val="20"/>
              </w:rPr>
              <w:t>Eligible populations</w:t>
            </w:r>
          </w:p>
        </w:tc>
      </w:tr>
      <w:tr w:rsidR="00CF6373" w:rsidRPr="00EC57FB" w14:paraId="766C7794" w14:textId="77777777">
        <w:tc>
          <w:tcPr>
            <w:tcW w:w="9180" w:type="dxa"/>
            <w:gridSpan w:val="4"/>
            <w:vAlign w:val="center"/>
          </w:tcPr>
          <w:p w14:paraId="34CEA3BE" w14:textId="49411FA9" w:rsidR="00CF6373" w:rsidRPr="00EC57FB" w:rsidRDefault="00AC59AB">
            <w:pPr>
              <w:jc w:val="left"/>
              <w:rPr>
                <w:rFonts w:ascii="Arial Narrow" w:eastAsiaTheme="majorEastAsia" w:hAnsi="Arial Narrow" w:cs="Times New Roman"/>
                <w:b/>
                <w:sz w:val="20"/>
              </w:rPr>
            </w:pPr>
            <w:r w:rsidRPr="00EC57FB">
              <w:rPr>
                <w:rFonts w:ascii="Arial Narrow" w:eastAsiaTheme="majorEastAsia" w:hAnsi="Arial Narrow" w:cs="Times New Roman"/>
                <w:b/>
                <w:sz w:val="20"/>
              </w:rPr>
              <w:t>Populations 1 and 2: i</w:t>
            </w:r>
            <w:r w:rsidR="00CF6373" w:rsidRPr="00EC57FB">
              <w:rPr>
                <w:rFonts w:ascii="Arial Narrow" w:eastAsiaTheme="majorEastAsia" w:hAnsi="Arial Narrow" w:cs="Times New Roman"/>
                <w:b/>
                <w:sz w:val="20"/>
              </w:rPr>
              <w:t>nfants entering first RSV seas</w:t>
            </w:r>
            <w:r w:rsidR="002F341C" w:rsidRPr="00EC57FB">
              <w:rPr>
                <w:rFonts w:ascii="Arial Narrow" w:eastAsiaTheme="majorEastAsia" w:hAnsi="Arial Narrow" w:cs="Times New Roman"/>
                <w:b/>
                <w:sz w:val="20"/>
              </w:rPr>
              <w:t>on</w:t>
            </w:r>
            <w:r w:rsidR="0094184A" w:rsidRPr="00EC57FB">
              <w:rPr>
                <w:rFonts w:ascii="Arial Narrow" w:eastAsiaTheme="majorEastAsia" w:hAnsi="Arial Narrow" w:cs="Times New Roman"/>
                <w:b/>
                <w:sz w:val="20"/>
              </w:rPr>
              <w:t xml:space="preserve"> in temperate and tropical regions, respectively</w:t>
            </w:r>
          </w:p>
        </w:tc>
      </w:tr>
      <w:tr w:rsidR="00CF6373" w:rsidRPr="00EC57FB" w14:paraId="20059395" w14:textId="77777777" w:rsidTr="002F3C04">
        <w:tc>
          <w:tcPr>
            <w:tcW w:w="1413" w:type="dxa"/>
            <w:vAlign w:val="center"/>
          </w:tcPr>
          <w:p w14:paraId="3A345483"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Incident population</w:t>
            </w:r>
          </w:p>
        </w:tc>
        <w:tc>
          <w:tcPr>
            <w:tcW w:w="1417" w:type="dxa"/>
            <w:vAlign w:val="center"/>
          </w:tcPr>
          <w:p w14:paraId="049B073A" w14:textId="60896D9A" w:rsidR="00CF6373" w:rsidRPr="00C27691" w:rsidRDefault="00CF6373" w:rsidP="006A48E9">
            <w:pPr>
              <w:jc w:val="center"/>
              <w:rPr>
                <w:rFonts w:ascii="Arial Narrow" w:eastAsiaTheme="majorEastAsia" w:hAnsi="Arial Narrow" w:cstheme="majorBidi"/>
                <w:bCs/>
                <w:sz w:val="20"/>
                <w:vertAlign w:val="superscript"/>
              </w:rPr>
            </w:pPr>
            <w:r w:rsidRPr="00EC57FB">
              <w:rPr>
                <w:rFonts w:ascii="Arial Narrow" w:eastAsiaTheme="majorEastAsia" w:hAnsi="Arial Narrow" w:cstheme="majorBidi"/>
                <w:bCs/>
                <w:sz w:val="20"/>
              </w:rPr>
              <w:t xml:space="preserve">Yr 1: </w:t>
            </w:r>
            <w:r w:rsidR="000641E5" w:rsidRPr="000641E5">
              <w:rPr>
                <w:rFonts w:ascii="Arial Narrow" w:eastAsiaTheme="majorEastAsia" w:hAnsi="Arial Narrow" w:cstheme="majorBidi"/>
                <w:bCs/>
                <w:color w:val="000000"/>
                <w:spacing w:val="52"/>
                <w:sz w:val="20"/>
                <w:shd w:val="solid" w:color="000000" w:fill="000000"/>
                <w:fitText w:val="327" w:id="-662982385"/>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85"/>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4A70E32F" w14:textId="0D024C4C"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2: </w:t>
            </w:r>
            <w:r w:rsidR="000641E5" w:rsidRPr="000641E5">
              <w:rPr>
                <w:rFonts w:ascii="Arial Narrow" w:eastAsiaTheme="majorEastAsia" w:hAnsi="Arial Narrow" w:cstheme="majorBidi"/>
                <w:bCs/>
                <w:color w:val="000000"/>
                <w:spacing w:val="52"/>
                <w:sz w:val="20"/>
                <w:shd w:val="solid" w:color="000000" w:fill="000000"/>
                <w:fitText w:val="327" w:id="-662982384"/>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84"/>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67C854DE" w14:textId="7A3BE778"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3: </w:t>
            </w:r>
            <w:r w:rsidR="000641E5" w:rsidRPr="000641E5">
              <w:rPr>
                <w:rFonts w:ascii="Arial Narrow" w:eastAsiaTheme="majorEastAsia" w:hAnsi="Arial Narrow" w:cstheme="majorBidi"/>
                <w:bCs/>
                <w:color w:val="000000"/>
                <w:spacing w:val="52"/>
                <w:sz w:val="20"/>
                <w:shd w:val="solid" w:color="000000" w:fill="000000"/>
                <w:fitText w:val="327" w:id="-662982400"/>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400"/>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0B6CBDD7" w14:textId="33D687AD"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Yr 4</w:t>
            </w:r>
            <w:r w:rsidRPr="001018B0">
              <w:rPr>
                <w:rFonts w:ascii="Arial Narrow" w:eastAsiaTheme="majorEastAsia" w:hAnsi="Arial Narrow" w:cstheme="majorBidi"/>
                <w:bCs/>
                <w:sz w:val="20"/>
              </w:rPr>
              <w:t xml:space="preserve">: </w:t>
            </w:r>
            <w:r w:rsidR="000641E5" w:rsidRPr="000641E5">
              <w:rPr>
                <w:rFonts w:ascii="Arial Narrow" w:eastAsiaTheme="majorEastAsia" w:hAnsi="Arial Narrow" w:cstheme="majorBidi"/>
                <w:bCs/>
                <w:color w:val="000000"/>
                <w:spacing w:val="52"/>
                <w:sz w:val="20"/>
                <w:shd w:val="solid" w:color="000000" w:fill="000000"/>
                <w:fitText w:val="327" w:id="-662982399"/>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9"/>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65BB97E0" w14:textId="6487FB40"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5: </w:t>
            </w:r>
            <w:r w:rsidR="000641E5" w:rsidRPr="000641E5">
              <w:rPr>
                <w:rFonts w:ascii="Arial Narrow" w:eastAsiaTheme="majorEastAsia" w:hAnsi="Arial Narrow" w:cstheme="majorBidi"/>
                <w:bCs/>
                <w:color w:val="000000"/>
                <w:spacing w:val="52"/>
                <w:sz w:val="20"/>
                <w:shd w:val="solid" w:color="000000" w:fill="000000"/>
                <w:fitText w:val="327" w:id="-662982398"/>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8"/>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68BE641C" w14:textId="1BCB2E19"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6: </w:t>
            </w:r>
            <w:r w:rsidR="000641E5" w:rsidRPr="000641E5">
              <w:rPr>
                <w:rFonts w:ascii="Arial Narrow" w:eastAsiaTheme="majorEastAsia" w:hAnsi="Arial Narrow" w:cstheme="majorBidi"/>
                <w:bCs/>
                <w:color w:val="000000"/>
                <w:spacing w:val="52"/>
                <w:sz w:val="20"/>
                <w:shd w:val="solid" w:color="000000" w:fill="000000"/>
                <w:fitText w:val="327" w:id="-662982397"/>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7"/>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tc>
        <w:tc>
          <w:tcPr>
            <w:tcW w:w="2410" w:type="dxa"/>
            <w:vAlign w:val="center"/>
          </w:tcPr>
          <w:p w14:paraId="6B136A0D"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Table 1.1, ABS 3301.0, Births, summary, by state </w:t>
            </w:r>
          </w:p>
        </w:tc>
        <w:tc>
          <w:tcPr>
            <w:tcW w:w="3940" w:type="dxa"/>
            <w:vAlign w:val="center"/>
          </w:tcPr>
          <w:p w14:paraId="62D8536E" w14:textId="17D00316"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The</w:t>
            </w:r>
            <w:r w:rsidR="00910C90" w:rsidRPr="00EC57FB">
              <w:rPr>
                <w:rFonts w:ascii="Arial Narrow" w:eastAsiaTheme="majorEastAsia" w:hAnsi="Arial Narrow" w:cstheme="majorBidi"/>
                <w:bCs/>
                <w:sz w:val="20"/>
              </w:rPr>
              <w:t xml:space="preserve"> prior</w:t>
            </w:r>
            <w:r w:rsidRPr="00EC57FB">
              <w:rPr>
                <w:rFonts w:ascii="Arial Narrow" w:eastAsiaTheme="majorEastAsia" w:hAnsi="Arial Narrow" w:cstheme="majorBidi"/>
                <w:bCs/>
                <w:sz w:val="20"/>
              </w:rPr>
              <w:t xml:space="preserve"> DUSC</w:t>
            </w:r>
            <w:r w:rsidR="007B5617" w:rsidRPr="00EC57FB">
              <w:rPr>
                <w:rFonts w:ascii="Arial Narrow" w:eastAsiaTheme="majorEastAsia" w:hAnsi="Arial Narrow" w:cstheme="majorBidi"/>
                <w:bCs/>
                <w:sz w:val="20"/>
              </w:rPr>
              <w:t xml:space="preserve"> advice from</w:t>
            </w:r>
            <w:r w:rsidR="00910C90" w:rsidRPr="00EC57FB">
              <w:rPr>
                <w:rFonts w:ascii="Arial Narrow" w:eastAsiaTheme="majorEastAsia" w:hAnsi="Arial Narrow" w:cstheme="majorBidi"/>
                <w:bCs/>
                <w:sz w:val="20"/>
              </w:rPr>
              <w:t xml:space="preserve"> the</w:t>
            </w:r>
            <w:r w:rsidR="007B5617" w:rsidRPr="00EC57FB">
              <w:rPr>
                <w:rFonts w:ascii="Arial Narrow" w:eastAsiaTheme="majorEastAsia" w:hAnsi="Arial Narrow" w:cstheme="majorBidi"/>
                <w:bCs/>
                <w:sz w:val="20"/>
              </w:rPr>
              <w:t xml:space="preserve"> </w:t>
            </w:r>
            <w:r w:rsidR="00910C90" w:rsidRPr="00EC57FB">
              <w:rPr>
                <w:rFonts w:ascii="Arial Narrow" w:eastAsiaTheme="majorEastAsia" w:hAnsi="Arial Narrow" w:cstheme="majorBidi"/>
                <w:bCs/>
                <w:sz w:val="20"/>
              </w:rPr>
              <w:t>July 2024</w:t>
            </w:r>
            <w:r w:rsidRPr="00EC57FB">
              <w:rPr>
                <w:rFonts w:ascii="Arial Narrow" w:eastAsiaTheme="majorEastAsia" w:hAnsi="Arial Narrow" w:cstheme="majorBidi"/>
                <w:bCs/>
                <w:sz w:val="20"/>
              </w:rPr>
              <w:t xml:space="preserve"> </w:t>
            </w:r>
            <w:r w:rsidR="00910C90" w:rsidRPr="00EC57FB">
              <w:rPr>
                <w:rFonts w:ascii="Arial Narrow" w:eastAsiaTheme="majorEastAsia" w:hAnsi="Arial Narrow" w:cstheme="majorBidi"/>
                <w:bCs/>
                <w:sz w:val="20"/>
              </w:rPr>
              <w:t xml:space="preserve">PBAC meeting </w:t>
            </w:r>
            <w:r w:rsidRPr="00EC57FB">
              <w:rPr>
                <w:rFonts w:ascii="Arial Narrow" w:eastAsiaTheme="majorEastAsia" w:hAnsi="Arial Narrow" w:cstheme="majorBidi"/>
                <w:bCs/>
                <w:sz w:val="20"/>
              </w:rPr>
              <w:t xml:space="preserve">considered this was reasonable. </w:t>
            </w:r>
          </w:p>
        </w:tc>
      </w:tr>
      <w:tr w:rsidR="00CF6373" w:rsidRPr="00EC57FB" w14:paraId="0A0405D9" w14:textId="77777777" w:rsidTr="002F3C04">
        <w:tc>
          <w:tcPr>
            <w:tcW w:w="1413" w:type="dxa"/>
            <w:vAlign w:val="center"/>
          </w:tcPr>
          <w:p w14:paraId="10FB6ED5"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Uptake rate</w:t>
            </w:r>
          </w:p>
        </w:tc>
        <w:tc>
          <w:tcPr>
            <w:tcW w:w="1417" w:type="dxa"/>
            <w:vAlign w:val="center"/>
          </w:tcPr>
          <w:p w14:paraId="18D7A198" w14:textId="2A8AF11B" w:rsidR="00CF6373" w:rsidRPr="00EC57FB" w:rsidRDefault="000641E5" w:rsidP="006A48E9">
            <w:pPr>
              <w:jc w:val="center"/>
              <w:rPr>
                <w:rFonts w:ascii="Arial Narrow" w:eastAsiaTheme="majorEastAsia" w:hAnsi="Arial Narrow" w:cstheme="majorBidi"/>
                <w:bCs/>
                <w:sz w:val="20"/>
              </w:rPr>
            </w:pPr>
            <w:r w:rsidRPr="000641E5">
              <w:rPr>
                <w:rFonts w:ascii="Arial Narrow" w:eastAsiaTheme="majorEastAsia" w:hAnsi="Arial Narrow" w:cstheme="majorBidi"/>
                <w:bCs/>
                <w:color w:val="000000"/>
                <w:spacing w:val="52"/>
                <w:sz w:val="20"/>
                <w:shd w:val="solid" w:color="000000" w:fill="000000"/>
                <w:fitText w:val="328" w:id="-662982396"/>
                <w14:textFill>
                  <w14:solidFill>
                    <w14:srgbClr w14:val="000000">
                      <w14:alpha w14:val="100000"/>
                    </w14:srgbClr>
                  </w14:solidFill>
                </w14:textFill>
              </w:rPr>
              <w:t>|||</w:t>
            </w:r>
            <w:r w:rsidRPr="000641E5">
              <w:rPr>
                <w:rFonts w:ascii="Arial Narrow" w:eastAsiaTheme="majorEastAsia" w:hAnsi="Arial Narrow" w:cstheme="majorBidi"/>
                <w:bCs/>
                <w:color w:val="000000"/>
                <w:spacing w:val="2"/>
                <w:sz w:val="20"/>
                <w:shd w:val="solid" w:color="000000" w:fill="000000"/>
                <w:fitText w:val="328" w:id="-662982396"/>
                <w14:textFill>
                  <w14:solidFill>
                    <w14:srgbClr w14:val="000000">
                      <w14:alpha w14:val="100000"/>
                    </w14:srgbClr>
                  </w14:solidFill>
                </w14:textFill>
              </w:rPr>
              <w:t>|</w:t>
            </w:r>
            <w:r w:rsidR="00CF6373" w:rsidRPr="00EC57FB">
              <w:rPr>
                <w:rFonts w:ascii="Arial Narrow" w:eastAsiaTheme="majorEastAsia" w:hAnsi="Arial Narrow" w:cstheme="majorBidi"/>
                <w:bCs/>
                <w:sz w:val="20"/>
              </w:rPr>
              <w:t>%</w:t>
            </w:r>
          </w:p>
        </w:tc>
        <w:tc>
          <w:tcPr>
            <w:tcW w:w="2410" w:type="dxa"/>
            <w:vAlign w:val="center"/>
          </w:tcPr>
          <w:p w14:paraId="235F113F"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Assumption</w:t>
            </w:r>
          </w:p>
        </w:tc>
        <w:tc>
          <w:tcPr>
            <w:tcW w:w="3940" w:type="dxa"/>
            <w:vAlign w:val="center"/>
          </w:tcPr>
          <w:p w14:paraId="1CE7F739" w14:textId="2A52E6D2"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The </w:t>
            </w:r>
            <w:r w:rsidR="00910C90" w:rsidRPr="00EC57FB">
              <w:rPr>
                <w:rFonts w:ascii="Arial Narrow" w:eastAsiaTheme="majorEastAsia" w:hAnsi="Arial Narrow" w:cstheme="majorBidi"/>
                <w:bCs/>
                <w:sz w:val="20"/>
              </w:rPr>
              <w:t xml:space="preserve">prior </w:t>
            </w:r>
            <w:r w:rsidRPr="00EC57FB">
              <w:rPr>
                <w:rFonts w:ascii="Arial Narrow" w:eastAsiaTheme="majorEastAsia" w:hAnsi="Arial Narrow" w:cstheme="majorBidi"/>
                <w:bCs/>
                <w:sz w:val="20"/>
              </w:rPr>
              <w:t>DUSC</w:t>
            </w:r>
            <w:r w:rsidR="00910C90" w:rsidRPr="00EC57FB">
              <w:rPr>
                <w:rFonts w:ascii="Arial Narrow" w:eastAsiaTheme="majorEastAsia" w:hAnsi="Arial Narrow" w:cstheme="majorBidi"/>
                <w:bCs/>
                <w:sz w:val="20"/>
              </w:rPr>
              <w:t xml:space="preserve"> advice</w:t>
            </w:r>
            <w:r w:rsidRPr="00EC57FB">
              <w:rPr>
                <w:rFonts w:ascii="Arial Narrow" w:eastAsiaTheme="majorEastAsia" w:hAnsi="Arial Narrow" w:cstheme="majorBidi"/>
                <w:bCs/>
                <w:sz w:val="20"/>
              </w:rPr>
              <w:t xml:space="preserve"> considered th</w:t>
            </w:r>
            <w:r w:rsidR="0024184F" w:rsidRPr="00EC57FB">
              <w:rPr>
                <w:rFonts w:ascii="Arial Narrow" w:eastAsiaTheme="majorEastAsia" w:hAnsi="Arial Narrow" w:cstheme="majorBidi"/>
                <w:bCs/>
                <w:sz w:val="20"/>
              </w:rPr>
              <w:t xml:space="preserve">at a </w:t>
            </w:r>
            <w:r w:rsidR="000641E5" w:rsidRPr="000641E5">
              <w:rPr>
                <w:rFonts w:ascii="Arial Narrow" w:eastAsiaTheme="majorEastAsia" w:hAnsi="Arial Narrow" w:cstheme="majorBidi"/>
                <w:bCs/>
                <w:color w:val="000000"/>
                <w:spacing w:val="52"/>
                <w:sz w:val="20"/>
                <w:shd w:val="solid" w:color="000000" w:fill="000000"/>
                <w:fitText w:val="327" w:id="-662982395"/>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5"/>
                <w14:textFill>
                  <w14:solidFill>
                    <w14:srgbClr w14:val="000000">
                      <w14:alpha w14:val="100000"/>
                    </w14:srgbClr>
                  </w14:solidFill>
                </w14:textFill>
              </w:rPr>
              <w:t>|</w:t>
            </w:r>
            <w:r w:rsidR="0024184F" w:rsidRPr="00EC57FB">
              <w:rPr>
                <w:rFonts w:ascii="Arial Narrow" w:eastAsiaTheme="majorEastAsia" w:hAnsi="Arial Narrow" w:cstheme="majorBidi"/>
                <w:bCs/>
                <w:sz w:val="20"/>
              </w:rPr>
              <w:t>%</w:t>
            </w:r>
            <w:r w:rsidRPr="00EC57FB">
              <w:rPr>
                <w:rFonts w:ascii="Arial Narrow" w:eastAsiaTheme="majorEastAsia" w:hAnsi="Arial Narrow" w:cstheme="majorBidi"/>
                <w:bCs/>
                <w:sz w:val="20"/>
              </w:rPr>
              <w:t xml:space="preserve"> uptake rate </w:t>
            </w:r>
            <w:r w:rsidR="0024184F" w:rsidRPr="00EC57FB">
              <w:rPr>
                <w:rFonts w:ascii="Arial Narrow" w:eastAsiaTheme="majorEastAsia" w:hAnsi="Arial Narrow" w:cstheme="majorBidi"/>
                <w:bCs/>
                <w:sz w:val="20"/>
              </w:rPr>
              <w:t xml:space="preserve">was </w:t>
            </w:r>
            <w:r w:rsidRPr="00EC57FB">
              <w:rPr>
                <w:rFonts w:ascii="Arial Narrow" w:eastAsiaTheme="majorEastAsia" w:hAnsi="Arial Narrow" w:cstheme="majorBidi"/>
                <w:bCs/>
                <w:sz w:val="20"/>
              </w:rPr>
              <w:t>reasonable</w:t>
            </w:r>
            <w:r w:rsidR="00855834" w:rsidRPr="00EC57FB">
              <w:rPr>
                <w:rFonts w:ascii="Arial Narrow" w:eastAsiaTheme="majorEastAsia" w:hAnsi="Arial Narrow" w:cstheme="majorBidi"/>
                <w:bCs/>
                <w:sz w:val="20"/>
              </w:rPr>
              <w:t xml:space="preserve"> considering </w:t>
            </w:r>
            <w:r w:rsidRPr="00EC57FB">
              <w:rPr>
                <w:rFonts w:ascii="Arial Narrow" w:eastAsiaTheme="majorEastAsia" w:hAnsi="Arial Narrow" w:cstheme="majorBidi"/>
                <w:bCs/>
                <w:sz w:val="20"/>
              </w:rPr>
              <w:t xml:space="preserve">the introduction of state-based programs offering RSV </w:t>
            </w:r>
            <w:r w:rsidR="00855834" w:rsidRPr="00EC57FB">
              <w:rPr>
                <w:rFonts w:ascii="Arial Narrow" w:eastAsiaTheme="majorEastAsia" w:hAnsi="Arial Narrow" w:cstheme="majorBidi"/>
                <w:bCs/>
                <w:sz w:val="20"/>
              </w:rPr>
              <w:t xml:space="preserve">immunisation </w:t>
            </w:r>
            <w:r w:rsidRPr="00EC57FB">
              <w:rPr>
                <w:rFonts w:ascii="Arial Narrow" w:eastAsiaTheme="majorEastAsia" w:hAnsi="Arial Narrow" w:cstheme="majorBidi"/>
                <w:bCs/>
                <w:sz w:val="20"/>
              </w:rPr>
              <w:t xml:space="preserve">for infants and considered that the increased awareness of RSV would lead to a high uptake of nirsevimab. </w:t>
            </w:r>
            <w:r w:rsidR="00874CDC" w:rsidRPr="00EC57FB">
              <w:rPr>
                <w:rFonts w:ascii="Arial Narrow" w:eastAsiaTheme="majorEastAsia" w:hAnsi="Arial Narrow" w:cstheme="majorBidi"/>
                <w:bCs/>
                <w:sz w:val="20"/>
              </w:rPr>
              <w:t>S</w:t>
            </w:r>
            <w:r w:rsidR="00D42DD3" w:rsidRPr="00EC57FB">
              <w:rPr>
                <w:rFonts w:ascii="Arial Narrow" w:eastAsiaTheme="majorEastAsia" w:hAnsi="Arial Narrow" w:cstheme="majorBidi"/>
                <w:bCs/>
                <w:sz w:val="20"/>
              </w:rPr>
              <w:t xml:space="preserve">ince </w:t>
            </w:r>
            <w:r w:rsidR="00485EA7" w:rsidRPr="00EC57FB">
              <w:rPr>
                <w:rFonts w:ascii="Arial Narrow" w:eastAsiaTheme="majorEastAsia" w:hAnsi="Arial Narrow" w:cstheme="majorBidi"/>
                <w:bCs/>
                <w:sz w:val="20"/>
              </w:rPr>
              <w:t xml:space="preserve">RSVpreF </w:t>
            </w:r>
            <w:r w:rsidR="00D42DD3" w:rsidRPr="00EC57FB">
              <w:rPr>
                <w:rFonts w:ascii="Arial Narrow" w:eastAsiaTheme="majorEastAsia" w:hAnsi="Arial Narrow" w:cstheme="majorBidi"/>
                <w:bCs/>
                <w:sz w:val="20"/>
              </w:rPr>
              <w:t xml:space="preserve">is being included on the NIP, this estimate is now likely to be a substantial overestimate assuming infants born to mothers who have received </w:t>
            </w:r>
            <w:r w:rsidR="00485EA7" w:rsidRPr="00EC57FB">
              <w:rPr>
                <w:rFonts w:ascii="Arial Narrow" w:eastAsiaTheme="majorEastAsia" w:hAnsi="Arial Narrow" w:cstheme="majorBidi"/>
                <w:bCs/>
                <w:sz w:val="20"/>
              </w:rPr>
              <w:t xml:space="preserve">RSVpreF </w:t>
            </w:r>
            <w:r w:rsidR="00D42DD3" w:rsidRPr="00EC57FB">
              <w:rPr>
                <w:rFonts w:ascii="Arial Narrow" w:eastAsiaTheme="majorEastAsia" w:hAnsi="Arial Narrow" w:cstheme="majorBidi"/>
                <w:bCs/>
                <w:sz w:val="20"/>
              </w:rPr>
              <w:t>won’t, for the most part, be eligible to receive nirsevimab.</w:t>
            </w:r>
          </w:p>
        </w:tc>
      </w:tr>
      <w:tr w:rsidR="00CF6373" w:rsidRPr="00EC57FB" w14:paraId="323AB586" w14:textId="77777777" w:rsidTr="002F3C04">
        <w:tc>
          <w:tcPr>
            <w:tcW w:w="1413" w:type="dxa"/>
            <w:vAlign w:val="center"/>
          </w:tcPr>
          <w:p w14:paraId="57611BE4" w14:textId="61AB4EBE"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Number immunised</w:t>
            </w:r>
            <w:r w:rsidR="00577C66">
              <w:rPr>
                <w:rFonts w:ascii="Arial Narrow" w:eastAsiaTheme="majorEastAsia" w:hAnsi="Arial Narrow" w:cstheme="majorBidi"/>
                <w:bCs/>
                <w:sz w:val="20"/>
              </w:rPr>
              <w:t xml:space="preserve"> </w:t>
            </w:r>
          </w:p>
        </w:tc>
        <w:tc>
          <w:tcPr>
            <w:tcW w:w="1417" w:type="dxa"/>
            <w:vAlign w:val="center"/>
          </w:tcPr>
          <w:p w14:paraId="4377CD4C" w14:textId="77E0CA96"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1: </w:t>
            </w:r>
            <w:r w:rsidR="000641E5" w:rsidRPr="000641E5">
              <w:rPr>
                <w:rFonts w:ascii="Arial Narrow" w:eastAsiaTheme="majorEastAsia" w:hAnsi="Arial Narrow" w:cstheme="majorBidi"/>
                <w:bCs/>
                <w:color w:val="000000"/>
                <w:spacing w:val="52"/>
                <w:sz w:val="20"/>
                <w:shd w:val="solid" w:color="000000" w:fill="000000"/>
                <w:fitText w:val="327" w:id="-662982394"/>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4"/>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660BC3C9" w14:textId="748DDC92"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2: </w:t>
            </w:r>
            <w:r w:rsidR="000641E5" w:rsidRPr="000641E5">
              <w:rPr>
                <w:rFonts w:ascii="Arial Narrow" w:eastAsiaTheme="majorEastAsia" w:hAnsi="Arial Narrow" w:cstheme="majorBidi"/>
                <w:bCs/>
                <w:color w:val="000000"/>
                <w:spacing w:val="52"/>
                <w:sz w:val="20"/>
                <w:shd w:val="solid" w:color="000000" w:fill="000000"/>
                <w:fitText w:val="327" w:id="-662982393"/>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3"/>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6C62D46D" w14:textId="256188C4"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3: </w:t>
            </w:r>
            <w:r w:rsidR="000641E5" w:rsidRPr="000641E5">
              <w:rPr>
                <w:rFonts w:ascii="Arial Narrow" w:eastAsiaTheme="majorEastAsia" w:hAnsi="Arial Narrow" w:cstheme="majorBidi"/>
                <w:bCs/>
                <w:color w:val="000000"/>
                <w:spacing w:val="52"/>
                <w:sz w:val="20"/>
                <w:shd w:val="solid" w:color="000000" w:fill="000000"/>
                <w:fitText w:val="327" w:id="-662982392"/>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2"/>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267C54B5" w14:textId="4770AFB6"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4: </w:t>
            </w:r>
            <w:r w:rsidR="000641E5" w:rsidRPr="000641E5">
              <w:rPr>
                <w:rFonts w:ascii="Arial Narrow" w:eastAsiaTheme="majorEastAsia" w:hAnsi="Arial Narrow" w:cstheme="majorBidi"/>
                <w:bCs/>
                <w:color w:val="000000"/>
                <w:spacing w:val="52"/>
                <w:sz w:val="20"/>
                <w:shd w:val="solid" w:color="000000" w:fill="000000"/>
                <w:fitText w:val="327" w:id="-662982391"/>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1"/>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0ACA6804" w14:textId="63A4C4DE"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5: </w:t>
            </w:r>
            <w:r w:rsidR="000641E5" w:rsidRPr="000641E5">
              <w:rPr>
                <w:rFonts w:ascii="Arial Narrow" w:eastAsiaTheme="majorEastAsia" w:hAnsi="Arial Narrow" w:cstheme="majorBidi"/>
                <w:bCs/>
                <w:color w:val="000000"/>
                <w:spacing w:val="52"/>
                <w:sz w:val="20"/>
                <w:shd w:val="solid" w:color="000000" w:fill="000000"/>
                <w:fitText w:val="327" w:id="-662982390"/>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0"/>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12052724" w14:textId="5CBA7C86" w:rsidR="00CF6373" w:rsidRPr="00EC57FB" w:rsidRDefault="00CF6373" w:rsidP="006A48E9">
            <w:pPr>
              <w:jc w:val="center"/>
              <w:rPr>
                <w:rFonts w:ascii="Arial Narrow" w:eastAsiaTheme="majorEastAsia" w:hAnsi="Arial Narrow" w:cstheme="majorBidi"/>
                <w:b/>
                <w:sz w:val="20"/>
              </w:rPr>
            </w:pPr>
            <w:r w:rsidRPr="00EC57FB">
              <w:rPr>
                <w:rFonts w:ascii="Arial Narrow" w:eastAsiaTheme="majorEastAsia" w:hAnsi="Arial Narrow" w:cstheme="majorBidi"/>
                <w:bCs/>
                <w:sz w:val="20"/>
              </w:rPr>
              <w:t xml:space="preserve">Yr 6: </w:t>
            </w:r>
            <w:r w:rsidR="000641E5" w:rsidRPr="000641E5">
              <w:rPr>
                <w:rFonts w:ascii="Arial Narrow" w:eastAsiaTheme="majorEastAsia" w:hAnsi="Arial Narrow" w:cstheme="majorBidi"/>
                <w:bCs/>
                <w:color w:val="000000"/>
                <w:spacing w:val="52"/>
                <w:sz w:val="20"/>
                <w:shd w:val="solid" w:color="000000" w:fill="000000"/>
                <w:fitText w:val="327" w:id="-662982389"/>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89"/>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tc>
        <w:tc>
          <w:tcPr>
            <w:tcW w:w="2410" w:type="dxa"/>
            <w:vAlign w:val="center"/>
          </w:tcPr>
          <w:p w14:paraId="6ABB40B4"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Estimated by multiplying the number of incident individuals and the uptake rate </w:t>
            </w:r>
          </w:p>
        </w:tc>
        <w:tc>
          <w:tcPr>
            <w:tcW w:w="3940" w:type="dxa"/>
            <w:vAlign w:val="center"/>
          </w:tcPr>
          <w:p w14:paraId="2CAE352C" w14:textId="43F5E8DE" w:rsidR="00CF6373" w:rsidRPr="00EC57FB" w:rsidRDefault="00874CDC">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Likely to be substantially overest</w:t>
            </w:r>
            <w:r w:rsidR="00BC2165" w:rsidRPr="00EC57FB">
              <w:rPr>
                <w:rFonts w:ascii="Arial Narrow" w:eastAsiaTheme="majorEastAsia" w:hAnsi="Arial Narrow" w:cstheme="majorBidi"/>
                <w:bCs/>
                <w:sz w:val="20"/>
              </w:rPr>
              <w:t>imated given that uptake rate, as discussed in the previous row, is likely to be an overestimate.</w:t>
            </w:r>
          </w:p>
        </w:tc>
      </w:tr>
      <w:tr w:rsidR="00CF6373" w:rsidRPr="00EC57FB" w14:paraId="70AEF37F" w14:textId="77777777">
        <w:tc>
          <w:tcPr>
            <w:tcW w:w="9180" w:type="dxa"/>
            <w:gridSpan w:val="4"/>
            <w:vAlign w:val="center"/>
          </w:tcPr>
          <w:p w14:paraId="65AE7442" w14:textId="03F8B60E" w:rsidR="00CF6373" w:rsidRPr="00EC57FB" w:rsidRDefault="00CF6373">
            <w:pPr>
              <w:jc w:val="left"/>
              <w:rPr>
                <w:rFonts w:ascii="Arial Narrow" w:eastAsiaTheme="majorEastAsia" w:hAnsi="Arial Narrow" w:cstheme="majorBidi"/>
                <w:b/>
                <w:sz w:val="20"/>
              </w:rPr>
            </w:pPr>
            <w:r w:rsidRPr="00EC57FB">
              <w:rPr>
                <w:rFonts w:ascii="Arial Narrow" w:eastAsiaTheme="majorEastAsia" w:hAnsi="Arial Narrow" w:cstheme="majorBidi"/>
                <w:b/>
                <w:sz w:val="20"/>
              </w:rPr>
              <w:t>Population 3: infants aged 1-2 years who remain vulnerable</w:t>
            </w:r>
            <w:r w:rsidR="00A64EB0" w:rsidRPr="00EC57FB">
              <w:rPr>
                <w:rFonts w:ascii="Arial Narrow" w:eastAsiaTheme="majorEastAsia" w:hAnsi="Arial Narrow" w:cstheme="majorBidi"/>
                <w:b/>
                <w:sz w:val="20"/>
              </w:rPr>
              <w:t xml:space="preserve"> receiving a sec</w:t>
            </w:r>
            <w:r w:rsidR="001E03C5" w:rsidRPr="00EC57FB">
              <w:rPr>
                <w:rFonts w:ascii="Arial Narrow" w:eastAsiaTheme="majorEastAsia" w:hAnsi="Arial Narrow" w:cstheme="majorBidi"/>
                <w:b/>
                <w:sz w:val="20"/>
              </w:rPr>
              <w:t>o</w:t>
            </w:r>
            <w:r w:rsidR="00A64EB0" w:rsidRPr="00EC57FB">
              <w:rPr>
                <w:rFonts w:ascii="Arial Narrow" w:eastAsiaTheme="majorEastAsia" w:hAnsi="Arial Narrow" w:cstheme="majorBidi"/>
                <w:b/>
                <w:sz w:val="20"/>
              </w:rPr>
              <w:t>nd</w:t>
            </w:r>
            <w:r w:rsidR="001E03C5" w:rsidRPr="00EC57FB">
              <w:rPr>
                <w:rFonts w:ascii="Arial Narrow" w:eastAsiaTheme="majorEastAsia" w:hAnsi="Arial Narrow" w:cstheme="majorBidi"/>
                <w:b/>
                <w:sz w:val="20"/>
              </w:rPr>
              <w:t xml:space="preserve"> administration </w:t>
            </w:r>
            <w:r w:rsidR="00762AB4" w:rsidRPr="00EC57FB">
              <w:rPr>
                <w:rFonts w:ascii="Arial Narrow" w:eastAsiaTheme="majorEastAsia" w:hAnsi="Arial Narrow" w:cstheme="majorBidi"/>
                <w:b/>
                <w:sz w:val="20"/>
              </w:rPr>
              <w:t>of</w:t>
            </w:r>
            <w:r w:rsidR="001E03C5" w:rsidRPr="00EC57FB">
              <w:rPr>
                <w:rFonts w:ascii="Arial Narrow" w:eastAsiaTheme="majorEastAsia" w:hAnsi="Arial Narrow" w:cstheme="majorBidi"/>
                <w:b/>
                <w:sz w:val="20"/>
              </w:rPr>
              <w:t xml:space="preserve"> nirsevimab </w:t>
            </w:r>
            <w:r w:rsidR="00762AB4" w:rsidRPr="00EC57FB">
              <w:rPr>
                <w:rFonts w:ascii="Arial Narrow" w:eastAsiaTheme="majorEastAsia" w:hAnsi="Arial Narrow" w:cstheme="majorBidi"/>
                <w:b/>
                <w:sz w:val="20"/>
              </w:rPr>
              <w:t>(</w:t>
            </w:r>
            <w:r w:rsidR="005B022E" w:rsidRPr="00EC57FB">
              <w:rPr>
                <w:rFonts w:ascii="Arial Narrow" w:eastAsiaTheme="majorEastAsia" w:hAnsi="Arial Narrow" w:cstheme="majorBidi"/>
                <w:b/>
                <w:sz w:val="20"/>
              </w:rPr>
              <w:t>200</w:t>
            </w:r>
            <w:r w:rsidR="000205DF" w:rsidRPr="00EC57FB">
              <w:rPr>
                <w:rFonts w:ascii="Arial Narrow" w:eastAsiaTheme="majorEastAsia" w:hAnsi="Arial Narrow" w:cstheme="majorBidi"/>
                <w:b/>
                <w:sz w:val="20"/>
              </w:rPr>
              <w:t> </w:t>
            </w:r>
            <w:r w:rsidR="005B022E" w:rsidRPr="00EC57FB">
              <w:rPr>
                <w:rFonts w:ascii="Arial Narrow" w:eastAsiaTheme="majorEastAsia" w:hAnsi="Arial Narrow" w:cstheme="majorBidi"/>
                <w:b/>
                <w:sz w:val="20"/>
              </w:rPr>
              <w:t xml:space="preserve">mg) </w:t>
            </w:r>
            <w:r w:rsidR="001E03C5" w:rsidRPr="00EC57FB">
              <w:rPr>
                <w:rFonts w:ascii="Arial Narrow" w:eastAsiaTheme="majorEastAsia" w:hAnsi="Arial Narrow" w:cstheme="majorBidi"/>
                <w:b/>
                <w:sz w:val="20"/>
              </w:rPr>
              <w:t>when entering their sec</w:t>
            </w:r>
            <w:r w:rsidR="00DE703D" w:rsidRPr="00EC57FB">
              <w:rPr>
                <w:rFonts w:ascii="Arial Narrow" w:eastAsiaTheme="majorEastAsia" w:hAnsi="Arial Narrow" w:cstheme="majorBidi"/>
                <w:b/>
                <w:sz w:val="20"/>
              </w:rPr>
              <w:t>ond RSV season</w:t>
            </w:r>
          </w:p>
        </w:tc>
      </w:tr>
      <w:tr w:rsidR="00CF6373" w:rsidRPr="00EC57FB" w14:paraId="045A356F" w14:textId="77777777" w:rsidTr="002F3C04">
        <w:tc>
          <w:tcPr>
            <w:tcW w:w="1413" w:type="dxa"/>
            <w:vAlign w:val="center"/>
          </w:tcPr>
          <w:p w14:paraId="02C04215"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Incident individuals</w:t>
            </w:r>
          </w:p>
        </w:tc>
        <w:tc>
          <w:tcPr>
            <w:tcW w:w="1417" w:type="dxa"/>
            <w:vAlign w:val="center"/>
          </w:tcPr>
          <w:p w14:paraId="24B3C552" w14:textId="40B40EFD"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1: </w:t>
            </w:r>
            <w:r w:rsidR="000641E5" w:rsidRPr="000641E5">
              <w:rPr>
                <w:rFonts w:ascii="Arial Narrow" w:eastAsiaTheme="majorEastAsia" w:hAnsi="Arial Narrow" w:cstheme="majorBidi"/>
                <w:bCs/>
                <w:color w:val="000000"/>
                <w:spacing w:val="52"/>
                <w:sz w:val="20"/>
                <w:shd w:val="solid" w:color="000000" w:fill="000000"/>
                <w:fitText w:val="327" w:id="-662982388"/>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88"/>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1FA59C48" w14:textId="2C32E8FF"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2: </w:t>
            </w:r>
            <w:r w:rsidR="000641E5" w:rsidRPr="000641E5">
              <w:rPr>
                <w:rFonts w:ascii="Arial Narrow" w:eastAsiaTheme="majorEastAsia" w:hAnsi="Arial Narrow" w:cstheme="majorBidi"/>
                <w:bCs/>
                <w:color w:val="000000"/>
                <w:spacing w:val="52"/>
                <w:sz w:val="20"/>
                <w:shd w:val="solid" w:color="000000" w:fill="000000"/>
                <w:fitText w:val="327" w:id="-662982387"/>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87"/>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2F693732" w14:textId="1BC40C2C"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3: </w:t>
            </w:r>
            <w:r w:rsidR="000641E5" w:rsidRPr="000641E5">
              <w:rPr>
                <w:rFonts w:ascii="Arial Narrow" w:eastAsiaTheme="majorEastAsia" w:hAnsi="Arial Narrow" w:cstheme="majorBidi"/>
                <w:bCs/>
                <w:color w:val="000000"/>
                <w:spacing w:val="52"/>
                <w:sz w:val="20"/>
                <w:shd w:val="solid" w:color="000000" w:fill="000000"/>
                <w:fitText w:val="327" w:id="-662982386"/>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86"/>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7277461D" w14:textId="33994A8A"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4: </w:t>
            </w:r>
            <w:r w:rsidR="000641E5" w:rsidRPr="000641E5">
              <w:rPr>
                <w:rFonts w:ascii="Arial Narrow" w:eastAsiaTheme="majorEastAsia" w:hAnsi="Arial Narrow" w:cstheme="majorBidi"/>
                <w:bCs/>
                <w:color w:val="000000"/>
                <w:spacing w:val="52"/>
                <w:sz w:val="20"/>
                <w:shd w:val="solid" w:color="000000" w:fill="000000"/>
                <w:fitText w:val="327" w:id="-662982385"/>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85"/>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64C9B547" w14:textId="7F31A99D"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5: </w:t>
            </w:r>
            <w:r w:rsidR="000641E5" w:rsidRPr="000641E5">
              <w:rPr>
                <w:rFonts w:ascii="Arial Narrow" w:eastAsiaTheme="majorEastAsia" w:hAnsi="Arial Narrow" w:cstheme="majorBidi"/>
                <w:bCs/>
                <w:color w:val="000000"/>
                <w:spacing w:val="52"/>
                <w:sz w:val="20"/>
                <w:shd w:val="solid" w:color="000000" w:fill="000000"/>
                <w:fitText w:val="327" w:id="-662982384"/>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84"/>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p w14:paraId="293C509E" w14:textId="531FBCD4"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6: </w:t>
            </w:r>
            <w:r w:rsidR="000641E5" w:rsidRPr="000641E5">
              <w:rPr>
                <w:rFonts w:ascii="Arial Narrow" w:eastAsiaTheme="majorEastAsia" w:hAnsi="Arial Narrow" w:cstheme="majorBidi"/>
                <w:bCs/>
                <w:color w:val="000000"/>
                <w:spacing w:val="52"/>
                <w:sz w:val="20"/>
                <w:shd w:val="solid" w:color="000000" w:fill="000000"/>
                <w:fitText w:val="327" w:id="-662982400"/>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400"/>
                <w14:textFill>
                  <w14:solidFill>
                    <w14:srgbClr w14:val="000000">
                      <w14:alpha w14:val="100000"/>
                    </w14:srgbClr>
                  </w14:solidFill>
                </w14:textFill>
              </w:rPr>
              <w:t>|</w:t>
            </w:r>
            <w:r w:rsidR="00C27691">
              <w:rPr>
                <w:rFonts w:ascii="Arial Narrow" w:eastAsiaTheme="majorEastAsia" w:hAnsi="Arial Narrow" w:cstheme="majorBidi"/>
                <w:bCs/>
                <w:sz w:val="20"/>
              </w:rPr>
              <w:t xml:space="preserve"> </w:t>
            </w:r>
            <w:r w:rsidR="00C27691">
              <w:rPr>
                <w:rFonts w:ascii="Arial Narrow" w:eastAsiaTheme="majorEastAsia" w:hAnsi="Arial Narrow" w:cstheme="majorBidi"/>
                <w:bCs/>
                <w:sz w:val="20"/>
                <w:vertAlign w:val="superscript"/>
              </w:rPr>
              <w:t>1</w:t>
            </w:r>
          </w:p>
        </w:tc>
        <w:tc>
          <w:tcPr>
            <w:tcW w:w="2410" w:type="dxa"/>
            <w:vAlign w:val="center"/>
          </w:tcPr>
          <w:p w14:paraId="09ED7F7D" w14:textId="378E53D2"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ABS 3222.0, Projected population (released in 2013).</w:t>
            </w:r>
          </w:p>
        </w:tc>
        <w:tc>
          <w:tcPr>
            <w:tcW w:w="3940" w:type="dxa"/>
            <w:vAlign w:val="center"/>
          </w:tcPr>
          <w:p w14:paraId="774099D3" w14:textId="3B5BD96B" w:rsidR="00CF6373" w:rsidRPr="00EC57FB" w:rsidRDefault="00EC09E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Updated since the </w:t>
            </w:r>
            <w:r w:rsidR="003172A2" w:rsidRPr="00EC57FB">
              <w:rPr>
                <w:rFonts w:ascii="Arial Narrow" w:eastAsiaTheme="majorEastAsia" w:hAnsi="Arial Narrow" w:cstheme="majorBidi"/>
                <w:bCs/>
                <w:sz w:val="20"/>
              </w:rPr>
              <w:t xml:space="preserve">first </w:t>
            </w:r>
            <w:r w:rsidRPr="00EC57FB">
              <w:rPr>
                <w:rFonts w:ascii="Arial Narrow" w:eastAsiaTheme="majorEastAsia" w:hAnsi="Arial Narrow" w:cstheme="majorBidi"/>
                <w:bCs/>
                <w:sz w:val="20"/>
              </w:rPr>
              <w:t>submission to reflect</w:t>
            </w:r>
            <w:r w:rsidR="00E612F2" w:rsidRPr="00EC57FB">
              <w:rPr>
                <w:rFonts w:ascii="Arial Narrow" w:eastAsiaTheme="majorEastAsia" w:hAnsi="Arial Narrow" w:cstheme="majorBidi"/>
                <w:bCs/>
                <w:sz w:val="20"/>
              </w:rPr>
              <w:t xml:space="preserve"> the source</w:t>
            </w:r>
            <w:r w:rsidR="00385B23" w:rsidRPr="00EC57FB">
              <w:rPr>
                <w:rFonts w:ascii="Arial Narrow" w:eastAsiaTheme="majorEastAsia" w:hAnsi="Arial Narrow" w:cstheme="majorBidi"/>
                <w:bCs/>
                <w:sz w:val="20"/>
              </w:rPr>
              <w:t xml:space="preserve"> recommended by</w:t>
            </w:r>
            <w:r w:rsidR="00D05658" w:rsidRPr="00EC57FB">
              <w:rPr>
                <w:rFonts w:ascii="Arial Narrow" w:eastAsiaTheme="majorEastAsia" w:hAnsi="Arial Narrow" w:cstheme="majorBidi"/>
                <w:bCs/>
                <w:sz w:val="20"/>
              </w:rPr>
              <w:t xml:space="preserve"> the prior</w:t>
            </w:r>
            <w:r w:rsidR="00385B23" w:rsidRPr="00EC57FB">
              <w:rPr>
                <w:rFonts w:ascii="Arial Narrow" w:eastAsiaTheme="majorEastAsia" w:hAnsi="Arial Narrow" w:cstheme="majorBidi"/>
                <w:bCs/>
                <w:sz w:val="20"/>
              </w:rPr>
              <w:t xml:space="preserve"> DUSC</w:t>
            </w:r>
            <w:r w:rsidR="00D05658" w:rsidRPr="00EC57FB">
              <w:rPr>
                <w:rFonts w:ascii="Arial Narrow" w:eastAsiaTheme="majorEastAsia" w:hAnsi="Arial Narrow" w:cstheme="majorBidi"/>
                <w:bCs/>
                <w:sz w:val="20"/>
              </w:rPr>
              <w:t xml:space="preserve"> advice</w:t>
            </w:r>
            <w:r w:rsidR="00385B23" w:rsidRPr="00EC57FB">
              <w:rPr>
                <w:rFonts w:ascii="Arial Narrow" w:eastAsiaTheme="majorEastAsia" w:hAnsi="Arial Narrow" w:cstheme="majorBidi"/>
                <w:bCs/>
                <w:sz w:val="20"/>
              </w:rPr>
              <w:t>.</w:t>
            </w:r>
          </w:p>
        </w:tc>
      </w:tr>
      <w:tr w:rsidR="00CF6373" w:rsidRPr="00EC57FB" w14:paraId="703ECBF3" w14:textId="77777777" w:rsidTr="002F3C04">
        <w:tc>
          <w:tcPr>
            <w:tcW w:w="1413" w:type="dxa"/>
            <w:vAlign w:val="center"/>
          </w:tcPr>
          <w:p w14:paraId="13C08785" w14:textId="77777777" w:rsidR="00CF6373" w:rsidRPr="00EC57FB" w:rsidRDefault="00CF6373" w:rsidP="005750E5">
            <w:pPr>
              <w:keepNext/>
              <w:jc w:val="left"/>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Eligible individuals </w:t>
            </w:r>
          </w:p>
        </w:tc>
        <w:tc>
          <w:tcPr>
            <w:tcW w:w="1417" w:type="dxa"/>
            <w:vAlign w:val="center"/>
          </w:tcPr>
          <w:p w14:paraId="5C1BA287" w14:textId="73A08FB3" w:rsidR="00CF6373" w:rsidRPr="00EC57FB" w:rsidRDefault="00A30961" w:rsidP="005750E5">
            <w:pPr>
              <w:keepNext/>
              <w:jc w:val="center"/>
              <w:rPr>
                <w:rFonts w:ascii="Arial Narrow" w:eastAsiaTheme="majorEastAsia" w:hAnsi="Arial Narrow" w:cstheme="majorBidi"/>
                <w:bCs/>
                <w:sz w:val="20"/>
              </w:rPr>
            </w:pPr>
            <w:r w:rsidRPr="00EC57FB">
              <w:rPr>
                <w:rFonts w:ascii="Arial Narrow" w:eastAsiaTheme="majorEastAsia" w:hAnsi="Arial Narrow" w:cstheme="majorBidi"/>
                <w:bCs/>
                <w:sz w:val="20"/>
              </w:rPr>
              <w:t>8.</w:t>
            </w:r>
            <w:r w:rsidR="003172A2" w:rsidRPr="00EC57FB">
              <w:rPr>
                <w:rFonts w:ascii="Arial Narrow" w:eastAsiaTheme="majorEastAsia" w:hAnsi="Arial Narrow" w:cstheme="majorBidi"/>
                <w:bCs/>
                <w:sz w:val="20"/>
              </w:rPr>
              <w:t>04</w:t>
            </w:r>
            <w:r w:rsidR="00CF6373" w:rsidRPr="00EC57FB">
              <w:rPr>
                <w:rFonts w:ascii="Arial Narrow" w:eastAsiaTheme="majorEastAsia" w:hAnsi="Arial Narrow" w:cstheme="majorBidi"/>
                <w:bCs/>
                <w:sz w:val="20"/>
              </w:rPr>
              <w:t>%</w:t>
            </w:r>
          </w:p>
        </w:tc>
        <w:tc>
          <w:tcPr>
            <w:tcW w:w="2410" w:type="dxa"/>
            <w:vAlign w:val="center"/>
          </w:tcPr>
          <w:p w14:paraId="2B36EB23" w14:textId="41BE7B01" w:rsidR="00CF6373" w:rsidRPr="00EC57FB" w:rsidRDefault="00CF6373" w:rsidP="005750E5">
            <w:pPr>
              <w:keepNext/>
              <w:jc w:val="left"/>
              <w:rPr>
                <w:rFonts w:ascii="Arial Narrow" w:eastAsiaTheme="majorEastAsia" w:hAnsi="Arial Narrow" w:cstheme="majorBidi"/>
                <w:bCs/>
                <w:sz w:val="20"/>
              </w:rPr>
            </w:pPr>
          </w:p>
        </w:tc>
        <w:tc>
          <w:tcPr>
            <w:tcW w:w="3940" w:type="dxa"/>
            <w:vAlign w:val="center"/>
          </w:tcPr>
          <w:p w14:paraId="1C592A23" w14:textId="21D5AE87" w:rsidR="000A5BFD" w:rsidRPr="00EC57FB" w:rsidRDefault="000A5BFD" w:rsidP="005750E5">
            <w:pPr>
              <w:keepNext/>
              <w:jc w:val="left"/>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Updated </w:t>
            </w:r>
            <w:r w:rsidR="00A73EFD" w:rsidRPr="00EC57FB">
              <w:rPr>
                <w:rFonts w:ascii="Arial Narrow" w:eastAsiaTheme="majorEastAsia" w:hAnsi="Arial Narrow" w:cstheme="majorBidi"/>
                <w:bCs/>
                <w:sz w:val="20"/>
              </w:rPr>
              <w:t xml:space="preserve">since the </w:t>
            </w:r>
            <w:r w:rsidR="003172A2" w:rsidRPr="00EC57FB">
              <w:rPr>
                <w:rFonts w:ascii="Arial Narrow" w:eastAsiaTheme="majorEastAsia" w:hAnsi="Arial Narrow" w:cstheme="majorBidi"/>
                <w:bCs/>
                <w:sz w:val="20"/>
              </w:rPr>
              <w:t xml:space="preserve">first </w:t>
            </w:r>
            <w:r w:rsidR="00A73EFD" w:rsidRPr="00EC57FB">
              <w:rPr>
                <w:rFonts w:ascii="Arial Narrow" w:eastAsiaTheme="majorEastAsia" w:hAnsi="Arial Narrow" w:cstheme="majorBidi"/>
                <w:bCs/>
                <w:sz w:val="20"/>
              </w:rPr>
              <w:t>submission to capture</w:t>
            </w:r>
            <w:r w:rsidR="00240CF8" w:rsidRPr="00EC57FB">
              <w:rPr>
                <w:rFonts w:ascii="Arial Narrow" w:eastAsiaTheme="majorEastAsia" w:hAnsi="Arial Narrow" w:cstheme="majorBidi"/>
                <w:bCs/>
                <w:sz w:val="20"/>
              </w:rPr>
              <w:t xml:space="preserve"> infants with congenital heart disease and Aboriginal and Torres Strait Islander children.</w:t>
            </w:r>
            <w:r w:rsidR="006D0268" w:rsidRPr="00EC57FB">
              <w:rPr>
                <w:rFonts w:ascii="Arial Narrow" w:eastAsiaTheme="majorEastAsia" w:hAnsi="Arial Narrow" w:cstheme="majorBidi"/>
                <w:bCs/>
                <w:sz w:val="20"/>
              </w:rPr>
              <w:t xml:space="preserve"> The estimate now includes</w:t>
            </w:r>
          </w:p>
          <w:p w14:paraId="23B23E15" w14:textId="7CB23F69" w:rsidR="000A5BFD" w:rsidRPr="00EC57FB" w:rsidRDefault="000A5BFD" w:rsidP="005750E5">
            <w:pPr>
              <w:pStyle w:val="ListParagraph"/>
              <w:keepNext/>
              <w:numPr>
                <w:ilvl w:val="0"/>
                <w:numId w:val="15"/>
              </w:numPr>
              <w:spacing w:after="0"/>
              <w:ind w:left="318" w:hanging="318"/>
              <w:rPr>
                <w:rFonts w:ascii="Arial Narrow" w:eastAsiaTheme="majorEastAsia" w:hAnsi="Arial Narrow" w:cstheme="majorBidi"/>
                <w:bCs/>
                <w:sz w:val="20"/>
              </w:rPr>
            </w:pPr>
            <w:r w:rsidRPr="00EC57FB">
              <w:rPr>
                <w:rFonts w:ascii="Arial Narrow" w:eastAsiaTheme="majorEastAsia" w:hAnsi="Arial Narrow" w:cstheme="majorBidi"/>
                <w:bCs/>
                <w:sz w:val="20"/>
              </w:rPr>
              <w:t>Births with gestational age &lt;32 weeks (1.08%)</w:t>
            </w:r>
          </w:p>
          <w:p w14:paraId="042F4DE6" w14:textId="77777777" w:rsidR="006D0268" w:rsidRPr="00EC57FB" w:rsidRDefault="000A5BFD" w:rsidP="005750E5">
            <w:pPr>
              <w:pStyle w:val="ListParagraph"/>
              <w:keepNext/>
              <w:numPr>
                <w:ilvl w:val="0"/>
                <w:numId w:val="15"/>
              </w:numPr>
              <w:spacing w:after="0"/>
              <w:ind w:left="318" w:hanging="318"/>
              <w:rPr>
                <w:rFonts w:ascii="Arial Narrow" w:eastAsiaTheme="majorEastAsia" w:hAnsi="Arial Narrow" w:cstheme="majorBidi"/>
                <w:bCs/>
                <w:sz w:val="20"/>
              </w:rPr>
            </w:pPr>
            <w:r w:rsidRPr="00EC57FB">
              <w:rPr>
                <w:rFonts w:ascii="Arial Narrow" w:eastAsiaTheme="majorEastAsia" w:hAnsi="Arial Narrow" w:cstheme="majorBidi"/>
                <w:bCs/>
                <w:sz w:val="20"/>
              </w:rPr>
              <w:t>CHD prevalence rate in infants (0.9%)</w:t>
            </w:r>
          </w:p>
          <w:p w14:paraId="25B19920" w14:textId="4238A9A9" w:rsidR="00CF6373" w:rsidRPr="00EC57FB" w:rsidRDefault="000A5BFD" w:rsidP="005750E5">
            <w:pPr>
              <w:pStyle w:val="ListParagraph"/>
              <w:keepNext/>
              <w:numPr>
                <w:ilvl w:val="0"/>
                <w:numId w:val="15"/>
              </w:numPr>
              <w:spacing w:after="0"/>
              <w:ind w:left="318" w:hanging="318"/>
              <w:rPr>
                <w:rFonts w:ascii="Arial Narrow" w:eastAsiaTheme="majorEastAsia" w:hAnsi="Arial Narrow" w:cstheme="majorBidi"/>
                <w:bCs/>
                <w:sz w:val="20"/>
              </w:rPr>
            </w:pPr>
            <w:r w:rsidRPr="00EC57FB">
              <w:rPr>
                <w:rFonts w:ascii="Arial Narrow" w:eastAsiaTheme="majorEastAsia" w:hAnsi="Arial Narrow" w:cstheme="majorBidi"/>
                <w:bCs/>
                <w:sz w:val="20"/>
              </w:rPr>
              <w:t>Aboriginal and Torres Strait Islander people (6.2%)</w:t>
            </w:r>
            <w:r w:rsidR="003172A2" w:rsidRPr="00EC57FB">
              <w:rPr>
                <w:rFonts w:ascii="Arial Narrow" w:eastAsiaTheme="majorEastAsia" w:hAnsi="Arial Narrow" w:cstheme="majorBidi"/>
                <w:bCs/>
                <w:sz w:val="20"/>
              </w:rPr>
              <w:t xml:space="preserve"> </w:t>
            </w:r>
            <w:r w:rsidR="008B4AD5" w:rsidRPr="00EC57FB">
              <w:rPr>
                <w:rFonts w:ascii="Arial Narrow" w:eastAsiaTheme="majorEastAsia" w:hAnsi="Arial Narrow" w:cstheme="majorBidi"/>
                <w:bCs/>
                <w:sz w:val="20"/>
              </w:rPr>
              <w:t xml:space="preserve">but </w:t>
            </w:r>
            <w:r w:rsidR="003172A2" w:rsidRPr="00EC57FB">
              <w:rPr>
                <w:rFonts w:ascii="Arial Narrow" w:eastAsiaTheme="majorEastAsia" w:hAnsi="Arial Narrow" w:cstheme="majorBidi"/>
                <w:bCs/>
                <w:sz w:val="20"/>
              </w:rPr>
              <w:t xml:space="preserve">adjusted </w:t>
            </w:r>
            <w:r w:rsidR="008B4AD5" w:rsidRPr="00EC57FB">
              <w:rPr>
                <w:rFonts w:ascii="Arial Narrow" w:eastAsiaTheme="majorEastAsia" w:hAnsi="Arial Narrow" w:cstheme="majorBidi"/>
                <w:bCs/>
                <w:sz w:val="20"/>
              </w:rPr>
              <w:t>to prevent double-counting of</w:t>
            </w:r>
            <w:r w:rsidR="003172A2" w:rsidRPr="00EC57FB">
              <w:rPr>
                <w:rFonts w:ascii="Arial Narrow" w:eastAsiaTheme="majorEastAsia" w:hAnsi="Arial Narrow" w:cstheme="majorBidi"/>
                <w:bCs/>
                <w:sz w:val="20"/>
              </w:rPr>
              <w:t xml:space="preserve"> </w:t>
            </w:r>
            <w:r w:rsidR="008B4AD5" w:rsidRPr="00EC57FB">
              <w:rPr>
                <w:rFonts w:ascii="Arial Narrow" w:eastAsiaTheme="majorEastAsia" w:hAnsi="Arial Narrow" w:cstheme="majorBidi"/>
                <w:bCs/>
                <w:sz w:val="20"/>
              </w:rPr>
              <w:t>preterm births and CHD</w:t>
            </w:r>
          </w:p>
          <w:p w14:paraId="40F975F3" w14:textId="77777777" w:rsidR="00C61B54" w:rsidRPr="00EC57FB" w:rsidRDefault="00C61B54" w:rsidP="00C61B54">
            <w:pPr>
              <w:keepNext/>
              <w:rPr>
                <w:rFonts w:ascii="Arial Narrow" w:eastAsiaTheme="majorEastAsia" w:hAnsi="Arial Narrow" w:cstheme="majorBidi"/>
                <w:bCs/>
                <w:sz w:val="20"/>
              </w:rPr>
            </w:pPr>
          </w:p>
          <w:p w14:paraId="6D3047C9" w14:textId="1B513531" w:rsidR="00C61B54" w:rsidRPr="00EC57FB" w:rsidRDefault="00C61B54" w:rsidP="00C61B54">
            <w:pPr>
              <w:keepNext/>
              <w:rPr>
                <w:rFonts w:ascii="Arial Narrow" w:eastAsiaTheme="majorEastAsia" w:hAnsi="Arial Narrow" w:cstheme="majorBidi"/>
                <w:bCs/>
                <w:sz w:val="20"/>
              </w:rPr>
            </w:pPr>
            <w:r w:rsidRPr="00EC57FB">
              <w:rPr>
                <w:rFonts w:ascii="Arial Narrow" w:eastAsiaTheme="majorEastAsia" w:hAnsi="Arial Narrow" w:cstheme="majorBidi"/>
                <w:bCs/>
                <w:sz w:val="20"/>
              </w:rPr>
              <w:t>This was revised in the pre-PBAC response, utilisation for Aboriginal and Torres Strait Islander people was removed.</w:t>
            </w:r>
          </w:p>
        </w:tc>
      </w:tr>
      <w:tr w:rsidR="00CF6373" w:rsidRPr="00EC57FB" w14:paraId="6E2B13AF" w14:textId="77777777" w:rsidTr="002F3C04">
        <w:tc>
          <w:tcPr>
            <w:tcW w:w="1413" w:type="dxa"/>
            <w:vAlign w:val="center"/>
          </w:tcPr>
          <w:p w14:paraId="342312B4"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Uptake rate</w:t>
            </w:r>
          </w:p>
        </w:tc>
        <w:tc>
          <w:tcPr>
            <w:tcW w:w="1417" w:type="dxa"/>
            <w:vAlign w:val="center"/>
          </w:tcPr>
          <w:p w14:paraId="40914CBF" w14:textId="1EDB88CA" w:rsidR="00CF6373" w:rsidRPr="00EC57FB" w:rsidRDefault="000641E5" w:rsidP="006A48E9">
            <w:pPr>
              <w:jc w:val="center"/>
              <w:rPr>
                <w:rFonts w:ascii="Arial Narrow" w:eastAsiaTheme="majorEastAsia" w:hAnsi="Arial Narrow" w:cstheme="majorBidi"/>
                <w:bCs/>
                <w:sz w:val="20"/>
              </w:rPr>
            </w:pPr>
            <w:r w:rsidRPr="000641E5">
              <w:rPr>
                <w:rFonts w:ascii="Arial Narrow" w:eastAsiaTheme="majorEastAsia" w:hAnsi="Arial Narrow" w:cstheme="majorBidi"/>
                <w:bCs/>
                <w:color w:val="000000"/>
                <w:spacing w:val="52"/>
                <w:sz w:val="20"/>
                <w:shd w:val="solid" w:color="000000" w:fill="000000"/>
                <w:fitText w:val="328" w:id="-662982399"/>
                <w14:textFill>
                  <w14:solidFill>
                    <w14:srgbClr w14:val="000000">
                      <w14:alpha w14:val="100000"/>
                    </w14:srgbClr>
                  </w14:solidFill>
                </w14:textFill>
              </w:rPr>
              <w:t>|||</w:t>
            </w:r>
            <w:r w:rsidRPr="000641E5">
              <w:rPr>
                <w:rFonts w:ascii="Arial Narrow" w:eastAsiaTheme="majorEastAsia" w:hAnsi="Arial Narrow" w:cstheme="majorBidi"/>
                <w:bCs/>
                <w:color w:val="000000"/>
                <w:spacing w:val="2"/>
                <w:sz w:val="20"/>
                <w:shd w:val="solid" w:color="000000" w:fill="000000"/>
                <w:fitText w:val="328" w:id="-662982399"/>
                <w14:textFill>
                  <w14:solidFill>
                    <w14:srgbClr w14:val="000000">
                      <w14:alpha w14:val="100000"/>
                    </w14:srgbClr>
                  </w14:solidFill>
                </w14:textFill>
              </w:rPr>
              <w:t>|</w:t>
            </w:r>
            <w:r w:rsidR="00CF6373" w:rsidRPr="00EC57FB">
              <w:rPr>
                <w:rFonts w:ascii="Arial Narrow" w:eastAsiaTheme="majorEastAsia" w:hAnsi="Arial Narrow" w:cstheme="majorBidi"/>
                <w:bCs/>
                <w:sz w:val="20"/>
              </w:rPr>
              <w:t>%</w:t>
            </w:r>
          </w:p>
        </w:tc>
        <w:tc>
          <w:tcPr>
            <w:tcW w:w="2410" w:type="dxa"/>
            <w:vAlign w:val="center"/>
          </w:tcPr>
          <w:p w14:paraId="213A0E8F"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Assumption</w:t>
            </w:r>
          </w:p>
        </w:tc>
        <w:tc>
          <w:tcPr>
            <w:tcW w:w="3940" w:type="dxa"/>
            <w:vAlign w:val="center"/>
          </w:tcPr>
          <w:p w14:paraId="6FE63924" w14:textId="1048058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The </w:t>
            </w:r>
            <w:r w:rsidR="00C96A78" w:rsidRPr="00EC57FB">
              <w:rPr>
                <w:rFonts w:ascii="Arial Narrow" w:eastAsiaTheme="majorEastAsia" w:hAnsi="Arial Narrow" w:cstheme="majorBidi"/>
                <w:bCs/>
                <w:sz w:val="20"/>
              </w:rPr>
              <w:t xml:space="preserve">prior </w:t>
            </w:r>
            <w:r w:rsidRPr="00EC57FB">
              <w:rPr>
                <w:rFonts w:ascii="Arial Narrow" w:eastAsiaTheme="majorEastAsia" w:hAnsi="Arial Narrow" w:cstheme="majorBidi"/>
                <w:bCs/>
                <w:sz w:val="20"/>
              </w:rPr>
              <w:t>DUSC</w:t>
            </w:r>
            <w:r w:rsidR="00C96A78" w:rsidRPr="00EC57FB">
              <w:rPr>
                <w:rFonts w:ascii="Arial Narrow" w:eastAsiaTheme="majorEastAsia" w:hAnsi="Arial Narrow" w:cstheme="majorBidi"/>
                <w:bCs/>
                <w:sz w:val="20"/>
              </w:rPr>
              <w:t xml:space="preserve"> advice</w:t>
            </w:r>
            <w:r w:rsidRPr="00EC57FB">
              <w:rPr>
                <w:rFonts w:ascii="Arial Narrow" w:eastAsiaTheme="majorEastAsia" w:hAnsi="Arial Narrow" w:cstheme="majorBidi"/>
                <w:bCs/>
                <w:sz w:val="20"/>
              </w:rPr>
              <w:t xml:space="preserve"> considered the uptake rate to be reasonable</w:t>
            </w:r>
            <w:r w:rsidR="00EF6F1A" w:rsidRPr="00EC57FB">
              <w:rPr>
                <w:rFonts w:ascii="Arial Narrow" w:eastAsiaTheme="majorEastAsia" w:hAnsi="Arial Narrow" w:cstheme="majorBidi"/>
                <w:bCs/>
                <w:sz w:val="20"/>
              </w:rPr>
              <w:t>.</w:t>
            </w:r>
          </w:p>
        </w:tc>
      </w:tr>
      <w:tr w:rsidR="00CF6373" w:rsidRPr="00EC57FB" w14:paraId="024230E7" w14:textId="77777777" w:rsidTr="002F3C04">
        <w:trPr>
          <w:cantSplit/>
        </w:trPr>
        <w:tc>
          <w:tcPr>
            <w:tcW w:w="1413" w:type="dxa"/>
            <w:vAlign w:val="center"/>
          </w:tcPr>
          <w:p w14:paraId="059F194A"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lastRenderedPageBreak/>
              <w:t xml:space="preserve">Number immunised </w:t>
            </w:r>
          </w:p>
        </w:tc>
        <w:tc>
          <w:tcPr>
            <w:tcW w:w="1417" w:type="dxa"/>
            <w:vAlign w:val="center"/>
          </w:tcPr>
          <w:p w14:paraId="4399D0F9" w14:textId="15E1BEF4"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1: </w:t>
            </w:r>
            <w:r w:rsidR="000641E5" w:rsidRPr="000641E5">
              <w:rPr>
                <w:rFonts w:ascii="Arial Narrow" w:eastAsiaTheme="majorEastAsia" w:hAnsi="Arial Narrow" w:cstheme="majorBidi"/>
                <w:bCs/>
                <w:color w:val="000000"/>
                <w:spacing w:val="52"/>
                <w:sz w:val="20"/>
                <w:shd w:val="solid" w:color="000000" w:fill="000000"/>
                <w:fitText w:val="327" w:id="-662982398"/>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8"/>
                <w14:textFill>
                  <w14:solidFill>
                    <w14:srgbClr w14:val="000000">
                      <w14:alpha w14:val="100000"/>
                    </w14:srgbClr>
                  </w14:solidFill>
                </w14:textFill>
              </w:rPr>
              <w:t>|</w:t>
            </w:r>
            <w:r w:rsidR="00EB5C46">
              <w:rPr>
                <w:rFonts w:ascii="Arial Narrow" w:eastAsiaTheme="majorEastAsia" w:hAnsi="Arial Narrow" w:cstheme="majorBidi"/>
                <w:bCs/>
                <w:sz w:val="20"/>
              </w:rPr>
              <w:t xml:space="preserve"> </w:t>
            </w:r>
            <w:r w:rsidR="00EB5C46">
              <w:rPr>
                <w:rFonts w:ascii="Arial Narrow" w:eastAsiaTheme="majorEastAsia" w:hAnsi="Arial Narrow" w:cstheme="majorBidi"/>
                <w:bCs/>
                <w:sz w:val="20"/>
                <w:vertAlign w:val="superscript"/>
              </w:rPr>
              <w:t>2</w:t>
            </w:r>
          </w:p>
          <w:p w14:paraId="7EF2B6EC" w14:textId="5D5128E7"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2: </w:t>
            </w:r>
            <w:r w:rsidR="000641E5" w:rsidRPr="000641E5">
              <w:rPr>
                <w:rFonts w:ascii="Arial Narrow" w:eastAsiaTheme="majorEastAsia" w:hAnsi="Arial Narrow" w:cstheme="majorBidi"/>
                <w:bCs/>
                <w:color w:val="000000"/>
                <w:spacing w:val="52"/>
                <w:sz w:val="20"/>
                <w:shd w:val="solid" w:color="000000" w:fill="000000"/>
                <w:fitText w:val="327" w:id="-662982397"/>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7"/>
                <w14:textFill>
                  <w14:solidFill>
                    <w14:srgbClr w14:val="000000">
                      <w14:alpha w14:val="100000"/>
                    </w14:srgbClr>
                  </w14:solidFill>
                </w14:textFill>
              </w:rPr>
              <w:t>|</w:t>
            </w:r>
            <w:r w:rsidR="005419B0">
              <w:rPr>
                <w:rFonts w:ascii="Arial Narrow" w:eastAsiaTheme="majorEastAsia" w:hAnsi="Arial Narrow" w:cstheme="majorBidi"/>
                <w:bCs/>
                <w:sz w:val="20"/>
              </w:rPr>
              <w:t xml:space="preserve"> </w:t>
            </w:r>
            <w:r w:rsidR="005419B0">
              <w:rPr>
                <w:rFonts w:ascii="Arial Narrow" w:eastAsiaTheme="majorEastAsia" w:hAnsi="Arial Narrow" w:cstheme="majorBidi"/>
                <w:bCs/>
                <w:sz w:val="20"/>
                <w:vertAlign w:val="superscript"/>
              </w:rPr>
              <w:t>2</w:t>
            </w:r>
          </w:p>
          <w:p w14:paraId="40606D1A" w14:textId="3EC30501"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3: </w:t>
            </w:r>
            <w:r w:rsidR="000641E5" w:rsidRPr="000641E5">
              <w:rPr>
                <w:rFonts w:ascii="Arial Narrow" w:eastAsiaTheme="majorEastAsia" w:hAnsi="Arial Narrow" w:cstheme="majorBidi"/>
                <w:bCs/>
                <w:color w:val="000000"/>
                <w:spacing w:val="52"/>
                <w:sz w:val="20"/>
                <w:shd w:val="solid" w:color="000000" w:fill="000000"/>
                <w:fitText w:val="327" w:id="-662982396"/>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6"/>
                <w14:textFill>
                  <w14:solidFill>
                    <w14:srgbClr w14:val="000000">
                      <w14:alpha w14:val="100000"/>
                    </w14:srgbClr>
                  </w14:solidFill>
                </w14:textFill>
              </w:rPr>
              <w:t>|</w:t>
            </w:r>
            <w:r w:rsidR="005419B0">
              <w:rPr>
                <w:rFonts w:ascii="Arial Narrow" w:eastAsiaTheme="majorEastAsia" w:hAnsi="Arial Narrow" w:cstheme="majorBidi"/>
                <w:bCs/>
                <w:sz w:val="20"/>
              </w:rPr>
              <w:t xml:space="preserve"> </w:t>
            </w:r>
            <w:r w:rsidR="005419B0">
              <w:rPr>
                <w:rFonts w:ascii="Arial Narrow" w:eastAsiaTheme="majorEastAsia" w:hAnsi="Arial Narrow" w:cstheme="majorBidi"/>
                <w:bCs/>
                <w:sz w:val="20"/>
                <w:vertAlign w:val="superscript"/>
              </w:rPr>
              <w:t>2</w:t>
            </w:r>
          </w:p>
          <w:p w14:paraId="4E46518A" w14:textId="687669BF"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4: </w:t>
            </w:r>
            <w:r w:rsidR="000641E5" w:rsidRPr="000641E5">
              <w:rPr>
                <w:rFonts w:ascii="Arial Narrow" w:eastAsiaTheme="majorEastAsia" w:hAnsi="Arial Narrow" w:cstheme="majorBidi"/>
                <w:bCs/>
                <w:color w:val="000000"/>
                <w:spacing w:val="52"/>
                <w:sz w:val="20"/>
                <w:shd w:val="solid" w:color="000000" w:fill="000000"/>
                <w:fitText w:val="327" w:id="-662982395"/>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5"/>
                <w14:textFill>
                  <w14:solidFill>
                    <w14:srgbClr w14:val="000000">
                      <w14:alpha w14:val="100000"/>
                    </w14:srgbClr>
                  </w14:solidFill>
                </w14:textFill>
              </w:rPr>
              <w:t>|</w:t>
            </w:r>
            <w:r w:rsidR="005419B0">
              <w:rPr>
                <w:rFonts w:ascii="Arial Narrow" w:eastAsiaTheme="majorEastAsia" w:hAnsi="Arial Narrow" w:cstheme="majorBidi"/>
                <w:bCs/>
                <w:sz w:val="20"/>
              </w:rPr>
              <w:t xml:space="preserve"> </w:t>
            </w:r>
            <w:r w:rsidR="005419B0">
              <w:rPr>
                <w:rFonts w:ascii="Arial Narrow" w:eastAsiaTheme="majorEastAsia" w:hAnsi="Arial Narrow" w:cstheme="majorBidi"/>
                <w:bCs/>
                <w:sz w:val="20"/>
                <w:vertAlign w:val="superscript"/>
              </w:rPr>
              <w:t>2</w:t>
            </w:r>
          </w:p>
          <w:p w14:paraId="7AB305D4" w14:textId="483DCE56"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5: </w:t>
            </w:r>
            <w:r w:rsidR="000641E5" w:rsidRPr="000641E5">
              <w:rPr>
                <w:rFonts w:ascii="Arial Narrow" w:eastAsiaTheme="majorEastAsia" w:hAnsi="Arial Narrow" w:cstheme="majorBidi"/>
                <w:bCs/>
                <w:color w:val="000000"/>
                <w:spacing w:val="52"/>
                <w:sz w:val="20"/>
                <w:shd w:val="solid" w:color="000000" w:fill="000000"/>
                <w:fitText w:val="327" w:id="-662982394"/>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4"/>
                <w14:textFill>
                  <w14:solidFill>
                    <w14:srgbClr w14:val="000000">
                      <w14:alpha w14:val="100000"/>
                    </w14:srgbClr>
                  </w14:solidFill>
                </w14:textFill>
              </w:rPr>
              <w:t>|</w:t>
            </w:r>
            <w:r w:rsidR="005419B0">
              <w:rPr>
                <w:rFonts w:ascii="Arial Narrow" w:eastAsiaTheme="majorEastAsia" w:hAnsi="Arial Narrow" w:cstheme="majorBidi"/>
                <w:bCs/>
                <w:sz w:val="20"/>
              </w:rPr>
              <w:t xml:space="preserve"> </w:t>
            </w:r>
            <w:r w:rsidR="005419B0">
              <w:rPr>
                <w:rFonts w:ascii="Arial Narrow" w:eastAsiaTheme="majorEastAsia" w:hAnsi="Arial Narrow" w:cstheme="majorBidi"/>
                <w:bCs/>
                <w:sz w:val="20"/>
                <w:vertAlign w:val="superscript"/>
              </w:rPr>
              <w:t>2</w:t>
            </w:r>
          </w:p>
          <w:p w14:paraId="40F38908" w14:textId="07967F20"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Yr 6: </w:t>
            </w:r>
            <w:r w:rsidR="000641E5" w:rsidRPr="000641E5">
              <w:rPr>
                <w:rFonts w:ascii="Arial Narrow" w:eastAsiaTheme="majorEastAsia" w:hAnsi="Arial Narrow" w:cstheme="majorBidi"/>
                <w:bCs/>
                <w:color w:val="000000"/>
                <w:spacing w:val="52"/>
                <w:sz w:val="20"/>
                <w:shd w:val="solid" w:color="000000" w:fill="000000"/>
                <w:fitText w:val="327" w:id="-662982393"/>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3"/>
                <w14:textFill>
                  <w14:solidFill>
                    <w14:srgbClr w14:val="000000">
                      <w14:alpha w14:val="100000"/>
                    </w14:srgbClr>
                  </w14:solidFill>
                </w14:textFill>
              </w:rPr>
              <w:t>|</w:t>
            </w:r>
            <w:r w:rsidR="005419B0">
              <w:rPr>
                <w:rFonts w:ascii="Arial Narrow" w:eastAsiaTheme="majorEastAsia" w:hAnsi="Arial Narrow" w:cstheme="majorBidi"/>
                <w:bCs/>
                <w:sz w:val="20"/>
              </w:rPr>
              <w:t xml:space="preserve"> </w:t>
            </w:r>
            <w:r w:rsidR="005419B0">
              <w:rPr>
                <w:rFonts w:ascii="Arial Narrow" w:eastAsiaTheme="majorEastAsia" w:hAnsi="Arial Narrow" w:cstheme="majorBidi"/>
                <w:bCs/>
                <w:sz w:val="20"/>
                <w:vertAlign w:val="superscript"/>
              </w:rPr>
              <w:t>2</w:t>
            </w:r>
          </w:p>
        </w:tc>
        <w:tc>
          <w:tcPr>
            <w:tcW w:w="2410" w:type="dxa"/>
            <w:vAlign w:val="center"/>
          </w:tcPr>
          <w:p w14:paraId="59DCCADA"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Estimated by multiplying the number of incident individuals with the percentage of births with a gestational age of less than 36 weeks and the uptake rate</w:t>
            </w:r>
          </w:p>
        </w:tc>
        <w:tc>
          <w:tcPr>
            <w:tcW w:w="3940" w:type="dxa"/>
            <w:vAlign w:val="center"/>
          </w:tcPr>
          <w:p w14:paraId="065EE9F6" w14:textId="2708182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The </w:t>
            </w:r>
            <w:r w:rsidR="00C96A78" w:rsidRPr="00EC57FB">
              <w:rPr>
                <w:rFonts w:ascii="Arial Narrow" w:eastAsiaTheme="majorEastAsia" w:hAnsi="Arial Narrow" w:cstheme="majorBidi"/>
                <w:bCs/>
                <w:sz w:val="20"/>
              </w:rPr>
              <w:t xml:space="preserve">prior </w:t>
            </w:r>
            <w:r w:rsidRPr="00EC57FB">
              <w:rPr>
                <w:rFonts w:ascii="Arial Narrow" w:eastAsiaTheme="majorEastAsia" w:hAnsi="Arial Narrow" w:cstheme="majorBidi"/>
                <w:bCs/>
                <w:sz w:val="20"/>
              </w:rPr>
              <w:t>DUSC</w:t>
            </w:r>
            <w:r w:rsidR="00C96A78" w:rsidRPr="00EC57FB">
              <w:rPr>
                <w:rFonts w:ascii="Arial Narrow" w:eastAsiaTheme="majorEastAsia" w:hAnsi="Arial Narrow" w:cstheme="majorBidi"/>
                <w:bCs/>
                <w:sz w:val="20"/>
              </w:rPr>
              <w:t xml:space="preserve"> advice</w:t>
            </w:r>
            <w:r w:rsidRPr="00EC57FB">
              <w:rPr>
                <w:rFonts w:ascii="Arial Narrow" w:eastAsiaTheme="majorEastAsia" w:hAnsi="Arial Narrow" w:cstheme="majorBidi"/>
                <w:bCs/>
                <w:sz w:val="20"/>
              </w:rPr>
              <w:t xml:space="preserve"> considered that this was an underestimate of the proposed population, given that it did not explicitly account for infants with congenital heart disease and Indigenous children.</w:t>
            </w:r>
            <w:r w:rsidR="00577C66">
              <w:rPr>
                <w:rFonts w:ascii="Arial Narrow" w:eastAsiaTheme="majorEastAsia" w:hAnsi="Arial Narrow" w:cstheme="majorBidi"/>
                <w:bCs/>
                <w:sz w:val="20"/>
              </w:rPr>
              <w:t xml:space="preserve"> </w:t>
            </w:r>
          </w:p>
        </w:tc>
      </w:tr>
      <w:tr w:rsidR="00CF6373" w:rsidRPr="00EC57FB" w14:paraId="7391FEAF" w14:textId="77777777">
        <w:tc>
          <w:tcPr>
            <w:tcW w:w="9180" w:type="dxa"/>
            <w:gridSpan w:val="4"/>
            <w:vAlign w:val="center"/>
          </w:tcPr>
          <w:p w14:paraId="405AB9AD" w14:textId="77777777" w:rsidR="00CF6373" w:rsidRPr="00EC57FB" w:rsidRDefault="00CF6373">
            <w:pPr>
              <w:jc w:val="left"/>
              <w:rPr>
                <w:rFonts w:ascii="Arial Narrow" w:eastAsiaTheme="majorEastAsia" w:hAnsi="Arial Narrow" w:cstheme="majorBidi"/>
                <w:b/>
                <w:bCs/>
                <w:sz w:val="20"/>
              </w:rPr>
            </w:pPr>
            <w:r w:rsidRPr="00EC57FB">
              <w:rPr>
                <w:rFonts w:ascii="Arial Narrow" w:eastAsiaTheme="majorEastAsia" w:hAnsi="Arial Narrow" w:cstheme="majorBidi"/>
                <w:b/>
                <w:bCs/>
                <w:sz w:val="20"/>
              </w:rPr>
              <w:t>Costs</w:t>
            </w:r>
          </w:p>
        </w:tc>
      </w:tr>
      <w:tr w:rsidR="00CF6373" w:rsidRPr="00EC57FB" w14:paraId="43C207A7" w14:textId="77777777" w:rsidTr="002F3C04">
        <w:tc>
          <w:tcPr>
            <w:tcW w:w="1413" w:type="dxa"/>
            <w:vAlign w:val="center"/>
          </w:tcPr>
          <w:p w14:paraId="42E47270"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Nirsevimab</w:t>
            </w:r>
          </w:p>
          <w:p w14:paraId="51071E0F"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50 mg </w:t>
            </w:r>
          </w:p>
          <w:p w14:paraId="19190A75"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 xml:space="preserve">100 mg </w:t>
            </w:r>
          </w:p>
          <w:p w14:paraId="70B2D848" w14:textId="77777777" w:rsidR="00CF6373" w:rsidRPr="00EC57FB" w:rsidRDefault="00CF6373">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200 mg</w:t>
            </w:r>
          </w:p>
        </w:tc>
        <w:tc>
          <w:tcPr>
            <w:tcW w:w="1417" w:type="dxa"/>
            <w:vAlign w:val="center"/>
          </w:tcPr>
          <w:p w14:paraId="182041B0" w14:textId="77777777" w:rsidR="00CF6373" w:rsidRPr="00EC57FB" w:rsidRDefault="00CF6373" w:rsidP="006A48E9">
            <w:pPr>
              <w:jc w:val="center"/>
              <w:rPr>
                <w:rFonts w:ascii="Arial Narrow" w:eastAsiaTheme="majorEastAsia" w:hAnsi="Arial Narrow" w:cstheme="majorBidi"/>
                <w:bCs/>
                <w:sz w:val="20"/>
              </w:rPr>
            </w:pPr>
          </w:p>
          <w:p w14:paraId="2884B669" w14:textId="3AAFEAE0"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w:t>
            </w:r>
            <w:r w:rsidR="000641E5" w:rsidRPr="000641E5">
              <w:rPr>
                <w:rFonts w:ascii="Arial Narrow" w:eastAsiaTheme="majorEastAsia" w:hAnsi="Arial Narrow" w:cstheme="majorBidi"/>
                <w:bCs/>
                <w:color w:val="000000"/>
                <w:spacing w:val="52"/>
                <w:sz w:val="20"/>
                <w:shd w:val="solid" w:color="000000" w:fill="000000"/>
                <w:fitText w:val="327" w:id="-662982392"/>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2"/>
                <w14:textFill>
                  <w14:solidFill>
                    <w14:srgbClr w14:val="000000">
                      <w14:alpha w14:val="100000"/>
                    </w14:srgbClr>
                  </w14:solidFill>
                </w14:textFill>
              </w:rPr>
              <w:t>|</w:t>
            </w:r>
          </w:p>
          <w:p w14:paraId="065699D6" w14:textId="4FB65D70"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w:t>
            </w:r>
            <w:r w:rsidR="000641E5" w:rsidRPr="000641E5">
              <w:rPr>
                <w:rFonts w:ascii="Arial Narrow" w:eastAsiaTheme="majorEastAsia" w:hAnsi="Arial Narrow" w:cstheme="majorBidi"/>
                <w:bCs/>
                <w:color w:val="000000"/>
                <w:spacing w:val="52"/>
                <w:sz w:val="20"/>
                <w:shd w:val="solid" w:color="000000" w:fill="000000"/>
                <w:fitText w:val="327" w:id="-662982391"/>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1"/>
                <w14:textFill>
                  <w14:solidFill>
                    <w14:srgbClr w14:val="000000">
                      <w14:alpha w14:val="100000"/>
                    </w14:srgbClr>
                  </w14:solidFill>
                </w14:textFill>
              </w:rPr>
              <w:t>|</w:t>
            </w:r>
          </w:p>
          <w:p w14:paraId="4358695B" w14:textId="2FEE14B9" w:rsidR="00CF6373" w:rsidRPr="00EC57FB" w:rsidRDefault="00CF6373" w:rsidP="006A48E9">
            <w:pPr>
              <w:jc w:val="center"/>
              <w:rPr>
                <w:rFonts w:ascii="Arial Narrow" w:eastAsiaTheme="majorEastAsia" w:hAnsi="Arial Narrow" w:cstheme="majorBidi"/>
                <w:bCs/>
                <w:sz w:val="20"/>
              </w:rPr>
            </w:pPr>
            <w:r w:rsidRPr="00EC57FB">
              <w:rPr>
                <w:rFonts w:ascii="Arial Narrow" w:eastAsiaTheme="majorEastAsia" w:hAnsi="Arial Narrow" w:cstheme="majorBidi"/>
                <w:bCs/>
                <w:sz w:val="20"/>
              </w:rPr>
              <w:t>$</w:t>
            </w:r>
            <w:r w:rsidR="000641E5" w:rsidRPr="000641E5">
              <w:rPr>
                <w:rFonts w:ascii="Arial Narrow" w:eastAsiaTheme="majorEastAsia" w:hAnsi="Arial Narrow" w:cstheme="majorBidi"/>
                <w:bCs/>
                <w:color w:val="000000"/>
                <w:spacing w:val="52"/>
                <w:sz w:val="20"/>
                <w:shd w:val="solid" w:color="000000" w:fill="000000"/>
                <w:fitText w:val="327" w:id="-662982390"/>
                <w14:textFill>
                  <w14:solidFill>
                    <w14:srgbClr w14:val="000000">
                      <w14:alpha w14:val="100000"/>
                    </w14:srgbClr>
                  </w14:solidFill>
                </w14:textFill>
              </w:rPr>
              <w:t>|||</w:t>
            </w:r>
            <w:r w:rsidR="000641E5" w:rsidRPr="000641E5">
              <w:rPr>
                <w:rFonts w:ascii="Arial Narrow" w:eastAsiaTheme="majorEastAsia" w:hAnsi="Arial Narrow" w:cstheme="majorBidi"/>
                <w:bCs/>
                <w:color w:val="000000"/>
                <w:spacing w:val="1"/>
                <w:sz w:val="20"/>
                <w:shd w:val="solid" w:color="000000" w:fill="000000"/>
                <w:fitText w:val="327" w:id="-662982390"/>
                <w14:textFill>
                  <w14:solidFill>
                    <w14:srgbClr w14:val="000000">
                      <w14:alpha w14:val="100000"/>
                    </w14:srgbClr>
                  </w14:solidFill>
                </w14:textFill>
              </w:rPr>
              <w:t>|</w:t>
            </w:r>
          </w:p>
        </w:tc>
        <w:tc>
          <w:tcPr>
            <w:tcW w:w="2410" w:type="dxa"/>
            <w:vAlign w:val="center"/>
          </w:tcPr>
          <w:p w14:paraId="31CE8DE5" w14:textId="0EA070A3" w:rsidR="00CF6373" w:rsidRPr="00EC57FB" w:rsidRDefault="00DF78FB">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Proposed ex-manufacturer price</w:t>
            </w:r>
          </w:p>
        </w:tc>
        <w:tc>
          <w:tcPr>
            <w:tcW w:w="3940" w:type="dxa"/>
            <w:vAlign w:val="center"/>
          </w:tcPr>
          <w:p w14:paraId="5C2648C1" w14:textId="62E3839F" w:rsidR="00CF6373" w:rsidRPr="00EC57FB" w:rsidRDefault="008A1138">
            <w:pPr>
              <w:jc w:val="left"/>
              <w:rPr>
                <w:rFonts w:ascii="Arial Narrow" w:eastAsiaTheme="majorEastAsia" w:hAnsi="Arial Narrow" w:cstheme="majorBidi"/>
                <w:bCs/>
                <w:sz w:val="20"/>
              </w:rPr>
            </w:pPr>
            <w:r w:rsidRPr="00EC57FB">
              <w:rPr>
                <w:rFonts w:ascii="Arial Narrow" w:eastAsiaTheme="majorEastAsia" w:hAnsi="Arial Narrow" w:cstheme="majorBidi"/>
                <w:bCs/>
                <w:sz w:val="20"/>
              </w:rPr>
              <w:t>Wholesaler and pharmacy mark-ups and dispensing fees are not included in the base case analyses.</w:t>
            </w:r>
          </w:p>
        </w:tc>
      </w:tr>
    </w:tbl>
    <w:p w14:paraId="25D3D673" w14:textId="77777777" w:rsidR="00CF6373" w:rsidRPr="00EC57FB" w:rsidRDefault="00CF6373" w:rsidP="00CF6373">
      <w:pPr>
        <w:spacing w:after="120"/>
        <w:contextualSpacing/>
        <w:rPr>
          <w:rFonts w:ascii="Arial Narrow" w:hAnsi="Arial Narrow"/>
          <w:snapToGrid w:val="0"/>
          <w:sz w:val="18"/>
          <w:szCs w:val="22"/>
        </w:rPr>
      </w:pPr>
      <w:r w:rsidRPr="00EC57FB">
        <w:rPr>
          <w:rFonts w:ascii="Arial Narrow" w:hAnsi="Arial Narrow"/>
          <w:snapToGrid w:val="0"/>
          <w:sz w:val="18"/>
          <w:szCs w:val="22"/>
        </w:rPr>
        <w:t>Source: tabulated from Table 4.2.3, page 208 of the submission.</w:t>
      </w:r>
    </w:p>
    <w:p w14:paraId="34DAA5EE" w14:textId="21FF32FD" w:rsidR="00AD183C" w:rsidRDefault="00CF6373" w:rsidP="00DD25FE">
      <w:pPr>
        <w:spacing w:after="120"/>
        <w:contextualSpacing/>
        <w:rPr>
          <w:rFonts w:ascii="Arial Narrow" w:hAnsi="Arial Narrow"/>
          <w:snapToGrid w:val="0"/>
          <w:sz w:val="18"/>
          <w:szCs w:val="22"/>
        </w:rPr>
      </w:pPr>
      <w:r w:rsidRPr="00EC57FB">
        <w:rPr>
          <w:rFonts w:ascii="Arial Narrow" w:hAnsi="Arial Narrow"/>
          <w:snapToGrid w:val="0"/>
          <w:sz w:val="18"/>
          <w:szCs w:val="22"/>
        </w:rPr>
        <w:t>ABS = Australian Bureau of Statistics;</w:t>
      </w:r>
      <w:r w:rsidR="00577C66">
        <w:rPr>
          <w:rFonts w:ascii="Arial Narrow" w:hAnsi="Arial Narrow"/>
          <w:snapToGrid w:val="0"/>
          <w:sz w:val="18"/>
          <w:szCs w:val="22"/>
        </w:rPr>
        <w:t xml:space="preserve"> </w:t>
      </w:r>
      <w:r w:rsidRPr="00EC57FB">
        <w:rPr>
          <w:rFonts w:ascii="Arial Narrow" w:hAnsi="Arial Narrow"/>
          <w:snapToGrid w:val="0"/>
          <w:sz w:val="18"/>
          <w:szCs w:val="22"/>
        </w:rPr>
        <w:t>DPMQ = dispensed price for maximum quantity; GP = general practitioner; MBS = Medicare Benefits Sche</w:t>
      </w:r>
      <w:r w:rsidR="00B74696" w:rsidRPr="00EC57FB">
        <w:rPr>
          <w:rFonts w:ascii="Arial Narrow" w:hAnsi="Arial Narrow"/>
          <w:snapToGrid w:val="0"/>
          <w:sz w:val="18"/>
          <w:szCs w:val="22"/>
        </w:rPr>
        <w:t>dule</w:t>
      </w:r>
      <w:r w:rsidRPr="00EC57FB">
        <w:rPr>
          <w:rFonts w:ascii="Arial Narrow" w:hAnsi="Arial Narrow"/>
          <w:snapToGrid w:val="0"/>
          <w:sz w:val="18"/>
          <w:szCs w:val="22"/>
        </w:rPr>
        <w:t>; NIP = national immunisation program; NP = nurse practitioner; PBS = pharmaceutical benefits schedule</w:t>
      </w:r>
      <w:r w:rsidR="00AD183C">
        <w:rPr>
          <w:rFonts w:ascii="Arial Narrow" w:hAnsi="Arial Narrow"/>
          <w:snapToGrid w:val="0"/>
          <w:sz w:val="18"/>
          <w:szCs w:val="22"/>
        </w:rPr>
        <w:t>.</w:t>
      </w:r>
    </w:p>
    <w:p w14:paraId="441F7AD3" w14:textId="77777777" w:rsidR="00AD183C" w:rsidRPr="009A6D58" w:rsidRDefault="00AD183C" w:rsidP="00AD183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6B7D309" w14:textId="590C8AF1" w:rsidR="00AD183C" w:rsidRPr="009A6D58" w:rsidRDefault="00AD183C" w:rsidP="00AD183C">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6D020A" w:rsidRPr="006D020A">
        <w:rPr>
          <w:rFonts w:ascii="Arial Narrow" w:hAnsi="Arial Narrow"/>
          <w:i/>
          <w:sz w:val="18"/>
          <w:szCs w:val="18"/>
        </w:rPr>
        <w:t>200,000 to &lt; 300,000</w:t>
      </w:r>
    </w:p>
    <w:p w14:paraId="78ABB565" w14:textId="3495CE37" w:rsidR="007C3365" w:rsidRPr="00AD183C" w:rsidRDefault="00AD183C" w:rsidP="00AD183C">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7B01ED" w:rsidRPr="007B01ED">
        <w:rPr>
          <w:rFonts w:ascii="Arial Narrow" w:hAnsi="Arial Narrow"/>
          <w:i/>
          <w:sz w:val="18"/>
          <w:szCs w:val="18"/>
        </w:rPr>
        <w:t>20,000 to &lt; 30,000</w:t>
      </w:r>
    </w:p>
    <w:bookmarkStart w:id="152" w:name="_Ref195717898"/>
    <w:bookmarkStart w:id="153" w:name="_Ref199406836"/>
    <w:p w14:paraId="238747C8" w14:textId="17CD7823" w:rsidR="000B3C29" w:rsidRPr="00EC57FB" w:rsidRDefault="00E16AD8" w:rsidP="00DC4191">
      <w:pPr>
        <w:pStyle w:val="3-BodyText"/>
      </w:pPr>
      <w:r w:rsidRPr="00EC57FB">
        <w:fldChar w:fldCharType="begin"/>
      </w:r>
      <w:r w:rsidRPr="00EC57FB">
        <w:instrText xml:space="preserve"> REF _Ref104805295 \h  \* MERGEFORMAT </w:instrText>
      </w:r>
      <w:r w:rsidRPr="00EC57FB">
        <w:fldChar w:fldCharType="separate"/>
      </w:r>
      <w:r w:rsidR="00502C25" w:rsidRPr="00EC57FB">
        <w:t xml:space="preserve">Table </w:t>
      </w:r>
      <w:r w:rsidR="00502C25">
        <w:t>32</w:t>
      </w:r>
      <w:r w:rsidRPr="00EC57FB">
        <w:fldChar w:fldCharType="end"/>
      </w:r>
      <w:r w:rsidR="00C72A48" w:rsidRPr="00EC57FB">
        <w:t xml:space="preserve"> summarises the resubmission’s estimates of ext</w:t>
      </w:r>
      <w:r w:rsidR="003F0F76" w:rsidRPr="00EC57FB">
        <w:t xml:space="preserve">ent of use of nirsevimab and </w:t>
      </w:r>
      <w:r w:rsidR="00FB00F9" w:rsidRPr="00EC57FB">
        <w:t>the associated</w:t>
      </w:r>
      <w:r w:rsidR="000C732B" w:rsidRPr="00EC57FB">
        <w:t xml:space="preserve"> </w:t>
      </w:r>
      <w:r w:rsidR="00D4652E" w:rsidRPr="00EC57FB">
        <w:t>finan</w:t>
      </w:r>
      <w:r w:rsidR="000139A5" w:rsidRPr="00EC57FB">
        <w:t>cial implications.</w:t>
      </w:r>
      <w:r w:rsidR="00612F90" w:rsidRPr="00EC57FB">
        <w:t xml:space="preserve"> The resubmission’s estimates of infants using nirsevimab in Season 1 is likely overestimated given that </w:t>
      </w:r>
      <w:r w:rsidR="0051524E" w:rsidRPr="00EC57FB">
        <w:t>the uptake rate assumed (</w:t>
      </w:r>
      <w:r w:rsidR="000641E5" w:rsidRPr="000641E5">
        <w:rPr>
          <w:color w:val="000000"/>
          <w:w w:val="61"/>
          <w:shd w:val="solid" w:color="000000" w:fill="000000"/>
          <w:fitText w:val="471" w:id="-662982389"/>
          <w14:textFill>
            <w14:solidFill>
              <w14:srgbClr w14:val="000000">
                <w14:alpha w14:val="100000"/>
              </w14:srgbClr>
            </w14:solidFill>
          </w14:textFill>
        </w:rPr>
        <w:t>|||  ||</w:t>
      </w:r>
      <w:r w:rsidR="000641E5" w:rsidRPr="000641E5">
        <w:rPr>
          <w:color w:val="000000"/>
          <w:spacing w:val="1"/>
          <w:w w:val="61"/>
          <w:shd w:val="solid" w:color="000000" w:fill="000000"/>
          <w:fitText w:val="471" w:id="-662982389"/>
          <w14:textFill>
            <w14:solidFill>
              <w14:srgbClr w14:val="000000">
                <w14:alpha w14:val="100000"/>
              </w14:srgbClr>
            </w14:solidFill>
          </w14:textFill>
        </w:rPr>
        <w:t>|</w:t>
      </w:r>
      <w:r w:rsidR="0051524E" w:rsidRPr="00EC57FB">
        <w:t xml:space="preserve">%) doesn’t factor that </w:t>
      </w:r>
      <w:r w:rsidR="009C76C5" w:rsidRPr="00EC57FB">
        <w:t>many</w:t>
      </w:r>
      <w:r w:rsidR="0051524E" w:rsidRPr="00EC57FB">
        <w:t xml:space="preserve"> infants </w:t>
      </w:r>
      <w:r w:rsidR="009C76C5" w:rsidRPr="00EC57FB">
        <w:t>will</w:t>
      </w:r>
      <w:r w:rsidR="0051524E" w:rsidRPr="00EC57FB">
        <w:t xml:space="preserve"> not</w:t>
      </w:r>
      <w:r w:rsidR="002874F3" w:rsidRPr="00EC57FB">
        <w:t xml:space="preserve"> </w:t>
      </w:r>
      <w:r w:rsidR="0051524E" w:rsidRPr="00EC57FB">
        <w:t>be eligible for nirsevimab if the</w:t>
      </w:r>
      <w:r w:rsidR="002874F3" w:rsidRPr="00EC57FB">
        <w:t xml:space="preserve"> infant’s mother received </w:t>
      </w:r>
      <w:r w:rsidR="00485EA7" w:rsidRPr="00EC57FB">
        <w:t>RSVpreF</w:t>
      </w:r>
      <w:r w:rsidR="002874F3" w:rsidRPr="00EC57FB">
        <w:t>.</w:t>
      </w:r>
      <w:r w:rsidR="000B3C29" w:rsidRPr="00EC57FB">
        <w:t xml:space="preserve"> </w:t>
      </w:r>
      <w:r w:rsidR="000B3C29" w:rsidRPr="00EC57FB">
        <w:rPr>
          <w:iCs/>
        </w:rPr>
        <w:t xml:space="preserve">The PSCR provided revised estimates as shown in </w:t>
      </w:r>
      <w:r w:rsidR="000B3C29" w:rsidRPr="00EC57FB">
        <w:rPr>
          <w:iCs/>
        </w:rPr>
        <w:fldChar w:fldCharType="begin"/>
      </w:r>
      <w:r w:rsidR="000B3C29" w:rsidRPr="00EC57FB">
        <w:rPr>
          <w:iCs/>
        </w:rPr>
        <w:instrText xml:space="preserve"> REF _Ref104805295 \h  \* MERGEFORMAT </w:instrText>
      </w:r>
      <w:r w:rsidR="000B3C29" w:rsidRPr="00EC57FB">
        <w:rPr>
          <w:iCs/>
        </w:rPr>
      </w:r>
      <w:r w:rsidR="000B3C29" w:rsidRPr="00EC57FB">
        <w:rPr>
          <w:iCs/>
        </w:rPr>
        <w:fldChar w:fldCharType="separate"/>
      </w:r>
      <w:r w:rsidR="00502C25" w:rsidRPr="00502C25">
        <w:rPr>
          <w:iCs/>
        </w:rPr>
        <w:t>Table 32</w:t>
      </w:r>
      <w:r w:rsidR="000B3C29" w:rsidRPr="00EC57FB">
        <w:rPr>
          <w:iCs/>
        </w:rPr>
        <w:fldChar w:fldCharType="end"/>
      </w:r>
      <w:r w:rsidR="000B3C29" w:rsidRPr="00EC57FB">
        <w:rPr>
          <w:iCs/>
        </w:rPr>
        <w:t xml:space="preserve"> assuming revised uptake rates (</w:t>
      </w:r>
      <w:r w:rsidR="000641E5" w:rsidRPr="000641E5">
        <w:rPr>
          <w:rFonts w:cstheme="minorHAnsi"/>
          <w:iCs/>
          <w:color w:val="000000"/>
          <w:w w:val="61"/>
          <w:shd w:val="solid" w:color="000000" w:fill="000000"/>
          <w:fitText w:val="471" w:id="-662982388"/>
          <w14:textFill>
            <w14:solidFill>
              <w14:srgbClr w14:val="000000">
                <w14:alpha w14:val="100000"/>
              </w14:srgbClr>
            </w14:solidFill>
          </w14:textFill>
        </w:rPr>
        <w:t>|||  ||</w:t>
      </w:r>
      <w:r w:rsidR="000641E5" w:rsidRPr="000641E5">
        <w:rPr>
          <w:rFonts w:cstheme="minorHAnsi"/>
          <w:iCs/>
          <w:color w:val="000000"/>
          <w:spacing w:val="1"/>
          <w:w w:val="61"/>
          <w:shd w:val="solid" w:color="000000" w:fill="000000"/>
          <w:fitText w:val="471" w:id="-662982388"/>
          <w14:textFill>
            <w14:solidFill>
              <w14:srgbClr w14:val="000000">
                <w14:alpha w14:val="100000"/>
              </w14:srgbClr>
            </w14:solidFill>
          </w14:textFill>
        </w:rPr>
        <w:t>|</w:t>
      </w:r>
      <w:r w:rsidR="000B3C29" w:rsidRPr="00EC57FB">
        <w:rPr>
          <w:rFonts w:cstheme="minorHAnsi"/>
          <w:iCs/>
        </w:rPr>
        <w:t xml:space="preserve">% in first RSV season compared with </w:t>
      </w:r>
      <w:r w:rsidR="000641E5" w:rsidRPr="000641E5">
        <w:rPr>
          <w:rFonts w:cstheme="minorHAnsi"/>
          <w:iCs/>
          <w:color w:val="000000"/>
          <w:w w:val="61"/>
          <w:shd w:val="solid" w:color="000000" w:fill="000000"/>
          <w:fitText w:val="471" w:id="-662982387"/>
          <w14:textFill>
            <w14:solidFill>
              <w14:srgbClr w14:val="000000">
                <w14:alpha w14:val="100000"/>
              </w14:srgbClr>
            </w14:solidFill>
          </w14:textFill>
        </w:rPr>
        <w:t>|||  ||</w:t>
      </w:r>
      <w:r w:rsidR="000641E5" w:rsidRPr="000641E5">
        <w:rPr>
          <w:rFonts w:cstheme="minorHAnsi"/>
          <w:iCs/>
          <w:color w:val="000000"/>
          <w:spacing w:val="1"/>
          <w:w w:val="61"/>
          <w:shd w:val="solid" w:color="000000" w:fill="000000"/>
          <w:fitText w:val="471" w:id="-662982387"/>
          <w14:textFill>
            <w14:solidFill>
              <w14:srgbClr w14:val="000000">
                <w14:alpha w14:val="100000"/>
              </w14:srgbClr>
            </w14:solidFill>
          </w14:textFill>
        </w:rPr>
        <w:t>|</w:t>
      </w:r>
      <w:r w:rsidR="000B3C29" w:rsidRPr="00EC57FB">
        <w:rPr>
          <w:rFonts w:cstheme="minorHAnsi"/>
          <w:iCs/>
        </w:rPr>
        <w:t xml:space="preserve">% in resubmission; </w:t>
      </w:r>
      <w:r w:rsidR="000641E5" w:rsidRPr="000641E5">
        <w:rPr>
          <w:rFonts w:cstheme="minorHAnsi"/>
          <w:iCs/>
          <w:color w:val="000000"/>
          <w:w w:val="60"/>
          <w:shd w:val="solid" w:color="000000" w:fill="000000"/>
          <w:fitText w:val="470" w:id="-662982386"/>
          <w14:textFill>
            <w14:solidFill>
              <w14:srgbClr w14:val="000000">
                <w14:alpha w14:val="100000"/>
              </w14:srgbClr>
            </w14:solidFill>
          </w14:textFill>
        </w:rPr>
        <w:t>|||  ||</w:t>
      </w:r>
      <w:r w:rsidR="000641E5" w:rsidRPr="000641E5">
        <w:rPr>
          <w:rFonts w:cstheme="minorHAnsi"/>
          <w:iCs/>
          <w:color w:val="000000"/>
          <w:spacing w:val="6"/>
          <w:w w:val="60"/>
          <w:shd w:val="solid" w:color="000000" w:fill="000000"/>
          <w:fitText w:val="470" w:id="-662982386"/>
          <w14:textFill>
            <w14:solidFill>
              <w14:srgbClr w14:val="000000">
                <w14:alpha w14:val="100000"/>
              </w14:srgbClr>
            </w14:solidFill>
          </w14:textFill>
        </w:rPr>
        <w:t>|</w:t>
      </w:r>
      <w:r w:rsidR="000B3C29" w:rsidRPr="00EC57FB">
        <w:rPr>
          <w:rFonts w:cstheme="minorHAnsi"/>
          <w:iCs/>
        </w:rPr>
        <w:t>%</w:t>
      </w:r>
      <w:r w:rsidR="000B3C29" w:rsidRPr="00EC57FB">
        <w:rPr>
          <w:rFonts w:eastAsiaTheme="minorEastAsia" w:cstheme="minorHAnsi"/>
          <w:iCs/>
        </w:rPr>
        <w:t xml:space="preserve"> in second RSV season which was unchanged).</w:t>
      </w:r>
      <w:r w:rsidR="002749E5" w:rsidRPr="00EC57FB">
        <w:rPr>
          <w:rFonts w:eastAsiaTheme="minorEastAsia" w:cstheme="minorHAnsi"/>
          <w:iCs/>
        </w:rPr>
        <w:t xml:space="preserve"> </w:t>
      </w:r>
      <w:r w:rsidR="002749E5" w:rsidRPr="00EC57FB">
        <w:rPr>
          <w:iCs/>
        </w:rPr>
        <w:t>The ESC noted that the uptake of nirsevimab was based on uptake in State programs when only nirsevimab was available. With the inclusion of RSVpreF on the NIP, uptake rates should be adjusted to adequately reflect the extent of use of RSVpreF following its inclusion on the NIP.</w:t>
      </w:r>
      <w:bookmarkEnd w:id="152"/>
      <w:r w:rsidR="00577C66">
        <w:rPr>
          <w:iCs/>
        </w:rPr>
        <w:t xml:space="preserve"> </w:t>
      </w:r>
      <w:r w:rsidR="00B10DAA" w:rsidRPr="00EC57FB">
        <w:rPr>
          <w:iCs/>
        </w:rPr>
        <w:t xml:space="preserve">The pre-PBAC response </w:t>
      </w:r>
      <w:r w:rsidR="008E024F" w:rsidRPr="00EC57FB">
        <w:rPr>
          <w:rFonts w:cstheme="minorHAnsi"/>
        </w:rPr>
        <w:t>stated that the uptake rates presented in the PSCR accounted for the inclusion of RSVpreF on the NIP, and it was assumed</w:t>
      </w:r>
      <w:r w:rsidR="00577C66">
        <w:rPr>
          <w:rFonts w:cstheme="minorHAnsi"/>
        </w:rPr>
        <w:t xml:space="preserve"> </w:t>
      </w:r>
      <w:r w:rsidR="000641E5" w:rsidRPr="000641E5">
        <w:rPr>
          <w:rFonts w:cstheme="minorHAnsi"/>
          <w:color w:val="000000"/>
          <w:w w:val="61"/>
          <w:shd w:val="solid" w:color="000000" w:fill="000000"/>
          <w:fitText w:val="471" w:id="-662982385"/>
          <w14:textFill>
            <w14:solidFill>
              <w14:srgbClr w14:val="000000">
                <w14:alpha w14:val="100000"/>
              </w14:srgbClr>
            </w14:solidFill>
          </w14:textFill>
        </w:rPr>
        <w:t>|||  ||</w:t>
      </w:r>
      <w:r w:rsidR="000641E5" w:rsidRPr="000641E5">
        <w:rPr>
          <w:rFonts w:cstheme="minorHAnsi"/>
          <w:color w:val="000000"/>
          <w:spacing w:val="1"/>
          <w:w w:val="61"/>
          <w:shd w:val="solid" w:color="000000" w:fill="000000"/>
          <w:fitText w:val="471" w:id="-662982385"/>
          <w14:textFill>
            <w14:solidFill>
              <w14:srgbClr w14:val="000000">
                <w14:alpha w14:val="100000"/>
              </w14:srgbClr>
            </w14:solidFill>
          </w14:textFill>
        </w:rPr>
        <w:t>|</w:t>
      </w:r>
      <w:r w:rsidR="008E024F" w:rsidRPr="00EC57FB">
        <w:rPr>
          <w:rFonts w:cstheme="minorHAnsi"/>
        </w:rPr>
        <w:t xml:space="preserve">% of infants are expected to be immunised with nirsevimab and </w:t>
      </w:r>
      <w:r w:rsidR="000641E5" w:rsidRPr="000641E5">
        <w:rPr>
          <w:rFonts w:cstheme="minorHAnsi"/>
          <w:color w:val="000000"/>
          <w:w w:val="61"/>
          <w:shd w:val="solid" w:color="000000" w:fill="000000"/>
          <w:fitText w:val="471" w:id="-662982384"/>
          <w14:textFill>
            <w14:solidFill>
              <w14:srgbClr w14:val="000000">
                <w14:alpha w14:val="100000"/>
              </w14:srgbClr>
            </w14:solidFill>
          </w14:textFill>
        </w:rPr>
        <w:t>|||  ||</w:t>
      </w:r>
      <w:r w:rsidR="000641E5" w:rsidRPr="000641E5">
        <w:rPr>
          <w:rFonts w:cstheme="minorHAnsi"/>
          <w:color w:val="000000"/>
          <w:spacing w:val="1"/>
          <w:w w:val="61"/>
          <w:shd w:val="solid" w:color="000000" w:fill="000000"/>
          <w:fitText w:val="471" w:id="-662982384"/>
          <w14:textFill>
            <w14:solidFill>
              <w14:srgbClr w14:val="000000">
                <w14:alpha w14:val="100000"/>
              </w14:srgbClr>
            </w14:solidFill>
          </w14:textFill>
        </w:rPr>
        <w:t>|</w:t>
      </w:r>
      <w:r w:rsidR="008E024F" w:rsidRPr="00EC57FB">
        <w:rPr>
          <w:rFonts w:cstheme="minorHAnsi"/>
        </w:rPr>
        <w:t xml:space="preserve">% of mothers are expected to receive RSVpreF vaccination, resulting in an overall uptake of </w:t>
      </w:r>
      <w:r w:rsidR="000641E5" w:rsidRPr="000641E5">
        <w:rPr>
          <w:rFonts w:cstheme="minorHAnsi"/>
          <w:color w:val="000000"/>
          <w:w w:val="61"/>
          <w:shd w:val="solid" w:color="000000" w:fill="000000"/>
          <w:fitText w:val="471" w:id="-662982400"/>
          <w14:textFill>
            <w14:solidFill>
              <w14:srgbClr w14:val="000000">
                <w14:alpha w14:val="100000"/>
              </w14:srgbClr>
            </w14:solidFill>
          </w14:textFill>
        </w:rPr>
        <w:t>|||  ||</w:t>
      </w:r>
      <w:r w:rsidR="000641E5" w:rsidRPr="000641E5">
        <w:rPr>
          <w:rFonts w:cstheme="minorHAnsi"/>
          <w:color w:val="000000"/>
          <w:spacing w:val="1"/>
          <w:w w:val="61"/>
          <w:shd w:val="solid" w:color="000000" w:fill="000000"/>
          <w:fitText w:val="471" w:id="-662982400"/>
          <w14:textFill>
            <w14:solidFill>
              <w14:srgbClr w14:val="000000">
                <w14:alpha w14:val="100000"/>
              </w14:srgbClr>
            </w14:solidFill>
          </w14:textFill>
        </w:rPr>
        <w:t>|</w:t>
      </w:r>
      <w:r w:rsidR="008E024F" w:rsidRPr="00EC57FB">
        <w:rPr>
          <w:rFonts w:cstheme="minorHAnsi"/>
        </w:rPr>
        <w:t>% for the combined RSV program.</w:t>
      </w:r>
      <w:r w:rsidR="00577C66">
        <w:rPr>
          <w:rFonts w:cstheme="minorHAnsi"/>
        </w:rPr>
        <w:t xml:space="preserve"> </w:t>
      </w:r>
      <w:r w:rsidR="008E024F" w:rsidRPr="00EC57FB">
        <w:rPr>
          <w:rFonts w:cstheme="minorHAnsi"/>
        </w:rPr>
        <w:t xml:space="preserve">The pre-PBAC response also provided revised estimates which were reduced </w:t>
      </w:r>
      <w:r w:rsidR="00FC490A" w:rsidRPr="00EC57FB">
        <w:rPr>
          <w:rFonts w:cstheme="minorHAnsi"/>
        </w:rPr>
        <w:t xml:space="preserve">for season 2 </w:t>
      </w:r>
      <w:r w:rsidR="008E024F" w:rsidRPr="00EC57FB">
        <w:rPr>
          <w:rFonts w:cstheme="minorHAnsi"/>
        </w:rPr>
        <w:t xml:space="preserve">due to </w:t>
      </w:r>
      <w:r w:rsidR="008E024F" w:rsidRPr="00EC57FB">
        <w:t xml:space="preserve">removal of Aboriginal and Torres Strait Islander children </w:t>
      </w:r>
      <w:r w:rsidR="00FC490A" w:rsidRPr="00EC57FB">
        <w:t>as a separate criterion for</w:t>
      </w:r>
      <w:r w:rsidR="008E024F" w:rsidRPr="00EC57FB">
        <w:t xml:space="preserve"> season 2 (consistent with ATAGI advice that eligibility for this group should be based on medical </w:t>
      </w:r>
      <w:r w:rsidR="00CE5FE8" w:rsidRPr="00EC57FB">
        <w:t>risk factors</w:t>
      </w:r>
      <w:r w:rsidR="00FC490A" w:rsidRPr="00EC57FB">
        <w:t xml:space="preserve"> only</w:t>
      </w:r>
      <w:r w:rsidR="00CE5FE8" w:rsidRPr="00EC57FB">
        <w:t xml:space="preserve"> and it did not support </w:t>
      </w:r>
      <w:r w:rsidR="00CE5FE8" w:rsidRPr="00EC57FB">
        <w:rPr>
          <w:iCs/>
        </w:rPr>
        <w:t xml:space="preserve">additional criteria </w:t>
      </w:r>
      <w:r w:rsidR="00CE5FE8" w:rsidRPr="00EC57FB">
        <w:rPr>
          <w:rFonts w:eastAsia="SimSun"/>
          <w:iCs/>
        </w:rPr>
        <w:t xml:space="preserve">specifically for </w:t>
      </w:r>
      <w:r w:rsidR="00CE5FE8" w:rsidRPr="00EC57FB">
        <w:rPr>
          <w:iCs/>
        </w:rPr>
        <w:t>Aboriginal and Torres Strait Islander infants and children based on current evidence</w:t>
      </w:r>
      <w:r w:rsidR="008E024F" w:rsidRPr="00EC57FB">
        <w:t xml:space="preserve">, paragraph </w:t>
      </w:r>
      <w:r w:rsidR="00CE5FE8" w:rsidRPr="00EC57FB">
        <w:fldChar w:fldCharType="begin"/>
      </w:r>
      <w:r w:rsidR="00CE5FE8" w:rsidRPr="00EC57FB">
        <w:instrText xml:space="preserve"> REF _Ref188226496 \r \h </w:instrText>
      </w:r>
      <w:r w:rsidR="00CE5FE8" w:rsidRPr="00EC57FB">
        <w:fldChar w:fldCharType="separate"/>
      </w:r>
      <w:r w:rsidR="00502C25">
        <w:t>3.5</w:t>
      </w:r>
      <w:r w:rsidR="00CE5FE8" w:rsidRPr="00EC57FB">
        <w:fldChar w:fldCharType="end"/>
      </w:r>
      <w:r w:rsidR="008E024F" w:rsidRPr="00EC57FB">
        <w:t>).</w:t>
      </w:r>
      <w:r w:rsidR="00577C66">
        <w:t xml:space="preserve"> </w:t>
      </w:r>
      <w:r w:rsidR="006453D5" w:rsidRPr="00EC57FB">
        <w:t xml:space="preserve">The revised estimates in the pre-PBAC response indicated that </w:t>
      </w:r>
      <w:r w:rsidR="00893D66" w:rsidRPr="00EC57FB">
        <w:t>2.0% of the age cohort would be classified as high risk infants and be eligible for nirsevimab in season 2.</w:t>
      </w:r>
      <w:bookmarkEnd w:id="153"/>
    </w:p>
    <w:p w14:paraId="38EC053C" w14:textId="282A968F" w:rsidR="00C25D9C" w:rsidRPr="00EC57FB" w:rsidRDefault="00E16AD8" w:rsidP="00597649">
      <w:pPr>
        <w:pStyle w:val="Caption"/>
      </w:pPr>
      <w:bookmarkStart w:id="154" w:name="_Ref104805295"/>
      <w:r w:rsidRPr="00EC57FB">
        <w:lastRenderedPageBreak/>
        <w:t xml:space="preserve">Table </w:t>
      </w:r>
      <w:r w:rsidR="00C51E7C" w:rsidRPr="00EC57FB">
        <w:fldChar w:fldCharType="begin"/>
      </w:r>
      <w:r w:rsidR="00C51E7C" w:rsidRPr="00EC57FB">
        <w:instrText xml:space="preserve"> SEQ Table \* ARABIC </w:instrText>
      </w:r>
      <w:r w:rsidR="00C51E7C" w:rsidRPr="00EC57FB">
        <w:fldChar w:fldCharType="separate"/>
      </w:r>
      <w:r w:rsidR="00502C25">
        <w:rPr>
          <w:noProof/>
        </w:rPr>
        <w:t>32</w:t>
      </w:r>
      <w:r w:rsidR="00C51E7C" w:rsidRPr="00EC57FB">
        <w:fldChar w:fldCharType="end"/>
      </w:r>
      <w:bookmarkEnd w:id="154"/>
      <w:r w:rsidRPr="00EC57FB">
        <w:t>:</w:t>
      </w:r>
      <w:r w:rsidR="002A2F50" w:rsidRPr="00EC57FB">
        <w:rPr>
          <w:rStyle w:val="CommentReference"/>
          <w:b/>
          <w:szCs w:val="24"/>
        </w:rPr>
        <w:t xml:space="preserve"> Estimated use and financial implications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1134"/>
        <w:gridCol w:w="1134"/>
        <w:gridCol w:w="1134"/>
        <w:gridCol w:w="1134"/>
        <w:gridCol w:w="1134"/>
        <w:gridCol w:w="1084"/>
      </w:tblGrid>
      <w:tr w:rsidR="00052949" w:rsidRPr="00EC57FB" w14:paraId="43A2A3A1" w14:textId="77777777" w:rsidTr="001E02B8">
        <w:trPr>
          <w:tblHeader/>
        </w:trPr>
        <w:tc>
          <w:tcPr>
            <w:tcW w:w="2268" w:type="dxa"/>
            <w:vAlign w:val="center"/>
          </w:tcPr>
          <w:p w14:paraId="0A4E41E1" w14:textId="77777777" w:rsidR="00385A9D" w:rsidRPr="00EC57FB" w:rsidRDefault="00385A9D" w:rsidP="00597649">
            <w:pPr>
              <w:pStyle w:val="In-tableHeading"/>
              <w:jc w:val="center"/>
              <w:rPr>
                <w:lang w:val="en-AU"/>
              </w:rPr>
            </w:pPr>
          </w:p>
        </w:tc>
        <w:tc>
          <w:tcPr>
            <w:tcW w:w="1134" w:type="dxa"/>
            <w:vAlign w:val="center"/>
          </w:tcPr>
          <w:p w14:paraId="77420B6F" w14:textId="77777777" w:rsidR="00385A9D" w:rsidRPr="00EC57FB" w:rsidRDefault="00385A9D" w:rsidP="00597649">
            <w:pPr>
              <w:pStyle w:val="In-tableHeading"/>
              <w:jc w:val="center"/>
              <w:rPr>
                <w:lang w:val="en-AU"/>
              </w:rPr>
            </w:pPr>
            <w:r w:rsidRPr="00EC57FB">
              <w:rPr>
                <w:lang w:val="en-AU"/>
              </w:rPr>
              <w:t>Year 1</w:t>
            </w:r>
          </w:p>
        </w:tc>
        <w:tc>
          <w:tcPr>
            <w:tcW w:w="1134" w:type="dxa"/>
            <w:vAlign w:val="center"/>
          </w:tcPr>
          <w:p w14:paraId="3BBD9218" w14:textId="77777777" w:rsidR="00385A9D" w:rsidRPr="00EC57FB" w:rsidRDefault="00385A9D" w:rsidP="00597649">
            <w:pPr>
              <w:pStyle w:val="In-tableHeading"/>
              <w:jc w:val="center"/>
              <w:rPr>
                <w:lang w:val="en-AU"/>
              </w:rPr>
            </w:pPr>
            <w:r w:rsidRPr="00EC57FB">
              <w:rPr>
                <w:lang w:val="en-AU"/>
              </w:rPr>
              <w:t>Year 2</w:t>
            </w:r>
          </w:p>
        </w:tc>
        <w:tc>
          <w:tcPr>
            <w:tcW w:w="1134" w:type="dxa"/>
            <w:vAlign w:val="center"/>
          </w:tcPr>
          <w:p w14:paraId="729A646E" w14:textId="77777777" w:rsidR="00385A9D" w:rsidRPr="00EC57FB" w:rsidRDefault="00385A9D" w:rsidP="00597649">
            <w:pPr>
              <w:pStyle w:val="In-tableHeading"/>
              <w:jc w:val="center"/>
              <w:rPr>
                <w:lang w:val="en-AU"/>
              </w:rPr>
            </w:pPr>
            <w:r w:rsidRPr="00EC57FB">
              <w:rPr>
                <w:lang w:val="en-AU"/>
              </w:rPr>
              <w:t>Year 3</w:t>
            </w:r>
          </w:p>
        </w:tc>
        <w:tc>
          <w:tcPr>
            <w:tcW w:w="1134" w:type="dxa"/>
            <w:vAlign w:val="center"/>
          </w:tcPr>
          <w:p w14:paraId="280BB544" w14:textId="77777777" w:rsidR="00385A9D" w:rsidRPr="00EC57FB" w:rsidRDefault="00385A9D" w:rsidP="00597649">
            <w:pPr>
              <w:pStyle w:val="In-tableHeading"/>
              <w:jc w:val="center"/>
              <w:rPr>
                <w:lang w:val="en-AU"/>
              </w:rPr>
            </w:pPr>
            <w:r w:rsidRPr="00EC57FB">
              <w:rPr>
                <w:lang w:val="en-AU"/>
              </w:rPr>
              <w:t>Year 4</w:t>
            </w:r>
          </w:p>
        </w:tc>
        <w:tc>
          <w:tcPr>
            <w:tcW w:w="1134" w:type="dxa"/>
            <w:vAlign w:val="center"/>
          </w:tcPr>
          <w:p w14:paraId="6435BB5B" w14:textId="77777777" w:rsidR="00385A9D" w:rsidRPr="00EC57FB" w:rsidRDefault="00385A9D" w:rsidP="00597649">
            <w:pPr>
              <w:pStyle w:val="In-tableHeading"/>
              <w:jc w:val="center"/>
              <w:rPr>
                <w:lang w:val="en-AU"/>
              </w:rPr>
            </w:pPr>
            <w:r w:rsidRPr="00EC57FB">
              <w:rPr>
                <w:lang w:val="en-AU"/>
              </w:rPr>
              <w:t>Year 5</w:t>
            </w:r>
          </w:p>
        </w:tc>
        <w:tc>
          <w:tcPr>
            <w:tcW w:w="1084" w:type="dxa"/>
          </w:tcPr>
          <w:p w14:paraId="7C618119" w14:textId="77777777" w:rsidR="00385A9D" w:rsidRPr="00EC57FB" w:rsidRDefault="00385A9D" w:rsidP="00597649">
            <w:pPr>
              <w:pStyle w:val="In-tableHeading"/>
              <w:jc w:val="center"/>
              <w:rPr>
                <w:lang w:val="en-AU"/>
              </w:rPr>
            </w:pPr>
            <w:r w:rsidRPr="00EC57FB">
              <w:rPr>
                <w:lang w:val="en-AU"/>
              </w:rPr>
              <w:t>Year 6</w:t>
            </w:r>
          </w:p>
        </w:tc>
      </w:tr>
      <w:tr w:rsidR="00A21CB6" w:rsidRPr="00EC57FB" w14:paraId="3C519059" w14:textId="77777777" w:rsidTr="007E3FB5">
        <w:tc>
          <w:tcPr>
            <w:tcW w:w="0" w:type="auto"/>
            <w:gridSpan w:val="7"/>
            <w:vAlign w:val="center"/>
          </w:tcPr>
          <w:p w14:paraId="516C2197" w14:textId="7811181B" w:rsidR="00385A9D" w:rsidRPr="00EC57FB" w:rsidRDefault="00385A9D" w:rsidP="00597649">
            <w:pPr>
              <w:pStyle w:val="In-tableHeading"/>
              <w:rPr>
                <w:bCs/>
                <w:color w:val="000000"/>
                <w:lang w:val="en-AU"/>
              </w:rPr>
            </w:pPr>
            <w:r w:rsidRPr="00EC57FB">
              <w:rPr>
                <w:bCs/>
                <w:color w:val="000000"/>
                <w:lang w:val="en-AU"/>
              </w:rPr>
              <w:t>Estimated extent of use</w:t>
            </w:r>
            <w:r w:rsidR="006C4463" w:rsidRPr="00EC57FB">
              <w:rPr>
                <w:bCs/>
                <w:color w:val="000000"/>
                <w:lang w:val="en-AU"/>
              </w:rPr>
              <w:t xml:space="preserve"> and financial implications </w:t>
            </w:r>
            <w:r w:rsidR="00B96626" w:rsidRPr="00EC57FB">
              <w:rPr>
                <w:bCs/>
                <w:color w:val="000000"/>
                <w:lang w:val="en-AU"/>
              </w:rPr>
              <w:t>– Season 1</w:t>
            </w:r>
          </w:p>
        </w:tc>
      </w:tr>
      <w:tr w:rsidR="00052949" w:rsidRPr="00EC57FB" w14:paraId="2FD8A9F1" w14:textId="77777777" w:rsidTr="001E02B8">
        <w:tc>
          <w:tcPr>
            <w:tcW w:w="2268" w:type="dxa"/>
            <w:vAlign w:val="center"/>
          </w:tcPr>
          <w:p w14:paraId="1451C8E6" w14:textId="77777777" w:rsidR="001C3F38" w:rsidRPr="00EC57FB" w:rsidRDefault="001C3F38" w:rsidP="00597649">
            <w:pPr>
              <w:pStyle w:val="TableText0"/>
            </w:pPr>
            <w:r w:rsidRPr="00EC57FB">
              <w:t>Infants treated in temperate regions</w:t>
            </w:r>
          </w:p>
        </w:tc>
        <w:tc>
          <w:tcPr>
            <w:tcW w:w="1134" w:type="dxa"/>
            <w:vAlign w:val="center"/>
          </w:tcPr>
          <w:p w14:paraId="2094DEB9" w14:textId="331AF6DE" w:rsidR="001C3F38" w:rsidRPr="00973782" w:rsidRDefault="000641E5" w:rsidP="00597649">
            <w:pPr>
              <w:pStyle w:val="TableText0"/>
              <w:jc w:val="center"/>
              <w:rPr>
                <w:vertAlign w:val="superscript"/>
              </w:rPr>
            </w:pPr>
            <w:r w:rsidRPr="000641E5">
              <w:rPr>
                <w:color w:val="000000"/>
                <w:spacing w:val="52"/>
                <w:shd w:val="solid" w:color="000000" w:fill="000000"/>
                <w:fitText w:val="327" w:id="-662982399"/>
                <w14:textFill>
                  <w14:solidFill>
                    <w14:srgbClr w14:val="000000">
                      <w14:alpha w14:val="100000"/>
                    </w14:srgbClr>
                  </w14:solidFill>
                </w14:textFill>
              </w:rPr>
              <w:t>|||</w:t>
            </w:r>
            <w:r w:rsidRPr="000641E5">
              <w:rPr>
                <w:color w:val="000000"/>
                <w:spacing w:val="1"/>
                <w:shd w:val="solid" w:color="000000" w:fill="000000"/>
                <w:fitText w:val="327" w:id="-662982399"/>
                <w14:textFill>
                  <w14:solidFill>
                    <w14:srgbClr w14:val="000000">
                      <w14:alpha w14:val="100000"/>
                    </w14:srgbClr>
                  </w14:solidFill>
                </w14:textFill>
              </w:rPr>
              <w:t>|</w:t>
            </w:r>
            <w:r w:rsidR="00973782">
              <w:t xml:space="preserve"> </w:t>
            </w:r>
            <w:r w:rsidR="00973782">
              <w:rPr>
                <w:vertAlign w:val="superscript"/>
              </w:rPr>
              <w:t>1</w:t>
            </w:r>
          </w:p>
        </w:tc>
        <w:tc>
          <w:tcPr>
            <w:tcW w:w="1134" w:type="dxa"/>
            <w:vAlign w:val="center"/>
          </w:tcPr>
          <w:p w14:paraId="0A311768" w14:textId="41C3B26E" w:rsidR="001C3F38" w:rsidRPr="00EC57FB" w:rsidRDefault="000641E5" w:rsidP="00597649">
            <w:pPr>
              <w:pStyle w:val="TableText0"/>
              <w:jc w:val="center"/>
            </w:pPr>
            <w:r w:rsidRPr="000641E5">
              <w:rPr>
                <w:color w:val="000000"/>
                <w:spacing w:val="52"/>
                <w:shd w:val="solid" w:color="000000" w:fill="000000"/>
                <w:fitText w:val="327" w:id="-662982398"/>
                <w14:textFill>
                  <w14:solidFill>
                    <w14:srgbClr w14:val="000000">
                      <w14:alpha w14:val="100000"/>
                    </w14:srgbClr>
                  </w14:solidFill>
                </w14:textFill>
              </w:rPr>
              <w:t>|||</w:t>
            </w:r>
            <w:r w:rsidRPr="000641E5">
              <w:rPr>
                <w:color w:val="000000"/>
                <w:spacing w:val="1"/>
                <w:shd w:val="solid" w:color="000000" w:fill="000000"/>
                <w:fitText w:val="327" w:id="-662982398"/>
                <w14:textFill>
                  <w14:solidFill>
                    <w14:srgbClr w14:val="000000">
                      <w14:alpha w14:val="100000"/>
                    </w14:srgbClr>
                  </w14:solidFill>
                </w14:textFill>
              </w:rPr>
              <w:t>|</w:t>
            </w:r>
            <w:r w:rsidR="00973782">
              <w:t xml:space="preserve"> </w:t>
            </w:r>
            <w:r w:rsidR="00973782">
              <w:rPr>
                <w:vertAlign w:val="superscript"/>
              </w:rPr>
              <w:t>1</w:t>
            </w:r>
          </w:p>
        </w:tc>
        <w:tc>
          <w:tcPr>
            <w:tcW w:w="1134" w:type="dxa"/>
            <w:vAlign w:val="center"/>
          </w:tcPr>
          <w:p w14:paraId="185BAD1A" w14:textId="5921BA30" w:rsidR="001C3F38" w:rsidRPr="00EC57FB" w:rsidRDefault="000641E5" w:rsidP="00597649">
            <w:pPr>
              <w:pStyle w:val="TableText0"/>
              <w:jc w:val="center"/>
            </w:pPr>
            <w:r w:rsidRPr="000641E5">
              <w:rPr>
                <w:color w:val="000000"/>
                <w:spacing w:val="52"/>
                <w:shd w:val="solid" w:color="000000" w:fill="000000"/>
                <w:fitText w:val="327" w:id="-662982397"/>
                <w14:textFill>
                  <w14:solidFill>
                    <w14:srgbClr w14:val="000000">
                      <w14:alpha w14:val="100000"/>
                    </w14:srgbClr>
                  </w14:solidFill>
                </w14:textFill>
              </w:rPr>
              <w:t>|||</w:t>
            </w:r>
            <w:r w:rsidRPr="000641E5">
              <w:rPr>
                <w:color w:val="000000"/>
                <w:spacing w:val="1"/>
                <w:shd w:val="solid" w:color="000000" w:fill="000000"/>
                <w:fitText w:val="327" w:id="-662982397"/>
                <w14:textFill>
                  <w14:solidFill>
                    <w14:srgbClr w14:val="000000">
                      <w14:alpha w14:val="100000"/>
                    </w14:srgbClr>
                  </w14:solidFill>
                </w14:textFill>
              </w:rPr>
              <w:t>|</w:t>
            </w:r>
            <w:r w:rsidR="00973782">
              <w:t xml:space="preserve"> </w:t>
            </w:r>
            <w:r w:rsidR="00973782">
              <w:rPr>
                <w:vertAlign w:val="superscript"/>
              </w:rPr>
              <w:t>1</w:t>
            </w:r>
          </w:p>
        </w:tc>
        <w:tc>
          <w:tcPr>
            <w:tcW w:w="1134" w:type="dxa"/>
            <w:vAlign w:val="center"/>
          </w:tcPr>
          <w:p w14:paraId="100C7A64" w14:textId="169B9653" w:rsidR="001C3F38" w:rsidRPr="00EC57FB" w:rsidRDefault="000641E5" w:rsidP="00597649">
            <w:pPr>
              <w:pStyle w:val="TableText0"/>
              <w:jc w:val="center"/>
            </w:pPr>
            <w:r w:rsidRPr="000641E5">
              <w:rPr>
                <w:color w:val="000000"/>
                <w:spacing w:val="52"/>
                <w:shd w:val="solid" w:color="000000" w:fill="000000"/>
                <w:fitText w:val="327" w:id="-662982396"/>
                <w14:textFill>
                  <w14:solidFill>
                    <w14:srgbClr w14:val="000000">
                      <w14:alpha w14:val="100000"/>
                    </w14:srgbClr>
                  </w14:solidFill>
                </w14:textFill>
              </w:rPr>
              <w:t>|||</w:t>
            </w:r>
            <w:r w:rsidRPr="000641E5">
              <w:rPr>
                <w:color w:val="000000"/>
                <w:spacing w:val="1"/>
                <w:shd w:val="solid" w:color="000000" w:fill="000000"/>
                <w:fitText w:val="327" w:id="-662982396"/>
                <w14:textFill>
                  <w14:solidFill>
                    <w14:srgbClr w14:val="000000">
                      <w14:alpha w14:val="100000"/>
                    </w14:srgbClr>
                  </w14:solidFill>
                </w14:textFill>
              </w:rPr>
              <w:t>|</w:t>
            </w:r>
            <w:r w:rsidR="00973782">
              <w:t xml:space="preserve"> </w:t>
            </w:r>
            <w:r w:rsidR="00973782">
              <w:rPr>
                <w:vertAlign w:val="superscript"/>
              </w:rPr>
              <w:t>1</w:t>
            </w:r>
          </w:p>
        </w:tc>
        <w:tc>
          <w:tcPr>
            <w:tcW w:w="1134" w:type="dxa"/>
            <w:vAlign w:val="center"/>
          </w:tcPr>
          <w:p w14:paraId="49C00DCB" w14:textId="6C0EA451" w:rsidR="001C3F38" w:rsidRPr="00EC57FB" w:rsidRDefault="000641E5" w:rsidP="00597649">
            <w:pPr>
              <w:pStyle w:val="TableText0"/>
              <w:jc w:val="center"/>
            </w:pPr>
            <w:r w:rsidRPr="000641E5">
              <w:rPr>
                <w:color w:val="000000"/>
                <w:spacing w:val="52"/>
                <w:shd w:val="solid" w:color="000000" w:fill="000000"/>
                <w:fitText w:val="327" w:id="-662982395"/>
                <w14:textFill>
                  <w14:solidFill>
                    <w14:srgbClr w14:val="000000">
                      <w14:alpha w14:val="100000"/>
                    </w14:srgbClr>
                  </w14:solidFill>
                </w14:textFill>
              </w:rPr>
              <w:t>|||</w:t>
            </w:r>
            <w:r w:rsidRPr="000641E5">
              <w:rPr>
                <w:color w:val="000000"/>
                <w:spacing w:val="1"/>
                <w:shd w:val="solid" w:color="000000" w:fill="000000"/>
                <w:fitText w:val="327" w:id="-662982395"/>
                <w14:textFill>
                  <w14:solidFill>
                    <w14:srgbClr w14:val="000000">
                      <w14:alpha w14:val="100000"/>
                    </w14:srgbClr>
                  </w14:solidFill>
                </w14:textFill>
              </w:rPr>
              <w:t>|</w:t>
            </w:r>
            <w:r w:rsidR="00973782">
              <w:t xml:space="preserve"> </w:t>
            </w:r>
            <w:r w:rsidR="00973782">
              <w:rPr>
                <w:vertAlign w:val="superscript"/>
              </w:rPr>
              <w:t>1</w:t>
            </w:r>
          </w:p>
        </w:tc>
        <w:tc>
          <w:tcPr>
            <w:tcW w:w="1084" w:type="dxa"/>
            <w:vAlign w:val="center"/>
          </w:tcPr>
          <w:p w14:paraId="67DDF8D0" w14:textId="2204C8FC" w:rsidR="001C3F38" w:rsidRPr="00EC57FB" w:rsidRDefault="000641E5" w:rsidP="00597649">
            <w:pPr>
              <w:pStyle w:val="TableText0"/>
              <w:jc w:val="center"/>
            </w:pPr>
            <w:r w:rsidRPr="000641E5">
              <w:rPr>
                <w:color w:val="000000"/>
                <w:spacing w:val="52"/>
                <w:shd w:val="solid" w:color="000000" w:fill="000000"/>
                <w:fitText w:val="327" w:id="-662982394"/>
                <w14:textFill>
                  <w14:solidFill>
                    <w14:srgbClr w14:val="000000">
                      <w14:alpha w14:val="100000"/>
                    </w14:srgbClr>
                  </w14:solidFill>
                </w14:textFill>
              </w:rPr>
              <w:t>|||</w:t>
            </w:r>
            <w:r w:rsidRPr="000641E5">
              <w:rPr>
                <w:color w:val="000000"/>
                <w:spacing w:val="1"/>
                <w:shd w:val="solid" w:color="000000" w:fill="000000"/>
                <w:fitText w:val="327" w:id="-662982394"/>
                <w14:textFill>
                  <w14:solidFill>
                    <w14:srgbClr w14:val="000000">
                      <w14:alpha w14:val="100000"/>
                    </w14:srgbClr>
                  </w14:solidFill>
                </w14:textFill>
              </w:rPr>
              <w:t>|</w:t>
            </w:r>
            <w:r w:rsidR="00973782">
              <w:t xml:space="preserve"> </w:t>
            </w:r>
            <w:r w:rsidR="00973782">
              <w:rPr>
                <w:vertAlign w:val="superscript"/>
              </w:rPr>
              <w:t>1</w:t>
            </w:r>
          </w:p>
        </w:tc>
      </w:tr>
      <w:tr w:rsidR="00052949" w:rsidRPr="00EC57FB" w14:paraId="024610B1" w14:textId="77777777" w:rsidTr="001E02B8">
        <w:tc>
          <w:tcPr>
            <w:tcW w:w="2268" w:type="dxa"/>
            <w:vAlign w:val="center"/>
          </w:tcPr>
          <w:p w14:paraId="499F3C1F" w14:textId="77777777" w:rsidR="001A34EB" w:rsidRPr="00EC57FB" w:rsidRDefault="001A34EB" w:rsidP="00597649">
            <w:pPr>
              <w:pStyle w:val="TableText0"/>
            </w:pPr>
            <w:r w:rsidRPr="00EC57FB">
              <w:t>Infants treated in tropical and subtropical regions</w:t>
            </w:r>
          </w:p>
        </w:tc>
        <w:tc>
          <w:tcPr>
            <w:tcW w:w="1134" w:type="dxa"/>
            <w:vAlign w:val="center"/>
          </w:tcPr>
          <w:p w14:paraId="7CD25510" w14:textId="00F45F41" w:rsidR="001A34EB" w:rsidRPr="00EC57FB" w:rsidRDefault="000641E5" w:rsidP="00597649">
            <w:pPr>
              <w:pStyle w:val="TableText0"/>
              <w:jc w:val="center"/>
            </w:pPr>
            <w:r w:rsidRPr="000641E5">
              <w:rPr>
                <w:color w:val="000000"/>
                <w:spacing w:val="52"/>
                <w:shd w:val="solid" w:color="000000" w:fill="000000"/>
                <w:fitText w:val="327" w:id="-662982393"/>
                <w14:textFill>
                  <w14:solidFill>
                    <w14:srgbClr w14:val="000000">
                      <w14:alpha w14:val="100000"/>
                    </w14:srgbClr>
                  </w14:solidFill>
                </w14:textFill>
              </w:rPr>
              <w:t>|||</w:t>
            </w:r>
            <w:r w:rsidRPr="000641E5">
              <w:rPr>
                <w:color w:val="000000"/>
                <w:spacing w:val="1"/>
                <w:shd w:val="solid" w:color="000000" w:fill="000000"/>
                <w:fitText w:val="327" w:id="-662982393"/>
                <w14:textFill>
                  <w14:solidFill>
                    <w14:srgbClr w14:val="000000">
                      <w14:alpha w14:val="100000"/>
                    </w14:srgbClr>
                  </w14:solidFill>
                </w14:textFill>
              </w:rPr>
              <w:t>|</w:t>
            </w:r>
            <w:r w:rsidR="00973782">
              <w:t xml:space="preserve"> </w:t>
            </w:r>
            <w:r w:rsidR="00973782">
              <w:rPr>
                <w:vertAlign w:val="superscript"/>
              </w:rPr>
              <w:t>2</w:t>
            </w:r>
          </w:p>
        </w:tc>
        <w:tc>
          <w:tcPr>
            <w:tcW w:w="1134" w:type="dxa"/>
            <w:vAlign w:val="center"/>
          </w:tcPr>
          <w:p w14:paraId="2C1644EB" w14:textId="2F33B077" w:rsidR="001A34EB" w:rsidRPr="00EC57FB" w:rsidRDefault="000641E5" w:rsidP="00597649">
            <w:pPr>
              <w:pStyle w:val="TableText0"/>
              <w:jc w:val="center"/>
            </w:pPr>
            <w:r w:rsidRPr="000641E5">
              <w:rPr>
                <w:color w:val="000000"/>
                <w:spacing w:val="52"/>
                <w:shd w:val="solid" w:color="000000" w:fill="000000"/>
                <w:fitText w:val="327" w:id="-662982392"/>
                <w14:textFill>
                  <w14:solidFill>
                    <w14:srgbClr w14:val="000000">
                      <w14:alpha w14:val="100000"/>
                    </w14:srgbClr>
                  </w14:solidFill>
                </w14:textFill>
              </w:rPr>
              <w:t>|||</w:t>
            </w:r>
            <w:r w:rsidRPr="000641E5">
              <w:rPr>
                <w:color w:val="000000"/>
                <w:spacing w:val="1"/>
                <w:shd w:val="solid" w:color="000000" w:fill="000000"/>
                <w:fitText w:val="327" w:id="-662982392"/>
                <w14:textFill>
                  <w14:solidFill>
                    <w14:srgbClr w14:val="000000">
                      <w14:alpha w14:val="100000"/>
                    </w14:srgbClr>
                  </w14:solidFill>
                </w14:textFill>
              </w:rPr>
              <w:t>|</w:t>
            </w:r>
            <w:r w:rsidR="00973782">
              <w:t xml:space="preserve"> </w:t>
            </w:r>
            <w:r w:rsidR="00973782">
              <w:rPr>
                <w:vertAlign w:val="superscript"/>
              </w:rPr>
              <w:t>2</w:t>
            </w:r>
          </w:p>
        </w:tc>
        <w:tc>
          <w:tcPr>
            <w:tcW w:w="1134" w:type="dxa"/>
            <w:vAlign w:val="center"/>
          </w:tcPr>
          <w:p w14:paraId="6D5EB9D2" w14:textId="1D1B5ABB" w:rsidR="001A34EB" w:rsidRPr="00EC57FB" w:rsidRDefault="000641E5" w:rsidP="00597649">
            <w:pPr>
              <w:pStyle w:val="TableText0"/>
              <w:jc w:val="center"/>
            </w:pPr>
            <w:r w:rsidRPr="000641E5">
              <w:rPr>
                <w:color w:val="000000"/>
                <w:spacing w:val="52"/>
                <w:shd w:val="solid" w:color="000000" w:fill="000000"/>
                <w:fitText w:val="327" w:id="-662982391"/>
                <w14:textFill>
                  <w14:solidFill>
                    <w14:srgbClr w14:val="000000">
                      <w14:alpha w14:val="100000"/>
                    </w14:srgbClr>
                  </w14:solidFill>
                </w14:textFill>
              </w:rPr>
              <w:t>|||</w:t>
            </w:r>
            <w:r w:rsidRPr="000641E5">
              <w:rPr>
                <w:color w:val="000000"/>
                <w:spacing w:val="1"/>
                <w:shd w:val="solid" w:color="000000" w:fill="000000"/>
                <w:fitText w:val="327" w:id="-662982391"/>
                <w14:textFill>
                  <w14:solidFill>
                    <w14:srgbClr w14:val="000000">
                      <w14:alpha w14:val="100000"/>
                    </w14:srgbClr>
                  </w14:solidFill>
                </w14:textFill>
              </w:rPr>
              <w:t>|</w:t>
            </w:r>
            <w:r w:rsidR="00973782">
              <w:t xml:space="preserve"> </w:t>
            </w:r>
            <w:r w:rsidR="00973782">
              <w:rPr>
                <w:vertAlign w:val="superscript"/>
              </w:rPr>
              <w:t>2</w:t>
            </w:r>
          </w:p>
        </w:tc>
        <w:tc>
          <w:tcPr>
            <w:tcW w:w="1134" w:type="dxa"/>
            <w:vAlign w:val="center"/>
          </w:tcPr>
          <w:p w14:paraId="660B8DF2" w14:textId="079B033F" w:rsidR="001A34EB" w:rsidRPr="00EC57FB" w:rsidRDefault="000641E5" w:rsidP="00597649">
            <w:pPr>
              <w:pStyle w:val="TableText0"/>
              <w:jc w:val="center"/>
            </w:pPr>
            <w:r w:rsidRPr="000641E5">
              <w:rPr>
                <w:color w:val="000000"/>
                <w:spacing w:val="52"/>
                <w:shd w:val="solid" w:color="000000" w:fill="000000"/>
                <w:fitText w:val="327" w:id="-662982390"/>
                <w14:textFill>
                  <w14:solidFill>
                    <w14:srgbClr w14:val="000000">
                      <w14:alpha w14:val="100000"/>
                    </w14:srgbClr>
                  </w14:solidFill>
                </w14:textFill>
              </w:rPr>
              <w:t>|||</w:t>
            </w:r>
            <w:r w:rsidRPr="000641E5">
              <w:rPr>
                <w:color w:val="000000"/>
                <w:spacing w:val="1"/>
                <w:shd w:val="solid" w:color="000000" w:fill="000000"/>
                <w:fitText w:val="327" w:id="-662982390"/>
                <w14:textFill>
                  <w14:solidFill>
                    <w14:srgbClr w14:val="000000">
                      <w14:alpha w14:val="100000"/>
                    </w14:srgbClr>
                  </w14:solidFill>
                </w14:textFill>
              </w:rPr>
              <w:t>|</w:t>
            </w:r>
            <w:r w:rsidR="00973782">
              <w:t xml:space="preserve"> </w:t>
            </w:r>
            <w:r w:rsidR="00973782">
              <w:rPr>
                <w:vertAlign w:val="superscript"/>
              </w:rPr>
              <w:t>2</w:t>
            </w:r>
          </w:p>
        </w:tc>
        <w:tc>
          <w:tcPr>
            <w:tcW w:w="1134" w:type="dxa"/>
            <w:vAlign w:val="center"/>
          </w:tcPr>
          <w:p w14:paraId="6451630A" w14:textId="560D788B" w:rsidR="001A34EB" w:rsidRPr="00EC57FB" w:rsidRDefault="000641E5" w:rsidP="00597649">
            <w:pPr>
              <w:pStyle w:val="TableText0"/>
              <w:jc w:val="center"/>
            </w:pPr>
            <w:r w:rsidRPr="000641E5">
              <w:rPr>
                <w:color w:val="000000"/>
                <w:spacing w:val="52"/>
                <w:shd w:val="solid" w:color="000000" w:fill="000000"/>
                <w:fitText w:val="327" w:id="-662982389"/>
                <w14:textFill>
                  <w14:solidFill>
                    <w14:srgbClr w14:val="000000">
                      <w14:alpha w14:val="100000"/>
                    </w14:srgbClr>
                  </w14:solidFill>
                </w14:textFill>
              </w:rPr>
              <w:t>|||</w:t>
            </w:r>
            <w:r w:rsidRPr="000641E5">
              <w:rPr>
                <w:color w:val="000000"/>
                <w:spacing w:val="1"/>
                <w:shd w:val="solid" w:color="000000" w:fill="000000"/>
                <w:fitText w:val="327" w:id="-662982389"/>
                <w14:textFill>
                  <w14:solidFill>
                    <w14:srgbClr w14:val="000000">
                      <w14:alpha w14:val="100000"/>
                    </w14:srgbClr>
                  </w14:solidFill>
                </w14:textFill>
              </w:rPr>
              <w:t>|</w:t>
            </w:r>
            <w:r w:rsidR="00973782">
              <w:t xml:space="preserve"> </w:t>
            </w:r>
            <w:r w:rsidR="00973782">
              <w:rPr>
                <w:vertAlign w:val="superscript"/>
              </w:rPr>
              <w:t>2</w:t>
            </w:r>
          </w:p>
        </w:tc>
        <w:tc>
          <w:tcPr>
            <w:tcW w:w="1084" w:type="dxa"/>
            <w:vAlign w:val="center"/>
          </w:tcPr>
          <w:p w14:paraId="21516694" w14:textId="1148F81A" w:rsidR="001A34EB" w:rsidRPr="00EC57FB" w:rsidRDefault="000641E5" w:rsidP="00597649">
            <w:pPr>
              <w:pStyle w:val="TableText0"/>
              <w:jc w:val="center"/>
            </w:pPr>
            <w:r w:rsidRPr="000641E5">
              <w:rPr>
                <w:color w:val="000000"/>
                <w:spacing w:val="52"/>
                <w:shd w:val="solid" w:color="000000" w:fill="000000"/>
                <w:fitText w:val="327" w:id="-662982144"/>
                <w14:textFill>
                  <w14:solidFill>
                    <w14:srgbClr w14:val="000000">
                      <w14:alpha w14:val="100000"/>
                    </w14:srgbClr>
                  </w14:solidFill>
                </w14:textFill>
              </w:rPr>
              <w:t>|||</w:t>
            </w:r>
            <w:r w:rsidRPr="000641E5">
              <w:rPr>
                <w:color w:val="000000"/>
                <w:spacing w:val="1"/>
                <w:shd w:val="solid" w:color="000000" w:fill="000000"/>
                <w:fitText w:val="327" w:id="-662982144"/>
                <w14:textFill>
                  <w14:solidFill>
                    <w14:srgbClr w14:val="000000">
                      <w14:alpha w14:val="100000"/>
                    </w14:srgbClr>
                  </w14:solidFill>
                </w14:textFill>
              </w:rPr>
              <w:t>|</w:t>
            </w:r>
            <w:r w:rsidR="00973782">
              <w:t xml:space="preserve"> </w:t>
            </w:r>
            <w:r w:rsidR="00973782">
              <w:rPr>
                <w:vertAlign w:val="superscript"/>
              </w:rPr>
              <w:t>2</w:t>
            </w:r>
          </w:p>
        </w:tc>
      </w:tr>
      <w:tr w:rsidR="00052949" w:rsidRPr="00EC57FB" w14:paraId="148A8EEF" w14:textId="77777777" w:rsidTr="001E02B8">
        <w:tc>
          <w:tcPr>
            <w:tcW w:w="2268" w:type="dxa"/>
            <w:vAlign w:val="center"/>
          </w:tcPr>
          <w:p w14:paraId="201B6ECA" w14:textId="5A6E56C1" w:rsidR="006D286F" w:rsidRPr="00EC57FB" w:rsidRDefault="003A3690" w:rsidP="00D07BC5">
            <w:pPr>
              <w:pStyle w:val="TableText0"/>
              <w:keepNext w:val="0"/>
              <w:keepLines w:val="0"/>
              <w:rPr>
                <w:rFonts w:ascii="Times" w:hAnsi="Times"/>
              </w:rPr>
            </w:pPr>
            <w:r w:rsidRPr="00EC57FB">
              <w:t>Total</w:t>
            </w:r>
            <w:r w:rsidR="006D286F" w:rsidRPr="00EC57FB">
              <w:t xml:space="preserve"> </w:t>
            </w:r>
            <w:r w:rsidR="00094595" w:rsidRPr="00EC57FB">
              <w:t>infants</w:t>
            </w:r>
            <w:r w:rsidR="006D286F" w:rsidRPr="00EC57FB">
              <w:t xml:space="preserve"> treated</w:t>
            </w:r>
            <w:r w:rsidRPr="00EC57FB">
              <w:t xml:space="preserve"> in Season 1</w:t>
            </w:r>
          </w:p>
        </w:tc>
        <w:tc>
          <w:tcPr>
            <w:tcW w:w="1134" w:type="dxa"/>
            <w:vAlign w:val="center"/>
          </w:tcPr>
          <w:p w14:paraId="577607A9" w14:textId="6B33FADA" w:rsidR="006D286F" w:rsidRPr="00EC57FB" w:rsidRDefault="000641E5" w:rsidP="00D07BC5">
            <w:pPr>
              <w:pStyle w:val="TableText0"/>
              <w:keepNext w:val="0"/>
              <w:keepLines w:val="0"/>
              <w:jc w:val="center"/>
              <w:rPr>
                <w:color w:val="000000"/>
              </w:rPr>
            </w:pPr>
            <w:r w:rsidRPr="000641E5">
              <w:rPr>
                <w:color w:val="000000"/>
                <w:spacing w:val="52"/>
                <w:shd w:val="solid" w:color="000000" w:fill="000000"/>
                <w:fitText w:val="327" w:id="-662982143"/>
                <w14:textFill>
                  <w14:solidFill>
                    <w14:srgbClr w14:val="000000">
                      <w14:alpha w14:val="100000"/>
                    </w14:srgbClr>
                  </w14:solidFill>
                </w14:textFill>
              </w:rPr>
              <w:t>|||</w:t>
            </w:r>
            <w:r w:rsidRPr="000641E5">
              <w:rPr>
                <w:color w:val="000000"/>
                <w:spacing w:val="1"/>
                <w:shd w:val="solid" w:color="000000" w:fill="000000"/>
                <w:fitText w:val="327" w:id="-662982143"/>
                <w14:textFill>
                  <w14:solidFill>
                    <w14:srgbClr w14:val="000000">
                      <w14:alpha w14:val="100000"/>
                    </w14:srgbClr>
                  </w14:solidFill>
                </w14:textFill>
              </w:rPr>
              <w:t>|</w:t>
            </w:r>
            <w:r w:rsidR="00973782">
              <w:t xml:space="preserve"> </w:t>
            </w:r>
            <w:r w:rsidR="00973782">
              <w:rPr>
                <w:vertAlign w:val="superscript"/>
              </w:rPr>
              <w:t>3</w:t>
            </w:r>
          </w:p>
        </w:tc>
        <w:tc>
          <w:tcPr>
            <w:tcW w:w="1134" w:type="dxa"/>
            <w:vAlign w:val="center"/>
          </w:tcPr>
          <w:p w14:paraId="6610B4C9" w14:textId="6115BB6A" w:rsidR="006D286F" w:rsidRPr="00EC57FB" w:rsidRDefault="000641E5" w:rsidP="00D07BC5">
            <w:pPr>
              <w:pStyle w:val="TableText0"/>
              <w:keepNext w:val="0"/>
              <w:keepLines w:val="0"/>
              <w:jc w:val="center"/>
              <w:rPr>
                <w:color w:val="000000"/>
              </w:rPr>
            </w:pPr>
            <w:r w:rsidRPr="000641E5">
              <w:rPr>
                <w:color w:val="000000"/>
                <w:spacing w:val="52"/>
                <w:shd w:val="solid" w:color="000000" w:fill="000000"/>
                <w:fitText w:val="327" w:id="-662982142"/>
                <w14:textFill>
                  <w14:solidFill>
                    <w14:srgbClr w14:val="000000">
                      <w14:alpha w14:val="100000"/>
                    </w14:srgbClr>
                  </w14:solidFill>
                </w14:textFill>
              </w:rPr>
              <w:t>|||</w:t>
            </w:r>
            <w:r w:rsidRPr="000641E5">
              <w:rPr>
                <w:color w:val="000000"/>
                <w:spacing w:val="1"/>
                <w:shd w:val="solid" w:color="000000" w:fill="000000"/>
                <w:fitText w:val="327" w:id="-662982142"/>
                <w14:textFill>
                  <w14:solidFill>
                    <w14:srgbClr w14:val="000000">
                      <w14:alpha w14:val="100000"/>
                    </w14:srgbClr>
                  </w14:solidFill>
                </w14:textFill>
              </w:rPr>
              <w:t>|</w:t>
            </w:r>
            <w:r w:rsidR="00973782">
              <w:t xml:space="preserve"> </w:t>
            </w:r>
            <w:r w:rsidR="00973782">
              <w:rPr>
                <w:vertAlign w:val="superscript"/>
              </w:rPr>
              <w:t>3</w:t>
            </w:r>
          </w:p>
        </w:tc>
        <w:tc>
          <w:tcPr>
            <w:tcW w:w="1134" w:type="dxa"/>
            <w:vAlign w:val="center"/>
          </w:tcPr>
          <w:p w14:paraId="29F46D6B" w14:textId="07DFC4DC" w:rsidR="006D286F" w:rsidRPr="00EC57FB" w:rsidRDefault="000641E5" w:rsidP="00D07BC5">
            <w:pPr>
              <w:pStyle w:val="TableText0"/>
              <w:keepNext w:val="0"/>
              <w:keepLines w:val="0"/>
              <w:jc w:val="center"/>
              <w:rPr>
                <w:color w:val="000000"/>
              </w:rPr>
            </w:pPr>
            <w:r w:rsidRPr="000641E5">
              <w:rPr>
                <w:color w:val="000000"/>
                <w:spacing w:val="52"/>
                <w:shd w:val="solid" w:color="000000" w:fill="000000"/>
                <w:fitText w:val="327" w:id="-662982141"/>
                <w14:textFill>
                  <w14:solidFill>
                    <w14:srgbClr w14:val="000000">
                      <w14:alpha w14:val="100000"/>
                    </w14:srgbClr>
                  </w14:solidFill>
                </w14:textFill>
              </w:rPr>
              <w:t>|||</w:t>
            </w:r>
            <w:r w:rsidRPr="000641E5">
              <w:rPr>
                <w:color w:val="000000"/>
                <w:spacing w:val="1"/>
                <w:shd w:val="solid" w:color="000000" w:fill="000000"/>
                <w:fitText w:val="327" w:id="-662982141"/>
                <w14:textFill>
                  <w14:solidFill>
                    <w14:srgbClr w14:val="000000">
                      <w14:alpha w14:val="100000"/>
                    </w14:srgbClr>
                  </w14:solidFill>
                </w14:textFill>
              </w:rPr>
              <w:t>|</w:t>
            </w:r>
            <w:r w:rsidR="00973782">
              <w:t xml:space="preserve"> </w:t>
            </w:r>
            <w:r w:rsidR="00973782">
              <w:rPr>
                <w:vertAlign w:val="superscript"/>
              </w:rPr>
              <w:t>3</w:t>
            </w:r>
          </w:p>
        </w:tc>
        <w:tc>
          <w:tcPr>
            <w:tcW w:w="1134" w:type="dxa"/>
            <w:vAlign w:val="center"/>
          </w:tcPr>
          <w:p w14:paraId="21167904" w14:textId="653D1D76" w:rsidR="006D286F" w:rsidRPr="00EC57FB" w:rsidRDefault="000641E5" w:rsidP="00D07BC5">
            <w:pPr>
              <w:pStyle w:val="TableText0"/>
              <w:keepNext w:val="0"/>
              <w:keepLines w:val="0"/>
              <w:jc w:val="center"/>
              <w:rPr>
                <w:color w:val="000000"/>
              </w:rPr>
            </w:pPr>
            <w:r w:rsidRPr="000641E5">
              <w:rPr>
                <w:color w:val="000000"/>
                <w:spacing w:val="52"/>
                <w:shd w:val="solid" w:color="000000" w:fill="000000"/>
                <w:fitText w:val="327" w:id="-662982140"/>
                <w14:textFill>
                  <w14:solidFill>
                    <w14:srgbClr w14:val="000000">
                      <w14:alpha w14:val="100000"/>
                    </w14:srgbClr>
                  </w14:solidFill>
                </w14:textFill>
              </w:rPr>
              <w:t>|||</w:t>
            </w:r>
            <w:r w:rsidRPr="000641E5">
              <w:rPr>
                <w:color w:val="000000"/>
                <w:spacing w:val="1"/>
                <w:shd w:val="solid" w:color="000000" w:fill="000000"/>
                <w:fitText w:val="327" w:id="-662982140"/>
                <w14:textFill>
                  <w14:solidFill>
                    <w14:srgbClr w14:val="000000">
                      <w14:alpha w14:val="100000"/>
                    </w14:srgbClr>
                  </w14:solidFill>
                </w14:textFill>
              </w:rPr>
              <w:t>|</w:t>
            </w:r>
            <w:r w:rsidR="00973782">
              <w:t xml:space="preserve"> </w:t>
            </w:r>
            <w:r w:rsidR="00973782">
              <w:rPr>
                <w:vertAlign w:val="superscript"/>
              </w:rPr>
              <w:t>3</w:t>
            </w:r>
          </w:p>
        </w:tc>
        <w:tc>
          <w:tcPr>
            <w:tcW w:w="1134" w:type="dxa"/>
            <w:vAlign w:val="center"/>
          </w:tcPr>
          <w:p w14:paraId="762D4B71" w14:textId="13A41C83" w:rsidR="006D286F" w:rsidRPr="00EC57FB" w:rsidRDefault="000641E5" w:rsidP="00D07BC5">
            <w:pPr>
              <w:pStyle w:val="TableText0"/>
              <w:keepNext w:val="0"/>
              <w:keepLines w:val="0"/>
              <w:jc w:val="center"/>
              <w:rPr>
                <w:color w:val="000000"/>
              </w:rPr>
            </w:pPr>
            <w:r w:rsidRPr="000641E5">
              <w:rPr>
                <w:color w:val="000000"/>
                <w:spacing w:val="52"/>
                <w:shd w:val="solid" w:color="000000" w:fill="000000"/>
                <w:fitText w:val="327" w:id="-662982139"/>
                <w14:textFill>
                  <w14:solidFill>
                    <w14:srgbClr w14:val="000000">
                      <w14:alpha w14:val="100000"/>
                    </w14:srgbClr>
                  </w14:solidFill>
                </w14:textFill>
              </w:rPr>
              <w:t>|||</w:t>
            </w:r>
            <w:r w:rsidRPr="000641E5">
              <w:rPr>
                <w:color w:val="000000"/>
                <w:spacing w:val="1"/>
                <w:shd w:val="solid" w:color="000000" w:fill="000000"/>
                <w:fitText w:val="327" w:id="-662982139"/>
                <w14:textFill>
                  <w14:solidFill>
                    <w14:srgbClr w14:val="000000">
                      <w14:alpha w14:val="100000"/>
                    </w14:srgbClr>
                  </w14:solidFill>
                </w14:textFill>
              </w:rPr>
              <w:t>|</w:t>
            </w:r>
            <w:r w:rsidR="00973782">
              <w:t xml:space="preserve"> </w:t>
            </w:r>
            <w:r w:rsidR="00973782">
              <w:rPr>
                <w:vertAlign w:val="superscript"/>
              </w:rPr>
              <w:t>3</w:t>
            </w:r>
          </w:p>
        </w:tc>
        <w:tc>
          <w:tcPr>
            <w:tcW w:w="1084" w:type="dxa"/>
            <w:vAlign w:val="center"/>
          </w:tcPr>
          <w:p w14:paraId="42B428B5" w14:textId="2ABC10DB" w:rsidR="006D286F" w:rsidRPr="00EC57FB" w:rsidRDefault="000641E5" w:rsidP="00D07BC5">
            <w:pPr>
              <w:pStyle w:val="TableText0"/>
              <w:keepNext w:val="0"/>
              <w:keepLines w:val="0"/>
              <w:jc w:val="center"/>
              <w:rPr>
                <w:color w:val="000000"/>
              </w:rPr>
            </w:pPr>
            <w:r w:rsidRPr="000641E5">
              <w:rPr>
                <w:color w:val="000000"/>
                <w:spacing w:val="52"/>
                <w:shd w:val="solid" w:color="000000" w:fill="000000"/>
                <w:fitText w:val="327" w:id="-662982138"/>
                <w14:textFill>
                  <w14:solidFill>
                    <w14:srgbClr w14:val="000000">
                      <w14:alpha w14:val="100000"/>
                    </w14:srgbClr>
                  </w14:solidFill>
                </w14:textFill>
              </w:rPr>
              <w:t>|||</w:t>
            </w:r>
            <w:r w:rsidRPr="000641E5">
              <w:rPr>
                <w:color w:val="000000"/>
                <w:spacing w:val="1"/>
                <w:shd w:val="solid" w:color="000000" w:fill="000000"/>
                <w:fitText w:val="327" w:id="-662982138"/>
                <w14:textFill>
                  <w14:solidFill>
                    <w14:srgbClr w14:val="000000">
                      <w14:alpha w14:val="100000"/>
                    </w14:srgbClr>
                  </w14:solidFill>
                </w14:textFill>
              </w:rPr>
              <w:t>|</w:t>
            </w:r>
            <w:r w:rsidR="00973782">
              <w:t xml:space="preserve"> </w:t>
            </w:r>
            <w:r w:rsidR="00973782">
              <w:rPr>
                <w:vertAlign w:val="superscript"/>
              </w:rPr>
              <w:t>3</w:t>
            </w:r>
          </w:p>
        </w:tc>
      </w:tr>
      <w:tr w:rsidR="00541CEE" w:rsidRPr="00EC57FB" w14:paraId="6408BF21" w14:textId="77777777" w:rsidTr="00973782">
        <w:tc>
          <w:tcPr>
            <w:tcW w:w="2268" w:type="dxa"/>
            <w:vAlign w:val="center"/>
          </w:tcPr>
          <w:p w14:paraId="515A4A09" w14:textId="237A9EE6" w:rsidR="003C657B" w:rsidRPr="00EC57FB" w:rsidRDefault="003C657B" w:rsidP="00D07BC5">
            <w:pPr>
              <w:pStyle w:val="TableText0"/>
              <w:keepNext w:val="0"/>
              <w:keepLines w:val="0"/>
            </w:pPr>
            <w:r w:rsidRPr="00EC57FB">
              <w:t>Cost per patient</w:t>
            </w:r>
          </w:p>
        </w:tc>
        <w:tc>
          <w:tcPr>
            <w:tcW w:w="6754" w:type="dxa"/>
            <w:gridSpan w:val="6"/>
            <w:vAlign w:val="center"/>
          </w:tcPr>
          <w:p w14:paraId="7D132F41" w14:textId="635989B2" w:rsidR="003C657B" w:rsidRPr="00EC57FB" w:rsidRDefault="003C657B" w:rsidP="00973782">
            <w:pPr>
              <w:pStyle w:val="TableText0"/>
              <w:keepNext w:val="0"/>
              <w:keepLines w:val="0"/>
              <w:jc w:val="center"/>
              <w:rPr>
                <w:color w:val="000000"/>
              </w:rPr>
            </w:pPr>
            <w:r w:rsidRPr="00EC57FB">
              <w:rPr>
                <w:color w:val="000000"/>
              </w:rPr>
              <w:t>$</w:t>
            </w:r>
            <w:r w:rsidR="000641E5" w:rsidRPr="000641E5">
              <w:rPr>
                <w:color w:val="000000"/>
                <w:spacing w:val="52"/>
                <w:shd w:val="solid" w:color="000000" w:fill="000000"/>
                <w:fitText w:val="328" w:id="-662982137"/>
                <w14:textFill>
                  <w14:solidFill>
                    <w14:srgbClr w14:val="000000">
                      <w14:alpha w14:val="100000"/>
                    </w14:srgbClr>
                  </w14:solidFill>
                </w14:textFill>
              </w:rPr>
              <w:t>|||</w:t>
            </w:r>
            <w:r w:rsidR="000641E5" w:rsidRPr="000641E5">
              <w:rPr>
                <w:color w:val="000000"/>
                <w:spacing w:val="2"/>
                <w:shd w:val="solid" w:color="000000" w:fill="000000"/>
                <w:fitText w:val="328" w:id="-662982137"/>
                <w14:textFill>
                  <w14:solidFill>
                    <w14:srgbClr w14:val="000000">
                      <w14:alpha w14:val="100000"/>
                    </w14:srgbClr>
                  </w14:solidFill>
                </w14:textFill>
              </w:rPr>
              <w:t>|</w:t>
            </w:r>
          </w:p>
        </w:tc>
      </w:tr>
      <w:tr w:rsidR="00052949" w:rsidRPr="00EC57FB" w14:paraId="69017599" w14:textId="77777777" w:rsidTr="001E02B8">
        <w:tc>
          <w:tcPr>
            <w:tcW w:w="2268" w:type="dxa"/>
            <w:vAlign w:val="center"/>
          </w:tcPr>
          <w:p w14:paraId="252E5333" w14:textId="62E528AD" w:rsidR="008A40D9" w:rsidRPr="00EC57FB" w:rsidRDefault="008A40D9" w:rsidP="00D07BC5">
            <w:pPr>
              <w:pStyle w:val="TableText0"/>
              <w:keepNext w:val="0"/>
              <w:keepLines w:val="0"/>
            </w:pPr>
            <w:r w:rsidRPr="00EC57FB">
              <w:t>Financial implications for NIP</w:t>
            </w:r>
          </w:p>
        </w:tc>
        <w:tc>
          <w:tcPr>
            <w:tcW w:w="1134" w:type="dxa"/>
            <w:vAlign w:val="center"/>
          </w:tcPr>
          <w:p w14:paraId="7D3A8DE9" w14:textId="5B0F37D6" w:rsidR="008A40D9" w:rsidRPr="00EC57FB" w:rsidRDefault="008A40D9"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7" w:id="-662982136"/>
                <w14:textFill>
                  <w14:solidFill>
                    <w14:srgbClr w14:val="000000">
                      <w14:alpha w14:val="100000"/>
                    </w14:srgbClr>
                  </w14:solidFill>
                </w14:textFill>
              </w:rPr>
              <w:t>|||</w:t>
            </w:r>
            <w:r w:rsidR="000641E5" w:rsidRPr="000641E5">
              <w:rPr>
                <w:color w:val="000000"/>
                <w:spacing w:val="1"/>
                <w:shd w:val="solid" w:color="000000" w:fill="000000"/>
                <w:fitText w:val="327" w:id="-662982136"/>
                <w14:textFill>
                  <w14:solidFill>
                    <w14:srgbClr w14:val="000000">
                      <w14:alpha w14:val="100000"/>
                    </w14:srgbClr>
                  </w14:solidFill>
                </w14:textFill>
              </w:rPr>
              <w:t>|</w:t>
            </w:r>
            <w:r w:rsidR="00973782">
              <w:t xml:space="preserve"> </w:t>
            </w:r>
            <w:r w:rsidR="00973782" w:rsidRPr="00973782">
              <w:rPr>
                <w:vertAlign w:val="superscript"/>
              </w:rPr>
              <w:t>4</w:t>
            </w:r>
          </w:p>
        </w:tc>
        <w:tc>
          <w:tcPr>
            <w:tcW w:w="1134" w:type="dxa"/>
            <w:vAlign w:val="center"/>
          </w:tcPr>
          <w:p w14:paraId="4A63214D" w14:textId="51FE905B" w:rsidR="008A40D9" w:rsidRPr="00EC57FB" w:rsidRDefault="008A40D9"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7" w:id="-662982135"/>
                <w14:textFill>
                  <w14:solidFill>
                    <w14:srgbClr w14:val="000000">
                      <w14:alpha w14:val="100000"/>
                    </w14:srgbClr>
                  </w14:solidFill>
                </w14:textFill>
              </w:rPr>
              <w:t>|||</w:t>
            </w:r>
            <w:r w:rsidR="000641E5" w:rsidRPr="000641E5">
              <w:rPr>
                <w:color w:val="000000"/>
                <w:spacing w:val="1"/>
                <w:shd w:val="solid" w:color="000000" w:fill="000000"/>
                <w:fitText w:val="327" w:id="-662982135"/>
                <w14:textFill>
                  <w14:solidFill>
                    <w14:srgbClr w14:val="000000">
                      <w14:alpha w14:val="100000"/>
                    </w14:srgbClr>
                  </w14:solidFill>
                </w14:textFill>
              </w:rPr>
              <w:t>|</w:t>
            </w:r>
            <w:r w:rsidR="00973782">
              <w:t xml:space="preserve"> </w:t>
            </w:r>
            <w:r w:rsidR="00973782" w:rsidRPr="00973782">
              <w:rPr>
                <w:vertAlign w:val="superscript"/>
              </w:rPr>
              <w:t>4</w:t>
            </w:r>
          </w:p>
        </w:tc>
        <w:tc>
          <w:tcPr>
            <w:tcW w:w="1134" w:type="dxa"/>
            <w:vAlign w:val="center"/>
          </w:tcPr>
          <w:p w14:paraId="580151FA" w14:textId="2174EE42" w:rsidR="008A40D9" w:rsidRPr="00EC57FB" w:rsidRDefault="008A40D9"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8" w:id="-662982134"/>
                <w14:textFill>
                  <w14:solidFill>
                    <w14:srgbClr w14:val="000000">
                      <w14:alpha w14:val="100000"/>
                    </w14:srgbClr>
                  </w14:solidFill>
                </w14:textFill>
              </w:rPr>
              <w:t>|||</w:t>
            </w:r>
            <w:r w:rsidR="000641E5" w:rsidRPr="000641E5">
              <w:rPr>
                <w:color w:val="000000"/>
                <w:spacing w:val="2"/>
                <w:shd w:val="solid" w:color="000000" w:fill="000000"/>
                <w:fitText w:val="328" w:id="-662982134"/>
                <w14:textFill>
                  <w14:solidFill>
                    <w14:srgbClr w14:val="000000">
                      <w14:alpha w14:val="100000"/>
                    </w14:srgbClr>
                  </w14:solidFill>
                </w14:textFill>
              </w:rPr>
              <w:t>|</w:t>
            </w:r>
            <w:r w:rsidR="00973782">
              <w:t xml:space="preserve"> </w:t>
            </w:r>
            <w:r w:rsidR="00973782" w:rsidRPr="00973782">
              <w:rPr>
                <w:vertAlign w:val="superscript"/>
              </w:rPr>
              <w:t>4</w:t>
            </w:r>
          </w:p>
        </w:tc>
        <w:tc>
          <w:tcPr>
            <w:tcW w:w="1134" w:type="dxa"/>
            <w:vAlign w:val="center"/>
          </w:tcPr>
          <w:p w14:paraId="45B2B6D7" w14:textId="160526DC" w:rsidR="008A40D9" w:rsidRPr="00EC57FB" w:rsidRDefault="008A40D9"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7" w:id="-662982133"/>
                <w14:textFill>
                  <w14:solidFill>
                    <w14:srgbClr w14:val="000000">
                      <w14:alpha w14:val="100000"/>
                    </w14:srgbClr>
                  </w14:solidFill>
                </w14:textFill>
              </w:rPr>
              <w:t>|||</w:t>
            </w:r>
            <w:r w:rsidR="000641E5" w:rsidRPr="000641E5">
              <w:rPr>
                <w:color w:val="000000"/>
                <w:spacing w:val="1"/>
                <w:shd w:val="solid" w:color="000000" w:fill="000000"/>
                <w:fitText w:val="327" w:id="-662982133"/>
                <w14:textFill>
                  <w14:solidFill>
                    <w14:srgbClr w14:val="000000">
                      <w14:alpha w14:val="100000"/>
                    </w14:srgbClr>
                  </w14:solidFill>
                </w14:textFill>
              </w:rPr>
              <w:t>|</w:t>
            </w:r>
            <w:r w:rsidR="00973782">
              <w:t xml:space="preserve"> </w:t>
            </w:r>
            <w:r w:rsidR="00973782" w:rsidRPr="00973782">
              <w:rPr>
                <w:vertAlign w:val="superscript"/>
              </w:rPr>
              <w:t>4</w:t>
            </w:r>
          </w:p>
        </w:tc>
        <w:tc>
          <w:tcPr>
            <w:tcW w:w="1134" w:type="dxa"/>
            <w:vAlign w:val="center"/>
          </w:tcPr>
          <w:p w14:paraId="741D39D5" w14:textId="3538A35F" w:rsidR="008A40D9" w:rsidRPr="00EC57FB" w:rsidRDefault="008A40D9"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8" w:id="-662982132"/>
                <w14:textFill>
                  <w14:solidFill>
                    <w14:srgbClr w14:val="000000">
                      <w14:alpha w14:val="100000"/>
                    </w14:srgbClr>
                  </w14:solidFill>
                </w14:textFill>
              </w:rPr>
              <w:t>|||</w:t>
            </w:r>
            <w:r w:rsidR="000641E5" w:rsidRPr="000641E5">
              <w:rPr>
                <w:color w:val="000000"/>
                <w:spacing w:val="2"/>
                <w:shd w:val="solid" w:color="000000" w:fill="000000"/>
                <w:fitText w:val="328" w:id="-662982132"/>
                <w14:textFill>
                  <w14:solidFill>
                    <w14:srgbClr w14:val="000000">
                      <w14:alpha w14:val="100000"/>
                    </w14:srgbClr>
                  </w14:solidFill>
                </w14:textFill>
              </w:rPr>
              <w:t>|</w:t>
            </w:r>
            <w:r w:rsidR="00973782">
              <w:t xml:space="preserve"> </w:t>
            </w:r>
            <w:r w:rsidR="00973782" w:rsidRPr="00973782">
              <w:rPr>
                <w:vertAlign w:val="superscript"/>
              </w:rPr>
              <w:t>4</w:t>
            </w:r>
          </w:p>
        </w:tc>
        <w:tc>
          <w:tcPr>
            <w:tcW w:w="1084" w:type="dxa"/>
            <w:vAlign w:val="center"/>
          </w:tcPr>
          <w:p w14:paraId="20409784" w14:textId="2CACE3EC" w:rsidR="008A40D9" w:rsidRPr="00EC57FB" w:rsidRDefault="008A40D9" w:rsidP="00D07BC5">
            <w:pPr>
              <w:pStyle w:val="TableText0"/>
              <w:keepNext w:val="0"/>
              <w:keepLines w:val="0"/>
              <w:jc w:val="center"/>
              <w:rPr>
                <w:color w:val="000000"/>
              </w:rPr>
            </w:pPr>
            <w:r w:rsidRPr="00EC57FB">
              <w:t>$</w:t>
            </w:r>
            <w:r w:rsidR="000641E5" w:rsidRPr="000641E5">
              <w:rPr>
                <w:color w:val="000000"/>
                <w:spacing w:val="55"/>
                <w:shd w:val="solid" w:color="000000" w:fill="000000"/>
                <w:fitText w:val="338" w:id="-662982131"/>
                <w14:textFill>
                  <w14:solidFill>
                    <w14:srgbClr w14:val="000000">
                      <w14:alpha w14:val="100000"/>
                    </w14:srgbClr>
                  </w14:solidFill>
                </w14:textFill>
              </w:rPr>
              <w:t>|||</w:t>
            </w:r>
            <w:r w:rsidR="000641E5" w:rsidRPr="000641E5">
              <w:rPr>
                <w:color w:val="000000"/>
                <w:spacing w:val="3"/>
                <w:shd w:val="solid" w:color="000000" w:fill="000000"/>
                <w:fitText w:val="338" w:id="-662982131"/>
                <w14:textFill>
                  <w14:solidFill>
                    <w14:srgbClr w14:val="000000">
                      <w14:alpha w14:val="100000"/>
                    </w14:srgbClr>
                  </w14:solidFill>
                </w14:textFill>
              </w:rPr>
              <w:t>|</w:t>
            </w:r>
            <w:r w:rsidR="00973782">
              <w:t xml:space="preserve"> </w:t>
            </w:r>
            <w:r w:rsidR="00973782" w:rsidRPr="00973782">
              <w:rPr>
                <w:vertAlign w:val="superscript"/>
              </w:rPr>
              <w:t>4</w:t>
            </w:r>
          </w:p>
        </w:tc>
      </w:tr>
      <w:tr w:rsidR="00A21CB6" w:rsidRPr="00EC57FB" w14:paraId="1E699D47" w14:textId="77777777" w:rsidTr="00E756EF">
        <w:tc>
          <w:tcPr>
            <w:tcW w:w="0" w:type="auto"/>
            <w:gridSpan w:val="7"/>
            <w:vAlign w:val="center"/>
          </w:tcPr>
          <w:p w14:paraId="7D0E0884" w14:textId="7802B1DD" w:rsidR="00B96626" w:rsidRPr="00EC57FB" w:rsidRDefault="0066472C" w:rsidP="00D07BC5">
            <w:pPr>
              <w:pStyle w:val="In-tableHeading"/>
              <w:keepNext w:val="0"/>
              <w:keepLines w:val="0"/>
              <w:rPr>
                <w:lang w:val="en-AU"/>
              </w:rPr>
            </w:pPr>
            <w:r w:rsidRPr="00EC57FB">
              <w:rPr>
                <w:bCs/>
                <w:color w:val="000000"/>
                <w:lang w:val="en-AU"/>
              </w:rPr>
              <w:t>Estimated extent of use and financial implications – Season 2</w:t>
            </w:r>
          </w:p>
        </w:tc>
      </w:tr>
      <w:tr w:rsidR="00052949" w:rsidRPr="00EC57FB" w14:paraId="6786D05D" w14:textId="77777777" w:rsidTr="001E02B8">
        <w:tc>
          <w:tcPr>
            <w:tcW w:w="2268" w:type="dxa"/>
            <w:vAlign w:val="center"/>
          </w:tcPr>
          <w:p w14:paraId="724869C6" w14:textId="226ED894" w:rsidR="00647100" w:rsidRPr="00EC57FB" w:rsidRDefault="00647100" w:rsidP="00D07BC5">
            <w:pPr>
              <w:pStyle w:val="TableText0"/>
              <w:keepNext w:val="0"/>
              <w:keepLines w:val="0"/>
              <w:rPr>
                <w:rFonts w:ascii="Times" w:hAnsi="Times"/>
              </w:rPr>
            </w:pPr>
            <w:r w:rsidRPr="00EC57FB">
              <w:t xml:space="preserve">Number of </w:t>
            </w:r>
            <w:r w:rsidR="00094595" w:rsidRPr="00EC57FB">
              <w:t>children</w:t>
            </w:r>
            <w:r w:rsidRPr="00EC57FB">
              <w:t xml:space="preserve"> treated</w:t>
            </w:r>
            <w:r w:rsidR="00E06E35" w:rsidRPr="00EC57FB">
              <w:t xml:space="preserve"> in Season 2</w:t>
            </w:r>
          </w:p>
        </w:tc>
        <w:tc>
          <w:tcPr>
            <w:tcW w:w="1134" w:type="dxa"/>
            <w:vAlign w:val="center"/>
          </w:tcPr>
          <w:p w14:paraId="5F0ECDAF" w14:textId="065D81DE" w:rsidR="00647100" w:rsidRPr="00EC57FB" w:rsidRDefault="000641E5" w:rsidP="00D07BC5">
            <w:pPr>
              <w:pStyle w:val="TableText0"/>
              <w:keepNext w:val="0"/>
              <w:keepLines w:val="0"/>
              <w:jc w:val="center"/>
              <w:rPr>
                <w:color w:val="000000"/>
              </w:rPr>
            </w:pPr>
            <w:r w:rsidRPr="000641E5">
              <w:rPr>
                <w:color w:val="000000"/>
                <w:spacing w:val="52"/>
                <w:shd w:val="solid" w:color="000000" w:fill="000000"/>
                <w:fitText w:val="327" w:id="-662982130"/>
                <w14:textFill>
                  <w14:solidFill>
                    <w14:srgbClr w14:val="000000">
                      <w14:alpha w14:val="100000"/>
                    </w14:srgbClr>
                  </w14:solidFill>
                </w14:textFill>
              </w:rPr>
              <w:t>|||</w:t>
            </w:r>
            <w:r w:rsidRPr="000641E5">
              <w:rPr>
                <w:color w:val="000000"/>
                <w:spacing w:val="1"/>
                <w:shd w:val="solid" w:color="000000" w:fill="000000"/>
                <w:fitText w:val="327" w:id="-662982130"/>
                <w14:textFill>
                  <w14:solidFill>
                    <w14:srgbClr w14:val="000000">
                      <w14:alpha w14:val="100000"/>
                    </w14:srgbClr>
                  </w14:solidFill>
                </w14:textFill>
              </w:rPr>
              <w:t>|</w:t>
            </w:r>
            <w:r w:rsidR="00973782">
              <w:t xml:space="preserve"> </w:t>
            </w:r>
            <w:r w:rsidR="00973782">
              <w:rPr>
                <w:vertAlign w:val="superscript"/>
              </w:rPr>
              <w:t>5</w:t>
            </w:r>
          </w:p>
        </w:tc>
        <w:tc>
          <w:tcPr>
            <w:tcW w:w="1134" w:type="dxa"/>
            <w:vAlign w:val="center"/>
          </w:tcPr>
          <w:p w14:paraId="55F59D0C" w14:textId="7221C329" w:rsidR="00647100" w:rsidRPr="00EC57FB" w:rsidRDefault="000641E5" w:rsidP="00D07BC5">
            <w:pPr>
              <w:pStyle w:val="TableText0"/>
              <w:keepNext w:val="0"/>
              <w:keepLines w:val="0"/>
              <w:jc w:val="center"/>
              <w:rPr>
                <w:color w:val="000000"/>
              </w:rPr>
            </w:pPr>
            <w:r w:rsidRPr="000641E5">
              <w:rPr>
                <w:color w:val="000000"/>
                <w:spacing w:val="52"/>
                <w:shd w:val="solid" w:color="000000" w:fill="000000"/>
                <w:fitText w:val="327" w:id="-662982129"/>
                <w14:textFill>
                  <w14:solidFill>
                    <w14:srgbClr w14:val="000000">
                      <w14:alpha w14:val="100000"/>
                    </w14:srgbClr>
                  </w14:solidFill>
                </w14:textFill>
              </w:rPr>
              <w:t>|||</w:t>
            </w:r>
            <w:r w:rsidRPr="000641E5">
              <w:rPr>
                <w:color w:val="000000"/>
                <w:spacing w:val="1"/>
                <w:shd w:val="solid" w:color="000000" w:fill="000000"/>
                <w:fitText w:val="327" w:id="-662982129"/>
                <w14:textFill>
                  <w14:solidFill>
                    <w14:srgbClr w14:val="000000">
                      <w14:alpha w14:val="100000"/>
                    </w14:srgbClr>
                  </w14:solidFill>
                </w14:textFill>
              </w:rPr>
              <w:t>|</w:t>
            </w:r>
            <w:r w:rsidR="00973782">
              <w:t xml:space="preserve"> </w:t>
            </w:r>
            <w:r w:rsidR="00973782">
              <w:rPr>
                <w:vertAlign w:val="superscript"/>
              </w:rPr>
              <w:t>5</w:t>
            </w:r>
          </w:p>
        </w:tc>
        <w:tc>
          <w:tcPr>
            <w:tcW w:w="1134" w:type="dxa"/>
            <w:vAlign w:val="center"/>
          </w:tcPr>
          <w:p w14:paraId="4A96B378" w14:textId="42A4D6F8" w:rsidR="00647100" w:rsidRPr="00EC57FB" w:rsidRDefault="000641E5" w:rsidP="00D07BC5">
            <w:pPr>
              <w:pStyle w:val="TableText0"/>
              <w:keepNext w:val="0"/>
              <w:keepLines w:val="0"/>
              <w:jc w:val="center"/>
              <w:rPr>
                <w:color w:val="000000"/>
              </w:rPr>
            </w:pPr>
            <w:r w:rsidRPr="000641E5">
              <w:rPr>
                <w:color w:val="000000"/>
                <w:spacing w:val="52"/>
                <w:shd w:val="solid" w:color="000000" w:fill="000000"/>
                <w:fitText w:val="327" w:id="-662982128"/>
                <w14:textFill>
                  <w14:solidFill>
                    <w14:srgbClr w14:val="000000">
                      <w14:alpha w14:val="100000"/>
                    </w14:srgbClr>
                  </w14:solidFill>
                </w14:textFill>
              </w:rPr>
              <w:t>|||</w:t>
            </w:r>
            <w:r w:rsidRPr="000641E5">
              <w:rPr>
                <w:color w:val="000000"/>
                <w:spacing w:val="1"/>
                <w:shd w:val="solid" w:color="000000" w:fill="000000"/>
                <w:fitText w:val="327" w:id="-662982128"/>
                <w14:textFill>
                  <w14:solidFill>
                    <w14:srgbClr w14:val="000000">
                      <w14:alpha w14:val="100000"/>
                    </w14:srgbClr>
                  </w14:solidFill>
                </w14:textFill>
              </w:rPr>
              <w:t>|</w:t>
            </w:r>
            <w:r w:rsidR="00973782">
              <w:t xml:space="preserve"> </w:t>
            </w:r>
            <w:r w:rsidR="00973782">
              <w:rPr>
                <w:vertAlign w:val="superscript"/>
              </w:rPr>
              <w:t>5</w:t>
            </w:r>
          </w:p>
        </w:tc>
        <w:tc>
          <w:tcPr>
            <w:tcW w:w="1134" w:type="dxa"/>
            <w:vAlign w:val="center"/>
          </w:tcPr>
          <w:p w14:paraId="126FE1D5" w14:textId="1426A32F" w:rsidR="00647100" w:rsidRPr="00EC57FB" w:rsidRDefault="000641E5" w:rsidP="00D07BC5">
            <w:pPr>
              <w:pStyle w:val="TableText0"/>
              <w:keepNext w:val="0"/>
              <w:keepLines w:val="0"/>
              <w:jc w:val="center"/>
              <w:rPr>
                <w:color w:val="000000"/>
              </w:rPr>
            </w:pPr>
            <w:r w:rsidRPr="000641E5">
              <w:rPr>
                <w:color w:val="000000"/>
                <w:spacing w:val="52"/>
                <w:shd w:val="solid" w:color="000000" w:fill="000000"/>
                <w:fitText w:val="327" w:id="-662982144"/>
                <w14:textFill>
                  <w14:solidFill>
                    <w14:srgbClr w14:val="000000">
                      <w14:alpha w14:val="100000"/>
                    </w14:srgbClr>
                  </w14:solidFill>
                </w14:textFill>
              </w:rPr>
              <w:t>|||</w:t>
            </w:r>
            <w:r w:rsidRPr="000641E5">
              <w:rPr>
                <w:color w:val="000000"/>
                <w:spacing w:val="1"/>
                <w:shd w:val="solid" w:color="000000" w:fill="000000"/>
                <w:fitText w:val="327" w:id="-662982144"/>
                <w14:textFill>
                  <w14:solidFill>
                    <w14:srgbClr w14:val="000000">
                      <w14:alpha w14:val="100000"/>
                    </w14:srgbClr>
                  </w14:solidFill>
                </w14:textFill>
              </w:rPr>
              <w:t>|</w:t>
            </w:r>
            <w:r w:rsidR="00973782">
              <w:t xml:space="preserve"> </w:t>
            </w:r>
            <w:r w:rsidR="00973782">
              <w:rPr>
                <w:vertAlign w:val="superscript"/>
              </w:rPr>
              <w:t>5</w:t>
            </w:r>
          </w:p>
        </w:tc>
        <w:tc>
          <w:tcPr>
            <w:tcW w:w="1134" w:type="dxa"/>
            <w:vAlign w:val="center"/>
          </w:tcPr>
          <w:p w14:paraId="693756AF" w14:textId="18AD6384" w:rsidR="00647100" w:rsidRPr="00EC57FB" w:rsidRDefault="000641E5" w:rsidP="00D07BC5">
            <w:pPr>
              <w:pStyle w:val="TableText0"/>
              <w:keepNext w:val="0"/>
              <w:keepLines w:val="0"/>
              <w:jc w:val="center"/>
              <w:rPr>
                <w:color w:val="000000"/>
              </w:rPr>
            </w:pPr>
            <w:r w:rsidRPr="000641E5">
              <w:rPr>
                <w:color w:val="000000"/>
                <w:spacing w:val="52"/>
                <w:shd w:val="solid" w:color="000000" w:fill="000000"/>
                <w:fitText w:val="327" w:id="-662982143"/>
                <w14:textFill>
                  <w14:solidFill>
                    <w14:srgbClr w14:val="000000">
                      <w14:alpha w14:val="100000"/>
                    </w14:srgbClr>
                  </w14:solidFill>
                </w14:textFill>
              </w:rPr>
              <w:t>|||</w:t>
            </w:r>
            <w:r w:rsidRPr="000641E5">
              <w:rPr>
                <w:color w:val="000000"/>
                <w:spacing w:val="1"/>
                <w:shd w:val="solid" w:color="000000" w:fill="000000"/>
                <w:fitText w:val="327" w:id="-662982143"/>
                <w14:textFill>
                  <w14:solidFill>
                    <w14:srgbClr w14:val="000000">
                      <w14:alpha w14:val="100000"/>
                    </w14:srgbClr>
                  </w14:solidFill>
                </w14:textFill>
              </w:rPr>
              <w:t>|</w:t>
            </w:r>
            <w:r w:rsidR="00973782">
              <w:t xml:space="preserve"> </w:t>
            </w:r>
            <w:r w:rsidR="00973782">
              <w:rPr>
                <w:vertAlign w:val="superscript"/>
              </w:rPr>
              <w:t>5</w:t>
            </w:r>
          </w:p>
        </w:tc>
        <w:tc>
          <w:tcPr>
            <w:tcW w:w="1084" w:type="dxa"/>
            <w:vAlign w:val="center"/>
          </w:tcPr>
          <w:p w14:paraId="0B055B28" w14:textId="2E17E93A" w:rsidR="00647100" w:rsidRPr="00EC57FB" w:rsidRDefault="000641E5" w:rsidP="00D07BC5">
            <w:pPr>
              <w:pStyle w:val="TableText0"/>
              <w:keepNext w:val="0"/>
              <w:keepLines w:val="0"/>
              <w:jc w:val="center"/>
              <w:rPr>
                <w:color w:val="000000"/>
              </w:rPr>
            </w:pPr>
            <w:r w:rsidRPr="000641E5">
              <w:rPr>
                <w:color w:val="000000"/>
                <w:spacing w:val="52"/>
                <w:shd w:val="solid" w:color="000000" w:fill="000000"/>
                <w:fitText w:val="327" w:id="-662982142"/>
                <w14:textFill>
                  <w14:solidFill>
                    <w14:srgbClr w14:val="000000">
                      <w14:alpha w14:val="100000"/>
                    </w14:srgbClr>
                  </w14:solidFill>
                </w14:textFill>
              </w:rPr>
              <w:t>|||</w:t>
            </w:r>
            <w:r w:rsidRPr="000641E5">
              <w:rPr>
                <w:color w:val="000000"/>
                <w:spacing w:val="1"/>
                <w:shd w:val="solid" w:color="000000" w:fill="000000"/>
                <w:fitText w:val="327" w:id="-662982142"/>
                <w14:textFill>
                  <w14:solidFill>
                    <w14:srgbClr w14:val="000000">
                      <w14:alpha w14:val="100000"/>
                    </w14:srgbClr>
                  </w14:solidFill>
                </w14:textFill>
              </w:rPr>
              <w:t>|</w:t>
            </w:r>
            <w:r w:rsidR="00973782">
              <w:t xml:space="preserve"> </w:t>
            </w:r>
            <w:r w:rsidR="00973782">
              <w:rPr>
                <w:vertAlign w:val="superscript"/>
              </w:rPr>
              <w:t>5</w:t>
            </w:r>
          </w:p>
        </w:tc>
      </w:tr>
      <w:tr w:rsidR="00541CEE" w:rsidRPr="00EC57FB" w14:paraId="735ACA34" w14:textId="77777777" w:rsidTr="00973782">
        <w:tc>
          <w:tcPr>
            <w:tcW w:w="2268" w:type="dxa"/>
            <w:vAlign w:val="center"/>
          </w:tcPr>
          <w:p w14:paraId="39F480E3" w14:textId="77777777" w:rsidR="00F518DF" w:rsidRPr="00EC57FB" w:rsidRDefault="00F518DF" w:rsidP="00D07BC5">
            <w:pPr>
              <w:pStyle w:val="TableText0"/>
              <w:keepNext w:val="0"/>
              <w:keepLines w:val="0"/>
            </w:pPr>
            <w:r w:rsidRPr="00EC57FB">
              <w:t>Cost per patient</w:t>
            </w:r>
          </w:p>
        </w:tc>
        <w:tc>
          <w:tcPr>
            <w:tcW w:w="6754" w:type="dxa"/>
            <w:gridSpan w:val="6"/>
            <w:vAlign w:val="center"/>
          </w:tcPr>
          <w:p w14:paraId="74015D07" w14:textId="25830BA0" w:rsidR="00F518DF" w:rsidRPr="00EC57FB" w:rsidRDefault="00F518DF" w:rsidP="00973782">
            <w:pPr>
              <w:pStyle w:val="TableText0"/>
              <w:keepNext w:val="0"/>
              <w:keepLines w:val="0"/>
              <w:jc w:val="center"/>
              <w:rPr>
                <w:color w:val="000000"/>
              </w:rPr>
            </w:pPr>
            <w:r w:rsidRPr="00EC57FB">
              <w:rPr>
                <w:color w:val="000000"/>
              </w:rPr>
              <w:t>$</w:t>
            </w:r>
            <w:r w:rsidR="000641E5" w:rsidRPr="000641E5">
              <w:rPr>
                <w:color w:val="000000"/>
                <w:spacing w:val="52"/>
                <w:shd w:val="solid" w:color="000000" w:fill="000000"/>
                <w:fitText w:val="328" w:id="-662982141"/>
                <w14:textFill>
                  <w14:solidFill>
                    <w14:srgbClr w14:val="000000">
                      <w14:alpha w14:val="100000"/>
                    </w14:srgbClr>
                  </w14:solidFill>
                </w14:textFill>
              </w:rPr>
              <w:t>|||</w:t>
            </w:r>
            <w:r w:rsidR="000641E5" w:rsidRPr="000641E5">
              <w:rPr>
                <w:color w:val="000000"/>
                <w:spacing w:val="2"/>
                <w:shd w:val="solid" w:color="000000" w:fill="000000"/>
                <w:fitText w:val="328" w:id="-662982141"/>
                <w14:textFill>
                  <w14:solidFill>
                    <w14:srgbClr w14:val="000000">
                      <w14:alpha w14:val="100000"/>
                    </w14:srgbClr>
                  </w14:solidFill>
                </w14:textFill>
              </w:rPr>
              <w:t>|</w:t>
            </w:r>
          </w:p>
        </w:tc>
      </w:tr>
      <w:tr w:rsidR="00052949" w:rsidRPr="00EC57FB" w14:paraId="7593CCA9" w14:textId="77777777" w:rsidTr="001E02B8">
        <w:tc>
          <w:tcPr>
            <w:tcW w:w="2268" w:type="dxa"/>
            <w:vAlign w:val="center"/>
          </w:tcPr>
          <w:p w14:paraId="7D0C260C" w14:textId="77777777" w:rsidR="008818CC" w:rsidRPr="00EC57FB" w:rsidRDefault="008818CC" w:rsidP="00D07BC5">
            <w:pPr>
              <w:pStyle w:val="TableText0"/>
              <w:keepNext w:val="0"/>
              <w:keepLines w:val="0"/>
            </w:pPr>
            <w:r w:rsidRPr="00EC57FB">
              <w:t>Financial implications for NIP</w:t>
            </w:r>
          </w:p>
        </w:tc>
        <w:tc>
          <w:tcPr>
            <w:tcW w:w="1134" w:type="dxa"/>
            <w:vAlign w:val="center"/>
          </w:tcPr>
          <w:p w14:paraId="561C8F9F" w14:textId="7ACA367E" w:rsidR="008818CC" w:rsidRPr="00EC57FB" w:rsidRDefault="008818CC"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7" w:id="-662982140"/>
                <w14:textFill>
                  <w14:solidFill>
                    <w14:srgbClr w14:val="000000">
                      <w14:alpha w14:val="100000"/>
                    </w14:srgbClr>
                  </w14:solidFill>
                </w14:textFill>
              </w:rPr>
              <w:t>|||</w:t>
            </w:r>
            <w:r w:rsidR="000641E5" w:rsidRPr="000641E5">
              <w:rPr>
                <w:color w:val="000000"/>
                <w:spacing w:val="1"/>
                <w:shd w:val="solid" w:color="000000" w:fill="000000"/>
                <w:fitText w:val="327" w:id="-662982140"/>
                <w14:textFill>
                  <w14:solidFill>
                    <w14:srgbClr w14:val="000000">
                      <w14:alpha w14:val="100000"/>
                    </w14:srgbClr>
                  </w14:solidFill>
                </w14:textFill>
              </w:rPr>
              <w:t>|</w:t>
            </w:r>
            <w:r w:rsidR="00663295">
              <w:t xml:space="preserve"> </w:t>
            </w:r>
            <w:r w:rsidR="00663295">
              <w:rPr>
                <w:vertAlign w:val="superscript"/>
              </w:rPr>
              <w:t>6</w:t>
            </w:r>
          </w:p>
        </w:tc>
        <w:tc>
          <w:tcPr>
            <w:tcW w:w="1134" w:type="dxa"/>
            <w:vAlign w:val="center"/>
          </w:tcPr>
          <w:p w14:paraId="20BEAAF1" w14:textId="4FFE95F5" w:rsidR="008818CC" w:rsidRPr="00EC57FB" w:rsidRDefault="008818CC"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7" w:id="-662982139"/>
                <w14:textFill>
                  <w14:solidFill>
                    <w14:srgbClr w14:val="000000">
                      <w14:alpha w14:val="100000"/>
                    </w14:srgbClr>
                  </w14:solidFill>
                </w14:textFill>
              </w:rPr>
              <w:t>|||</w:t>
            </w:r>
            <w:r w:rsidR="000641E5" w:rsidRPr="000641E5">
              <w:rPr>
                <w:color w:val="000000"/>
                <w:spacing w:val="1"/>
                <w:shd w:val="solid" w:color="000000" w:fill="000000"/>
                <w:fitText w:val="327" w:id="-662982139"/>
                <w14:textFill>
                  <w14:solidFill>
                    <w14:srgbClr w14:val="000000">
                      <w14:alpha w14:val="100000"/>
                    </w14:srgbClr>
                  </w14:solidFill>
                </w14:textFill>
              </w:rPr>
              <w:t>|</w:t>
            </w:r>
            <w:r w:rsidR="00663295">
              <w:t xml:space="preserve"> </w:t>
            </w:r>
            <w:r w:rsidR="00663295">
              <w:rPr>
                <w:vertAlign w:val="superscript"/>
              </w:rPr>
              <w:t>6</w:t>
            </w:r>
          </w:p>
        </w:tc>
        <w:tc>
          <w:tcPr>
            <w:tcW w:w="1134" w:type="dxa"/>
            <w:vAlign w:val="center"/>
          </w:tcPr>
          <w:p w14:paraId="4DB0B3C5" w14:textId="7A4BF165" w:rsidR="008818CC" w:rsidRPr="00EC57FB" w:rsidRDefault="008818CC"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8" w:id="-662982138"/>
                <w14:textFill>
                  <w14:solidFill>
                    <w14:srgbClr w14:val="000000">
                      <w14:alpha w14:val="100000"/>
                    </w14:srgbClr>
                  </w14:solidFill>
                </w14:textFill>
              </w:rPr>
              <w:t>|||</w:t>
            </w:r>
            <w:r w:rsidR="000641E5" w:rsidRPr="000641E5">
              <w:rPr>
                <w:color w:val="000000"/>
                <w:spacing w:val="2"/>
                <w:shd w:val="solid" w:color="000000" w:fill="000000"/>
                <w:fitText w:val="328" w:id="-662982138"/>
                <w14:textFill>
                  <w14:solidFill>
                    <w14:srgbClr w14:val="000000">
                      <w14:alpha w14:val="100000"/>
                    </w14:srgbClr>
                  </w14:solidFill>
                </w14:textFill>
              </w:rPr>
              <w:t>|</w:t>
            </w:r>
            <w:r w:rsidR="00663295">
              <w:t xml:space="preserve"> </w:t>
            </w:r>
            <w:r w:rsidR="00663295">
              <w:rPr>
                <w:vertAlign w:val="superscript"/>
              </w:rPr>
              <w:t>6</w:t>
            </w:r>
          </w:p>
        </w:tc>
        <w:tc>
          <w:tcPr>
            <w:tcW w:w="1134" w:type="dxa"/>
            <w:vAlign w:val="center"/>
          </w:tcPr>
          <w:p w14:paraId="0EED6CB4" w14:textId="1D9FFE59" w:rsidR="008818CC" w:rsidRPr="00EC57FB" w:rsidRDefault="008818CC"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7" w:id="-662982137"/>
                <w14:textFill>
                  <w14:solidFill>
                    <w14:srgbClr w14:val="000000">
                      <w14:alpha w14:val="100000"/>
                    </w14:srgbClr>
                  </w14:solidFill>
                </w14:textFill>
              </w:rPr>
              <w:t>|||</w:t>
            </w:r>
            <w:r w:rsidR="000641E5" w:rsidRPr="000641E5">
              <w:rPr>
                <w:color w:val="000000"/>
                <w:spacing w:val="1"/>
                <w:shd w:val="solid" w:color="000000" w:fill="000000"/>
                <w:fitText w:val="327" w:id="-662982137"/>
                <w14:textFill>
                  <w14:solidFill>
                    <w14:srgbClr w14:val="000000">
                      <w14:alpha w14:val="100000"/>
                    </w14:srgbClr>
                  </w14:solidFill>
                </w14:textFill>
              </w:rPr>
              <w:t>|</w:t>
            </w:r>
            <w:r w:rsidR="00663295">
              <w:t xml:space="preserve"> </w:t>
            </w:r>
            <w:r w:rsidR="00663295">
              <w:rPr>
                <w:vertAlign w:val="superscript"/>
              </w:rPr>
              <w:t>6</w:t>
            </w:r>
          </w:p>
        </w:tc>
        <w:tc>
          <w:tcPr>
            <w:tcW w:w="1134" w:type="dxa"/>
            <w:vAlign w:val="center"/>
          </w:tcPr>
          <w:p w14:paraId="456FEA97" w14:textId="68EE74B0" w:rsidR="008818CC" w:rsidRPr="00EC57FB" w:rsidRDefault="008818CC"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8" w:id="-662982136"/>
                <w14:textFill>
                  <w14:solidFill>
                    <w14:srgbClr w14:val="000000">
                      <w14:alpha w14:val="100000"/>
                    </w14:srgbClr>
                  </w14:solidFill>
                </w14:textFill>
              </w:rPr>
              <w:t>|||</w:t>
            </w:r>
            <w:r w:rsidR="000641E5" w:rsidRPr="000641E5">
              <w:rPr>
                <w:color w:val="000000"/>
                <w:spacing w:val="2"/>
                <w:shd w:val="solid" w:color="000000" w:fill="000000"/>
                <w:fitText w:val="328" w:id="-662982136"/>
                <w14:textFill>
                  <w14:solidFill>
                    <w14:srgbClr w14:val="000000">
                      <w14:alpha w14:val="100000"/>
                    </w14:srgbClr>
                  </w14:solidFill>
                </w14:textFill>
              </w:rPr>
              <w:t>|</w:t>
            </w:r>
            <w:r w:rsidR="00663295">
              <w:t xml:space="preserve"> </w:t>
            </w:r>
            <w:r w:rsidR="00663295">
              <w:rPr>
                <w:vertAlign w:val="superscript"/>
              </w:rPr>
              <w:t>6</w:t>
            </w:r>
          </w:p>
        </w:tc>
        <w:tc>
          <w:tcPr>
            <w:tcW w:w="1084" w:type="dxa"/>
            <w:vAlign w:val="center"/>
          </w:tcPr>
          <w:p w14:paraId="71877B58" w14:textId="78390B9C" w:rsidR="008818CC" w:rsidRPr="00EC57FB" w:rsidRDefault="008818CC" w:rsidP="00D07BC5">
            <w:pPr>
              <w:pStyle w:val="TableText0"/>
              <w:keepNext w:val="0"/>
              <w:keepLines w:val="0"/>
              <w:jc w:val="center"/>
              <w:rPr>
                <w:color w:val="000000"/>
              </w:rPr>
            </w:pPr>
            <w:r w:rsidRPr="00EC57FB">
              <w:t>$</w:t>
            </w:r>
            <w:r w:rsidR="000641E5" w:rsidRPr="000641E5">
              <w:rPr>
                <w:color w:val="000000"/>
                <w:spacing w:val="55"/>
                <w:shd w:val="solid" w:color="000000" w:fill="000000"/>
                <w:fitText w:val="338" w:id="-662982135"/>
                <w14:textFill>
                  <w14:solidFill>
                    <w14:srgbClr w14:val="000000">
                      <w14:alpha w14:val="100000"/>
                    </w14:srgbClr>
                  </w14:solidFill>
                </w14:textFill>
              </w:rPr>
              <w:t>|||</w:t>
            </w:r>
            <w:r w:rsidR="000641E5" w:rsidRPr="000641E5">
              <w:rPr>
                <w:color w:val="000000"/>
                <w:spacing w:val="3"/>
                <w:shd w:val="solid" w:color="000000" w:fill="000000"/>
                <w:fitText w:val="338" w:id="-662982135"/>
                <w14:textFill>
                  <w14:solidFill>
                    <w14:srgbClr w14:val="000000">
                      <w14:alpha w14:val="100000"/>
                    </w14:srgbClr>
                  </w14:solidFill>
                </w14:textFill>
              </w:rPr>
              <w:t>|</w:t>
            </w:r>
            <w:r w:rsidR="00663295">
              <w:t xml:space="preserve"> </w:t>
            </w:r>
            <w:r w:rsidR="00663295">
              <w:rPr>
                <w:vertAlign w:val="superscript"/>
              </w:rPr>
              <w:t>6</w:t>
            </w:r>
          </w:p>
        </w:tc>
      </w:tr>
      <w:tr w:rsidR="00052949" w:rsidRPr="00EC57FB" w14:paraId="25674641" w14:textId="77777777" w:rsidTr="001E02B8">
        <w:tc>
          <w:tcPr>
            <w:tcW w:w="2268" w:type="dxa"/>
            <w:vAlign w:val="center"/>
          </w:tcPr>
          <w:p w14:paraId="24211C79" w14:textId="435A7DAF" w:rsidR="001B28ED" w:rsidRPr="00EC57FB" w:rsidRDefault="001B28ED" w:rsidP="00D07BC5">
            <w:pPr>
              <w:pStyle w:val="TableText0"/>
              <w:keepNext w:val="0"/>
              <w:keepLines w:val="0"/>
            </w:pPr>
            <w:r w:rsidRPr="00EC57FB">
              <w:t>Total infants and children treated</w:t>
            </w:r>
          </w:p>
        </w:tc>
        <w:tc>
          <w:tcPr>
            <w:tcW w:w="1134" w:type="dxa"/>
            <w:vAlign w:val="center"/>
          </w:tcPr>
          <w:p w14:paraId="254E15E4" w14:textId="2E676330" w:rsidR="001B28ED" w:rsidRPr="00EC57FB" w:rsidRDefault="000641E5" w:rsidP="00D07BC5">
            <w:pPr>
              <w:pStyle w:val="TableText0"/>
              <w:keepNext w:val="0"/>
              <w:keepLines w:val="0"/>
              <w:jc w:val="center"/>
            </w:pPr>
            <w:r w:rsidRPr="000641E5">
              <w:rPr>
                <w:color w:val="000000"/>
                <w:spacing w:val="52"/>
                <w:shd w:val="solid" w:color="000000" w:fill="000000"/>
                <w:fitText w:val="327" w:id="-662982134"/>
                <w14:textFill>
                  <w14:solidFill>
                    <w14:srgbClr w14:val="000000">
                      <w14:alpha w14:val="100000"/>
                    </w14:srgbClr>
                  </w14:solidFill>
                </w14:textFill>
              </w:rPr>
              <w:t>|||</w:t>
            </w:r>
            <w:r w:rsidRPr="000641E5">
              <w:rPr>
                <w:color w:val="000000"/>
                <w:spacing w:val="1"/>
                <w:shd w:val="solid" w:color="000000" w:fill="000000"/>
                <w:fitText w:val="327" w:id="-662982134"/>
                <w14:textFill>
                  <w14:solidFill>
                    <w14:srgbClr w14:val="000000">
                      <w14:alpha w14:val="100000"/>
                    </w14:srgbClr>
                  </w14:solidFill>
                </w14:textFill>
              </w:rPr>
              <w:t>|</w:t>
            </w:r>
            <w:r w:rsidR="00663295">
              <w:t xml:space="preserve"> </w:t>
            </w:r>
            <w:r w:rsidR="00663295">
              <w:rPr>
                <w:vertAlign w:val="superscript"/>
              </w:rPr>
              <w:t>3</w:t>
            </w:r>
          </w:p>
        </w:tc>
        <w:tc>
          <w:tcPr>
            <w:tcW w:w="1134" w:type="dxa"/>
            <w:vAlign w:val="center"/>
          </w:tcPr>
          <w:p w14:paraId="3FAA8DB1" w14:textId="188FD595" w:rsidR="001B28ED" w:rsidRPr="00EC57FB" w:rsidRDefault="000641E5" w:rsidP="00D07BC5">
            <w:pPr>
              <w:pStyle w:val="TableText0"/>
              <w:keepNext w:val="0"/>
              <w:keepLines w:val="0"/>
              <w:jc w:val="center"/>
            </w:pPr>
            <w:r w:rsidRPr="000641E5">
              <w:rPr>
                <w:color w:val="000000"/>
                <w:spacing w:val="52"/>
                <w:shd w:val="solid" w:color="000000" w:fill="000000"/>
                <w:fitText w:val="327" w:id="-662982133"/>
                <w14:textFill>
                  <w14:solidFill>
                    <w14:srgbClr w14:val="000000">
                      <w14:alpha w14:val="100000"/>
                    </w14:srgbClr>
                  </w14:solidFill>
                </w14:textFill>
              </w:rPr>
              <w:t>|||</w:t>
            </w:r>
            <w:r w:rsidRPr="000641E5">
              <w:rPr>
                <w:color w:val="000000"/>
                <w:spacing w:val="1"/>
                <w:shd w:val="solid" w:color="000000" w:fill="000000"/>
                <w:fitText w:val="327" w:id="-662982133"/>
                <w14:textFill>
                  <w14:solidFill>
                    <w14:srgbClr w14:val="000000">
                      <w14:alpha w14:val="100000"/>
                    </w14:srgbClr>
                  </w14:solidFill>
                </w14:textFill>
              </w:rPr>
              <w:t>|</w:t>
            </w:r>
            <w:r w:rsidR="00663295">
              <w:t xml:space="preserve"> </w:t>
            </w:r>
            <w:r w:rsidR="00663295">
              <w:rPr>
                <w:vertAlign w:val="superscript"/>
              </w:rPr>
              <w:t>3</w:t>
            </w:r>
          </w:p>
        </w:tc>
        <w:tc>
          <w:tcPr>
            <w:tcW w:w="1134" w:type="dxa"/>
            <w:vAlign w:val="center"/>
          </w:tcPr>
          <w:p w14:paraId="0D0A8C2E" w14:textId="1D10E868" w:rsidR="001B28ED" w:rsidRPr="00EC57FB" w:rsidRDefault="000641E5" w:rsidP="00D07BC5">
            <w:pPr>
              <w:pStyle w:val="TableText0"/>
              <w:keepNext w:val="0"/>
              <w:keepLines w:val="0"/>
              <w:jc w:val="center"/>
            </w:pPr>
            <w:r w:rsidRPr="000641E5">
              <w:rPr>
                <w:color w:val="000000"/>
                <w:spacing w:val="52"/>
                <w:shd w:val="solid" w:color="000000" w:fill="000000"/>
                <w:fitText w:val="327" w:id="-662982132"/>
                <w14:textFill>
                  <w14:solidFill>
                    <w14:srgbClr w14:val="000000">
                      <w14:alpha w14:val="100000"/>
                    </w14:srgbClr>
                  </w14:solidFill>
                </w14:textFill>
              </w:rPr>
              <w:t>|||</w:t>
            </w:r>
            <w:r w:rsidRPr="000641E5">
              <w:rPr>
                <w:color w:val="000000"/>
                <w:spacing w:val="1"/>
                <w:shd w:val="solid" w:color="000000" w:fill="000000"/>
                <w:fitText w:val="327" w:id="-662982132"/>
                <w14:textFill>
                  <w14:solidFill>
                    <w14:srgbClr w14:val="000000">
                      <w14:alpha w14:val="100000"/>
                    </w14:srgbClr>
                  </w14:solidFill>
                </w14:textFill>
              </w:rPr>
              <w:t>|</w:t>
            </w:r>
            <w:r w:rsidR="00663295">
              <w:t xml:space="preserve"> </w:t>
            </w:r>
            <w:r w:rsidR="00663295">
              <w:rPr>
                <w:vertAlign w:val="superscript"/>
              </w:rPr>
              <w:t>3</w:t>
            </w:r>
          </w:p>
        </w:tc>
        <w:tc>
          <w:tcPr>
            <w:tcW w:w="1134" w:type="dxa"/>
            <w:vAlign w:val="center"/>
          </w:tcPr>
          <w:p w14:paraId="68B0821F" w14:textId="57DA4C6C" w:rsidR="001B28ED" w:rsidRPr="00EC57FB" w:rsidRDefault="000641E5" w:rsidP="00D07BC5">
            <w:pPr>
              <w:pStyle w:val="TableText0"/>
              <w:keepNext w:val="0"/>
              <w:keepLines w:val="0"/>
              <w:jc w:val="center"/>
            </w:pPr>
            <w:r w:rsidRPr="000641E5">
              <w:rPr>
                <w:color w:val="000000"/>
                <w:spacing w:val="52"/>
                <w:shd w:val="solid" w:color="000000" w:fill="000000"/>
                <w:fitText w:val="327" w:id="-662982131"/>
                <w14:textFill>
                  <w14:solidFill>
                    <w14:srgbClr w14:val="000000">
                      <w14:alpha w14:val="100000"/>
                    </w14:srgbClr>
                  </w14:solidFill>
                </w14:textFill>
              </w:rPr>
              <w:t>|||</w:t>
            </w:r>
            <w:r w:rsidRPr="000641E5">
              <w:rPr>
                <w:color w:val="000000"/>
                <w:spacing w:val="1"/>
                <w:shd w:val="solid" w:color="000000" w:fill="000000"/>
                <w:fitText w:val="327" w:id="-662982131"/>
                <w14:textFill>
                  <w14:solidFill>
                    <w14:srgbClr w14:val="000000">
                      <w14:alpha w14:val="100000"/>
                    </w14:srgbClr>
                  </w14:solidFill>
                </w14:textFill>
              </w:rPr>
              <w:t>|</w:t>
            </w:r>
            <w:r w:rsidR="00663295">
              <w:t xml:space="preserve"> </w:t>
            </w:r>
            <w:r w:rsidR="00663295">
              <w:rPr>
                <w:vertAlign w:val="superscript"/>
              </w:rPr>
              <w:t>3</w:t>
            </w:r>
          </w:p>
        </w:tc>
        <w:tc>
          <w:tcPr>
            <w:tcW w:w="1134" w:type="dxa"/>
            <w:vAlign w:val="center"/>
          </w:tcPr>
          <w:p w14:paraId="567CCF0E" w14:textId="6578310E" w:rsidR="001B28ED" w:rsidRPr="00EC57FB" w:rsidRDefault="000641E5" w:rsidP="00D07BC5">
            <w:pPr>
              <w:pStyle w:val="TableText0"/>
              <w:keepNext w:val="0"/>
              <w:keepLines w:val="0"/>
              <w:jc w:val="center"/>
            </w:pPr>
            <w:r w:rsidRPr="000641E5">
              <w:rPr>
                <w:color w:val="000000"/>
                <w:spacing w:val="52"/>
                <w:shd w:val="solid" w:color="000000" w:fill="000000"/>
                <w:fitText w:val="327" w:id="-662982130"/>
                <w14:textFill>
                  <w14:solidFill>
                    <w14:srgbClr w14:val="000000">
                      <w14:alpha w14:val="100000"/>
                    </w14:srgbClr>
                  </w14:solidFill>
                </w14:textFill>
              </w:rPr>
              <w:t>|||</w:t>
            </w:r>
            <w:r w:rsidRPr="000641E5">
              <w:rPr>
                <w:color w:val="000000"/>
                <w:spacing w:val="1"/>
                <w:shd w:val="solid" w:color="000000" w:fill="000000"/>
                <w:fitText w:val="327" w:id="-662982130"/>
                <w14:textFill>
                  <w14:solidFill>
                    <w14:srgbClr w14:val="000000">
                      <w14:alpha w14:val="100000"/>
                    </w14:srgbClr>
                  </w14:solidFill>
                </w14:textFill>
              </w:rPr>
              <w:t>|</w:t>
            </w:r>
            <w:r w:rsidR="00663295">
              <w:t xml:space="preserve"> </w:t>
            </w:r>
            <w:r w:rsidR="00663295">
              <w:rPr>
                <w:vertAlign w:val="superscript"/>
              </w:rPr>
              <w:t>3</w:t>
            </w:r>
          </w:p>
        </w:tc>
        <w:tc>
          <w:tcPr>
            <w:tcW w:w="1084" w:type="dxa"/>
            <w:vAlign w:val="center"/>
          </w:tcPr>
          <w:p w14:paraId="0D20263A" w14:textId="54EC7A84" w:rsidR="001B28ED" w:rsidRPr="00EC57FB" w:rsidRDefault="000641E5" w:rsidP="00D07BC5">
            <w:pPr>
              <w:pStyle w:val="TableText0"/>
              <w:keepNext w:val="0"/>
              <w:keepLines w:val="0"/>
              <w:jc w:val="center"/>
            </w:pPr>
            <w:r w:rsidRPr="000641E5">
              <w:rPr>
                <w:color w:val="000000"/>
                <w:spacing w:val="52"/>
                <w:shd w:val="solid" w:color="000000" w:fill="000000"/>
                <w:fitText w:val="327" w:id="-662982129"/>
                <w14:textFill>
                  <w14:solidFill>
                    <w14:srgbClr w14:val="000000">
                      <w14:alpha w14:val="100000"/>
                    </w14:srgbClr>
                  </w14:solidFill>
                </w14:textFill>
              </w:rPr>
              <w:t>|||</w:t>
            </w:r>
            <w:r w:rsidRPr="000641E5">
              <w:rPr>
                <w:color w:val="000000"/>
                <w:spacing w:val="1"/>
                <w:shd w:val="solid" w:color="000000" w:fill="000000"/>
                <w:fitText w:val="327" w:id="-662982129"/>
                <w14:textFill>
                  <w14:solidFill>
                    <w14:srgbClr w14:val="000000">
                      <w14:alpha w14:val="100000"/>
                    </w14:srgbClr>
                  </w14:solidFill>
                </w14:textFill>
              </w:rPr>
              <w:t>|</w:t>
            </w:r>
            <w:r w:rsidR="00663295">
              <w:t xml:space="preserve"> </w:t>
            </w:r>
            <w:r w:rsidR="00663295">
              <w:rPr>
                <w:vertAlign w:val="superscript"/>
              </w:rPr>
              <w:t>3</w:t>
            </w:r>
          </w:p>
        </w:tc>
      </w:tr>
      <w:tr w:rsidR="00052949" w:rsidRPr="00EC57FB" w14:paraId="62EC5836" w14:textId="77777777" w:rsidTr="001E02B8">
        <w:tc>
          <w:tcPr>
            <w:tcW w:w="2268" w:type="dxa"/>
            <w:vAlign w:val="center"/>
          </w:tcPr>
          <w:p w14:paraId="38FA50C0" w14:textId="308DEA1C" w:rsidR="00804E1D" w:rsidRPr="00EC57FB" w:rsidRDefault="00804E1D" w:rsidP="00D07BC5">
            <w:pPr>
              <w:pStyle w:val="TableText0"/>
              <w:keepNext w:val="0"/>
              <w:keepLines w:val="0"/>
            </w:pPr>
            <w:r w:rsidRPr="00EC57FB">
              <w:t>Total financial implications</w:t>
            </w:r>
            <w:r w:rsidR="00E06E35" w:rsidRPr="00EC57FB">
              <w:t xml:space="preserve"> for NIP</w:t>
            </w:r>
          </w:p>
        </w:tc>
        <w:tc>
          <w:tcPr>
            <w:tcW w:w="1134" w:type="dxa"/>
            <w:vAlign w:val="center"/>
          </w:tcPr>
          <w:p w14:paraId="75F8961C" w14:textId="0E2B01B2" w:rsidR="00804E1D" w:rsidRPr="00EC57FB" w:rsidRDefault="00804E1D"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7" w:id="-662982128"/>
                <w14:textFill>
                  <w14:solidFill>
                    <w14:srgbClr w14:val="000000">
                      <w14:alpha w14:val="100000"/>
                    </w14:srgbClr>
                  </w14:solidFill>
                </w14:textFill>
              </w:rPr>
              <w:t>|||</w:t>
            </w:r>
            <w:r w:rsidR="000641E5" w:rsidRPr="000641E5">
              <w:rPr>
                <w:color w:val="000000"/>
                <w:spacing w:val="1"/>
                <w:shd w:val="solid" w:color="000000" w:fill="000000"/>
                <w:fitText w:val="327" w:id="-662982128"/>
                <w14:textFill>
                  <w14:solidFill>
                    <w14:srgbClr w14:val="000000">
                      <w14:alpha w14:val="100000"/>
                    </w14:srgbClr>
                  </w14:solidFill>
                </w14:textFill>
              </w:rPr>
              <w:t>|</w:t>
            </w:r>
            <w:r w:rsidR="00663295">
              <w:t xml:space="preserve"> </w:t>
            </w:r>
            <w:r w:rsidR="00663295">
              <w:rPr>
                <w:vertAlign w:val="superscript"/>
              </w:rPr>
              <w:t>7</w:t>
            </w:r>
          </w:p>
        </w:tc>
        <w:tc>
          <w:tcPr>
            <w:tcW w:w="1134" w:type="dxa"/>
            <w:vAlign w:val="center"/>
          </w:tcPr>
          <w:p w14:paraId="5CA3B17F" w14:textId="26DF7A33" w:rsidR="00804E1D" w:rsidRPr="00EC57FB" w:rsidRDefault="00804E1D"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7" w:id="-662982144"/>
                <w14:textFill>
                  <w14:solidFill>
                    <w14:srgbClr w14:val="000000">
                      <w14:alpha w14:val="100000"/>
                    </w14:srgbClr>
                  </w14:solidFill>
                </w14:textFill>
              </w:rPr>
              <w:t>|||</w:t>
            </w:r>
            <w:r w:rsidR="000641E5" w:rsidRPr="000641E5">
              <w:rPr>
                <w:color w:val="000000"/>
                <w:spacing w:val="1"/>
                <w:shd w:val="solid" w:color="000000" w:fill="000000"/>
                <w:fitText w:val="327" w:id="-662982144"/>
                <w14:textFill>
                  <w14:solidFill>
                    <w14:srgbClr w14:val="000000">
                      <w14:alpha w14:val="100000"/>
                    </w14:srgbClr>
                  </w14:solidFill>
                </w14:textFill>
              </w:rPr>
              <w:t>|</w:t>
            </w:r>
            <w:r w:rsidR="00663295">
              <w:t xml:space="preserve"> </w:t>
            </w:r>
            <w:r w:rsidR="00663295">
              <w:rPr>
                <w:vertAlign w:val="superscript"/>
              </w:rPr>
              <w:t>7</w:t>
            </w:r>
          </w:p>
        </w:tc>
        <w:tc>
          <w:tcPr>
            <w:tcW w:w="1134" w:type="dxa"/>
            <w:vAlign w:val="center"/>
          </w:tcPr>
          <w:p w14:paraId="0EDD42C3" w14:textId="27609EE1" w:rsidR="00804E1D" w:rsidRPr="00EC57FB" w:rsidRDefault="00804E1D"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8" w:id="-662982143"/>
                <w14:textFill>
                  <w14:solidFill>
                    <w14:srgbClr w14:val="000000">
                      <w14:alpha w14:val="100000"/>
                    </w14:srgbClr>
                  </w14:solidFill>
                </w14:textFill>
              </w:rPr>
              <w:t>|||</w:t>
            </w:r>
            <w:r w:rsidR="000641E5" w:rsidRPr="000641E5">
              <w:rPr>
                <w:color w:val="000000"/>
                <w:spacing w:val="2"/>
                <w:shd w:val="solid" w:color="000000" w:fill="000000"/>
                <w:fitText w:val="328" w:id="-662982143"/>
                <w14:textFill>
                  <w14:solidFill>
                    <w14:srgbClr w14:val="000000">
                      <w14:alpha w14:val="100000"/>
                    </w14:srgbClr>
                  </w14:solidFill>
                </w14:textFill>
              </w:rPr>
              <w:t>|</w:t>
            </w:r>
            <w:r w:rsidR="00663295">
              <w:t xml:space="preserve"> </w:t>
            </w:r>
            <w:r w:rsidR="00663295">
              <w:rPr>
                <w:vertAlign w:val="superscript"/>
              </w:rPr>
              <w:t>7</w:t>
            </w:r>
          </w:p>
        </w:tc>
        <w:tc>
          <w:tcPr>
            <w:tcW w:w="1134" w:type="dxa"/>
            <w:vAlign w:val="center"/>
          </w:tcPr>
          <w:p w14:paraId="5956DC59" w14:textId="16EC4651" w:rsidR="00804E1D" w:rsidRPr="00EC57FB" w:rsidRDefault="00804E1D"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7" w:id="-662982142"/>
                <w14:textFill>
                  <w14:solidFill>
                    <w14:srgbClr w14:val="000000">
                      <w14:alpha w14:val="100000"/>
                    </w14:srgbClr>
                  </w14:solidFill>
                </w14:textFill>
              </w:rPr>
              <w:t>|||</w:t>
            </w:r>
            <w:r w:rsidR="000641E5" w:rsidRPr="000641E5">
              <w:rPr>
                <w:color w:val="000000"/>
                <w:spacing w:val="1"/>
                <w:shd w:val="solid" w:color="000000" w:fill="000000"/>
                <w:fitText w:val="327" w:id="-662982142"/>
                <w14:textFill>
                  <w14:solidFill>
                    <w14:srgbClr w14:val="000000">
                      <w14:alpha w14:val="100000"/>
                    </w14:srgbClr>
                  </w14:solidFill>
                </w14:textFill>
              </w:rPr>
              <w:t>|</w:t>
            </w:r>
            <w:r w:rsidR="00663295">
              <w:t xml:space="preserve"> </w:t>
            </w:r>
            <w:r w:rsidR="00663295">
              <w:rPr>
                <w:vertAlign w:val="superscript"/>
              </w:rPr>
              <w:t>7</w:t>
            </w:r>
          </w:p>
        </w:tc>
        <w:tc>
          <w:tcPr>
            <w:tcW w:w="1134" w:type="dxa"/>
            <w:vAlign w:val="center"/>
          </w:tcPr>
          <w:p w14:paraId="7450344C" w14:textId="4BA8D211" w:rsidR="00804E1D" w:rsidRPr="00EC57FB" w:rsidRDefault="00804E1D" w:rsidP="00D07BC5">
            <w:pPr>
              <w:pStyle w:val="TableText0"/>
              <w:keepNext w:val="0"/>
              <w:keepLines w:val="0"/>
              <w:jc w:val="center"/>
              <w:rPr>
                <w:color w:val="000000"/>
              </w:rPr>
            </w:pPr>
            <w:r w:rsidRPr="00EC57FB">
              <w:t>$</w:t>
            </w:r>
            <w:r w:rsidR="000641E5" w:rsidRPr="000641E5">
              <w:rPr>
                <w:color w:val="000000"/>
                <w:spacing w:val="52"/>
                <w:shd w:val="solid" w:color="000000" w:fill="000000"/>
                <w:fitText w:val="328" w:id="-662982141"/>
                <w14:textFill>
                  <w14:solidFill>
                    <w14:srgbClr w14:val="000000">
                      <w14:alpha w14:val="100000"/>
                    </w14:srgbClr>
                  </w14:solidFill>
                </w14:textFill>
              </w:rPr>
              <w:t>|||</w:t>
            </w:r>
            <w:r w:rsidR="000641E5" w:rsidRPr="000641E5">
              <w:rPr>
                <w:color w:val="000000"/>
                <w:spacing w:val="2"/>
                <w:shd w:val="solid" w:color="000000" w:fill="000000"/>
                <w:fitText w:val="328" w:id="-662982141"/>
                <w14:textFill>
                  <w14:solidFill>
                    <w14:srgbClr w14:val="000000">
                      <w14:alpha w14:val="100000"/>
                    </w14:srgbClr>
                  </w14:solidFill>
                </w14:textFill>
              </w:rPr>
              <w:t>|</w:t>
            </w:r>
            <w:r w:rsidR="00663295">
              <w:t xml:space="preserve"> </w:t>
            </w:r>
            <w:r w:rsidR="00663295">
              <w:rPr>
                <w:vertAlign w:val="superscript"/>
              </w:rPr>
              <w:t>7</w:t>
            </w:r>
          </w:p>
        </w:tc>
        <w:tc>
          <w:tcPr>
            <w:tcW w:w="1084" w:type="dxa"/>
            <w:vAlign w:val="center"/>
          </w:tcPr>
          <w:p w14:paraId="43F32C03" w14:textId="149DC15D" w:rsidR="00804E1D" w:rsidRPr="00EC57FB" w:rsidRDefault="00804E1D" w:rsidP="00D07BC5">
            <w:pPr>
              <w:pStyle w:val="TableText0"/>
              <w:keepNext w:val="0"/>
              <w:keepLines w:val="0"/>
              <w:jc w:val="center"/>
              <w:rPr>
                <w:color w:val="000000"/>
              </w:rPr>
            </w:pPr>
            <w:r w:rsidRPr="00EC57FB">
              <w:t>$</w:t>
            </w:r>
            <w:r w:rsidR="000641E5" w:rsidRPr="000641E5">
              <w:rPr>
                <w:color w:val="000000"/>
                <w:spacing w:val="55"/>
                <w:shd w:val="solid" w:color="000000" w:fill="000000"/>
                <w:fitText w:val="338" w:id="-662982140"/>
                <w14:textFill>
                  <w14:solidFill>
                    <w14:srgbClr w14:val="000000">
                      <w14:alpha w14:val="100000"/>
                    </w14:srgbClr>
                  </w14:solidFill>
                </w14:textFill>
              </w:rPr>
              <w:t>|||</w:t>
            </w:r>
            <w:r w:rsidR="000641E5" w:rsidRPr="000641E5">
              <w:rPr>
                <w:color w:val="000000"/>
                <w:spacing w:val="3"/>
                <w:shd w:val="solid" w:color="000000" w:fill="000000"/>
                <w:fitText w:val="338" w:id="-662982140"/>
                <w14:textFill>
                  <w14:solidFill>
                    <w14:srgbClr w14:val="000000">
                      <w14:alpha w14:val="100000"/>
                    </w14:srgbClr>
                  </w14:solidFill>
                </w14:textFill>
              </w:rPr>
              <w:t>|</w:t>
            </w:r>
            <w:r w:rsidR="00663295">
              <w:t xml:space="preserve"> </w:t>
            </w:r>
            <w:r w:rsidR="00663295">
              <w:rPr>
                <w:vertAlign w:val="superscript"/>
              </w:rPr>
              <w:t>7</w:t>
            </w:r>
          </w:p>
        </w:tc>
      </w:tr>
      <w:tr w:rsidR="00A77777" w:rsidRPr="00EC57FB" w14:paraId="506417DB" w14:textId="77777777" w:rsidTr="008277E3">
        <w:tc>
          <w:tcPr>
            <w:tcW w:w="9022" w:type="dxa"/>
            <w:gridSpan w:val="7"/>
            <w:vAlign w:val="center"/>
          </w:tcPr>
          <w:p w14:paraId="359280CD" w14:textId="71503B25" w:rsidR="00A77777" w:rsidRPr="00EC57FB" w:rsidRDefault="00A77777" w:rsidP="00D07BC5">
            <w:pPr>
              <w:pStyle w:val="TableText0"/>
              <w:keepNext w:val="0"/>
              <w:keepLines w:val="0"/>
              <w:rPr>
                <w:b/>
                <w:bCs w:val="0"/>
                <w:iCs/>
              </w:rPr>
            </w:pPr>
            <w:r w:rsidRPr="00EC57FB">
              <w:rPr>
                <w:b/>
                <w:bCs w:val="0"/>
                <w:iCs/>
              </w:rPr>
              <w:t>Revised estimates in PSCR</w:t>
            </w:r>
          </w:p>
        </w:tc>
      </w:tr>
      <w:tr w:rsidR="00A77777" w:rsidRPr="00EC57FB" w14:paraId="239F48B3" w14:textId="77777777" w:rsidTr="001E02B8">
        <w:tc>
          <w:tcPr>
            <w:tcW w:w="2268" w:type="dxa"/>
            <w:vAlign w:val="center"/>
          </w:tcPr>
          <w:p w14:paraId="3F0BC0F1" w14:textId="13C0F115" w:rsidR="00A77777" w:rsidRPr="00EC57FB" w:rsidRDefault="00A77777" w:rsidP="00D07BC5">
            <w:pPr>
              <w:pStyle w:val="TableText0"/>
              <w:keepNext w:val="0"/>
              <w:keepLines w:val="0"/>
              <w:rPr>
                <w:iCs/>
              </w:rPr>
            </w:pPr>
            <w:r w:rsidRPr="00EC57FB">
              <w:rPr>
                <w:iCs/>
              </w:rPr>
              <w:t>Total infants and children treated</w:t>
            </w:r>
          </w:p>
        </w:tc>
        <w:tc>
          <w:tcPr>
            <w:tcW w:w="1134" w:type="dxa"/>
            <w:vAlign w:val="center"/>
          </w:tcPr>
          <w:p w14:paraId="40F5A3D5" w14:textId="61F2AC6F" w:rsidR="00A77777" w:rsidRPr="00EC57FB" w:rsidRDefault="000641E5" w:rsidP="00D07BC5">
            <w:pPr>
              <w:pStyle w:val="TableText0"/>
              <w:keepNext w:val="0"/>
              <w:keepLines w:val="0"/>
              <w:jc w:val="center"/>
              <w:rPr>
                <w:iCs/>
              </w:rPr>
            </w:pPr>
            <w:r w:rsidRPr="000641E5">
              <w:rPr>
                <w:iCs/>
                <w:color w:val="000000"/>
                <w:spacing w:val="52"/>
                <w:shd w:val="solid" w:color="000000" w:fill="000000"/>
                <w:fitText w:val="327" w:id="-662982139"/>
                <w14:textFill>
                  <w14:solidFill>
                    <w14:srgbClr w14:val="000000">
                      <w14:alpha w14:val="100000"/>
                    </w14:srgbClr>
                  </w14:solidFill>
                </w14:textFill>
              </w:rPr>
              <w:t>|||</w:t>
            </w:r>
            <w:r w:rsidRPr="000641E5">
              <w:rPr>
                <w:iCs/>
                <w:color w:val="000000"/>
                <w:spacing w:val="1"/>
                <w:shd w:val="solid" w:color="000000" w:fill="000000"/>
                <w:fitText w:val="327" w:id="-662982139"/>
                <w14:textFill>
                  <w14:solidFill>
                    <w14:srgbClr w14:val="000000">
                      <w14:alpha w14:val="100000"/>
                    </w14:srgbClr>
                  </w14:solidFill>
                </w14:textFill>
              </w:rPr>
              <w:t>|</w:t>
            </w:r>
            <w:r w:rsidR="00663295">
              <w:t xml:space="preserve"> </w:t>
            </w:r>
            <w:r w:rsidR="00663295">
              <w:rPr>
                <w:vertAlign w:val="superscript"/>
              </w:rPr>
              <w:t>3</w:t>
            </w:r>
          </w:p>
        </w:tc>
        <w:tc>
          <w:tcPr>
            <w:tcW w:w="1134" w:type="dxa"/>
            <w:vAlign w:val="center"/>
          </w:tcPr>
          <w:p w14:paraId="2A9B0AC1" w14:textId="5890D701" w:rsidR="00A77777" w:rsidRPr="00EC57FB" w:rsidRDefault="000641E5" w:rsidP="00D07BC5">
            <w:pPr>
              <w:pStyle w:val="TableText0"/>
              <w:keepNext w:val="0"/>
              <w:keepLines w:val="0"/>
              <w:jc w:val="center"/>
              <w:rPr>
                <w:iCs/>
              </w:rPr>
            </w:pPr>
            <w:r w:rsidRPr="000641E5">
              <w:rPr>
                <w:iCs/>
                <w:color w:val="000000"/>
                <w:spacing w:val="52"/>
                <w:shd w:val="solid" w:color="000000" w:fill="000000"/>
                <w:fitText w:val="327" w:id="-662982138"/>
                <w14:textFill>
                  <w14:solidFill>
                    <w14:srgbClr w14:val="000000">
                      <w14:alpha w14:val="100000"/>
                    </w14:srgbClr>
                  </w14:solidFill>
                </w14:textFill>
              </w:rPr>
              <w:t>|||</w:t>
            </w:r>
            <w:r w:rsidRPr="000641E5">
              <w:rPr>
                <w:iCs/>
                <w:color w:val="000000"/>
                <w:spacing w:val="1"/>
                <w:shd w:val="solid" w:color="000000" w:fill="000000"/>
                <w:fitText w:val="327" w:id="-662982138"/>
                <w14:textFill>
                  <w14:solidFill>
                    <w14:srgbClr w14:val="000000">
                      <w14:alpha w14:val="100000"/>
                    </w14:srgbClr>
                  </w14:solidFill>
                </w14:textFill>
              </w:rPr>
              <w:t>|</w:t>
            </w:r>
            <w:r w:rsidR="00663295">
              <w:t xml:space="preserve"> </w:t>
            </w:r>
            <w:r w:rsidR="00663295">
              <w:rPr>
                <w:vertAlign w:val="superscript"/>
              </w:rPr>
              <w:t>3</w:t>
            </w:r>
          </w:p>
        </w:tc>
        <w:tc>
          <w:tcPr>
            <w:tcW w:w="1134" w:type="dxa"/>
            <w:vAlign w:val="center"/>
          </w:tcPr>
          <w:p w14:paraId="18F868EE" w14:textId="17AC0DBA" w:rsidR="00A77777" w:rsidRPr="00EC57FB" w:rsidRDefault="000641E5" w:rsidP="00D07BC5">
            <w:pPr>
              <w:pStyle w:val="TableText0"/>
              <w:keepNext w:val="0"/>
              <w:keepLines w:val="0"/>
              <w:jc w:val="center"/>
              <w:rPr>
                <w:iCs/>
              </w:rPr>
            </w:pPr>
            <w:r w:rsidRPr="000641E5">
              <w:rPr>
                <w:iCs/>
                <w:color w:val="000000"/>
                <w:spacing w:val="52"/>
                <w:shd w:val="solid" w:color="000000" w:fill="000000"/>
                <w:fitText w:val="327" w:id="-662982137"/>
                <w14:textFill>
                  <w14:solidFill>
                    <w14:srgbClr w14:val="000000">
                      <w14:alpha w14:val="100000"/>
                    </w14:srgbClr>
                  </w14:solidFill>
                </w14:textFill>
              </w:rPr>
              <w:t>|||</w:t>
            </w:r>
            <w:r w:rsidRPr="000641E5">
              <w:rPr>
                <w:iCs/>
                <w:color w:val="000000"/>
                <w:spacing w:val="1"/>
                <w:shd w:val="solid" w:color="000000" w:fill="000000"/>
                <w:fitText w:val="327" w:id="-662982137"/>
                <w14:textFill>
                  <w14:solidFill>
                    <w14:srgbClr w14:val="000000">
                      <w14:alpha w14:val="100000"/>
                    </w14:srgbClr>
                  </w14:solidFill>
                </w14:textFill>
              </w:rPr>
              <w:t>|</w:t>
            </w:r>
            <w:r w:rsidR="00663295">
              <w:t xml:space="preserve"> </w:t>
            </w:r>
            <w:r w:rsidR="00663295">
              <w:rPr>
                <w:vertAlign w:val="superscript"/>
              </w:rPr>
              <w:t>3</w:t>
            </w:r>
          </w:p>
        </w:tc>
        <w:tc>
          <w:tcPr>
            <w:tcW w:w="1134" w:type="dxa"/>
            <w:vAlign w:val="center"/>
          </w:tcPr>
          <w:p w14:paraId="0CDE2BA2" w14:textId="782A42B2" w:rsidR="00A77777" w:rsidRPr="00EC57FB" w:rsidRDefault="000641E5" w:rsidP="00D07BC5">
            <w:pPr>
              <w:pStyle w:val="TableText0"/>
              <w:keepNext w:val="0"/>
              <w:keepLines w:val="0"/>
              <w:jc w:val="center"/>
              <w:rPr>
                <w:iCs/>
              </w:rPr>
            </w:pPr>
            <w:r w:rsidRPr="000641E5">
              <w:rPr>
                <w:iCs/>
                <w:color w:val="000000"/>
                <w:spacing w:val="52"/>
                <w:shd w:val="solid" w:color="000000" w:fill="000000"/>
                <w:fitText w:val="327" w:id="-662982136"/>
                <w14:textFill>
                  <w14:solidFill>
                    <w14:srgbClr w14:val="000000">
                      <w14:alpha w14:val="100000"/>
                    </w14:srgbClr>
                  </w14:solidFill>
                </w14:textFill>
              </w:rPr>
              <w:t>|||</w:t>
            </w:r>
            <w:r w:rsidRPr="000641E5">
              <w:rPr>
                <w:iCs/>
                <w:color w:val="000000"/>
                <w:spacing w:val="1"/>
                <w:shd w:val="solid" w:color="000000" w:fill="000000"/>
                <w:fitText w:val="327" w:id="-662982136"/>
                <w14:textFill>
                  <w14:solidFill>
                    <w14:srgbClr w14:val="000000">
                      <w14:alpha w14:val="100000"/>
                    </w14:srgbClr>
                  </w14:solidFill>
                </w14:textFill>
              </w:rPr>
              <w:t>|</w:t>
            </w:r>
            <w:r w:rsidR="00663295">
              <w:t xml:space="preserve"> </w:t>
            </w:r>
            <w:r w:rsidR="00663295">
              <w:rPr>
                <w:vertAlign w:val="superscript"/>
              </w:rPr>
              <w:t>3</w:t>
            </w:r>
          </w:p>
        </w:tc>
        <w:tc>
          <w:tcPr>
            <w:tcW w:w="1134" w:type="dxa"/>
            <w:vAlign w:val="center"/>
          </w:tcPr>
          <w:p w14:paraId="423CB008" w14:textId="6B57A182" w:rsidR="00A77777" w:rsidRPr="00EC57FB" w:rsidRDefault="000641E5" w:rsidP="00D07BC5">
            <w:pPr>
              <w:pStyle w:val="TableText0"/>
              <w:keepNext w:val="0"/>
              <w:keepLines w:val="0"/>
              <w:jc w:val="center"/>
              <w:rPr>
                <w:iCs/>
              </w:rPr>
            </w:pPr>
            <w:r w:rsidRPr="000641E5">
              <w:rPr>
                <w:iCs/>
                <w:color w:val="000000"/>
                <w:spacing w:val="52"/>
                <w:shd w:val="solid" w:color="000000" w:fill="000000"/>
                <w:fitText w:val="327" w:id="-662982135"/>
                <w14:textFill>
                  <w14:solidFill>
                    <w14:srgbClr w14:val="000000">
                      <w14:alpha w14:val="100000"/>
                    </w14:srgbClr>
                  </w14:solidFill>
                </w14:textFill>
              </w:rPr>
              <w:t>|||</w:t>
            </w:r>
            <w:r w:rsidRPr="000641E5">
              <w:rPr>
                <w:iCs/>
                <w:color w:val="000000"/>
                <w:spacing w:val="1"/>
                <w:shd w:val="solid" w:color="000000" w:fill="000000"/>
                <w:fitText w:val="327" w:id="-662982135"/>
                <w14:textFill>
                  <w14:solidFill>
                    <w14:srgbClr w14:val="000000">
                      <w14:alpha w14:val="100000"/>
                    </w14:srgbClr>
                  </w14:solidFill>
                </w14:textFill>
              </w:rPr>
              <w:t>|</w:t>
            </w:r>
            <w:r w:rsidR="00663295">
              <w:t xml:space="preserve"> </w:t>
            </w:r>
            <w:r w:rsidR="00663295">
              <w:rPr>
                <w:vertAlign w:val="superscript"/>
              </w:rPr>
              <w:t>3</w:t>
            </w:r>
          </w:p>
        </w:tc>
        <w:tc>
          <w:tcPr>
            <w:tcW w:w="1084" w:type="dxa"/>
            <w:vAlign w:val="center"/>
          </w:tcPr>
          <w:p w14:paraId="2D39F601" w14:textId="068B8426" w:rsidR="00A77777" w:rsidRPr="00EC57FB" w:rsidRDefault="000641E5" w:rsidP="00D07BC5">
            <w:pPr>
              <w:pStyle w:val="TableText0"/>
              <w:keepNext w:val="0"/>
              <w:keepLines w:val="0"/>
              <w:jc w:val="center"/>
              <w:rPr>
                <w:iCs/>
              </w:rPr>
            </w:pPr>
            <w:r w:rsidRPr="000641E5">
              <w:rPr>
                <w:iCs/>
                <w:color w:val="000000"/>
                <w:spacing w:val="52"/>
                <w:shd w:val="solid" w:color="000000" w:fill="000000"/>
                <w:fitText w:val="327" w:id="-662982134"/>
                <w14:textFill>
                  <w14:solidFill>
                    <w14:srgbClr w14:val="000000">
                      <w14:alpha w14:val="100000"/>
                    </w14:srgbClr>
                  </w14:solidFill>
                </w14:textFill>
              </w:rPr>
              <w:t>|||</w:t>
            </w:r>
            <w:r w:rsidRPr="000641E5">
              <w:rPr>
                <w:iCs/>
                <w:color w:val="000000"/>
                <w:spacing w:val="1"/>
                <w:shd w:val="solid" w:color="000000" w:fill="000000"/>
                <w:fitText w:val="327" w:id="-662982134"/>
                <w14:textFill>
                  <w14:solidFill>
                    <w14:srgbClr w14:val="000000">
                      <w14:alpha w14:val="100000"/>
                    </w14:srgbClr>
                  </w14:solidFill>
                </w14:textFill>
              </w:rPr>
              <w:t>|</w:t>
            </w:r>
            <w:r w:rsidR="00663295">
              <w:t xml:space="preserve"> </w:t>
            </w:r>
            <w:r w:rsidR="00663295">
              <w:rPr>
                <w:vertAlign w:val="superscript"/>
              </w:rPr>
              <w:t>3</w:t>
            </w:r>
          </w:p>
        </w:tc>
      </w:tr>
      <w:tr w:rsidR="00A77777" w:rsidRPr="00EC57FB" w14:paraId="1AAD4FF7" w14:textId="77777777" w:rsidTr="001E02B8">
        <w:tc>
          <w:tcPr>
            <w:tcW w:w="2268" w:type="dxa"/>
            <w:vAlign w:val="center"/>
          </w:tcPr>
          <w:p w14:paraId="215AC746" w14:textId="46383345" w:rsidR="00A77777" w:rsidRPr="00EC57FB" w:rsidRDefault="00A77777" w:rsidP="00D07BC5">
            <w:pPr>
              <w:pStyle w:val="TableText0"/>
              <w:keepNext w:val="0"/>
              <w:keepLines w:val="0"/>
              <w:rPr>
                <w:iCs/>
              </w:rPr>
            </w:pPr>
            <w:r w:rsidRPr="00EC57FB">
              <w:rPr>
                <w:iCs/>
              </w:rPr>
              <w:t>Total financial implications for NIP</w:t>
            </w:r>
          </w:p>
        </w:tc>
        <w:tc>
          <w:tcPr>
            <w:tcW w:w="1134" w:type="dxa"/>
            <w:vAlign w:val="center"/>
          </w:tcPr>
          <w:p w14:paraId="329B7DEE" w14:textId="5F926842" w:rsidR="00A77777" w:rsidRPr="00EC57FB" w:rsidRDefault="00A77777" w:rsidP="00D07BC5">
            <w:pPr>
              <w:pStyle w:val="TableText0"/>
              <w:keepNext w:val="0"/>
              <w:keepLines w:val="0"/>
              <w:jc w:val="center"/>
              <w:rPr>
                <w:iCs/>
              </w:rPr>
            </w:pPr>
            <w:r w:rsidRPr="00EC57FB">
              <w:rPr>
                <w:iCs/>
              </w:rPr>
              <w:t>$</w:t>
            </w:r>
            <w:r w:rsidR="000641E5" w:rsidRPr="000641E5">
              <w:rPr>
                <w:iCs/>
                <w:color w:val="000000"/>
                <w:spacing w:val="52"/>
                <w:shd w:val="solid" w:color="000000" w:fill="000000"/>
                <w:fitText w:val="327" w:id="-662982133"/>
                <w14:textFill>
                  <w14:solidFill>
                    <w14:srgbClr w14:val="000000">
                      <w14:alpha w14:val="100000"/>
                    </w14:srgbClr>
                  </w14:solidFill>
                </w14:textFill>
              </w:rPr>
              <w:t>|||</w:t>
            </w:r>
            <w:r w:rsidR="000641E5" w:rsidRPr="000641E5">
              <w:rPr>
                <w:iCs/>
                <w:color w:val="000000"/>
                <w:spacing w:val="1"/>
                <w:shd w:val="solid" w:color="000000" w:fill="000000"/>
                <w:fitText w:val="327" w:id="-662982133"/>
                <w14:textFill>
                  <w14:solidFill>
                    <w14:srgbClr w14:val="000000">
                      <w14:alpha w14:val="100000"/>
                    </w14:srgbClr>
                  </w14:solidFill>
                </w14:textFill>
              </w:rPr>
              <w:t>|</w:t>
            </w:r>
            <w:r w:rsidR="00663295">
              <w:t xml:space="preserve"> </w:t>
            </w:r>
            <w:r w:rsidR="00AE3F0A">
              <w:rPr>
                <w:vertAlign w:val="superscript"/>
              </w:rPr>
              <w:t>4</w:t>
            </w:r>
          </w:p>
        </w:tc>
        <w:tc>
          <w:tcPr>
            <w:tcW w:w="1134" w:type="dxa"/>
            <w:vAlign w:val="center"/>
          </w:tcPr>
          <w:p w14:paraId="123AE177" w14:textId="627C1684" w:rsidR="00A77777" w:rsidRPr="00EC57FB" w:rsidRDefault="00A77777" w:rsidP="00D07BC5">
            <w:pPr>
              <w:pStyle w:val="TableText0"/>
              <w:keepNext w:val="0"/>
              <w:keepLines w:val="0"/>
              <w:jc w:val="center"/>
              <w:rPr>
                <w:iCs/>
              </w:rPr>
            </w:pPr>
            <w:r w:rsidRPr="00EC57FB">
              <w:rPr>
                <w:iCs/>
              </w:rPr>
              <w:t>$</w:t>
            </w:r>
            <w:r w:rsidR="000641E5" w:rsidRPr="000641E5">
              <w:rPr>
                <w:iCs/>
                <w:color w:val="000000"/>
                <w:spacing w:val="52"/>
                <w:shd w:val="solid" w:color="000000" w:fill="000000"/>
                <w:fitText w:val="327" w:id="-662982132"/>
                <w14:textFill>
                  <w14:solidFill>
                    <w14:srgbClr w14:val="000000">
                      <w14:alpha w14:val="100000"/>
                    </w14:srgbClr>
                  </w14:solidFill>
                </w14:textFill>
              </w:rPr>
              <w:t>|||</w:t>
            </w:r>
            <w:r w:rsidR="000641E5" w:rsidRPr="000641E5">
              <w:rPr>
                <w:iCs/>
                <w:color w:val="000000"/>
                <w:spacing w:val="1"/>
                <w:shd w:val="solid" w:color="000000" w:fill="000000"/>
                <w:fitText w:val="327" w:id="-662982132"/>
                <w14:textFill>
                  <w14:solidFill>
                    <w14:srgbClr w14:val="000000">
                      <w14:alpha w14:val="100000"/>
                    </w14:srgbClr>
                  </w14:solidFill>
                </w14:textFill>
              </w:rPr>
              <w:t>|</w:t>
            </w:r>
            <w:r w:rsidR="00AE3F0A">
              <w:t xml:space="preserve"> </w:t>
            </w:r>
            <w:r w:rsidR="00AE3F0A">
              <w:rPr>
                <w:vertAlign w:val="superscript"/>
              </w:rPr>
              <w:t>4</w:t>
            </w:r>
          </w:p>
        </w:tc>
        <w:tc>
          <w:tcPr>
            <w:tcW w:w="1134" w:type="dxa"/>
            <w:vAlign w:val="center"/>
          </w:tcPr>
          <w:p w14:paraId="77E84913" w14:textId="7B8B14C8" w:rsidR="00A77777" w:rsidRPr="00EC57FB" w:rsidRDefault="00A77777" w:rsidP="00D07BC5">
            <w:pPr>
              <w:pStyle w:val="TableText0"/>
              <w:keepNext w:val="0"/>
              <w:keepLines w:val="0"/>
              <w:jc w:val="center"/>
              <w:rPr>
                <w:iCs/>
              </w:rPr>
            </w:pPr>
            <w:r w:rsidRPr="00EC57FB">
              <w:rPr>
                <w:iCs/>
              </w:rPr>
              <w:t>$</w:t>
            </w:r>
            <w:r w:rsidR="000641E5" w:rsidRPr="000641E5">
              <w:rPr>
                <w:iCs/>
                <w:color w:val="000000"/>
                <w:spacing w:val="52"/>
                <w:shd w:val="solid" w:color="000000" w:fill="000000"/>
                <w:fitText w:val="328" w:id="-662982131"/>
                <w14:textFill>
                  <w14:solidFill>
                    <w14:srgbClr w14:val="000000">
                      <w14:alpha w14:val="100000"/>
                    </w14:srgbClr>
                  </w14:solidFill>
                </w14:textFill>
              </w:rPr>
              <w:t>|||</w:t>
            </w:r>
            <w:r w:rsidR="000641E5" w:rsidRPr="000641E5">
              <w:rPr>
                <w:iCs/>
                <w:color w:val="000000"/>
                <w:spacing w:val="2"/>
                <w:shd w:val="solid" w:color="000000" w:fill="000000"/>
                <w:fitText w:val="328" w:id="-662982131"/>
                <w14:textFill>
                  <w14:solidFill>
                    <w14:srgbClr w14:val="000000">
                      <w14:alpha w14:val="100000"/>
                    </w14:srgbClr>
                  </w14:solidFill>
                </w14:textFill>
              </w:rPr>
              <w:t>|</w:t>
            </w:r>
            <w:r w:rsidR="003E251D">
              <w:t xml:space="preserve"> </w:t>
            </w:r>
            <w:r w:rsidR="003E251D">
              <w:rPr>
                <w:vertAlign w:val="superscript"/>
              </w:rPr>
              <w:t>4</w:t>
            </w:r>
          </w:p>
        </w:tc>
        <w:tc>
          <w:tcPr>
            <w:tcW w:w="1134" w:type="dxa"/>
            <w:vAlign w:val="center"/>
          </w:tcPr>
          <w:p w14:paraId="25485C9C" w14:textId="71309337" w:rsidR="00A77777" w:rsidRPr="00EC57FB" w:rsidRDefault="00A77777" w:rsidP="00D07BC5">
            <w:pPr>
              <w:pStyle w:val="TableText0"/>
              <w:keepNext w:val="0"/>
              <w:keepLines w:val="0"/>
              <w:jc w:val="center"/>
              <w:rPr>
                <w:iCs/>
              </w:rPr>
            </w:pPr>
            <w:r w:rsidRPr="00EC57FB">
              <w:rPr>
                <w:iCs/>
              </w:rPr>
              <w:t>$</w:t>
            </w:r>
            <w:r w:rsidR="000641E5" w:rsidRPr="000641E5">
              <w:rPr>
                <w:iCs/>
                <w:color w:val="000000"/>
                <w:spacing w:val="52"/>
                <w:shd w:val="solid" w:color="000000" w:fill="000000"/>
                <w:fitText w:val="327" w:id="-662982130"/>
                <w14:textFill>
                  <w14:solidFill>
                    <w14:srgbClr w14:val="000000">
                      <w14:alpha w14:val="100000"/>
                    </w14:srgbClr>
                  </w14:solidFill>
                </w14:textFill>
              </w:rPr>
              <w:t>|||</w:t>
            </w:r>
            <w:r w:rsidR="000641E5" w:rsidRPr="000641E5">
              <w:rPr>
                <w:iCs/>
                <w:color w:val="000000"/>
                <w:spacing w:val="1"/>
                <w:shd w:val="solid" w:color="000000" w:fill="000000"/>
                <w:fitText w:val="327" w:id="-662982130"/>
                <w14:textFill>
                  <w14:solidFill>
                    <w14:srgbClr w14:val="000000">
                      <w14:alpha w14:val="100000"/>
                    </w14:srgbClr>
                  </w14:solidFill>
                </w14:textFill>
              </w:rPr>
              <w:t>|</w:t>
            </w:r>
            <w:r w:rsidR="003E251D">
              <w:t xml:space="preserve"> </w:t>
            </w:r>
            <w:r w:rsidR="003E251D">
              <w:rPr>
                <w:vertAlign w:val="superscript"/>
              </w:rPr>
              <w:t>4</w:t>
            </w:r>
          </w:p>
        </w:tc>
        <w:tc>
          <w:tcPr>
            <w:tcW w:w="1134" w:type="dxa"/>
            <w:vAlign w:val="center"/>
          </w:tcPr>
          <w:p w14:paraId="64158624" w14:textId="0FEB5971" w:rsidR="00A77777" w:rsidRPr="00EC57FB" w:rsidRDefault="00A77777" w:rsidP="00D07BC5">
            <w:pPr>
              <w:pStyle w:val="TableText0"/>
              <w:keepNext w:val="0"/>
              <w:keepLines w:val="0"/>
              <w:jc w:val="center"/>
              <w:rPr>
                <w:iCs/>
              </w:rPr>
            </w:pPr>
            <w:r w:rsidRPr="00EC57FB">
              <w:rPr>
                <w:iCs/>
              </w:rPr>
              <w:t>$</w:t>
            </w:r>
            <w:r w:rsidR="000641E5" w:rsidRPr="000641E5">
              <w:rPr>
                <w:iCs/>
                <w:color w:val="000000"/>
                <w:spacing w:val="52"/>
                <w:shd w:val="solid" w:color="000000" w:fill="000000"/>
                <w:fitText w:val="328" w:id="-662982129"/>
                <w14:textFill>
                  <w14:solidFill>
                    <w14:srgbClr w14:val="000000">
                      <w14:alpha w14:val="100000"/>
                    </w14:srgbClr>
                  </w14:solidFill>
                </w14:textFill>
              </w:rPr>
              <w:t>|||</w:t>
            </w:r>
            <w:r w:rsidR="000641E5" w:rsidRPr="000641E5">
              <w:rPr>
                <w:iCs/>
                <w:color w:val="000000"/>
                <w:spacing w:val="2"/>
                <w:shd w:val="solid" w:color="000000" w:fill="000000"/>
                <w:fitText w:val="328" w:id="-662982129"/>
                <w14:textFill>
                  <w14:solidFill>
                    <w14:srgbClr w14:val="000000">
                      <w14:alpha w14:val="100000"/>
                    </w14:srgbClr>
                  </w14:solidFill>
                </w14:textFill>
              </w:rPr>
              <w:t>|</w:t>
            </w:r>
            <w:r w:rsidR="003E251D">
              <w:t xml:space="preserve"> </w:t>
            </w:r>
            <w:r w:rsidR="003E251D">
              <w:rPr>
                <w:vertAlign w:val="superscript"/>
              </w:rPr>
              <w:t>4</w:t>
            </w:r>
          </w:p>
        </w:tc>
        <w:tc>
          <w:tcPr>
            <w:tcW w:w="1084" w:type="dxa"/>
            <w:vAlign w:val="center"/>
          </w:tcPr>
          <w:p w14:paraId="28C7F922" w14:textId="2F0B01C9" w:rsidR="00A77777" w:rsidRPr="00EC57FB" w:rsidRDefault="00A77777" w:rsidP="00D07BC5">
            <w:pPr>
              <w:pStyle w:val="TableText0"/>
              <w:keepNext w:val="0"/>
              <w:keepLines w:val="0"/>
              <w:jc w:val="center"/>
              <w:rPr>
                <w:iCs/>
              </w:rPr>
            </w:pPr>
            <w:r w:rsidRPr="00EC57FB">
              <w:rPr>
                <w:iCs/>
              </w:rPr>
              <w:t>$</w:t>
            </w:r>
            <w:r w:rsidR="000641E5" w:rsidRPr="000641E5">
              <w:rPr>
                <w:iCs/>
                <w:color w:val="000000"/>
                <w:spacing w:val="55"/>
                <w:shd w:val="solid" w:color="000000" w:fill="000000"/>
                <w:fitText w:val="338" w:id="-662982128"/>
                <w14:textFill>
                  <w14:solidFill>
                    <w14:srgbClr w14:val="000000">
                      <w14:alpha w14:val="100000"/>
                    </w14:srgbClr>
                  </w14:solidFill>
                </w14:textFill>
              </w:rPr>
              <w:t>|||</w:t>
            </w:r>
            <w:r w:rsidR="000641E5" w:rsidRPr="000641E5">
              <w:rPr>
                <w:iCs/>
                <w:color w:val="000000"/>
                <w:spacing w:val="3"/>
                <w:shd w:val="solid" w:color="000000" w:fill="000000"/>
                <w:fitText w:val="338" w:id="-662982128"/>
                <w14:textFill>
                  <w14:solidFill>
                    <w14:srgbClr w14:val="000000">
                      <w14:alpha w14:val="100000"/>
                    </w14:srgbClr>
                  </w14:solidFill>
                </w14:textFill>
              </w:rPr>
              <w:t>|</w:t>
            </w:r>
            <w:r w:rsidR="003E251D">
              <w:t xml:space="preserve"> </w:t>
            </w:r>
            <w:r w:rsidR="003E251D">
              <w:rPr>
                <w:vertAlign w:val="superscript"/>
              </w:rPr>
              <w:t>4</w:t>
            </w:r>
          </w:p>
        </w:tc>
      </w:tr>
      <w:tr w:rsidR="00C96EDE" w:rsidRPr="00EC57FB" w14:paraId="0642CB11" w14:textId="77777777" w:rsidTr="008277E3">
        <w:tc>
          <w:tcPr>
            <w:tcW w:w="9022" w:type="dxa"/>
            <w:gridSpan w:val="7"/>
            <w:vAlign w:val="center"/>
          </w:tcPr>
          <w:p w14:paraId="31041FC0" w14:textId="739EA3F7" w:rsidR="00C96EDE" w:rsidRPr="00EC57FB" w:rsidRDefault="00C96EDE" w:rsidP="00D07BC5">
            <w:pPr>
              <w:pStyle w:val="TableText0"/>
              <w:keepNext w:val="0"/>
              <w:keepLines w:val="0"/>
              <w:rPr>
                <w:b/>
                <w:bCs w:val="0"/>
                <w:iCs/>
              </w:rPr>
            </w:pPr>
            <w:r w:rsidRPr="00EC57FB">
              <w:rPr>
                <w:b/>
                <w:bCs w:val="0"/>
                <w:iCs/>
              </w:rPr>
              <w:t>Revised estimates in pre-PBAC response</w:t>
            </w:r>
          </w:p>
        </w:tc>
      </w:tr>
      <w:tr w:rsidR="00C96EDE" w:rsidRPr="00EC57FB" w14:paraId="62CCEDDC" w14:textId="77777777" w:rsidTr="001E02B8">
        <w:tc>
          <w:tcPr>
            <w:tcW w:w="2268" w:type="dxa"/>
            <w:vAlign w:val="center"/>
          </w:tcPr>
          <w:p w14:paraId="17DEBB6A" w14:textId="590DCA06" w:rsidR="00C96EDE" w:rsidRPr="00EC57FB" w:rsidRDefault="00B10DAA" w:rsidP="00D07BC5">
            <w:pPr>
              <w:pStyle w:val="TableText0"/>
              <w:keepNext w:val="0"/>
              <w:keepLines w:val="0"/>
            </w:pPr>
            <w:r w:rsidRPr="00EC57FB">
              <w:t>T</w:t>
            </w:r>
            <w:r w:rsidR="00C96EDE" w:rsidRPr="00EC57FB">
              <w:t>reated in Season 1</w:t>
            </w:r>
          </w:p>
        </w:tc>
        <w:tc>
          <w:tcPr>
            <w:tcW w:w="1134" w:type="dxa"/>
            <w:vAlign w:val="center"/>
          </w:tcPr>
          <w:p w14:paraId="56C87D91" w14:textId="458E306A" w:rsidR="00C96EDE" w:rsidRPr="00EC57FB" w:rsidRDefault="000641E5" w:rsidP="00D07BC5">
            <w:pPr>
              <w:pStyle w:val="TableText0"/>
              <w:keepNext w:val="0"/>
              <w:keepLines w:val="0"/>
              <w:jc w:val="center"/>
            </w:pPr>
            <w:r w:rsidRPr="000641E5">
              <w:rPr>
                <w:color w:val="000000"/>
                <w:spacing w:val="52"/>
                <w:shd w:val="solid" w:color="000000" w:fill="000000"/>
                <w:fitText w:val="327" w:id="-662982144"/>
                <w14:textFill>
                  <w14:solidFill>
                    <w14:srgbClr w14:val="000000">
                      <w14:alpha w14:val="100000"/>
                    </w14:srgbClr>
                  </w14:solidFill>
                </w14:textFill>
              </w:rPr>
              <w:t>|||</w:t>
            </w:r>
            <w:r w:rsidRPr="000641E5">
              <w:rPr>
                <w:color w:val="000000"/>
                <w:spacing w:val="1"/>
                <w:shd w:val="solid" w:color="000000" w:fill="000000"/>
                <w:fitText w:val="327" w:id="-662982144"/>
                <w14:textFill>
                  <w14:solidFill>
                    <w14:srgbClr w14:val="000000">
                      <w14:alpha w14:val="100000"/>
                    </w14:srgbClr>
                  </w14:solidFill>
                </w14:textFill>
              </w:rPr>
              <w:t>|</w:t>
            </w:r>
            <w:r w:rsidR="003E251D">
              <w:t xml:space="preserve"> </w:t>
            </w:r>
            <w:r w:rsidR="003E251D">
              <w:rPr>
                <w:vertAlign w:val="superscript"/>
              </w:rPr>
              <w:t>3</w:t>
            </w:r>
          </w:p>
        </w:tc>
        <w:tc>
          <w:tcPr>
            <w:tcW w:w="1134" w:type="dxa"/>
            <w:vAlign w:val="center"/>
          </w:tcPr>
          <w:p w14:paraId="6485F605" w14:textId="5CBFF14E" w:rsidR="00C96EDE" w:rsidRPr="00EC57FB" w:rsidRDefault="000641E5" w:rsidP="00D07BC5">
            <w:pPr>
              <w:pStyle w:val="TableText0"/>
              <w:keepNext w:val="0"/>
              <w:keepLines w:val="0"/>
              <w:jc w:val="center"/>
            </w:pPr>
            <w:r w:rsidRPr="000641E5">
              <w:rPr>
                <w:color w:val="000000"/>
                <w:spacing w:val="52"/>
                <w:shd w:val="solid" w:color="000000" w:fill="000000"/>
                <w:fitText w:val="327" w:id="-662982143"/>
                <w14:textFill>
                  <w14:solidFill>
                    <w14:srgbClr w14:val="000000">
                      <w14:alpha w14:val="100000"/>
                    </w14:srgbClr>
                  </w14:solidFill>
                </w14:textFill>
              </w:rPr>
              <w:t>|||</w:t>
            </w:r>
            <w:r w:rsidRPr="000641E5">
              <w:rPr>
                <w:color w:val="000000"/>
                <w:spacing w:val="1"/>
                <w:shd w:val="solid" w:color="000000" w:fill="000000"/>
                <w:fitText w:val="327" w:id="-662982143"/>
                <w14:textFill>
                  <w14:solidFill>
                    <w14:srgbClr w14:val="000000">
                      <w14:alpha w14:val="100000"/>
                    </w14:srgbClr>
                  </w14:solidFill>
                </w14:textFill>
              </w:rPr>
              <w:t>|</w:t>
            </w:r>
            <w:r w:rsidR="003E251D">
              <w:t xml:space="preserve"> </w:t>
            </w:r>
            <w:r w:rsidR="003E251D">
              <w:rPr>
                <w:vertAlign w:val="superscript"/>
              </w:rPr>
              <w:t>3</w:t>
            </w:r>
          </w:p>
        </w:tc>
        <w:tc>
          <w:tcPr>
            <w:tcW w:w="1134" w:type="dxa"/>
            <w:vAlign w:val="center"/>
          </w:tcPr>
          <w:p w14:paraId="023C0F90" w14:textId="7E00312A" w:rsidR="00C96EDE" w:rsidRPr="00EC57FB" w:rsidRDefault="000641E5" w:rsidP="00D07BC5">
            <w:pPr>
              <w:pStyle w:val="TableText0"/>
              <w:keepNext w:val="0"/>
              <w:keepLines w:val="0"/>
              <w:jc w:val="center"/>
            </w:pPr>
            <w:r w:rsidRPr="000641E5">
              <w:rPr>
                <w:color w:val="000000"/>
                <w:spacing w:val="52"/>
                <w:shd w:val="solid" w:color="000000" w:fill="000000"/>
                <w:fitText w:val="327" w:id="-662982142"/>
                <w14:textFill>
                  <w14:solidFill>
                    <w14:srgbClr w14:val="000000">
                      <w14:alpha w14:val="100000"/>
                    </w14:srgbClr>
                  </w14:solidFill>
                </w14:textFill>
              </w:rPr>
              <w:t>|||</w:t>
            </w:r>
            <w:r w:rsidRPr="000641E5">
              <w:rPr>
                <w:color w:val="000000"/>
                <w:spacing w:val="1"/>
                <w:shd w:val="solid" w:color="000000" w:fill="000000"/>
                <w:fitText w:val="327" w:id="-662982142"/>
                <w14:textFill>
                  <w14:solidFill>
                    <w14:srgbClr w14:val="000000">
                      <w14:alpha w14:val="100000"/>
                    </w14:srgbClr>
                  </w14:solidFill>
                </w14:textFill>
              </w:rPr>
              <w:t>|</w:t>
            </w:r>
            <w:r w:rsidR="003E251D">
              <w:t xml:space="preserve"> </w:t>
            </w:r>
            <w:r w:rsidR="003E251D">
              <w:rPr>
                <w:vertAlign w:val="superscript"/>
              </w:rPr>
              <w:t>3</w:t>
            </w:r>
          </w:p>
        </w:tc>
        <w:tc>
          <w:tcPr>
            <w:tcW w:w="1134" w:type="dxa"/>
            <w:vAlign w:val="center"/>
          </w:tcPr>
          <w:p w14:paraId="552DB072" w14:textId="5C680D22" w:rsidR="00C96EDE" w:rsidRPr="00EC57FB" w:rsidRDefault="000641E5" w:rsidP="00D07BC5">
            <w:pPr>
              <w:pStyle w:val="TableText0"/>
              <w:keepNext w:val="0"/>
              <w:keepLines w:val="0"/>
              <w:jc w:val="center"/>
            </w:pPr>
            <w:r w:rsidRPr="000641E5">
              <w:rPr>
                <w:color w:val="000000"/>
                <w:spacing w:val="52"/>
                <w:shd w:val="solid" w:color="000000" w:fill="000000"/>
                <w:fitText w:val="327" w:id="-662982141"/>
                <w14:textFill>
                  <w14:solidFill>
                    <w14:srgbClr w14:val="000000">
                      <w14:alpha w14:val="100000"/>
                    </w14:srgbClr>
                  </w14:solidFill>
                </w14:textFill>
              </w:rPr>
              <w:t>|||</w:t>
            </w:r>
            <w:r w:rsidRPr="000641E5">
              <w:rPr>
                <w:color w:val="000000"/>
                <w:spacing w:val="1"/>
                <w:shd w:val="solid" w:color="000000" w:fill="000000"/>
                <w:fitText w:val="327" w:id="-662982141"/>
                <w14:textFill>
                  <w14:solidFill>
                    <w14:srgbClr w14:val="000000">
                      <w14:alpha w14:val="100000"/>
                    </w14:srgbClr>
                  </w14:solidFill>
                </w14:textFill>
              </w:rPr>
              <w:t>|</w:t>
            </w:r>
            <w:r w:rsidR="003E251D">
              <w:t xml:space="preserve"> </w:t>
            </w:r>
            <w:r w:rsidR="003E251D">
              <w:rPr>
                <w:vertAlign w:val="superscript"/>
              </w:rPr>
              <w:t>3</w:t>
            </w:r>
          </w:p>
        </w:tc>
        <w:tc>
          <w:tcPr>
            <w:tcW w:w="1134" w:type="dxa"/>
            <w:vAlign w:val="center"/>
          </w:tcPr>
          <w:p w14:paraId="54D6FAE7" w14:textId="5642DDD8" w:rsidR="00C96EDE" w:rsidRPr="00EC57FB" w:rsidRDefault="000641E5" w:rsidP="00D07BC5">
            <w:pPr>
              <w:pStyle w:val="TableText0"/>
              <w:keepNext w:val="0"/>
              <w:keepLines w:val="0"/>
              <w:jc w:val="center"/>
            </w:pPr>
            <w:r w:rsidRPr="000641E5">
              <w:rPr>
                <w:color w:val="000000"/>
                <w:spacing w:val="52"/>
                <w:shd w:val="solid" w:color="000000" w:fill="000000"/>
                <w:fitText w:val="327" w:id="-662982140"/>
                <w14:textFill>
                  <w14:solidFill>
                    <w14:srgbClr w14:val="000000">
                      <w14:alpha w14:val="100000"/>
                    </w14:srgbClr>
                  </w14:solidFill>
                </w14:textFill>
              </w:rPr>
              <w:t>|||</w:t>
            </w:r>
            <w:r w:rsidRPr="000641E5">
              <w:rPr>
                <w:color w:val="000000"/>
                <w:spacing w:val="1"/>
                <w:shd w:val="solid" w:color="000000" w:fill="000000"/>
                <w:fitText w:val="327" w:id="-662982140"/>
                <w14:textFill>
                  <w14:solidFill>
                    <w14:srgbClr w14:val="000000">
                      <w14:alpha w14:val="100000"/>
                    </w14:srgbClr>
                  </w14:solidFill>
                </w14:textFill>
              </w:rPr>
              <w:t>|</w:t>
            </w:r>
            <w:r w:rsidR="003E251D">
              <w:t xml:space="preserve"> </w:t>
            </w:r>
            <w:r w:rsidR="003E251D">
              <w:rPr>
                <w:vertAlign w:val="superscript"/>
              </w:rPr>
              <w:t>3</w:t>
            </w:r>
          </w:p>
        </w:tc>
        <w:tc>
          <w:tcPr>
            <w:tcW w:w="1084" w:type="dxa"/>
            <w:vAlign w:val="center"/>
          </w:tcPr>
          <w:p w14:paraId="56645991" w14:textId="42819A81" w:rsidR="00C96EDE" w:rsidRPr="00EC57FB" w:rsidRDefault="000641E5" w:rsidP="00D07BC5">
            <w:pPr>
              <w:pStyle w:val="TableText0"/>
              <w:keepNext w:val="0"/>
              <w:keepLines w:val="0"/>
              <w:jc w:val="center"/>
            </w:pPr>
            <w:r w:rsidRPr="000641E5">
              <w:rPr>
                <w:color w:val="000000"/>
                <w:spacing w:val="52"/>
                <w:shd w:val="solid" w:color="000000" w:fill="000000"/>
                <w:fitText w:val="327" w:id="-662982139"/>
                <w14:textFill>
                  <w14:solidFill>
                    <w14:srgbClr w14:val="000000">
                      <w14:alpha w14:val="100000"/>
                    </w14:srgbClr>
                  </w14:solidFill>
                </w14:textFill>
              </w:rPr>
              <w:t>|||</w:t>
            </w:r>
            <w:r w:rsidRPr="000641E5">
              <w:rPr>
                <w:color w:val="000000"/>
                <w:spacing w:val="1"/>
                <w:shd w:val="solid" w:color="000000" w:fill="000000"/>
                <w:fitText w:val="327" w:id="-662982139"/>
                <w14:textFill>
                  <w14:solidFill>
                    <w14:srgbClr w14:val="000000">
                      <w14:alpha w14:val="100000"/>
                    </w14:srgbClr>
                  </w14:solidFill>
                </w14:textFill>
              </w:rPr>
              <w:t>|</w:t>
            </w:r>
            <w:r w:rsidR="003E251D">
              <w:t xml:space="preserve"> </w:t>
            </w:r>
            <w:r w:rsidR="003E251D">
              <w:rPr>
                <w:vertAlign w:val="superscript"/>
              </w:rPr>
              <w:t>3</w:t>
            </w:r>
          </w:p>
        </w:tc>
      </w:tr>
      <w:tr w:rsidR="00C96EDE" w:rsidRPr="00EC57FB" w14:paraId="1C7E94B4" w14:textId="77777777" w:rsidTr="001E02B8">
        <w:tc>
          <w:tcPr>
            <w:tcW w:w="2268" w:type="dxa"/>
            <w:vAlign w:val="center"/>
          </w:tcPr>
          <w:p w14:paraId="081B31BF" w14:textId="08549CA0" w:rsidR="00C96EDE" w:rsidRPr="00EC57FB" w:rsidRDefault="00B10DAA" w:rsidP="00D07BC5">
            <w:pPr>
              <w:pStyle w:val="TableText0"/>
              <w:keepNext w:val="0"/>
              <w:keepLines w:val="0"/>
            </w:pPr>
            <w:r w:rsidRPr="00EC57FB">
              <w:t>T</w:t>
            </w:r>
            <w:r w:rsidR="00C96EDE" w:rsidRPr="00EC57FB">
              <w:t>reated in Season 2</w:t>
            </w:r>
          </w:p>
        </w:tc>
        <w:tc>
          <w:tcPr>
            <w:tcW w:w="1134" w:type="dxa"/>
            <w:vAlign w:val="center"/>
          </w:tcPr>
          <w:p w14:paraId="16501048" w14:textId="17BCA993" w:rsidR="00C96EDE" w:rsidRPr="00EC57FB" w:rsidRDefault="000641E5" w:rsidP="00D07BC5">
            <w:pPr>
              <w:pStyle w:val="TableText0"/>
              <w:keepNext w:val="0"/>
              <w:keepLines w:val="0"/>
              <w:jc w:val="center"/>
            </w:pPr>
            <w:r w:rsidRPr="000641E5">
              <w:rPr>
                <w:color w:val="000000"/>
                <w:spacing w:val="52"/>
                <w:shd w:val="solid" w:color="000000" w:fill="000000"/>
                <w:fitText w:val="327" w:id="-662982138"/>
                <w14:textFill>
                  <w14:solidFill>
                    <w14:srgbClr w14:val="000000">
                      <w14:alpha w14:val="100000"/>
                    </w14:srgbClr>
                  </w14:solidFill>
                </w14:textFill>
              </w:rPr>
              <w:t>|||</w:t>
            </w:r>
            <w:r w:rsidRPr="000641E5">
              <w:rPr>
                <w:color w:val="000000"/>
                <w:spacing w:val="1"/>
                <w:shd w:val="solid" w:color="000000" w:fill="000000"/>
                <w:fitText w:val="327" w:id="-662982138"/>
                <w14:textFill>
                  <w14:solidFill>
                    <w14:srgbClr w14:val="000000">
                      <w14:alpha w14:val="100000"/>
                    </w14:srgbClr>
                  </w14:solidFill>
                </w14:textFill>
              </w:rPr>
              <w:t>|</w:t>
            </w:r>
            <w:r w:rsidR="00B07A81">
              <w:t xml:space="preserve"> </w:t>
            </w:r>
            <w:r w:rsidR="00B07A81">
              <w:rPr>
                <w:vertAlign w:val="superscript"/>
              </w:rPr>
              <w:t>8</w:t>
            </w:r>
          </w:p>
        </w:tc>
        <w:tc>
          <w:tcPr>
            <w:tcW w:w="1134" w:type="dxa"/>
            <w:vAlign w:val="center"/>
          </w:tcPr>
          <w:p w14:paraId="188D4DDC" w14:textId="10C0BC22" w:rsidR="00C96EDE" w:rsidRPr="00EC57FB" w:rsidRDefault="000641E5" w:rsidP="00D07BC5">
            <w:pPr>
              <w:pStyle w:val="TableText0"/>
              <w:keepNext w:val="0"/>
              <w:keepLines w:val="0"/>
              <w:jc w:val="center"/>
            </w:pPr>
            <w:r w:rsidRPr="000641E5">
              <w:rPr>
                <w:color w:val="000000"/>
                <w:spacing w:val="52"/>
                <w:shd w:val="solid" w:color="000000" w:fill="000000"/>
                <w:fitText w:val="327" w:id="-662982137"/>
                <w14:textFill>
                  <w14:solidFill>
                    <w14:srgbClr w14:val="000000">
                      <w14:alpha w14:val="100000"/>
                    </w14:srgbClr>
                  </w14:solidFill>
                </w14:textFill>
              </w:rPr>
              <w:t>|||</w:t>
            </w:r>
            <w:r w:rsidRPr="000641E5">
              <w:rPr>
                <w:color w:val="000000"/>
                <w:spacing w:val="1"/>
                <w:shd w:val="solid" w:color="000000" w:fill="000000"/>
                <w:fitText w:val="327" w:id="-662982137"/>
                <w14:textFill>
                  <w14:solidFill>
                    <w14:srgbClr w14:val="000000">
                      <w14:alpha w14:val="100000"/>
                    </w14:srgbClr>
                  </w14:solidFill>
                </w14:textFill>
              </w:rPr>
              <w:t>|</w:t>
            </w:r>
            <w:r w:rsidR="00B07A81">
              <w:t xml:space="preserve"> </w:t>
            </w:r>
            <w:r w:rsidR="00B07A81">
              <w:rPr>
                <w:vertAlign w:val="superscript"/>
              </w:rPr>
              <w:t>8</w:t>
            </w:r>
          </w:p>
        </w:tc>
        <w:tc>
          <w:tcPr>
            <w:tcW w:w="1134" w:type="dxa"/>
            <w:vAlign w:val="center"/>
          </w:tcPr>
          <w:p w14:paraId="7FF0B122" w14:textId="213A5EDD" w:rsidR="00C96EDE" w:rsidRPr="00EC57FB" w:rsidRDefault="000641E5" w:rsidP="00D07BC5">
            <w:pPr>
              <w:pStyle w:val="TableText0"/>
              <w:keepNext w:val="0"/>
              <w:keepLines w:val="0"/>
              <w:jc w:val="center"/>
            </w:pPr>
            <w:r w:rsidRPr="000641E5">
              <w:rPr>
                <w:color w:val="000000"/>
                <w:spacing w:val="52"/>
                <w:shd w:val="solid" w:color="000000" w:fill="000000"/>
                <w:fitText w:val="327" w:id="-662982136"/>
                <w14:textFill>
                  <w14:solidFill>
                    <w14:srgbClr w14:val="000000">
                      <w14:alpha w14:val="100000"/>
                    </w14:srgbClr>
                  </w14:solidFill>
                </w14:textFill>
              </w:rPr>
              <w:t>|||</w:t>
            </w:r>
            <w:r w:rsidRPr="000641E5">
              <w:rPr>
                <w:color w:val="000000"/>
                <w:spacing w:val="1"/>
                <w:shd w:val="solid" w:color="000000" w:fill="000000"/>
                <w:fitText w:val="327" w:id="-662982136"/>
                <w14:textFill>
                  <w14:solidFill>
                    <w14:srgbClr w14:val="000000">
                      <w14:alpha w14:val="100000"/>
                    </w14:srgbClr>
                  </w14:solidFill>
                </w14:textFill>
              </w:rPr>
              <w:t>|</w:t>
            </w:r>
            <w:r w:rsidR="00B07A81">
              <w:t xml:space="preserve"> </w:t>
            </w:r>
            <w:r w:rsidR="00B07A81">
              <w:rPr>
                <w:vertAlign w:val="superscript"/>
              </w:rPr>
              <w:t>8</w:t>
            </w:r>
          </w:p>
        </w:tc>
        <w:tc>
          <w:tcPr>
            <w:tcW w:w="1134" w:type="dxa"/>
            <w:vAlign w:val="center"/>
          </w:tcPr>
          <w:p w14:paraId="4FC858BE" w14:textId="075D8260" w:rsidR="00C96EDE" w:rsidRPr="00EC57FB" w:rsidRDefault="000641E5" w:rsidP="00D07BC5">
            <w:pPr>
              <w:pStyle w:val="TableText0"/>
              <w:keepNext w:val="0"/>
              <w:keepLines w:val="0"/>
              <w:jc w:val="center"/>
            </w:pPr>
            <w:r w:rsidRPr="000641E5">
              <w:rPr>
                <w:color w:val="000000"/>
                <w:spacing w:val="52"/>
                <w:shd w:val="solid" w:color="000000" w:fill="000000"/>
                <w:fitText w:val="327" w:id="-662982135"/>
                <w14:textFill>
                  <w14:solidFill>
                    <w14:srgbClr w14:val="000000">
                      <w14:alpha w14:val="100000"/>
                    </w14:srgbClr>
                  </w14:solidFill>
                </w14:textFill>
              </w:rPr>
              <w:t>|||</w:t>
            </w:r>
            <w:r w:rsidRPr="000641E5">
              <w:rPr>
                <w:color w:val="000000"/>
                <w:spacing w:val="1"/>
                <w:shd w:val="solid" w:color="000000" w:fill="000000"/>
                <w:fitText w:val="327" w:id="-662982135"/>
                <w14:textFill>
                  <w14:solidFill>
                    <w14:srgbClr w14:val="000000">
                      <w14:alpha w14:val="100000"/>
                    </w14:srgbClr>
                  </w14:solidFill>
                </w14:textFill>
              </w:rPr>
              <w:t>|</w:t>
            </w:r>
            <w:r w:rsidR="00B07A81">
              <w:t xml:space="preserve"> </w:t>
            </w:r>
            <w:r w:rsidR="00B07A81">
              <w:rPr>
                <w:vertAlign w:val="superscript"/>
              </w:rPr>
              <w:t>8</w:t>
            </w:r>
          </w:p>
        </w:tc>
        <w:tc>
          <w:tcPr>
            <w:tcW w:w="1134" w:type="dxa"/>
            <w:vAlign w:val="center"/>
          </w:tcPr>
          <w:p w14:paraId="5401405F" w14:textId="40E8CDC8" w:rsidR="00C96EDE" w:rsidRPr="00EC57FB" w:rsidRDefault="000641E5" w:rsidP="00D07BC5">
            <w:pPr>
              <w:pStyle w:val="TableText0"/>
              <w:keepNext w:val="0"/>
              <w:keepLines w:val="0"/>
              <w:jc w:val="center"/>
            </w:pPr>
            <w:r w:rsidRPr="000641E5">
              <w:rPr>
                <w:color w:val="000000"/>
                <w:spacing w:val="52"/>
                <w:shd w:val="solid" w:color="000000" w:fill="000000"/>
                <w:fitText w:val="327" w:id="-662982134"/>
                <w14:textFill>
                  <w14:solidFill>
                    <w14:srgbClr w14:val="000000">
                      <w14:alpha w14:val="100000"/>
                    </w14:srgbClr>
                  </w14:solidFill>
                </w14:textFill>
              </w:rPr>
              <w:t>|||</w:t>
            </w:r>
            <w:r w:rsidRPr="000641E5">
              <w:rPr>
                <w:color w:val="000000"/>
                <w:spacing w:val="1"/>
                <w:shd w:val="solid" w:color="000000" w:fill="000000"/>
                <w:fitText w:val="327" w:id="-662982134"/>
                <w14:textFill>
                  <w14:solidFill>
                    <w14:srgbClr w14:val="000000">
                      <w14:alpha w14:val="100000"/>
                    </w14:srgbClr>
                  </w14:solidFill>
                </w14:textFill>
              </w:rPr>
              <w:t>|</w:t>
            </w:r>
            <w:r w:rsidR="00B07A81">
              <w:t xml:space="preserve"> </w:t>
            </w:r>
            <w:r w:rsidR="00B07A81">
              <w:rPr>
                <w:vertAlign w:val="superscript"/>
              </w:rPr>
              <w:t>8</w:t>
            </w:r>
          </w:p>
        </w:tc>
        <w:tc>
          <w:tcPr>
            <w:tcW w:w="1084" w:type="dxa"/>
            <w:vAlign w:val="center"/>
          </w:tcPr>
          <w:p w14:paraId="4F0F6410" w14:textId="5CF0B1A2" w:rsidR="00C96EDE" w:rsidRPr="00EC57FB" w:rsidRDefault="000641E5" w:rsidP="00D07BC5">
            <w:pPr>
              <w:pStyle w:val="TableText0"/>
              <w:keepNext w:val="0"/>
              <w:keepLines w:val="0"/>
              <w:jc w:val="center"/>
            </w:pPr>
            <w:r w:rsidRPr="000641E5">
              <w:rPr>
                <w:color w:val="000000"/>
                <w:spacing w:val="52"/>
                <w:shd w:val="solid" w:color="000000" w:fill="000000"/>
                <w:fitText w:val="327" w:id="-662982133"/>
                <w14:textFill>
                  <w14:solidFill>
                    <w14:srgbClr w14:val="000000">
                      <w14:alpha w14:val="100000"/>
                    </w14:srgbClr>
                  </w14:solidFill>
                </w14:textFill>
              </w:rPr>
              <w:t>|||</w:t>
            </w:r>
            <w:r w:rsidRPr="000641E5">
              <w:rPr>
                <w:color w:val="000000"/>
                <w:spacing w:val="1"/>
                <w:shd w:val="solid" w:color="000000" w:fill="000000"/>
                <w:fitText w:val="327" w:id="-662982133"/>
                <w14:textFill>
                  <w14:solidFill>
                    <w14:srgbClr w14:val="000000">
                      <w14:alpha w14:val="100000"/>
                    </w14:srgbClr>
                  </w14:solidFill>
                </w14:textFill>
              </w:rPr>
              <w:t>|</w:t>
            </w:r>
            <w:r w:rsidR="00B07A81">
              <w:t xml:space="preserve"> </w:t>
            </w:r>
            <w:r w:rsidR="00B07A81">
              <w:rPr>
                <w:vertAlign w:val="superscript"/>
              </w:rPr>
              <w:t>8</w:t>
            </w:r>
          </w:p>
        </w:tc>
      </w:tr>
      <w:tr w:rsidR="00C96EDE" w:rsidRPr="00EC57FB" w14:paraId="6D225DEC" w14:textId="77777777" w:rsidTr="001E02B8">
        <w:tc>
          <w:tcPr>
            <w:tcW w:w="2268" w:type="dxa"/>
            <w:vAlign w:val="center"/>
          </w:tcPr>
          <w:p w14:paraId="4C85F947" w14:textId="1466A07F" w:rsidR="00C96EDE" w:rsidRPr="00EC57FB" w:rsidRDefault="00C96EDE" w:rsidP="00D07BC5">
            <w:pPr>
              <w:pStyle w:val="TableText0"/>
              <w:keepNext w:val="0"/>
              <w:keepLines w:val="0"/>
            </w:pPr>
            <w:r w:rsidRPr="00EC57FB">
              <w:t>Total treated</w:t>
            </w:r>
          </w:p>
        </w:tc>
        <w:tc>
          <w:tcPr>
            <w:tcW w:w="1134" w:type="dxa"/>
            <w:vAlign w:val="center"/>
          </w:tcPr>
          <w:p w14:paraId="4AB8F46E" w14:textId="4F96E6BB" w:rsidR="00C96EDE" w:rsidRPr="00EC57FB" w:rsidRDefault="000641E5" w:rsidP="00D07BC5">
            <w:pPr>
              <w:pStyle w:val="TableText0"/>
              <w:keepNext w:val="0"/>
              <w:keepLines w:val="0"/>
              <w:jc w:val="center"/>
            </w:pPr>
            <w:r w:rsidRPr="000641E5">
              <w:rPr>
                <w:color w:val="000000"/>
                <w:spacing w:val="52"/>
                <w:shd w:val="solid" w:color="000000" w:fill="000000"/>
                <w:fitText w:val="327" w:id="-662982132"/>
                <w14:textFill>
                  <w14:solidFill>
                    <w14:srgbClr w14:val="000000">
                      <w14:alpha w14:val="100000"/>
                    </w14:srgbClr>
                  </w14:solidFill>
                </w14:textFill>
              </w:rPr>
              <w:t>|||</w:t>
            </w:r>
            <w:r w:rsidRPr="000641E5">
              <w:rPr>
                <w:color w:val="000000"/>
                <w:spacing w:val="1"/>
                <w:shd w:val="solid" w:color="000000" w:fill="000000"/>
                <w:fitText w:val="327" w:id="-662982132"/>
                <w14:textFill>
                  <w14:solidFill>
                    <w14:srgbClr w14:val="000000">
                      <w14:alpha w14:val="100000"/>
                    </w14:srgbClr>
                  </w14:solidFill>
                </w14:textFill>
              </w:rPr>
              <w:t>|</w:t>
            </w:r>
            <w:r w:rsidR="003E251D">
              <w:t xml:space="preserve"> </w:t>
            </w:r>
            <w:r w:rsidR="003E251D">
              <w:rPr>
                <w:vertAlign w:val="superscript"/>
              </w:rPr>
              <w:t>3</w:t>
            </w:r>
          </w:p>
        </w:tc>
        <w:tc>
          <w:tcPr>
            <w:tcW w:w="1134" w:type="dxa"/>
            <w:vAlign w:val="center"/>
          </w:tcPr>
          <w:p w14:paraId="3485FF6C" w14:textId="0DB9D2FF" w:rsidR="00C96EDE" w:rsidRPr="00EC57FB" w:rsidRDefault="000641E5" w:rsidP="00D07BC5">
            <w:pPr>
              <w:pStyle w:val="TableText0"/>
              <w:keepNext w:val="0"/>
              <w:keepLines w:val="0"/>
              <w:jc w:val="center"/>
            </w:pPr>
            <w:r w:rsidRPr="000641E5">
              <w:rPr>
                <w:color w:val="000000"/>
                <w:spacing w:val="52"/>
                <w:shd w:val="solid" w:color="000000" w:fill="000000"/>
                <w:fitText w:val="327" w:id="-662982131"/>
                <w14:textFill>
                  <w14:solidFill>
                    <w14:srgbClr w14:val="000000">
                      <w14:alpha w14:val="100000"/>
                    </w14:srgbClr>
                  </w14:solidFill>
                </w14:textFill>
              </w:rPr>
              <w:t>|||</w:t>
            </w:r>
            <w:r w:rsidRPr="000641E5">
              <w:rPr>
                <w:color w:val="000000"/>
                <w:spacing w:val="1"/>
                <w:shd w:val="solid" w:color="000000" w:fill="000000"/>
                <w:fitText w:val="327" w:id="-662982131"/>
                <w14:textFill>
                  <w14:solidFill>
                    <w14:srgbClr w14:val="000000">
                      <w14:alpha w14:val="100000"/>
                    </w14:srgbClr>
                  </w14:solidFill>
                </w14:textFill>
              </w:rPr>
              <w:t>|</w:t>
            </w:r>
            <w:r w:rsidR="003E251D">
              <w:t xml:space="preserve"> </w:t>
            </w:r>
            <w:r w:rsidR="003E251D">
              <w:rPr>
                <w:vertAlign w:val="superscript"/>
              </w:rPr>
              <w:t>3</w:t>
            </w:r>
          </w:p>
        </w:tc>
        <w:tc>
          <w:tcPr>
            <w:tcW w:w="1134" w:type="dxa"/>
            <w:vAlign w:val="center"/>
          </w:tcPr>
          <w:p w14:paraId="13A49573" w14:textId="2D63A1E8" w:rsidR="00C96EDE" w:rsidRPr="00EC57FB" w:rsidRDefault="000641E5" w:rsidP="00D07BC5">
            <w:pPr>
              <w:pStyle w:val="TableText0"/>
              <w:keepNext w:val="0"/>
              <w:keepLines w:val="0"/>
              <w:jc w:val="center"/>
            </w:pPr>
            <w:r w:rsidRPr="000641E5">
              <w:rPr>
                <w:color w:val="000000"/>
                <w:spacing w:val="52"/>
                <w:shd w:val="solid" w:color="000000" w:fill="000000"/>
                <w:fitText w:val="327" w:id="-662982130"/>
                <w14:textFill>
                  <w14:solidFill>
                    <w14:srgbClr w14:val="000000">
                      <w14:alpha w14:val="100000"/>
                    </w14:srgbClr>
                  </w14:solidFill>
                </w14:textFill>
              </w:rPr>
              <w:t>|||</w:t>
            </w:r>
            <w:r w:rsidRPr="000641E5">
              <w:rPr>
                <w:color w:val="000000"/>
                <w:spacing w:val="1"/>
                <w:shd w:val="solid" w:color="000000" w:fill="000000"/>
                <w:fitText w:val="327" w:id="-662982130"/>
                <w14:textFill>
                  <w14:solidFill>
                    <w14:srgbClr w14:val="000000">
                      <w14:alpha w14:val="100000"/>
                    </w14:srgbClr>
                  </w14:solidFill>
                </w14:textFill>
              </w:rPr>
              <w:t>|</w:t>
            </w:r>
            <w:r w:rsidR="003E251D">
              <w:t xml:space="preserve"> </w:t>
            </w:r>
            <w:r w:rsidR="003E251D">
              <w:rPr>
                <w:vertAlign w:val="superscript"/>
              </w:rPr>
              <w:t>3</w:t>
            </w:r>
          </w:p>
        </w:tc>
        <w:tc>
          <w:tcPr>
            <w:tcW w:w="1134" w:type="dxa"/>
            <w:vAlign w:val="center"/>
          </w:tcPr>
          <w:p w14:paraId="2C060DA2" w14:textId="1BB2FB22" w:rsidR="00C96EDE" w:rsidRPr="00EC57FB" w:rsidRDefault="000641E5" w:rsidP="00D07BC5">
            <w:pPr>
              <w:pStyle w:val="TableText0"/>
              <w:keepNext w:val="0"/>
              <w:keepLines w:val="0"/>
              <w:jc w:val="center"/>
            </w:pPr>
            <w:r w:rsidRPr="000641E5">
              <w:rPr>
                <w:color w:val="000000"/>
                <w:spacing w:val="52"/>
                <w:shd w:val="solid" w:color="000000" w:fill="000000"/>
                <w:fitText w:val="327" w:id="-662982129"/>
                <w14:textFill>
                  <w14:solidFill>
                    <w14:srgbClr w14:val="000000">
                      <w14:alpha w14:val="100000"/>
                    </w14:srgbClr>
                  </w14:solidFill>
                </w14:textFill>
              </w:rPr>
              <w:t>|||</w:t>
            </w:r>
            <w:r w:rsidRPr="000641E5">
              <w:rPr>
                <w:color w:val="000000"/>
                <w:spacing w:val="1"/>
                <w:shd w:val="solid" w:color="000000" w:fill="000000"/>
                <w:fitText w:val="327" w:id="-662982129"/>
                <w14:textFill>
                  <w14:solidFill>
                    <w14:srgbClr w14:val="000000">
                      <w14:alpha w14:val="100000"/>
                    </w14:srgbClr>
                  </w14:solidFill>
                </w14:textFill>
              </w:rPr>
              <w:t>|</w:t>
            </w:r>
            <w:r w:rsidR="003E251D">
              <w:t xml:space="preserve"> </w:t>
            </w:r>
            <w:r w:rsidR="003E251D">
              <w:rPr>
                <w:vertAlign w:val="superscript"/>
              </w:rPr>
              <w:t>3</w:t>
            </w:r>
          </w:p>
        </w:tc>
        <w:tc>
          <w:tcPr>
            <w:tcW w:w="1134" w:type="dxa"/>
            <w:vAlign w:val="center"/>
          </w:tcPr>
          <w:p w14:paraId="7F45C3CF" w14:textId="2C6E1E2E" w:rsidR="00C96EDE" w:rsidRPr="00EC57FB" w:rsidRDefault="000641E5" w:rsidP="00D07BC5">
            <w:pPr>
              <w:pStyle w:val="TableText0"/>
              <w:keepNext w:val="0"/>
              <w:keepLines w:val="0"/>
              <w:jc w:val="center"/>
            </w:pPr>
            <w:r w:rsidRPr="000641E5">
              <w:rPr>
                <w:color w:val="000000"/>
                <w:spacing w:val="52"/>
                <w:shd w:val="solid" w:color="000000" w:fill="000000"/>
                <w:fitText w:val="327" w:id="-662982128"/>
                <w14:textFill>
                  <w14:solidFill>
                    <w14:srgbClr w14:val="000000">
                      <w14:alpha w14:val="100000"/>
                    </w14:srgbClr>
                  </w14:solidFill>
                </w14:textFill>
              </w:rPr>
              <w:t>|||</w:t>
            </w:r>
            <w:r w:rsidRPr="000641E5">
              <w:rPr>
                <w:color w:val="000000"/>
                <w:spacing w:val="1"/>
                <w:shd w:val="solid" w:color="000000" w:fill="000000"/>
                <w:fitText w:val="327" w:id="-662982128"/>
                <w14:textFill>
                  <w14:solidFill>
                    <w14:srgbClr w14:val="000000">
                      <w14:alpha w14:val="100000"/>
                    </w14:srgbClr>
                  </w14:solidFill>
                </w14:textFill>
              </w:rPr>
              <w:t>|</w:t>
            </w:r>
            <w:r w:rsidR="003E251D">
              <w:t xml:space="preserve"> </w:t>
            </w:r>
            <w:r w:rsidR="003E251D">
              <w:rPr>
                <w:vertAlign w:val="superscript"/>
              </w:rPr>
              <w:t>3</w:t>
            </w:r>
          </w:p>
        </w:tc>
        <w:tc>
          <w:tcPr>
            <w:tcW w:w="1084" w:type="dxa"/>
            <w:vAlign w:val="center"/>
          </w:tcPr>
          <w:p w14:paraId="3275D2BD" w14:textId="7F90012D" w:rsidR="00C96EDE" w:rsidRPr="00EC57FB" w:rsidRDefault="000641E5" w:rsidP="00D07BC5">
            <w:pPr>
              <w:pStyle w:val="TableText0"/>
              <w:keepNext w:val="0"/>
              <w:keepLines w:val="0"/>
              <w:jc w:val="center"/>
            </w:pPr>
            <w:r w:rsidRPr="000641E5">
              <w:rPr>
                <w:color w:val="000000"/>
                <w:spacing w:val="52"/>
                <w:shd w:val="solid" w:color="000000" w:fill="000000"/>
                <w:fitText w:val="327" w:id="-662982144"/>
                <w14:textFill>
                  <w14:solidFill>
                    <w14:srgbClr w14:val="000000">
                      <w14:alpha w14:val="100000"/>
                    </w14:srgbClr>
                  </w14:solidFill>
                </w14:textFill>
              </w:rPr>
              <w:t>|||</w:t>
            </w:r>
            <w:r w:rsidRPr="000641E5">
              <w:rPr>
                <w:color w:val="000000"/>
                <w:spacing w:val="1"/>
                <w:shd w:val="solid" w:color="000000" w:fill="000000"/>
                <w:fitText w:val="327" w:id="-662982144"/>
                <w14:textFill>
                  <w14:solidFill>
                    <w14:srgbClr w14:val="000000">
                      <w14:alpha w14:val="100000"/>
                    </w14:srgbClr>
                  </w14:solidFill>
                </w14:textFill>
              </w:rPr>
              <w:t>|</w:t>
            </w:r>
            <w:r w:rsidR="003E251D">
              <w:t xml:space="preserve"> </w:t>
            </w:r>
            <w:r w:rsidR="003E251D">
              <w:rPr>
                <w:vertAlign w:val="superscript"/>
              </w:rPr>
              <w:t>3</w:t>
            </w:r>
          </w:p>
        </w:tc>
      </w:tr>
      <w:tr w:rsidR="00C96EDE" w:rsidRPr="00EC57FB" w14:paraId="2CEC2C06" w14:textId="77777777" w:rsidTr="001E02B8">
        <w:tc>
          <w:tcPr>
            <w:tcW w:w="2268" w:type="dxa"/>
            <w:vAlign w:val="center"/>
          </w:tcPr>
          <w:p w14:paraId="51DACCA6" w14:textId="34594E5A" w:rsidR="00C96EDE" w:rsidRPr="00EC57FB" w:rsidRDefault="00C96EDE" w:rsidP="00D07BC5">
            <w:pPr>
              <w:pStyle w:val="TableText0"/>
              <w:keepNext w:val="0"/>
              <w:keepLines w:val="0"/>
              <w:rPr>
                <w:b/>
                <w:bCs w:val="0"/>
                <w:iCs/>
              </w:rPr>
            </w:pPr>
            <w:r w:rsidRPr="00EC57FB">
              <w:rPr>
                <w:b/>
                <w:bCs w:val="0"/>
                <w:iCs/>
              </w:rPr>
              <w:t>Total financial implications for NIP</w:t>
            </w:r>
          </w:p>
        </w:tc>
        <w:tc>
          <w:tcPr>
            <w:tcW w:w="1134" w:type="dxa"/>
          </w:tcPr>
          <w:p w14:paraId="51E9EA86" w14:textId="59C19134" w:rsidR="00C96EDE" w:rsidRPr="00EC57FB" w:rsidRDefault="00C96EDE" w:rsidP="00D07BC5">
            <w:pPr>
              <w:pStyle w:val="TableText0"/>
              <w:keepNext w:val="0"/>
              <w:keepLines w:val="0"/>
              <w:jc w:val="center"/>
              <w:rPr>
                <w:b/>
                <w:bCs w:val="0"/>
                <w:iCs/>
              </w:rPr>
            </w:pPr>
            <w:r w:rsidRPr="00EC57FB">
              <w:rPr>
                <w:b/>
                <w:bCs w:val="0"/>
                <w:iCs/>
              </w:rPr>
              <w:t>$</w:t>
            </w:r>
            <w:r w:rsidR="000641E5" w:rsidRPr="000641E5">
              <w:rPr>
                <w:b/>
                <w:bCs w:val="0"/>
                <w:iCs/>
                <w:color w:val="000000"/>
                <w:spacing w:val="55"/>
                <w:shd w:val="solid" w:color="000000" w:fill="000000"/>
                <w:fitText w:val="349" w:id="-662982143"/>
                <w14:textFill>
                  <w14:solidFill>
                    <w14:srgbClr w14:val="000000">
                      <w14:alpha w14:val="100000"/>
                    </w14:srgbClr>
                  </w14:solidFill>
                </w14:textFill>
              </w:rPr>
              <w:t>|||</w:t>
            </w:r>
            <w:r w:rsidR="000641E5" w:rsidRPr="000641E5">
              <w:rPr>
                <w:b/>
                <w:bCs w:val="0"/>
                <w:iCs/>
                <w:color w:val="000000"/>
                <w:spacing w:val="1"/>
                <w:shd w:val="solid" w:color="000000" w:fill="000000"/>
                <w:fitText w:val="349" w:id="-662982143"/>
                <w14:textFill>
                  <w14:solidFill>
                    <w14:srgbClr w14:val="000000">
                      <w14:alpha w14:val="100000"/>
                    </w14:srgbClr>
                  </w14:solidFill>
                </w14:textFill>
              </w:rPr>
              <w:t>|</w:t>
            </w:r>
            <w:r w:rsidR="00B07A81">
              <w:t xml:space="preserve"> </w:t>
            </w:r>
            <w:r w:rsidR="00B07A81">
              <w:rPr>
                <w:vertAlign w:val="superscript"/>
              </w:rPr>
              <w:t>9</w:t>
            </w:r>
          </w:p>
        </w:tc>
        <w:tc>
          <w:tcPr>
            <w:tcW w:w="1134" w:type="dxa"/>
          </w:tcPr>
          <w:p w14:paraId="15D6F7F1" w14:textId="49DD8F55" w:rsidR="00C96EDE" w:rsidRPr="00EC57FB" w:rsidRDefault="00C96EDE" w:rsidP="00D07BC5">
            <w:pPr>
              <w:pStyle w:val="TableText0"/>
              <w:keepNext w:val="0"/>
              <w:keepLines w:val="0"/>
              <w:jc w:val="center"/>
              <w:rPr>
                <w:b/>
                <w:bCs w:val="0"/>
                <w:iCs/>
              </w:rPr>
            </w:pPr>
            <w:r w:rsidRPr="00EC57FB">
              <w:rPr>
                <w:b/>
                <w:bCs w:val="0"/>
                <w:iCs/>
              </w:rPr>
              <w:t>$</w:t>
            </w:r>
            <w:r w:rsidR="000641E5" w:rsidRPr="000641E5">
              <w:rPr>
                <w:b/>
                <w:bCs w:val="0"/>
                <w:iCs/>
                <w:color w:val="000000"/>
                <w:spacing w:val="55"/>
                <w:shd w:val="solid" w:color="000000" w:fill="000000"/>
                <w:fitText w:val="349" w:id="-662982142"/>
                <w14:textFill>
                  <w14:solidFill>
                    <w14:srgbClr w14:val="000000">
                      <w14:alpha w14:val="100000"/>
                    </w14:srgbClr>
                  </w14:solidFill>
                </w14:textFill>
              </w:rPr>
              <w:t>|||</w:t>
            </w:r>
            <w:r w:rsidR="000641E5" w:rsidRPr="000641E5">
              <w:rPr>
                <w:b/>
                <w:bCs w:val="0"/>
                <w:iCs/>
                <w:color w:val="000000"/>
                <w:spacing w:val="1"/>
                <w:shd w:val="solid" w:color="000000" w:fill="000000"/>
                <w:fitText w:val="349" w:id="-662982142"/>
                <w14:textFill>
                  <w14:solidFill>
                    <w14:srgbClr w14:val="000000">
                      <w14:alpha w14:val="100000"/>
                    </w14:srgbClr>
                  </w14:solidFill>
                </w14:textFill>
              </w:rPr>
              <w:t>|</w:t>
            </w:r>
            <w:r w:rsidR="00B07A81">
              <w:t xml:space="preserve"> </w:t>
            </w:r>
            <w:r w:rsidR="00B07A81">
              <w:rPr>
                <w:vertAlign w:val="superscript"/>
              </w:rPr>
              <w:t>9</w:t>
            </w:r>
          </w:p>
        </w:tc>
        <w:tc>
          <w:tcPr>
            <w:tcW w:w="1134" w:type="dxa"/>
          </w:tcPr>
          <w:p w14:paraId="72F2832F" w14:textId="617489AE" w:rsidR="00C96EDE" w:rsidRPr="00EC57FB" w:rsidRDefault="00C96EDE" w:rsidP="00D07BC5">
            <w:pPr>
              <w:pStyle w:val="TableText0"/>
              <w:keepNext w:val="0"/>
              <w:keepLines w:val="0"/>
              <w:jc w:val="center"/>
              <w:rPr>
                <w:b/>
                <w:bCs w:val="0"/>
                <w:iCs/>
              </w:rPr>
            </w:pPr>
            <w:r w:rsidRPr="00EC57FB">
              <w:rPr>
                <w:b/>
                <w:bCs w:val="0"/>
                <w:iCs/>
              </w:rPr>
              <w:t>$</w:t>
            </w:r>
            <w:r w:rsidR="000641E5" w:rsidRPr="000641E5">
              <w:rPr>
                <w:b/>
                <w:bCs w:val="0"/>
                <w:iCs/>
                <w:color w:val="000000"/>
                <w:spacing w:val="55"/>
                <w:shd w:val="solid" w:color="000000" w:fill="000000"/>
                <w:fitText w:val="349" w:id="-662982141"/>
                <w14:textFill>
                  <w14:solidFill>
                    <w14:srgbClr w14:val="000000">
                      <w14:alpha w14:val="100000"/>
                    </w14:srgbClr>
                  </w14:solidFill>
                </w14:textFill>
              </w:rPr>
              <w:t>|||</w:t>
            </w:r>
            <w:r w:rsidR="000641E5" w:rsidRPr="000641E5">
              <w:rPr>
                <w:b/>
                <w:bCs w:val="0"/>
                <w:iCs/>
                <w:color w:val="000000"/>
                <w:spacing w:val="1"/>
                <w:shd w:val="solid" w:color="000000" w:fill="000000"/>
                <w:fitText w:val="349" w:id="-662982141"/>
                <w14:textFill>
                  <w14:solidFill>
                    <w14:srgbClr w14:val="000000">
                      <w14:alpha w14:val="100000"/>
                    </w14:srgbClr>
                  </w14:solidFill>
                </w14:textFill>
              </w:rPr>
              <w:t>|</w:t>
            </w:r>
            <w:r w:rsidR="00B07A81">
              <w:t xml:space="preserve"> </w:t>
            </w:r>
            <w:r w:rsidR="00B07A81">
              <w:rPr>
                <w:vertAlign w:val="superscript"/>
              </w:rPr>
              <w:t>9</w:t>
            </w:r>
          </w:p>
        </w:tc>
        <w:tc>
          <w:tcPr>
            <w:tcW w:w="1134" w:type="dxa"/>
          </w:tcPr>
          <w:p w14:paraId="5C9F8979" w14:textId="42252E00" w:rsidR="00C96EDE" w:rsidRPr="00EC57FB" w:rsidRDefault="00C96EDE" w:rsidP="00D07BC5">
            <w:pPr>
              <w:pStyle w:val="TableText0"/>
              <w:keepNext w:val="0"/>
              <w:keepLines w:val="0"/>
              <w:jc w:val="center"/>
              <w:rPr>
                <w:b/>
                <w:bCs w:val="0"/>
                <w:iCs/>
              </w:rPr>
            </w:pPr>
            <w:r w:rsidRPr="00EC57FB">
              <w:rPr>
                <w:b/>
                <w:bCs w:val="0"/>
                <w:iCs/>
              </w:rPr>
              <w:t>$</w:t>
            </w:r>
            <w:r w:rsidR="000641E5" w:rsidRPr="000641E5">
              <w:rPr>
                <w:b/>
                <w:bCs w:val="0"/>
                <w:iCs/>
                <w:color w:val="000000"/>
                <w:spacing w:val="55"/>
                <w:shd w:val="solid" w:color="000000" w:fill="000000"/>
                <w:fitText w:val="349" w:id="-662982140"/>
                <w14:textFill>
                  <w14:solidFill>
                    <w14:srgbClr w14:val="000000">
                      <w14:alpha w14:val="100000"/>
                    </w14:srgbClr>
                  </w14:solidFill>
                </w14:textFill>
              </w:rPr>
              <w:t>|||</w:t>
            </w:r>
            <w:r w:rsidR="000641E5" w:rsidRPr="000641E5">
              <w:rPr>
                <w:b/>
                <w:bCs w:val="0"/>
                <w:iCs/>
                <w:color w:val="000000"/>
                <w:spacing w:val="1"/>
                <w:shd w:val="solid" w:color="000000" w:fill="000000"/>
                <w:fitText w:val="349" w:id="-662982140"/>
                <w14:textFill>
                  <w14:solidFill>
                    <w14:srgbClr w14:val="000000">
                      <w14:alpha w14:val="100000"/>
                    </w14:srgbClr>
                  </w14:solidFill>
                </w14:textFill>
              </w:rPr>
              <w:t>|</w:t>
            </w:r>
            <w:r w:rsidR="00B07A81">
              <w:t xml:space="preserve"> </w:t>
            </w:r>
            <w:r w:rsidR="00B07A81">
              <w:rPr>
                <w:vertAlign w:val="superscript"/>
              </w:rPr>
              <w:t>9</w:t>
            </w:r>
          </w:p>
        </w:tc>
        <w:tc>
          <w:tcPr>
            <w:tcW w:w="1134" w:type="dxa"/>
          </w:tcPr>
          <w:p w14:paraId="6F69DA45" w14:textId="252FB1AB" w:rsidR="00C96EDE" w:rsidRPr="00EC57FB" w:rsidRDefault="00C96EDE" w:rsidP="00D07BC5">
            <w:pPr>
              <w:pStyle w:val="TableText0"/>
              <w:keepNext w:val="0"/>
              <w:keepLines w:val="0"/>
              <w:jc w:val="center"/>
              <w:rPr>
                <w:b/>
                <w:bCs w:val="0"/>
                <w:iCs/>
              </w:rPr>
            </w:pPr>
            <w:r w:rsidRPr="00EC57FB">
              <w:rPr>
                <w:b/>
                <w:bCs w:val="0"/>
                <w:iCs/>
              </w:rPr>
              <w:t>$</w:t>
            </w:r>
            <w:r w:rsidR="000641E5" w:rsidRPr="000641E5">
              <w:rPr>
                <w:b/>
                <w:bCs w:val="0"/>
                <w:iCs/>
                <w:color w:val="000000"/>
                <w:spacing w:val="55"/>
                <w:shd w:val="solid" w:color="000000" w:fill="000000"/>
                <w:fitText w:val="349" w:id="-662982139"/>
                <w14:textFill>
                  <w14:solidFill>
                    <w14:srgbClr w14:val="000000">
                      <w14:alpha w14:val="100000"/>
                    </w14:srgbClr>
                  </w14:solidFill>
                </w14:textFill>
              </w:rPr>
              <w:t>|||</w:t>
            </w:r>
            <w:r w:rsidR="000641E5" w:rsidRPr="000641E5">
              <w:rPr>
                <w:b/>
                <w:bCs w:val="0"/>
                <w:iCs/>
                <w:color w:val="000000"/>
                <w:spacing w:val="1"/>
                <w:shd w:val="solid" w:color="000000" w:fill="000000"/>
                <w:fitText w:val="349" w:id="-662982139"/>
                <w14:textFill>
                  <w14:solidFill>
                    <w14:srgbClr w14:val="000000">
                      <w14:alpha w14:val="100000"/>
                    </w14:srgbClr>
                  </w14:solidFill>
                </w14:textFill>
              </w:rPr>
              <w:t>|</w:t>
            </w:r>
            <w:r w:rsidR="00B07A81">
              <w:t xml:space="preserve"> </w:t>
            </w:r>
            <w:r w:rsidR="00B07A81">
              <w:rPr>
                <w:vertAlign w:val="superscript"/>
              </w:rPr>
              <w:t>9</w:t>
            </w:r>
          </w:p>
        </w:tc>
        <w:tc>
          <w:tcPr>
            <w:tcW w:w="1084" w:type="dxa"/>
          </w:tcPr>
          <w:p w14:paraId="4AE777CF" w14:textId="5DAB3D9D" w:rsidR="00C96EDE" w:rsidRPr="00EC57FB" w:rsidRDefault="00C96EDE" w:rsidP="00D07BC5">
            <w:pPr>
              <w:pStyle w:val="TableText0"/>
              <w:keepNext w:val="0"/>
              <w:keepLines w:val="0"/>
              <w:jc w:val="center"/>
              <w:rPr>
                <w:b/>
                <w:bCs w:val="0"/>
                <w:iCs/>
              </w:rPr>
            </w:pPr>
            <w:r w:rsidRPr="00EC57FB">
              <w:rPr>
                <w:b/>
                <w:bCs w:val="0"/>
                <w:iCs/>
              </w:rPr>
              <w:t>$</w:t>
            </w:r>
            <w:r w:rsidR="000641E5" w:rsidRPr="000641E5">
              <w:rPr>
                <w:b/>
                <w:bCs w:val="0"/>
                <w:iCs/>
                <w:color w:val="000000"/>
                <w:spacing w:val="55"/>
                <w:shd w:val="solid" w:color="000000" w:fill="000000"/>
                <w:fitText w:val="349" w:id="-662981888"/>
                <w14:textFill>
                  <w14:solidFill>
                    <w14:srgbClr w14:val="000000">
                      <w14:alpha w14:val="100000"/>
                    </w14:srgbClr>
                  </w14:solidFill>
                </w14:textFill>
              </w:rPr>
              <w:t>|||</w:t>
            </w:r>
            <w:r w:rsidR="000641E5" w:rsidRPr="000641E5">
              <w:rPr>
                <w:b/>
                <w:bCs w:val="0"/>
                <w:iCs/>
                <w:color w:val="000000"/>
                <w:spacing w:val="1"/>
                <w:shd w:val="solid" w:color="000000" w:fill="000000"/>
                <w:fitText w:val="349" w:id="-662981888"/>
                <w14:textFill>
                  <w14:solidFill>
                    <w14:srgbClr w14:val="000000">
                      <w14:alpha w14:val="100000"/>
                    </w14:srgbClr>
                  </w14:solidFill>
                </w14:textFill>
              </w:rPr>
              <w:t>|</w:t>
            </w:r>
            <w:r w:rsidR="00B07A81">
              <w:t xml:space="preserve"> </w:t>
            </w:r>
            <w:r w:rsidR="00B07A81">
              <w:rPr>
                <w:vertAlign w:val="superscript"/>
              </w:rPr>
              <w:t>9</w:t>
            </w:r>
          </w:p>
        </w:tc>
      </w:tr>
      <w:tr w:rsidR="00C96EDE" w:rsidRPr="00EC57FB" w14:paraId="6A99A43D" w14:textId="77777777" w:rsidTr="00E756EF">
        <w:tc>
          <w:tcPr>
            <w:tcW w:w="0" w:type="auto"/>
            <w:gridSpan w:val="7"/>
            <w:shd w:val="clear" w:color="auto" w:fill="B8CCE4" w:themeFill="accent1" w:themeFillTint="66"/>
            <w:vAlign w:val="center"/>
          </w:tcPr>
          <w:p w14:paraId="3DC5DC1A" w14:textId="3B8C708E" w:rsidR="00C96EDE" w:rsidRPr="00EC57FB" w:rsidRDefault="00C96EDE" w:rsidP="00D07BC5">
            <w:pPr>
              <w:pStyle w:val="In-tableHeading"/>
              <w:keepNext w:val="0"/>
              <w:keepLines w:val="0"/>
              <w:rPr>
                <w:lang w:val="en-AU"/>
              </w:rPr>
            </w:pPr>
            <w:r w:rsidRPr="00EC57FB">
              <w:rPr>
                <w:lang w:val="en-AU"/>
              </w:rPr>
              <w:t>Previous submission (July 2024)</w:t>
            </w:r>
          </w:p>
        </w:tc>
      </w:tr>
      <w:tr w:rsidR="00C96EDE" w:rsidRPr="00EC57FB" w14:paraId="746CCDBE" w14:textId="77777777" w:rsidTr="001E02B8">
        <w:tc>
          <w:tcPr>
            <w:tcW w:w="2268" w:type="dxa"/>
            <w:shd w:val="clear" w:color="auto" w:fill="B8CCE4" w:themeFill="accent1" w:themeFillTint="66"/>
            <w:vAlign w:val="center"/>
          </w:tcPr>
          <w:p w14:paraId="03B4C2BB" w14:textId="2AF16EE6" w:rsidR="00C96EDE" w:rsidRPr="00EC57FB" w:rsidRDefault="00C96EDE" w:rsidP="00D07BC5">
            <w:pPr>
              <w:pStyle w:val="TableText0"/>
              <w:keepNext w:val="0"/>
              <w:keepLines w:val="0"/>
              <w:rPr>
                <w:sz w:val="19"/>
                <w:szCs w:val="19"/>
              </w:rPr>
            </w:pPr>
            <w:r w:rsidRPr="00EC57FB">
              <w:rPr>
                <w:sz w:val="19"/>
                <w:szCs w:val="19"/>
              </w:rPr>
              <w:t>Number of patients treated in Season 1</w:t>
            </w:r>
          </w:p>
        </w:tc>
        <w:tc>
          <w:tcPr>
            <w:tcW w:w="1134" w:type="dxa"/>
            <w:shd w:val="clear" w:color="auto" w:fill="B8CCE4" w:themeFill="accent1" w:themeFillTint="66"/>
            <w:vAlign w:val="center"/>
          </w:tcPr>
          <w:p w14:paraId="489F2BC4" w14:textId="2C4CDB3D" w:rsidR="00C96EDE" w:rsidRPr="00EC57FB" w:rsidRDefault="000641E5" w:rsidP="00D07BC5">
            <w:pPr>
              <w:pStyle w:val="TableText0"/>
              <w:keepNext w:val="0"/>
              <w:keepLines w:val="0"/>
              <w:jc w:val="center"/>
            </w:pPr>
            <w:r w:rsidRPr="000641E5">
              <w:rPr>
                <w:color w:val="000000"/>
                <w:spacing w:val="52"/>
                <w:shd w:val="solid" w:color="000000" w:fill="000000"/>
                <w:fitText w:val="327" w:id="-662981887"/>
                <w14:textFill>
                  <w14:solidFill>
                    <w14:srgbClr w14:val="000000">
                      <w14:alpha w14:val="100000"/>
                    </w14:srgbClr>
                  </w14:solidFill>
                </w14:textFill>
              </w:rPr>
              <w:t>|||</w:t>
            </w:r>
            <w:r w:rsidRPr="000641E5">
              <w:rPr>
                <w:color w:val="000000"/>
                <w:spacing w:val="1"/>
                <w:shd w:val="solid" w:color="000000" w:fill="000000"/>
                <w:fitText w:val="327" w:id="-662981887"/>
                <w14:textFill>
                  <w14:solidFill>
                    <w14:srgbClr w14:val="000000">
                      <w14:alpha w14:val="100000"/>
                    </w14:srgbClr>
                  </w14:solidFill>
                </w14:textFill>
              </w:rPr>
              <w:t>|</w:t>
            </w:r>
            <w:r w:rsidR="003E251D">
              <w:t xml:space="preserve"> </w:t>
            </w:r>
            <w:r w:rsidR="003E251D">
              <w:rPr>
                <w:vertAlign w:val="superscript"/>
              </w:rPr>
              <w:t>3</w:t>
            </w:r>
          </w:p>
        </w:tc>
        <w:tc>
          <w:tcPr>
            <w:tcW w:w="1134" w:type="dxa"/>
            <w:shd w:val="clear" w:color="auto" w:fill="B8CCE4" w:themeFill="accent1" w:themeFillTint="66"/>
            <w:vAlign w:val="center"/>
          </w:tcPr>
          <w:p w14:paraId="1D5EE203" w14:textId="4769BBAE" w:rsidR="00C96EDE" w:rsidRPr="00EC57FB" w:rsidRDefault="000641E5" w:rsidP="00D07BC5">
            <w:pPr>
              <w:pStyle w:val="TableText0"/>
              <w:keepNext w:val="0"/>
              <w:keepLines w:val="0"/>
              <w:jc w:val="center"/>
            </w:pPr>
            <w:r w:rsidRPr="000641E5">
              <w:rPr>
                <w:color w:val="000000"/>
                <w:spacing w:val="52"/>
                <w:shd w:val="solid" w:color="000000" w:fill="000000"/>
                <w:fitText w:val="327" w:id="-662981886"/>
                <w14:textFill>
                  <w14:solidFill>
                    <w14:srgbClr w14:val="000000">
                      <w14:alpha w14:val="100000"/>
                    </w14:srgbClr>
                  </w14:solidFill>
                </w14:textFill>
              </w:rPr>
              <w:t>|||</w:t>
            </w:r>
            <w:r w:rsidRPr="000641E5">
              <w:rPr>
                <w:color w:val="000000"/>
                <w:spacing w:val="1"/>
                <w:shd w:val="solid" w:color="000000" w:fill="000000"/>
                <w:fitText w:val="327" w:id="-662981886"/>
                <w14:textFill>
                  <w14:solidFill>
                    <w14:srgbClr w14:val="000000">
                      <w14:alpha w14:val="100000"/>
                    </w14:srgbClr>
                  </w14:solidFill>
                </w14:textFill>
              </w:rPr>
              <w:t>|</w:t>
            </w:r>
            <w:r w:rsidR="003E251D">
              <w:t xml:space="preserve"> </w:t>
            </w:r>
            <w:r w:rsidR="003E251D">
              <w:rPr>
                <w:vertAlign w:val="superscript"/>
              </w:rPr>
              <w:t>3</w:t>
            </w:r>
          </w:p>
        </w:tc>
        <w:tc>
          <w:tcPr>
            <w:tcW w:w="1134" w:type="dxa"/>
            <w:shd w:val="clear" w:color="auto" w:fill="B8CCE4" w:themeFill="accent1" w:themeFillTint="66"/>
            <w:vAlign w:val="center"/>
          </w:tcPr>
          <w:p w14:paraId="5C113E77" w14:textId="2B450424" w:rsidR="00C96EDE" w:rsidRPr="00EC57FB" w:rsidRDefault="000641E5" w:rsidP="00D07BC5">
            <w:pPr>
              <w:pStyle w:val="TableText0"/>
              <w:keepNext w:val="0"/>
              <w:keepLines w:val="0"/>
              <w:jc w:val="center"/>
            </w:pPr>
            <w:r w:rsidRPr="000641E5">
              <w:rPr>
                <w:color w:val="000000"/>
                <w:spacing w:val="52"/>
                <w:shd w:val="solid" w:color="000000" w:fill="000000"/>
                <w:fitText w:val="327" w:id="-662981885"/>
                <w14:textFill>
                  <w14:solidFill>
                    <w14:srgbClr w14:val="000000">
                      <w14:alpha w14:val="100000"/>
                    </w14:srgbClr>
                  </w14:solidFill>
                </w14:textFill>
              </w:rPr>
              <w:t>|||</w:t>
            </w:r>
            <w:r w:rsidRPr="000641E5">
              <w:rPr>
                <w:color w:val="000000"/>
                <w:spacing w:val="1"/>
                <w:shd w:val="solid" w:color="000000" w:fill="000000"/>
                <w:fitText w:val="327" w:id="-662981885"/>
                <w14:textFill>
                  <w14:solidFill>
                    <w14:srgbClr w14:val="000000">
                      <w14:alpha w14:val="100000"/>
                    </w14:srgbClr>
                  </w14:solidFill>
                </w14:textFill>
              </w:rPr>
              <w:t>|</w:t>
            </w:r>
            <w:r w:rsidR="003E251D">
              <w:t xml:space="preserve"> </w:t>
            </w:r>
            <w:r w:rsidR="003E251D">
              <w:rPr>
                <w:vertAlign w:val="superscript"/>
              </w:rPr>
              <w:t>3</w:t>
            </w:r>
          </w:p>
        </w:tc>
        <w:tc>
          <w:tcPr>
            <w:tcW w:w="1134" w:type="dxa"/>
            <w:shd w:val="clear" w:color="auto" w:fill="B8CCE4" w:themeFill="accent1" w:themeFillTint="66"/>
            <w:vAlign w:val="center"/>
          </w:tcPr>
          <w:p w14:paraId="1C964FF9" w14:textId="6CC27251" w:rsidR="00C96EDE" w:rsidRPr="00EC57FB" w:rsidRDefault="000641E5" w:rsidP="00D07BC5">
            <w:pPr>
              <w:pStyle w:val="TableText0"/>
              <w:keepNext w:val="0"/>
              <w:keepLines w:val="0"/>
              <w:jc w:val="center"/>
            </w:pPr>
            <w:r w:rsidRPr="000641E5">
              <w:rPr>
                <w:color w:val="000000"/>
                <w:spacing w:val="52"/>
                <w:shd w:val="solid" w:color="000000" w:fill="000000"/>
                <w:fitText w:val="327" w:id="-662981884"/>
                <w14:textFill>
                  <w14:solidFill>
                    <w14:srgbClr w14:val="000000">
                      <w14:alpha w14:val="100000"/>
                    </w14:srgbClr>
                  </w14:solidFill>
                </w14:textFill>
              </w:rPr>
              <w:t>|||</w:t>
            </w:r>
            <w:r w:rsidRPr="000641E5">
              <w:rPr>
                <w:color w:val="000000"/>
                <w:spacing w:val="1"/>
                <w:shd w:val="solid" w:color="000000" w:fill="000000"/>
                <w:fitText w:val="327" w:id="-662981884"/>
                <w14:textFill>
                  <w14:solidFill>
                    <w14:srgbClr w14:val="000000">
                      <w14:alpha w14:val="100000"/>
                    </w14:srgbClr>
                  </w14:solidFill>
                </w14:textFill>
              </w:rPr>
              <w:t>|</w:t>
            </w:r>
            <w:r w:rsidR="003E251D">
              <w:t xml:space="preserve"> </w:t>
            </w:r>
            <w:r w:rsidR="003E251D">
              <w:rPr>
                <w:vertAlign w:val="superscript"/>
              </w:rPr>
              <w:t>3</w:t>
            </w:r>
          </w:p>
        </w:tc>
        <w:tc>
          <w:tcPr>
            <w:tcW w:w="1134" w:type="dxa"/>
            <w:shd w:val="clear" w:color="auto" w:fill="B8CCE4" w:themeFill="accent1" w:themeFillTint="66"/>
            <w:vAlign w:val="center"/>
          </w:tcPr>
          <w:p w14:paraId="4D86B6C8" w14:textId="0AB3C655" w:rsidR="00C96EDE" w:rsidRPr="00EC57FB" w:rsidRDefault="000641E5" w:rsidP="00D07BC5">
            <w:pPr>
              <w:pStyle w:val="TableText0"/>
              <w:keepNext w:val="0"/>
              <w:keepLines w:val="0"/>
              <w:jc w:val="center"/>
            </w:pPr>
            <w:r w:rsidRPr="000641E5">
              <w:rPr>
                <w:color w:val="000000"/>
                <w:spacing w:val="52"/>
                <w:shd w:val="solid" w:color="000000" w:fill="000000"/>
                <w:fitText w:val="327" w:id="-662981883"/>
                <w14:textFill>
                  <w14:solidFill>
                    <w14:srgbClr w14:val="000000">
                      <w14:alpha w14:val="100000"/>
                    </w14:srgbClr>
                  </w14:solidFill>
                </w14:textFill>
              </w:rPr>
              <w:t>|||</w:t>
            </w:r>
            <w:r w:rsidRPr="000641E5">
              <w:rPr>
                <w:color w:val="000000"/>
                <w:spacing w:val="1"/>
                <w:shd w:val="solid" w:color="000000" w:fill="000000"/>
                <w:fitText w:val="327" w:id="-662981883"/>
                <w14:textFill>
                  <w14:solidFill>
                    <w14:srgbClr w14:val="000000">
                      <w14:alpha w14:val="100000"/>
                    </w14:srgbClr>
                  </w14:solidFill>
                </w14:textFill>
              </w:rPr>
              <w:t>|</w:t>
            </w:r>
            <w:r w:rsidR="003E251D">
              <w:t xml:space="preserve"> </w:t>
            </w:r>
            <w:r w:rsidR="003E251D">
              <w:rPr>
                <w:vertAlign w:val="superscript"/>
              </w:rPr>
              <w:t>3</w:t>
            </w:r>
          </w:p>
        </w:tc>
        <w:tc>
          <w:tcPr>
            <w:tcW w:w="1084" w:type="dxa"/>
            <w:shd w:val="clear" w:color="auto" w:fill="B8CCE4" w:themeFill="accent1" w:themeFillTint="66"/>
            <w:vAlign w:val="center"/>
          </w:tcPr>
          <w:p w14:paraId="441F00C1" w14:textId="7DC78C58" w:rsidR="00C96EDE" w:rsidRPr="00EC57FB" w:rsidRDefault="000641E5" w:rsidP="00D07BC5">
            <w:pPr>
              <w:pStyle w:val="TableText0"/>
              <w:keepNext w:val="0"/>
              <w:keepLines w:val="0"/>
              <w:jc w:val="center"/>
            </w:pPr>
            <w:r w:rsidRPr="000641E5">
              <w:rPr>
                <w:color w:val="000000"/>
                <w:spacing w:val="52"/>
                <w:shd w:val="solid" w:color="000000" w:fill="000000"/>
                <w:fitText w:val="327" w:id="-662981882"/>
                <w14:textFill>
                  <w14:solidFill>
                    <w14:srgbClr w14:val="000000">
                      <w14:alpha w14:val="100000"/>
                    </w14:srgbClr>
                  </w14:solidFill>
                </w14:textFill>
              </w:rPr>
              <w:t>|||</w:t>
            </w:r>
            <w:r w:rsidRPr="000641E5">
              <w:rPr>
                <w:color w:val="000000"/>
                <w:spacing w:val="1"/>
                <w:shd w:val="solid" w:color="000000" w:fill="000000"/>
                <w:fitText w:val="327" w:id="-662981882"/>
                <w14:textFill>
                  <w14:solidFill>
                    <w14:srgbClr w14:val="000000">
                      <w14:alpha w14:val="100000"/>
                    </w14:srgbClr>
                  </w14:solidFill>
                </w14:textFill>
              </w:rPr>
              <w:t>|</w:t>
            </w:r>
            <w:r w:rsidR="003E251D">
              <w:t xml:space="preserve"> </w:t>
            </w:r>
            <w:r w:rsidR="003E251D">
              <w:rPr>
                <w:vertAlign w:val="superscript"/>
              </w:rPr>
              <w:t>3</w:t>
            </w:r>
          </w:p>
        </w:tc>
      </w:tr>
      <w:tr w:rsidR="00C96EDE" w:rsidRPr="00EC57FB" w14:paraId="2434AE34" w14:textId="77777777" w:rsidTr="001E02B8">
        <w:tc>
          <w:tcPr>
            <w:tcW w:w="2268" w:type="dxa"/>
            <w:shd w:val="clear" w:color="auto" w:fill="B8CCE4" w:themeFill="accent1" w:themeFillTint="66"/>
            <w:vAlign w:val="center"/>
          </w:tcPr>
          <w:p w14:paraId="5E5D6EB3" w14:textId="060FA249" w:rsidR="00C96EDE" w:rsidRPr="00EC57FB" w:rsidRDefault="00C96EDE" w:rsidP="00D07BC5">
            <w:pPr>
              <w:pStyle w:val="TableText0"/>
              <w:keepNext w:val="0"/>
              <w:keepLines w:val="0"/>
              <w:rPr>
                <w:sz w:val="19"/>
                <w:szCs w:val="19"/>
              </w:rPr>
            </w:pPr>
            <w:r w:rsidRPr="00EC57FB">
              <w:rPr>
                <w:sz w:val="19"/>
                <w:szCs w:val="19"/>
              </w:rPr>
              <w:t>Number of patients treated in Season 1</w:t>
            </w:r>
          </w:p>
        </w:tc>
        <w:tc>
          <w:tcPr>
            <w:tcW w:w="1134" w:type="dxa"/>
            <w:shd w:val="clear" w:color="auto" w:fill="B8CCE4" w:themeFill="accent1" w:themeFillTint="66"/>
            <w:vAlign w:val="center"/>
          </w:tcPr>
          <w:p w14:paraId="416CAD0F" w14:textId="212736A9" w:rsidR="00C96EDE" w:rsidRPr="00EC57FB" w:rsidRDefault="000641E5" w:rsidP="00D07BC5">
            <w:pPr>
              <w:pStyle w:val="TableText0"/>
              <w:keepNext w:val="0"/>
              <w:keepLines w:val="0"/>
              <w:jc w:val="center"/>
            </w:pPr>
            <w:r w:rsidRPr="000641E5">
              <w:rPr>
                <w:color w:val="000000"/>
                <w:spacing w:val="52"/>
                <w:shd w:val="solid" w:color="000000" w:fill="000000"/>
                <w:fitText w:val="327" w:id="-662981881"/>
                <w14:textFill>
                  <w14:solidFill>
                    <w14:srgbClr w14:val="000000">
                      <w14:alpha w14:val="100000"/>
                    </w14:srgbClr>
                  </w14:solidFill>
                </w14:textFill>
              </w:rPr>
              <w:t>|||</w:t>
            </w:r>
            <w:r w:rsidRPr="000641E5">
              <w:rPr>
                <w:color w:val="000000"/>
                <w:spacing w:val="1"/>
                <w:shd w:val="solid" w:color="000000" w:fill="000000"/>
                <w:fitText w:val="327" w:id="-662981881"/>
                <w14:textFill>
                  <w14:solidFill>
                    <w14:srgbClr w14:val="000000">
                      <w14:alpha w14:val="100000"/>
                    </w14:srgbClr>
                  </w14:solidFill>
                </w14:textFill>
              </w:rPr>
              <w:t>|</w:t>
            </w:r>
            <w:r w:rsidR="00B07A81">
              <w:t xml:space="preserve"> </w:t>
            </w:r>
            <w:r w:rsidR="00B07A81">
              <w:rPr>
                <w:vertAlign w:val="superscript"/>
              </w:rPr>
              <w:t>10</w:t>
            </w:r>
          </w:p>
        </w:tc>
        <w:tc>
          <w:tcPr>
            <w:tcW w:w="1134" w:type="dxa"/>
            <w:shd w:val="clear" w:color="auto" w:fill="B8CCE4" w:themeFill="accent1" w:themeFillTint="66"/>
            <w:vAlign w:val="center"/>
          </w:tcPr>
          <w:p w14:paraId="0137DEBC" w14:textId="003749AB" w:rsidR="00C96EDE" w:rsidRPr="00EC57FB" w:rsidRDefault="000641E5" w:rsidP="00D07BC5">
            <w:pPr>
              <w:pStyle w:val="TableText0"/>
              <w:keepNext w:val="0"/>
              <w:keepLines w:val="0"/>
              <w:jc w:val="center"/>
            </w:pPr>
            <w:r w:rsidRPr="000641E5">
              <w:rPr>
                <w:color w:val="000000"/>
                <w:spacing w:val="52"/>
                <w:shd w:val="solid" w:color="000000" w:fill="000000"/>
                <w:fitText w:val="327" w:id="-662981880"/>
                <w14:textFill>
                  <w14:solidFill>
                    <w14:srgbClr w14:val="000000">
                      <w14:alpha w14:val="100000"/>
                    </w14:srgbClr>
                  </w14:solidFill>
                </w14:textFill>
              </w:rPr>
              <w:t>|||</w:t>
            </w:r>
            <w:r w:rsidRPr="000641E5">
              <w:rPr>
                <w:color w:val="000000"/>
                <w:spacing w:val="1"/>
                <w:shd w:val="solid" w:color="000000" w:fill="000000"/>
                <w:fitText w:val="327" w:id="-662981880"/>
                <w14:textFill>
                  <w14:solidFill>
                    <w14:srgbClr w14:val="000000">
                      <w14:alpha w14:val="100000"/>
                    </w14:srgbClr>
                  </w14:solidFill>
                </w14:textFill>
              </w:rPr>
              <w:t>|</w:t>
            </w:r>
            <w:r w:rsidR="00B07A81">
              <w:t xml:space="preserve"> </w:t>
            </w:r>
            <w:r w:rsidR="00B07A81">
              <w:rPr>
                <w:vertAlign w:val="superscript"/>
              </w:rPr>
              <w:t>10</w:t>
            </w:r>
          </w:p>
        </w:tc>
        <w:tc>
          <w:tcPr>
            <w:tcW w:w="1134" w:type="dxa"/>
            <w:shd w:val="clear" w:color="auto" w:fill="B8CCE4" w:themeFill="accent1" w:themeFillTint="66"/>
            <w:vAlign w:val="center"/>
          </w:tcPr>
          <w:p w14:paraId="5768944F" w14:textId="4BE0F17D" w:rsidR="00C96EDE" w:rsidRPr="00EC57FB" w:rsidRDefault="000641E5" w:rsidP="00D07BC5">
            <w:pPr>
              <w:pStyle w:val="TableText0"/>
              <w:keepNext w:val="0"/>
              <w:keepLines w:val="0"/>
              <w:jc w:val="center"/>
            </w:pPr>
            <w:r w:rsidRPr="000641E5">
              <w:rPr>
                <w:color w:val="000000"/>
                <w:spacing w:val="52"/>
                <w:shd w:val="solid" w:color="000000" w:fill="000000"/>
                <w:fitText w:val="327" w:id="-662981879"/>
                <w14:textFill>
                  <w14:solidFill>
                    <w14:srgbClr w14:val="000000">
                      <w14:alpha w14:val="100000"/>
                    </w14:srgbClr>
                  </w14:solidFill>
                </w14:textFill>
              </w:rPr>
              <w:t>|||</w:t>
            </w:r>
            <w:r w:rsidRPr="000641E5">
              <w:rPr>
                <w:color w:val="000000"/>
                <w:spacing w:val="1"/>
                <w:shd w:val="solid" w:color="000000" w:fill="000000"/>
                <w:fitText w:val="327" w:id="-662981879"/>
                <w14:textFill>
                  <w14:solidFill>
                    <w14:srgbClr w14:val="000000">
                      <w14:alpha w14:val="100000"/>
                    </w14:srgbClr>
                  </w14:solidFill>
                </w14:textFill>
              </w:rPr>
              <w:t>|</w:t>
            </w:r>
            <w:r w:rsidR="00B07A81">
              <w:t xml:space="preserve"> </w:t>
            </w:r>
            <w:r w:rsidR="00B07A81">
              <w:rPr>
                <w:vertAlign w:val="superscript"/>
              </w:rPr>
              <w:t>10</w:t>
            </w:r>
          </w:p>
        </w:tc>
        <w:tc>
          <w:tcPr>
            <w:tcW w:w="1134" w:type="dxa"/>
            <w:shd w:val="clear" w:color="auto" w:fill="B8CCE4" w:themeFill="accent1" w:themeFillTint="66"/>
            <w:vAlign w:val="center"/>
          </w:tcPr>
          <w:p w14:paraId="620E7583" w14:textId="05B7AA0F" w:rsidR="00C96EDE" w:rsidRPr="00EC57FB" w:rsidRDefault="000641E5" w:rsidP="00D07BC5">
            <w:pPr>
              <w:pStyle w:val="TableText0"/>
              <w:keepNext w:val="0"/>
              <w:keepLines w:val="0"/>
              <w:jc w:val="center"/>
            </w:pPr>
            <w:r w:rsidRPr="000641E5">
              <w:rPr>
                <w:color w:val="000000"/>
                <w:spacing w:val="52"/>
                <w:shd w:val="solid" w:color="000000" w:fill="000000"/>
                <w:fitText w:val="327" w:id="-662981878"/>
                <w14:textFill>
                  <w14:solidFill>
                    <w14:srgbClr w14:val="000000">
                      <w14:alpha w14:val="100000"/>
                    </w14:srgbClr>
                  </w14:solidFill>
                </w14:textFill>
              </w:rPr>
              <w:t>|||</w:t>
            </w:r>
            <w:r w:rsidRPr="000641E5">
              <w:rPr>
                <w:color w:val="000000"/>
                <w:spacing w:val="1"/>
                <w:shd w:val="solid" w:color="000000" w:fill="000000"/>
                <w:fitText w:val="327" w:id="-662981878"/>
                <w14:textFill>
                  <w14:solidFill>
                    <w14:srgbClr w14:val="000000">
                      <w14:alpha w14:val="100000"/>
                    </w14:srgbClr>
                  </w14:solidFill>
                </w14:textFill>
              </w:rPr>
              <w:t>|</w:t>
            </w:r>
            <w:r w:rsidR="00B07A81">
              <w:t xml:space="preserve"> </w:t>
            </w:r>
            <w:r w:rsidR="00B07A81">
              <w:rPr>
                <w:vertAlign w:val="superscript"/>
              </w:rPr>
              <w:t>10</w:t>
            </w:r>
          </w:p>
        </w:tc>
        <w:tc>
          <w:tcPr>
            <w:tcW w:w="1134" w:type="dxa"/>
            <w:shd w:val="clear" w:color="auto" w:fill="B8CCE4" w:themeFill="accent1" w:themeFillTint="66"/>
            <w:vAlign w:val="center"/>
          </w:tcPr>
          <w:p w14:paraId="5FBF0D96" w14:textId="1B9189B0" w:rsidR="00C96EDE" w:rsidRPr="00EC57FB" w:rsidRDefault="000641E5" w:rsidP="00D07BC5">
            <w:pPr>
              <w:pStyle w:val="TableText0"/>
              <w:keepNext w:val="0"/>
              <w:keepLines w:val="0"/>
              <w:jc w:val="center"/>
            </w:pPr>
            <w:r w:rsidRPr="000641E5">
              <w:rPr>
                <w:color w:val="000000"/>
                <w:spacing w:val="52"/>
                <w:shd w:val="solid" w:color="000000" w:fill="000000"/>
                <w:fitText w:val="327" w:id="-662981877"/>
                <w14:textFill>
                  <w14:solidFill>
                    <w14:srgbClr w14:val="000000">
                      <w14:alpha w14:val="100000"/>
                    </w14:srgbClr>
                  </w14:solidFill>
                </w14:textFill>
              </w:rPr>
              <w:t>|||</w:t>
            </w:r>
            <w:r w:rsidRPr="000641E5">
              <w:rPr>
                <w:color w:val="000000"/>
                <w:spacing w:val="1"/>
                <w:shd w:val="solid" w:color="000000" w:fill="000000"/>
                <w:fitText w:val="327" w:id="-662981877"/>
                <w14:textFill>
                  <w14:solidFill>
                    <w14:srgbClr w14:val="000000">
                      <w14:alpha w14:val="100000"/>
                    </w14:srgbClr>
                  </w14:solidFill>
                </w14:textFill>
              </w:rPr>
              <w:t>|</w:t>
            </w:r>
            <w:r w:rsidR="00B07A81">
              <w:t xml:space="preserve"> </w:t>
            </w:r>
            <w:r w:rsidR="00B07A81">
              <w:rPr>
                <w:vertAlign w:val="superscript"/>
              </w:rPr>
              <w:t>10</w:t>
            </w:r>
          </w:p>
        </w:tc>
        <w:tc>
          <w:tcPr>
            <w:tcW w:w="1084" w:type="dxa"/>
            <w:shd w:val="clear" w:color="auto" w:fill="B8CCE4" w:themeFill="accent1" w:themeFillTint="66"/>
            <w:vAlign w:val="center"/>
          </w:tcPr>
          <w:p w14:paraId="3F791C04" w14:textId="1D851B57" w:rsidR="00C96EDE" w:rsidRPr="00EC57FB" w:rsidRDefault="000641E5" w:rsidP="00D07BC5">
            <w:pPr>
              <w:pStyle w:val="TableText0"/>
              <w:keepNext w:val="0"/>
              <w:keepLines w:val="0"/>
              <w:jc w:val="center"/>
            </w:pPr>
            <w:r w:rsidRPr="000641E5">
              <w:rPr>
                <w:color w:val="000000"/>
                <w:spacing w:val="52"/>
                <w:shd w:val="solid" w:color="000000" w:fill="000000"/>
                <w:fitText w:val="327" w:id="-662981876"/>
                <w14:textFill>
                  <w14:solidFill>
                    <w14:srgbClr w14:val="000000">
                      <w14:alpha w14:val="100000"/>
                    </w14:srgbClr>
                  </w14:solidFill>
                </w14:textFill>
              </w:rPr>
              <w:t>|||</w:t>
            </w:r>
            <w:r w:rsidRPr="000641E5">
              <w:rPr>
                <w:color w:val="000000"/>
                <w:spacing w:val="1"/>
                <w:shd w:val="solid" w:color="000000" w:fill="000000"/>
                <w:fitText w:val="327" w:id="-662981876"/>
                <w14:textFill>
                  <w14:solidFill>
                    <w14:srgbClr w14:val="000000">
                      <w14:alpha w14:val="100000"/>
                    </w14:srgbClr>
                  </w14:solidFill>
                </w14:textFill>
              </w:rPr>
              <w:t>|</w:t>
            </w:r>
            <w:r w:rsidR="00B07A81">
              <w:t xml:space="preserve"> </w:t>
            </w:r>
            <w:r w:rsidR="00B07A81">
              <w:rPr>
                <w:vertAlign w:val="superscript"/>
              </w:rPr>
              <w:t>10</w:t>
            </w:r>
          </w:p>
        </w:tc>
      </w:tr>
      <w:tr w:rsidR="00C96EDE" w:rsidRPr="00EC57FB" w14:paraId="62731FD1" w14:textId="77777777" w:rsidTr="001E02B8">
        <w:tc>
          <w:tcPr>
            <w:tcW w:w="2268" w:type="dxa"/>
            <w:shd w:val="clear" w:color="auto" w:fill="B8CCE4" w:themeFill="accent1" w:themeFillTint="66"/>
            <w:vAlign w:val="center"/>
          </w:tcPr>
          <w:p w14:paraId="7FD3DC5B" w14:textId="4749C819" w:rsidR="00C96EDE" w:rsidRPr="00EC57FB" w:rsidRDefault="00C96EDE" w:rsidP="00D07BC5">
            <w:pPr>
              <w:pStyle w:val="TableText0"/>
              <w:keepNext w:val="0"/>
              <w:keepLines w:val="0"/>
              <w:rPr>
                <w:sz w:val="19"/>
                <w:szCs w:val="19"/>
              </w:rPr>
            </w:pPr>
            <w:r w:rsidRPr="00EC57FB">
              <w:rPr>
                <w:sz w:val="19"/>
                <w:szCs w:val="19"/>
              </w:rPr>
              <w:t>Net cost to PBS</w:t>
            </w:r>
          </w:p>
        </w:tc>
        <w:tc>
          <w:tcPr>
            <w:tcW w:w="1134" w:type="dxa"/>
            <w:shd w:val="clear" w:color="auto" w:fill="B8CCE4" w:themeFill="accent1" w:themeFillTint="66"/>
            <w:vAlign w:val="center"/>
          </w:tcPr>
          <w:p w14:paraId="7DB996E6" w14:textId="31D40C6F" w:rsidR="00C96EDE" w:rsidRPr="00EC57FB" w:rsidRDefault="00C96EDE" w:rsidP="00D07BC5">
            <w:pPr>
              <w:pStyle w:val="TableText0"/>
              <w:keepNext w:val="0"/>
              <w:keepLines w:val="0"/>
              <w:jc w:val="center"/>
            </w:pPr>
            <w:r w:rsidRPr="00EC57FB">
              <w:t>$</w:t>
            </w:r>
            <w:r w:rsidR="000641E5" w:rsidRPr="000641E5">
              <w:rPr>
                <w:color w:val="000000"/>
                <w:spacing w:val="52"/>
                <w:shd w:val="solid" w:color="000000" w:fill="000000"/>
                <w:fitText w:val="328" w:id="-662981875"/>
                <w14:textFill>
                  <w14:solidFill>
                    <w14:srgbClr w14:val="000000">
                      <w14:alpha w14:val="100000"/>
                    </w14:srgbClr>
                  </w14:solidFill>
                </w14:textFill>
              </w:rPr>
              <w:t>|||</w:t>
            </w:r>
            <w:r w:rsidR="000641E5" w:rsidRPr="000641E5">
              <w:rPr>
                <w:color w:val="000000"/>
                <w:spacing w:val="2"/>
                <w:shd w:val="solid" w:color="000000" w:fill="000000"/>
                <w:fitText w:val="328" w:id="-662981875"/>
                <w14:textFill>
                  <w14:solidFill>
                    <w14:srgbClr w14:val="000000">
                      <w14:alpha w14:val="100000"/>
                    </w14:srgbClr>
                  </w14:solidFill>
                </w14:textFill>
              </w:rPr>
              <w:t>|</w:t>
            </w:r>
            <w:r w:rsidR="00B07A81">
              <w:t xml:space="preserve"> </w:t>
            </w:r>
            <w:r w:rsidR="00B07A81">
              <w:rPr>
                <w:vertAlign w:val="superscript"/>
              </w:rPr>
              <w:t>11</w:t>
            </w:r>
          </w:p>
        </w:tc>
        <w:tc>
          <w:tcPr>
            <w:tcW w:w="1134" w:type="dxa"/>
            <w:shd w:val="clear" w:color="auto" w:fill="B8CCE4" w:themeFill="accent1" w:themeFillTint="66"/>
            <w:vAlign w:val="center"/>
          </w:tcPr>
          <w:p w14:paraId="53DF01E5" w14:textId="6274935A" w:rsidR="00C96EDE" w:rsidRPr="00EC57FB" w:rsidRDefault="00C96EDE" w:rsidP="00D07BC5">
            <w:pPr>
              <w:pStyle w:val="TableText0"/>
              <w:keepNext w:val="0"/>
              <w:keepLines w:val="0"/>
              <w:jc w:val="center"/>
            </w:pPr>
            <w:r w:rsidRPr="00EC57FB">
              <w:t>$</w:t>
            </w:r>
            <w:r w:rsidR="000641E5" w:rsidRPr="000641E5">
              <w:rPr>
                <w:color w:val="000000"/>
                <w:spacing w:val="52"/>
                <w:shd w:val="solid" w:color="000000" w:fill="000000"/>
                <w:fitText w:val="327" w:id="-662981874"/>
                <w14:textFill>
                  <w14:solidFill>
                    <w14:srgbClr w14:val="000000">
                      <w14:alpha w14:val="100000"/>
                    </w14:srgbClr>
                  </w14:solidFill>
                </w14:textFill>
              </w:rPr>
              <w:t>|||</w:t>
            </w:r>
            <w:r w:rsidR="000641E5" w:rsidRPr="000641E5">
              <w:rPr>
                <w:color w:val="000000"/>
                <w:spacing w:val="1"/>
                <w:shd w:val="solid" w:color="000000" w:fill="000000"/>
                <w:fitText w:val="327" w:id="-662981874"/>
                <w14:textFill>
                  <w14:solidFill>
                    <w14:srgbClr w14:val="000000">
                      <w14:alpha w14:val="100000"/>
                    </w14:srgbClr>
                  </w14:solidFill>
                </w14:textFill>
              </w:rPr>
              <w:t>|</w:t>
            </w:r>
            <w:r w:rsidR="000E3A78">
              <w:t xml:space="preserve"> </w:t>
            </w:r>
            <w:r w:rsidR="000E3A78">
              <w:rPr>
                <w:vertAlign w:val="superscript"/>
              </w:rPr>
              <w:t>11</w:t>
            </w:r>
          </w:p>
        </w:tc>
        <w:tc>
          <w:tcPr>
            <w:tcW w:w="1134" w:type="dxa"/>
            <w:shd w:val="clear" w:color="auto" w:fill="B8CCE4" w:themeFill="accent1" w:themeFillTint="66"/>
            <w:vAlign w:val="center"/>
          </w:tcPr>
          <w:p w14:paraId="2D589046" w14:textId="437EDA6D" w:rsidR="00C96EDE" w:rsidRPr="00EC57FB" w:rsidRDefault="00C96EDE" w:rsidP="00D07BC5">
            <w:pPr>
              <w:pStyle w:val="TableText0"/>
              <w:keepNext w:val="0"/>
              <w:keepLines w:val="0"/>
              <w:jc w:val="center"/>
            </w:pPr>
            <w:r w:rsidRPr="00EC57FB">
              <w:t>$</w:t>
            </w:r>
            <w:r w:rsidR="000641E5" w:rsidRPr="000641E5">
              <w:rPr>
                <w:color w:val="000000"/>
                <w:spacing w:val="52"/>
                <w:shd w:val="solid" w:color="000000" w:fill="000000"/>
                <w:fitText w:val="328" w:id="-662981873"/>
                <w14:textFill>
                  <w14:solidFill>
                    <w14:srgbClr w14:val="000000">
                      <w14:alpha w14:val="100000"/>
                    </w14:srgbClr>
                  </w14:solidFill>
                </w14:textFill>
              </w:rPr>
              <w:t>|||</w:t>
            </w:r>
            <w:r w:rsidR="000641E5" w:rsidRPr="000641E5">
              <w:rPr>
                <w:color w:val="000000"/>
                <w:spacing w:val="2"/>
                <w:shd w:val="solid" w:color="000000" w:fill="000000"/>
                <w:fitText w:val="328" w:id="-662981873"/>
                <w14:textFill>
                  <w14:solidFill>
                    <w14:srgbClr w14:val="000000">
                      <w14:alpha w14:val="100000"/>
                    </w14:srgbClr>
                  </w14:solidFill>
                </w14:textFill>
              </w:rPr>
              <w:t>|</w:t>
            </w:r>
            <w:r w:rsidR="000E3A78">
              <w:t xml:space="preserve"> </w:t>
            </w:r>
            <w:r w:rsidR="000E3A78">
              <w:rPr>
                <w:vertAlign w:val="superscript"/>
              </w:rPr>
              <w:t>11</w:t>
            </w:r>
          </w:p>
        </w:tc>
        <w:tc>
          <w:tcPr>
            <w:tcW w:w="1134" w:type="dxa"/>
            <w:shd w:val="clear" w:color="auto" w:fill="B8CCE4" w:themeFill="accent1" w:themeFillTint="66"/>
            <w:vAlign w:val="center"/>
          </w:tcPr>
          <w:p w14:paraId="39A39E5A" w14:textId="6235DB5C" w:rsidR="00C96EDE" w:rsidRPr="00EC57FB" w:rsidRDefault="00C96EDE" w:rsidP="00D07BC5">
            <w:pPr>
              <w:pStyle w:val="TableText0"/>
              <w:keepNext w:val="0"/>
              <w:keepLines w:val="0"/>
              <w:jc w:val="center"/>
            </w:pPr>
            <w:r w:rsidRPr="00EC57FB">
              <w:t>$</w:t>
            </w:r>
            <w:r w:rsidR="000641E5" w:rsidRPr="000641E5">
              <w:rPr>
                <w:color w:val="000000"/>
                <w:spacing w:val="52"/>
                <w:shd w:val="solid" w:color="000000" w:fill="000000"/>
                <w:fitText w:val="327" w:id="-662981872"/>
                <w14:textFill>
                  <w14:solidFill>
                    <w14:srgbClr w14:val="000000">
                      <w14:alpha w14:val="100000"/>
                    </w14:srgbClr>
                  </w14:solidFill>
                </w14:textFill>
              </w:rPr>
              <w:t>|||</w:t>
            </w:r>
            <w:r w:rsidR="000641E5" w:rsidRPr="000641E5">
              <w:rPr>
                <w:color w:val="000000"/>
                <w:spacing w:val="1"/>
                <w:shd w:val="solid" w:color="000000" w:fill="000000"/>
                <w:fitText w:val="327" w:id="-662981872"/>
                <w14:textFill>
                  <w14:solidFill>
                    <w14:srgbClr w14:val="000000">
                      <w14:alpha w14:val="100000"/>
                    </w14:srgbClr>
                  </w14:solidFill>
                </w14:textFill>
              </w:rPr>
              <w:t>|</w:t>
            </w:r>
            <w:r w:rsidR="000E3A78">
              <w:t xml:space="preserve"> </w:t>
            </w:r>
            <w:r w:rsidR="000E3A78">
              <w:rPr>
                <w:vertAlign w:val="superscript"/>
              </w:rPr>
              <w:t>11</w:t>
            </w:r>
          </w:p>
        </w:tc>
        <w:tc>
          <w:tcPr>
            <w:tcW w:w="1134" w:type="dxa"/>
            <w:shd w:val="clear" w:color="auto" w:fill="B8CCE4" w:themeFill="accent1" w:themeFillTint="66"/>
            <w:vAlign w:val="center"/>
          </w:tcPr>
          <w:p w14:paraId="54FEC321" w14:textId="491BB055" w:rsidR="00C96EDE" w:rsidRPr="00EC57FB" w:rsidRDefault="00C96EDE" w:rsidP="00D07BC5">
            <w:pPr>
              <w:pStyle w:val="TableText0"/>
              <w:keepNext w:val="0"/>
              <w:keepLines w:val="0"/>
              <w:jc w:val="center"/>
            </w:pPr>
            <w:r w:rsidRPr="00EC57FB">
              <w:t>$</w:t>
            </w:r>
            <w:r w:rsidR="000641E5" w:rsidRPr="000641E5">
              <w:rPr>
                <w:color w:val="000000"/>
                <w:spacing w:val="52"/>
                <w:shd w:val="solid" w:color="000000" w:fill="000000"/>
                <w:fitText w:val="328" w:id="-662981888"/>
                <w14:textFill>
                  <w14:solidFill>
                    <w14:srgbClr w14:val="000000">
                      <w14:alpha w14:val="100000"/>
                    </w14:srgbClr>
                  </w14:solidFill>
                </w14:textFill>
              </w:rPr>
              <w:t>|||</w:t>
            </w:r>
            <w:r w:rsidR="000641E5" w:rsidRPr="000641E5">
              <w:rPr>
                <w:color w:val="000000"/>
                <w:spacing w:val="2"/>
                <w:shd w:val="solid" w:color="000000" w:fill="000000"/>
                <w:fitText w:val="328" w:id="-662981888"/>
                <w14:textFill>
                  <w14:solidFill>
                    <w14:srgbClr w14:val="000000">
                      <w14:alpha w14:val="100000"/>
                    </w14:srgbClr>
                  </w14:solidFill>
                </w14:textFill>
              </w:rPr>
              <w:t>|</w:t>
            </w:r>
            <w:r w:rsidR="000E3A78">
              <w:t xml:space="preserve"> </w:t>
            </w:r>
            <w:r w:rsidR="000E3A78">
              <w:rPr>
                <w:vertAlign w:val="superscript"/>
              </w:rPr>
              <w:t>11</w:t>
            </w:r>
          </w:p>
        </w:tc>
        <w:tc>
          <w:tcPr>
            <w:tcW w:w="1084" w:type="dxa"/>
            <w:shd w:val="clear" w:color="auto" w:fill="B8CCE4" w:themeFill="accent1" w:themeFillTint="66"/>
            <w:vAlign w:val="center"/>
          </w:tcPr>
          <w:p w14:paraId="4C909A0F" w14:textId="4731FB63" w:rsidR="00C96EDE" w:rsidRPr="00EC57FB" w:rsidRDefault="00C96EDE" w:rsidP="00D07BC5">
            <w:pPr>
              <w:pStyle w:val="TableText0"/>
              <w:keepNext w:val="0"/>
              <w:keepLines w:val="0"/>
              <w:jc w:val="center"/>
            </w:pPr>
            <w:r w:rsidRPr="00EC57FB">
              <w:t>$</w:t>
            </w:r>
            <w:r w:rsidR="000641E5" w:rsidRPr="00B73761">
              <w:rPr>
                <w:color w:val="000000"/>
                <w:spacing w:val="52"/>
                <w:shd w:val="solid" w:color="000000" w:fill="000000"/>
                <w:fitText w:val="327" w:id="-662981887"/>
                <w14:textFill>
                  <w14:solidFill>
                    <w14:srgbClr w14:val="000000">
                      <w14:alpha w14:val="100000"/>
                    </w14:srgbClr>
                  </w14:solidFill>
                </w14:textFill>
              </w:rPr>
              <w:t>|||</w:t>
            </w:r>
            <w:r w:rsidR="000641E5" w:rsidRPr="00B73761">
              <w:rPr>
                <w:color w:val="000000"/>
                <w:spacing w:val="1"/>
                <w:shd w:val="solid" w:color="000000" w:fill="000000"/>
                <w:fitText w:val="327" w:id="-662981887"/>
                <w14:textFill>
                  <w14:solidFill>
                    <w14:srgbClr w14:val="000000">
                      <w14:alpha w14:val="100000"/>
                    </w14:srgbClr>
                  </w14:solidFill>
                </w14:textFill>
              </w:rPr>
              <w:t>|</w:t>
            </w:r>
            <w:r w:rsidR="000E3A78">
              <w:t xml:space="preserve"> </w:t>
            </w:r>
            <w:r w:rsidR="000E3A78">
              <w:rPr>
                <w:vertAlign w:val="superscript"/>
              </w:rPr>
              <w:t>11</w:t>
            </w:r>
          </w:p>
        </w:tc>
      </w:tr>
    </w:tbl>
    <w:p w14:paraId="484CF5B6" w14:textId="0F2396DB" w:rsidR="00620C25" w:rsidRPr="00EC57FB" w:rsidRDefault="00620C25" w:rsidP="00620C25">
      <w:pPr>
        <w:pStyle w:val="FooterTableFigure"/>
      </w:pPr>
      <w:r w:rsidRPr="00EC57FB">
        <w:t xml:space="preserve">Source: </w:t>
      </w:r>
      <w:r w:rsidR="003626A1" w:rsidRPr="00EC57FB">
        <w:t xml:space="preserve">Table </w:t>
      </w:r>
      <w:r w:rsidR="00472437" w:rsidRPr="00EC57FB">
        <w:t xml:space="preserve">25 and Table </w:t>
      </w:r>
      <w:r w:rsidR="003626A1" w:rsidRPr="00EC57FB">
        <w:t xml:space="preserve">26, Nirsevimab </w:t>
      </w:r>
      <w:r w:rsidR="00EC0502" w:rsidRPr="00EC57FB">
        <w:t xml:space="preserve">July 2024 PSD and </w:t>
      </w:r>
      <w:r w:rsidRPr="00EC57FB">
        <w:t>Table</w:t>
      </w:r>
      <w:r w:rsidR="002C5AF9" w:rsidRPr="00EC57FB">
        <w:t xml:space="preserve"> 4.3.2 </w:t>
      </w:r>
      <w:r w:rsidR="00DB69FC" w:rsidRPr="00EC57FB">
        <w:t xml:space="preserve">and </w:t>
      </w:r>
      <w:r w:rsidR="00D31C33" w:rsidRPr="00EC57FB">
        <w:t>Table 4.3.4</w:t>
      </w:r>
      <w:r w:rsidRPr="00EC57FB">
        <w:t xml:space="preserve">, </w:t>
      </w:r>
      <w:r w:rsidR="00133A05" w:rsidRPr="00EC57FB">
        <w:t>p</w:t>
      </w:r>
      <w:r w:rsidRPr="00EC57FB">
        <w:t>p</w:t>
      </w:r>
      <w:r w:rsidR="003C752C" w:rsidRPr="00EC57FB">
        <w:t>167-</w:t>
      </w:r>
      <w:r w:rsidR="0053198D" w:rsidRPr="00EC57FB">
        <w:t>168</w:t>
      </w:r>
      <w:r w:rsidRPr="00EC57FB">
        <w:t xml:space="preserve"> of the </w:t>
      </w:r>
      <w:r w:rsidR="00427AF7" w:rsidRPr="00EC57FB">
        <w:t>re</w:t>
      </w:r>
      <w:r w:rsidRPr="00EC57FB">
        <w:t>submission.</w:t>
      </w:r>
    </w:p>
    <w:p w14:paraId="2BCEF066" w14:textId="3CE93A51" w:rsidR="00A40989" w:rsidRDefault="00A40989" w:rsidP="00E03004">
      <w:pPr>
        <w:pStyle w:val="FooterTableFigure"/>
        <w:spacing w:after="0"/>
      </w:pPr>
      <w:r w:rsidRPr="00EC57FB">
        <w:t>Blue shading is indicative of information previously considered by the PBAC.</w:t>
      </w:r>
    </w:p>
    <w:p w14:paraId="41B67712" w14:textId="77777777" w:rsidR="00E03004" w:rsidRPr="009A6D58" w:rsidRDefault="00E03004" w:rsidP="00E0300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002D099" w14:textId="24C0DBFA" w:rsidR="00E03004" w:rsidRPr="009A6D58" w:rsidRDefault="00E03004" w:rsidP="00E0300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DA60D2" w:rsidRPr="00DA60D2">
        <w:rPr>
          <w:rFonts w:ascii="Arial Narrow" w:hAnsi="Arial Narrow"/>
          <w:i/>
          <w:sz w:val="18"/>
          <w:szCs w:val="18"/>
        </w:rPr>
        <w:t>100,000 to &lt; 200,000</w:t>
      </w:r>
    </w:p>
    <w:p w14:paraId="57093601" w14:textId="28C31546" w:rsidR="00E03004" w:rsidRPr="009A6D58" w:rsidRDefault="00E03004" w:rsidP="00E0300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B865FE" w:rsidRPr="00B865FE">
        <w:rPr>
          <w:rFonts w:ascii="Arial Narrow" w:hAnsi="Arial Narrow"/>
          <w:i/>
          <w:sz w:val="18"/>
          <w:szCs w:val="18"/>
        </w:rPr>
        <w:t>50,000 to &lt; 60,000</w:t>
      </w:r>
    </w:p>
    <w:p w14:paraId="17699597" w14:textId="5CE41883" w:rsidR="00E03004" w:rsidRDefault="00E03004" w:rsidP="00E0300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323A1C" w:rsidRPr="00323A1C">
        <w:rPr>
          <w:rFonts w:ascii="Arial Narrow" w:hAnsi="Arial Narrow"/>
          <w:i/>
          <w:sz w:val="18"/>
          <w:szCs w:val="18"/>
        </w:rPr>
        <w:t>200,000 to &lt; 300,000</w:t>
      </w:r>
    </w:p>
    <w:p w14:paraId="489C716F" w14:textId="4AEF9124" w:rsidR="00E03004" w:rsidRDefault="00E03004" w:rsidP="00E03004">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AC14EC" w:rsidRPr="00AC14EC">
        <w:rPr>
          <w:rFonts w:ascii="Arial Narrow" w:hAnsi="Arial Narrow"/>
          <w:i/>
          <w:sz w:val="18"/>
          <w:szCs w:val="18"/>
        </w:rPr>
        <w:t>$80 million to &lt; $90 million</w:t>
      </w:r>
    </w:p>
    <w:p w14:paraId="34B89647" w14:textId="2914A58E" w:rsidR="00E03004" w:rsidRDefault="00E03004" w:rsidP="00E03004">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2A4865" w:rsidRPr="002A4865">
        <w:rPr>
          <w:rFonts w:ascii="Arial Narrow" w:hAnsi="Arial Narrow"/>
          <w:i/>
          <w:sz w:val="18"/>
          <w:szCs w:val="18"/>
        </w:rPr>
        <w:t>20,000 to &lt; 30,000</w:t>
      </w:r>
    </w:p>
    <w:p w14:paraId="2869EB4D" w14:textId="5C9E66DD" w:rsidR="00E03004" w:rsidRDefault="00E03004" w:rsidP="00E03004">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6A5176" w:rsidRPr="006A5176">
        <w:rPr>
          <w:rFonts w:ascii="Arial Narrow" w:hAnsi="Arial Narrow"/>
          <w:i/>
          <w:sz w:val="18"/>
          <w:szCs w:val="18"/>
        </w:rPr>
        <w:t>$10 million to &lt; $20 million</w:t>
      </w:r>
    </w:p>
    <w:p w14:paraId="0274A3B8" w14:textId="1FCA8478" w:rsidR="00E03004" w:rsidRPr="009A6D58" w:rsidRDefault="00E03004" w:rsidP="00E03004">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8F16AD" w:rsidRPr="008F16AD">
        <w:rPr>
          <w:rFonts w:ascii="Arial Narrow" w:hAnsi="Arial Narrow"/>
          <w:i/>
          <w:sz w:val="18"/>
          <w:szCs w:val="18"/>
        </w:rPr>
        <w:t>$90 million to &lt; $100 million</w:t>
      </w:r>
    </w:p>
    <w:p w14:paraId="4FB98CE7" w14:textId="6AFFE27D" w:rsidR="00E03004" w:rsidRPr="009A6D58" w:rsidRDefault="00E03004" w:rsidP="00E03004">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4A64E8" w:rsidRPr="004A64E8">
        <w:rPr>
          <w:rFonts w:ascii="Arial Narrow" w:hAnsi="Arial Narrow"/>
          <w:i/>
          <w:sz w:val="18"/>
          <w:szCs w:val="18"/>
        </w:rPr>
        <w:t>500 to &lt; 5,000</w:t>
      </w:r>
    </w:p>
    <w:p w14:paraId="1C5F6991" w14:textId="5363DC88" w:rsidR="00E03004" w:rsidRDefault="00E03004" w:rsidP="00E03004">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FD64E0" w:rsidRPr="00FD64E0">
        <w:rPr>
          <w:rFonts w:ascii="Arial Narrow" w:hAnsi="Arial Narrow"/>
          <w:i/>
          <w:sz w:val="18"/>
          <w:szCs w:val="18"/>
        </w:rPr>
        <w:t>$70 million to &lt; $80 million</w:t>
      </w:r>
    </w:p>
    <w:p w14:paraId="13619C85" w14:textId="4972A107" w:rsidR="00E03004" w:rsidRDefault="00E03004" w:rsidP="00E03004">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401402" w:rsidRPr="00401402">
        <w:rPr>
          <w:rFonts w:ascii="Arial Narrow" w:hAnsi="Arial Narrow"/>
          <w:i/>
          <w:sz w:val="18"/>
          <w:szCs w:val="18"/>
        </w:rPr>
        <w:t>10,000 to &lt; 20,000</w:t>
      </w:r>
    </w:p>
    <w:p w14:paraId="29A2920C" w14:textId="2C6D6CEE" w:rsidR="00E03004" w:rsidRPr="00E03004" w:rsidRDefault="00E03004" w:rsidP="00E03004">
      <w:pPr>
        <w:spacing w:after="120"/>
        <w:rPr>
          <w:rStyle w:val="CommentReference"/>
          <w:b w:val="0"/>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252ED5" w:rsidRPr="00252ED5">
        <w:rPr>
          <w:rFonts w:ascii="Arial Narrow" w:hAnsi="Arial Narrow"/>
          <w:i/>
          <w:sz w:val="18"/>
          <w:szCs w:val="18"/>
        </w:rPr>
        <w:t>$100 million to &lt; $200 million</w:t>
      </w:r>
    </w:p>
    <w:p w14:paraId="28D4E642" w14:textId="3F35A5EB" w:rsidR="00C77F83" w:rsidRPr="00EC57FB" w:rsidRDefault="000902D9" w:rsidP="00C77F83">
      <w:pPr>
        <w:pStyle w:val="3-BodyText"/>
      </w:pPr>
      <w:r w:rsidRPr="00EC57FB">
        <w:t xml:space="preserve">The </w:t>
      </w:r>
      <w:r w:rsidR="00521A2C" w:rsidRPr="00EC57FB">
        <w:t xml:space="preserve">resubmission estimated the </w:t>
      </w:r>
      <w:r w:rsidRPr="00EC57FB">
        <w:t xml:space="preserve">total cost to the </w:t>
      </w:r>
      <w:r w:rsidR="005E5B72" w:rsidRPr="00EC57FB">
        <w:t xml:space="preserve">NIP </w:t>
      </w:r>
      <w:r w:rsidRPr="00EC57FB">
        <w:t xml:space="preserve">was estimated </w:t>
      </w:r>
      <w:r w:rsidR="00A05C32" w:rsidRPr="00EC57FB">
        <w:t>to be</w:t>
      </w:r>
      <w:r w:rsidRPr="00EC57FB">
        <w:t xml:space="preserve"> </w:t>
      </w:r>
      <w:r w:rsidR="00EA7286" w:rsidRPr="00EA7286">
        <w:t>$90 million to &lt; $100 million</w:t>
      </w:r>
      <w:r w:rsidR="00EA7286" w:rsidRPr="00EA7286" w:rsidDel="00EA7286">
        <w:t xml:space="preserve"> </w:t>
      </w:r>
      <w:r w:rsidRPr="00EC57FB">
        <w:t xml:space="preserve">in Year 6, and a total of </w:t>
      </w:r>
      <w:r w:rsidR="00B72C57" w:rsidRPr="00B72C57">
        <w:t>$500 million to &lt; $600 million</w:t>
      </w:r>
      <w:r w:rsidR="00B72C57" w:rsidRPr="00B72C57" w:rsidDel="00B72C57">
        <w:t xml:space="preserve"> </w:t>
      </w:r>
      <w:r w:rsidRPr="00EC57FB">
        <w:t>in the first 6 years of listing</w:t>
      </w:r>
      <w:r w:rsidRPr="00EC57FB">
        <w:rPr>
          <w:iCs/>
        </w:rPr>
        <w:t>.</w:t>
      </w:r>
      <w:r w:rsidR="00AB0D11" w:rsidRPr="00EC57FB">
        <w:rPr>
          <w:iCs/>
        </w:rPr>
        <w:t xml:space="preserve"> </w:t>
      </w:r>
      <w:r w:rsidR="006C5056" w:rsidRPr="00EC57FB">
        <w:t>Despite</w:t>
      </w:r>
      <w:r w:rsidR="0056530E" w:rsidRPr="00EC57FB">
        <w:t xml:space="preserve"> an increase in the </w:t>
      </w:r>
      <w:r w:rsidR="00C67D3A" w:rsidRPr="00EC57FB">
        <w:t xml:space="preserve">projected </w:t>
      </w:r>
      <w:r w:rsidR="0056530E" w:rsidRPr="00EC57FB">
        <w:t xml:space="preserve">number of infants and </w:t>
      </w:r>
      <w:r w:rsidR="0056530E" w:rsidRPr="00EC57FB">
        <w:lastRenderedPageBreak/>
        <w:t xml:space="preserve">children </w:t>
      </w:r>
      <w:r w:rsidR="00C67D3A" w:rsidRPr="00EC57FB">
        <w:t>to be treated with</w:t>
      </w:r>
      <w:r w:rsidR="00D95ECE" w:rsidRPr="00EC57FB">
        <w:t xml:space="preserve"> nirsevimab, the estimated financial</w:t>
      </w:r>
      <w:r w:rsidR="00D95ECE" w:rsidRPr="00EC57FB">
        <w:rPr>
          <w:iCs/>
        </w:rPr>
        <w:t xml:space="preserve"> </w:t>
      </w:r>
      <w:r w:rsidR="00D95ECE" w:rsidRPr="00EC57FB">
        <w:t xml:space="preserve">implications are reduced in the resubmission compared with the </w:t>
      </w:r>
      <w:r w:rsidR="008B4AD5" w:rsidRPr="00EC57FB">
        <w:t xml:space="preserve">first </w:t>
      </w:r>
      <w:r w:rsidR="00D95ECE" w:rsidRPr="00EC57FB">
        <w:t>submission</w:t>
      </w:r>
      <w:r w:rsidR="004C596F" w:rsidRPr="00EC57FB">
        <w:t xml:space="preserve">, due to </w:t>
      </w:r>
      <w:r w:rsidR="004C3780" w:rsidRPr="00EC57FB">
        <w:t>the reduction in financial estimates is</w:t>
      </w:r>
      <w:r w:rsidR="006056C7" w:rsidRPr="00EC57FB">
        <w:t xml:space="preserve"> the removal of </w:t>
      </w:r>
      <w:r w:rsidR="004C3780" w:rsidRPr="00EC57FB">
        <w:t>wholesaler and pharmacy mark-ups and dispensing fees.</w:t>
      </w:r>
      <w:r w:rsidR="00577C66">
        <w:t xml:space="preserve"> </w:t>
      </w:r>
      <w:r w:rsidR="004C596F" w:rsidRPr="00EC57FB">
        <w:t xml:space="preserve">The PSCR and pre-PBAC response provided revised estimates as shown in </w:t>
      </w:r>
      <w:r w:rsidR="004C596F" w:rsidRPr="00EC57FB">
        <w:fldChar w:fldCharType="begin"/>
      </w:r>
      <w:r w:rsidR="004C596F" w:rsidRPr="00EC57FB">
        <w:instrText xml:space="preserve"> REF _Ref104805295 \h </w:instrText>
      </w:r>
      <w:r w:rsidR="004C596F" w:rsidRPr="00EC57FB">
        <w:fldChar w:fldCharType="separate"/>
      </w:r>
      <w:r w:rsidR="00502C25" w:rsidRPr="00EC57FB">
        <w:t xml:space="preserve">Table </w:t>
      </w:r>
      <w:r w:rsidR="00502C25">
        <w:rPr>
          <w:noProof/>
        </w:rPr>
        <w:t>32</w:t>
      </w:r>
      <w:r w:rsidR="004C596F" w:rsidRPr="00EC57FB">
        <w:fldChar w:fldCharType="end"/>
      </w:r>
      <w:r w:rsidR="004C596F" w:rsidRPr="00EC57FB">
        <w:t>.</w:t>
      </w:r>
      <w:r w:rsidR="00577C66">
        <w:t xml:space="preserve"> </w:t>
      </w:r>
      <w:r w:rsidR="004C596F" w:rsidRPr="00EC57FB">
        <w:t xml:space="preserve">Based on the estimates in the pre-PBAC response, the total cost to NIP was estimated to be </w:t>
      </w:r>
      <w:r w:rsidR="001E5BB7" w:rsidRPr="001E5BB7">
        <w:t>$400 million to &lt; $500 million</w:t>
      </w:r>
      <w:r w:rsidR="001E5BB7" w:rsidRPr="001E5BB7" w:rsidDel="001E5BB7">
        <w:t xml:space="preserve"> </w:t>
      </w:r>
      <w:r w:rsidR="004C596F" w:rsidRPr="00EC57FB">
        <w:t>in the first 6 years of listing.</w:t>
      </w:r>
    </w:p>
    <w:p w14:paraId="2238DEE9" w14:textId="3E6A228B" w:rsidR="00576972" w:rsidRPr="00EC57FB" w:rsidRDefault="00576972" w:rsidP="00606FBA">
      <w:pPr>
        <w:pStyle w:val="4-SubsectionHeading"/>
      </w:pPr>
      <w:bookmarkStart w:id="155" w:name="_Toc22897648"/>
      <w:bookmarkStart w:id="156" w:name="_Toc188619267"/>
      <w:r w:rsidRPr="00EC57FB">
        <w:t>Quality Use of Medicines</w:t>
      </w:r>
      <w:bookmarkEnd w:id="155"/>
      <w:bookmarkEnd w:id="156"/>
    </w:p>
    <w:p w14:paraId="52DFF21D" w14:textId="0E0205C0" w:rsidR="002A0BD5" w:rsidRPr="00EC57FB" w:rsidRDefault="00F02EB1" w:rsidP="00DC4191">
      <w:pPr>
        <w:pStyle w:val="3-BodyText"/>
      </w:pPr>
      <w:r w:rsidRPr="00EC57FB">
        <w:t xml:space="preserve">The resubmission </w:t>
      </w:r>
      <w:r w:rsidR="006A6C70" w:rsidRPr="00EC57FB">
        <w:t>noted that nirsevimab dose</w:t>
      </w:r>
      <w:r w:rsidR="002A0BD5" w:rsidRPr="00EC57FB">
        <w:t>s</w:t>
      </w:r>
      <w:r w:rsidR="006A6C70" w:rsidRPr="00EC57FB">
        <w:t xml:space="preserve"> </w:t>
      </w:r>
      <w:r w:rsidR="002A0BD5" w:rsidRPr="00EC57FB">
        <w:t>are</w:t>
      </w:r>
      <w:r w:rsidR="006A6C70" w:rsidRPr="00EC57FB">
        <w:t xml:space="preserve"> dependent on the weight of infants,</w:t>
      </w:r>
      <w:r w:rsidR="002A0BD5" w:rsidRPr="00EC57FB">
        <w:t xml:space="preserve"> and h</w:t>
      </w:r>
      <w:r w:rsidRPr="00EC57FB">
        <w:t>ighlighted th</w:t>
      </w:r>
      <w:r w:rsidR="006A6C70" w:rsidRPr="00EC57FB">
        <w:t>e importance of ensur</w:t>
      </w:r>
      <w:r w:rsidR="002A0BD5" w:rsidRPr="00EC57FB">
        <w:t>ing dosing is based on weight at time of immunisation, and not allowing a time delay between the decision to immunise with nirsevimab and the immunisation itself.</w:t>
      </w:r>
    </w:p>
    <w:p w14:paraId="738B5C7A" w14:textId="7C84E2B2" w:rsidR="00E23739" w:rsidRPr="00EC57FB" w:rsidRDefault="00F46175" w:rsidP="00606FBA">
      <w:pPr>
        <w:pStyle w:val="3-BodyText"/>
      </w:pPr>
      <w:r w:rsidRPr="00EC57FB">
        <w:t xml:space="preserve">In its consideration of the </w:t>
      </w:r>
      <w:r w:rsidR="00362B1D" w:rsidRPr="00EC57FB">
        <w:t xml:space="preserve">first </w:t>
      </w:r>
      <w:r w:rsidRPr="00EC57FB">
        <w:t xml:space="preserve">submission, the DUSC considered that </w:t>
      </w:r>
      <w:r w:rsidR="00113670" w:rsidRPr="00EC57FB">
        <w:t>given that</w:t>
      </w:r>
      <w:r w:rsidRPr="00EC57FB">
        <w:t xml:space="preserve"> nirsevimab is a new health technology (prophylactic antibody treatment against RSV), there </w:t>
      </w:r>
      <w:r w:rsidR="00113670" w:rsidRPr="00EC57FB">
        <w:t>would be an</w:t>
      </w:r>
      <w:r w:rsidRPr="00EC57FB">
        <w:t xml:space="preserve"> opportunity to educate and improve the health literacy of consumers. The DUSC also noted the complexities of optimising the timing of doses given </w:t>
      </w:r>
      <w:r w:rsidR="00113670" w:rsidRPr="00EC57FB">
        <w:t xml:space="preserve">the </w:t>
      </w:r>
      <w:r w:rsidRPr="00EC57FB">
        <w:t>variation in the onset of the RSV season.</w:t>
      </w:r>
    </w:p>
    <w:p w14:paraId="52CC66DE" w14:textId="19E52370" w:rsidR="00A63CC5" w:rsidRPr="00EC57FB" w:rsidRDefault="00C23269" w:rsidP="001E5BB7">
      <w:pPr>
        <w:ind w:firstLine="709"/>
      </w:pPr>
      <w:r w:rsidRPr="00EC57FB">
        <w:rPr>
          <w:rFonts w:asciiTheme="minorHAnsi" w:hAnsiTheme="minorHAnsi"/>
          <w:i/>
        </w:rPr>
        <w:t>For more detail on PBAC’s view, see section 7 PBAC outcome.</w:t>
      </w:r>
    </w:p>
    <w:p w14:paraId="007346EF" w14:textId="77777777" w:rsidR="00E50FF8" w:rsidRPr="00EC57FB" w:rsidRDefault="00E50FF8" w:rsidP="00E50FF8">
      <w:pPr>
        <w:pStyle w:val="2-SectionHeading"/>
        <w:numPr>
          <w:ilvl w:val="0"/>
          <w:numId w:val="1"/>
        </w:numPr>
      </w:pPr>
      <w:bookmarkStart w:id="157" w:name="_Hlk76381249"/>
      <w:bookmarkStart w:id="158" w:name="_Hlk76377955"/>
      <w:r w:rsidRPr="00EC57FB">
        <w:t>PBAC Outcome</w:t>
      </w:r>
    </w:p>
    <w:p w14:paraId="6AA74600" w14:textId="5AEF910A" w:rsidR="003F69A6" w:rsidRPr="00CC3DCE" w:rsidRDefault="003F69A6" w:rsidP="00DC4191">
      <w:pPr>
        <w:pStyle w:val="3-BodyText"/>
        <w:rPr>
          <w:snapToGrid w:val="0"/>
        </w:rPr>
      </w:pPr>
      <w:bookmarkStart w:id="159" w:name="_Hlk111543188"/>
      <w:r w:rsidRPr="00EC57FB">
        <w:rPr>
          <w:rFonts w:eastAsia="Times New Roman" w:cs="Arial"/>
          <w:snapToGrid w:val="0"/>
          <w:szCs w:val="24"/>
        </w:rPr>
        <w:t>The PBAC deferred making a recommendation for nirsevimab, for the prevention of lower respiratory tract illness (LTRI) caused by respiratory syncytial virus (RSV) in neonates and infants born during or entering their first RSV season, and children up to 24 months of age who remain vulnerable to severe RSV disease through their second RSV season. The PBAC noted advice received from the Department, that the current legislative framework underpinning the National Immunisation Program (NIP) does not support the inclusion of passive immunisation strategies such as nirsevimab at this time.</w:t>
      </w:r>
      <w:r w:rsidR="00577C66">
        <w:rPr>
          <w:rFonts w:eastAsia="Times New Roman" w:cs="Arial"/>
          <w:snapToGrid w:val="0"/>
          <w:szCs w:val="24"/>
        </w:rPr>
        <w:t xml:space="preserve"> </w:t>
      </w:r>
      <w:r w:rsidRPr="00EC57FB">
        <w:rPr>
          <w:rFonts w:eastAsia="Times New Roman" w:cs="Arial"/>
          <w:snapToGrid w:val="0"/>
          <w:szCs w:val="24"/>
        </w:rPr>
        <w:t xml:space="preserve">The PBAC </w:t>
      </w:r>
      <w:r w:rsidR="00BA5569" w:rsidRPr="00EC57FB">
        <w:rPr>
          <w:rFonts w:eastAsia="Times New Roman" w:cs="Arial"/>
          <w:snapToGrid w:val="0"/>
          <w:szCs w:val="24"/>
        </w:rPr>
        <w:t>noted</w:t>
      </w:r>
      <w:r w:rsidRPr="00EC57FB">
        <w:rPr>
          <w:rFonts w:eastAsia="Times New Roman" w:cs="Arial"/>
          <w:snapToGrid w:val="0"/>
          <w:szCs w:val="24"/>
        </w:rPr>
        <w:t xml:space="preserve"> that nirsevimab reduc</w:t>
      </w:r>
      <w:r w:rsidR="00BA5569" w:rsidRPr="00EC57FB">
        <w:rPr>
          <w:rFonts w:eastAsia="Times New Roman" w:cs="Arial"/>
          <w:snapToGrid w:val="0"/>
          <w:szCs w:val="24"/>
        </w:rPr>
        <w:t>ed</w:t>
      </w:r>
      <w:r w:rsidRPr="00EC57FB">
        <w:rPr>
          <w:rFonts w:eastAsia="Times New Roman" w:cs="Arial"/>
          <w:snapToGrid w:val="0"/>
          <w:szCs w:val="24"/>
        </w:rPr>
        <w:t xml:space="preserve"> medically-attended RSV LRTI, </w:t>
      </w:r>
      <w:r w:rsidR="00BA5569" w:rsidRPr="00EC57FB">
        <w:rPr>
          <w:rFonts w:eastAsia="Times New Roman" w:cs="Arial"/>
          <w:snapToGrid w:val="0"/>
          <w:szCs w:val="24"/>
        </w:rPr>
        <w:t xml:space="preserve">and had </w:t>
      </w:r>
      <w:r w:rsidRPr="00EC57FB">
        <w:rPr>
          <w:rFonts w:eastAsia="Times New Roman" w:cs="Arial"/>
          <w:snapToGrid w:val="0"/>
          <w:szCs w:val="24"/>
        </w:rPr>
        <w:t>an acceptable safety profile. The PBAC noted that RSVpreF maternal vaccination (Abrysvo®) was added to the NIP in February 2025, and considered this was the main comparator for nirsevimab for infants in their first RSV season, since both products protect infants against RSV.</w:t>
      </w:r>
      <w:r w:rsidR="00577C66">
        <w:rPr>
          <w:rFonts w:eastAsia="Times New Roman" w:cs="Arial"/>
          <w:snapToGrid w:val="0"/>
          <w:szCs w:val="24"/>
        </w:rPr>
        <w:t xml:space="preserve"> </w:t>
      </w:r>
      <w:r w:rsidRPr="00EC57FB">
        <w:rPr>
          <w:rFonts w:eastAsia="Times New Roman" w:cs="Arial"/>
          <w:snapToGrid w:val="0"/>
          <w:szCs w:val="24"/>
        </w:rPr>
        <w:t>The PBAC considered that nirsevimab was not clinically superior to RSVpreF maternal vaccine based on the comparison presented in the resubmission. The PBAC noted in some infants, the use of nirsevimab would provide additional protection that could not be addressed by RSVpreF maternal vaccine, for example for infants whose mother received the RSVpreF vaccine but were born within two weeks from vaccination, which would result in impaired protection from the vaccine.</w:t>
      </w:r>
      <w:r w:rsidR="00577C66">
        <w:rPr>
          <w:rFonts w:eastAsia="Times New Roman" w:cs="Arial"/>
          <w:snapToGrid w:val="0"/>
          <w:szCs w:val="24"/>
        </w:rPr>
        <w:t xml:space="preserve"> </w:t>
      </w:r>
      <w:r w:rsidRPr="00EC57FB">
        <w:rPr>
          <w:rFonts w:eastAsia="Times New Roman" w:cs="Arial"/>
          <w:snapToGrid w:val="0"/>
          <w:szCs w:val="24"/>
        </w:rPr>
        <w:t>The PBAC also acknowledged that nirsevimab would have additional value for i</w:t>
      </w:r>
      <w:r w:rsidRPr="00CC3DCE">
        <w:rPr>
          <w:rFonts w:eastAsia="Times New Roman" w:cs="Arial"/>
          <w:snapToGrid w:val="0"/>
          <w:szCs w:val="24"/>
        </w:rPr>
        <w:t xml:space="preserve">nfants at </w:t>
      </w:r>
      <w:r w:rsidR="00881650" w:rsidRPr="00CC3DCE">
        <w:rPr>
          <w:rFonts w:eastAsia="Times New Roman" w:cs="Arial"/>
          <w:snapToGrid w:val="0"/>
          <w:szCs w:val="24"/>
        </w:rPr>
        <w:t xml:space="preserve">increased </w:t>
      </w:r>
      <w:r w:rsidRPr="00CC3DCE">
        <w:rPr>
          <w:rFonts w:eastAsia="Times New Roman" w:cs="Arial"/>
          <w:snapToGrid w:val="0"/>
          <w:szCs w:val="24"/>
        </w:rPr>
        <w:t>risk of severe disease from RSV</w:t>
      </w:r>
      <w:r w:rsidR="00881650" w:rsidRPr="00CC3DCE">
        <w:rPr>
          <w:rFonts w:eastAsia="Times New Roman" w:cs="Arial"/>
          <w:snapToGrid w:val="0"/>
          <w:szCs w:val="24"/>
        </w:rPr>
        <w:t xml:space="preserve"> during their first RSV</w:t>
      </w:r>
      <w:r w:rsidR="00C51E7C" w:rsidRPr="00CC3DCE">
        <w:rPr>
          <w:rFonts w:eastAsia="Times New Roman" w:cs="Arial"/>
          <w:snapToGrid w:val="0"/>
          <w:szCs w:val="24"/>
        </w:rPr>
        <w:t xml:space="preserve"> season</w:t>
      </w:r>
      <w:r w:rsidRPr="00CC3DCE">
        <w:rPr>
          <w:rFonts w:eastAsia="Times New Roman" w:cs="Arial"/>
          <w:snapToGrid w:val="0"/>
          <w:szCs w:val="24"/>
        </w:rPr>
        <w:t>, and for children up to 24 months of age who remain vulnerable to severe RSV disease through their second RSV season.</w:t>
      </w:r>
      <w:r w:rsidR="00577C66">
        <w:rPr>
          <w:rFonts w:eastAsia="Times New Roman" w:cs="Arial"/>
          <w:snapToGrid w:val="0"/>
          <w:szCs w:val="24"/>
        </w:rPr>
        <w:t xml:space="preserve"> </w:t>
      </w:r>
      <w:r w:rsidRPr="00CC3DCE">
        <w:rPr>
          <w:rFonts w:eastAsia="Times New Roman" w:cs="Arial"/>
          <w:snapToGrid w:val="0"/>
          <w:szCs w:val="24"/>
        </w:rPr>
        <w:t xml:space="preserve">The PBAC considered that </w:t>
      </w:r>
      <w:r w:rsidR="00431BE5" w:rsidRPr="00CC3DCE">
        <w:rPr>
          <w:rFonts w:eastAsia="Times New Roman" w:cs="Arial"/>
          <w:snapToGrid w:val="0"/>
          <w:szCs w:val="24"/>
        </w:rPr>
        <w:t xml:space="preserve">no </w:t>
      </w:r>
      <w:r w:rsidR="0096210C" w:rsidRPr="00CC3DCE">
        <w:rPr>
          <w:rFonts w:eastAsia="Times New Roman" w:cs="Arial"/>
          <w:snapToGrid w:val="0"/>
          <w:szCs w:val="24"/>
        </w:rPr>
        <w:t>immunisation</w:t>
      </w:r>
      <w:r w:rsidRPr="00CC3DCE">
        <w:rPr>
          <w:rFonts w:eastAsia="Times New Roman" w:cs="Arial"/>
          <w:snapToGrid w:val="0"/>
          <w:szCs w:val="24"/>
        </w:rPr>
        <w:t xml:space="preserve"> was the appropriate comparator for the second season.</w:t>
      </w:r>
      <w:r w:rsidR="00577C66">
        <w:rPr>
          <w:rFonts w:eastAsia="Times New Roman" w:cs="Arial"/>
          <w:snapToGrid w:val="0"/>
          <w:szCs w:val="24"/>
        </w:rPr>
        <w:t xml:space="preserve"> </w:t>
      </w:r>
      <w:r w:rsidRPr="00CC3DCE">
        <w:rPr>
          <w:rFonts w:eastAsia="Times New Roman" w:cs="Arial"/>
          <w:snapToGrid w:val="0"/>
          <w:szCs w:val="24"/>
        </w:rPr>
        <w:t xml:space="preserve">The PBAC advised that the </w:t>
      </w:r>
      <w:r w:rsidRPr="00CC3DCE">
        <w:rPr>
          <w:rFonts w:eastAsia="Times New Roman" w:cs="Arial"/>
          <w:snapToGrid w:val="0"/>
          <w:szCs w:val="24"/>
        </w:rPr>
        <w:lastRenderedPageBreak/>
        <w:t>cost-effective price would need to reflect the value of nirsevimab in each group, and noted that the cost-effective price would be lower than the price requested by the sponsor.</w:t>
      </w:r>
      <w:r w:rsidR="00577C66">
        <w:rPr>
          <w:rFonts w:eastAsia="Times New Roman" w:cs="Arial"/>
          <w:snapToGrid w:val="0"/>
          <w:szCs w:val="24"/>
        </w:rPr>
        <w:t xml:space="preserve"> </w:t>
      </w:r>
      <w:r w:rsidRPr="00CC3DCE">
        <w:rPr>
          <w:rFonts w:eastAsia="Times New Roman" w:cs="Arial"/>
          <w:snapToGrid w:val="0"/>
          <w:szCs w:val="24"/>
        </w:rPr>
        <w:t xml:space="preserve">The PBAC noted </w:t>
      </w:r>
      <w:r w:rsidR="00A27468" w:rsidRPr="00CC3DCE">
        <w:rPr>
          <w:rFonts w:eastAsia="Times New Roman" w:cs="Arial"/>
          <w:snapToGrid w:val="0"/>
          <w:szCs w:val="24"/>
        </w:rPr>
        <w:t>the</w:t>
      </w:r>
      <w:r w:rsidRPr="00CC3DCE">
        <w:rPr>
          <w:rFonts w:eastAsia="Times New Roman" w:cs="Arial"/>
          <w:snapToGrid w:val="0"/>
          <w:szCs w:val="24"/>
        </w:rPr>
        <w:t xml:space="preserve"> </w:t>
      </w:r>
      <w:r w:rsidR="00A27468" w:rsidRPr="00CC3DCE">
        <w:rPr>
          <w:rFonts w:eastAsia="Times New Roman" w:cs="Arial"/>
          <w:snapToGrid w:val="0"/>
          <w:szCs w:val="24"/>
        </w:rPr>
        <w:t xml:space="preserve">high </w:t>
      </w:r>
      <w:r w:rsidRPr="00CC3DCE">
        <w:rPr>
          <w:rFonts w:eastAsia="Times New Roman" w:cs="Arial"/>
          <w:snapToGrid w:val="0"/>
          <w:szCs w:val="24"/>
        </w:rPr>
        <w:t>cost to Government</w:t>
      </w:r>
      <w:r w:rsidR="00A27468" w:rsidRPr="00CC3DCE">
        <w:rPr>
          <w:rFonts w:eastAsia="Times New Roman" w:cs="Arial"/>
          <w:snapToGrid w:val="0"/>
          <w:szCs w:val="24"/>
        </w:rPr>
        <w:t xml:space="preserve"> predicted by the resubmission</w:t>
      </w:r>
      <w:r w:rsidRPr="00CC3DCE">
        <w:rPr>
          <w:rFonts w:eastAsia="Times New Roman" w:cs="Arial"/>
          <w:snapToGrid w:val="0"/>
          <w:szCs w:val="24"/>
        </w:rPr>
        <w:t>.</w:t>
      </w:r>
      <w:r w:rsidR="00501705" w:rsidRPr="00CC3DCE">
        <w:rPr>
          <w:rFonts w:eastAsia="Times New Roman" w:cs="Arial"/>
          <w:snapToGrid w:val="0"/>
          <w:szCs w:val="24"/>
        </w:rPr>
        <w:t xml:space="preserve"> </w:t>
      </w:r>
      <w:r w:rsidR="007C7D26" w:rsidRPr="00CC3DCE">
        <w:t>The PBAC advised that further information was required to support consideration of the proposed NIP listing of nirsevimab, including further input from the sponsor, and the Department.</w:t>
      </w:r>
    </w:p>
    <w:bookmarkEnd w:id="159"/>
    <w:p w14:paraId="430A838D" w14:textId="05660DFA" w:rsidR="00BE7524" w:rsidRPr="00CC3DCE" w:rsidRDefault="00BE7524">
      <w:pPr>
        <w:pStyle w:val="3-BodyText"/>
      </w:pPr>
      <w:r w:rsidRPr="00CC3DCE">
        <w:t xml:space="preserve">The PBAC noted that a pathway for </w:t>
      </w:r>
      <w:r w:rsidR="000B4814" w:rsidRPr="00CC3DCE">
        <w:t xml:space="preserve">the </w:t>
      </w:r>
      <w:r w:rsidRPr="00CC3DCE">
        <w:t>listing of passive immunisation strategies on the NIP would need to be established before the PBAC could recommend nirsevimab.</w:t>
      </w:r>
      <w:r w:rsidR="00F6035A" w:rsidRPr="00CC3DCE">
        <w:t xml:space="preserve"> </w:t>
      </w:r>
      <w:r w:rsidR="00F6035A" w:rsidRPr="00CC3DCE">
        <w:rPr>
          <w:rFonts w:eastAsia="Times New Roman" w:cs="Arial"/>
          <w:snapToGrid w:val="0"/>
          <w:szCs w:val="24"/>
        </w:rPr>
        <w:t xml:space="preserve">The PBAC </w:t>
      </w:r>
      <w:r w:rsidR="007B23E5" w:rsidRPr="00CC3DCE">
        <w:rPr>
          <w:rFonts w:eastAsia="Times New Roman" w:cs="Arial"/>
          <w:snapToGrid w:val="0"/>
          <w:szCs w:val="24"/>
        </w:rPr>
        <w:t>accepted</w:t>
      </w:r>
      <w:r w:rsidR="00F6035A" w:rsidRPr="00CC3DCE">
        <w:rPr>
          <w:rFonts w:eastAsia="Times New Roman" w:cs="Arial"/>
          <w:snapToGrid w:val="0"/>
          <w:szCs w:val="24"/>
        </w:rPr>
        <w:t xml:space="preserve"> that use of nirsevimab as an immunisation against disease, would be consistent with the goals of the NIP.</w:t>
      </w:r>
      <w:r w:rsidR="00577C66">
        <w:rPr>
          <w:rFonts w:eastAsia="Times New Roman" w:cs="Arial"/>
          <w:snapToGrid w:val="0"/>
          <w:szCs w:val="24"/>
        </w:rPr>
        <w:t xml:space="preserve"> </w:t>
      </w:r>
    </w:p>
    <w:p w14:paraId="27C0F501" w14:textId="558488CD" w:rsidR="00E03300" w:rsidRPr="00EC57FB" w:rsidRDefault="00E03300" w:rsidP="00DC4191">
      <w:pPr>
        <w:pStyle w:val="3-BodyText"/>
        <w:widowControl w:val="0"/>
        <w:numPr>
          <w:ilvl w:val="1"/>
          <w:numId w:val="1"/>
        </w:numPr>
        <w:rPr>
          <w:rFonts w:ascii="Calibri" w:hAnsi="Calibri"/>
          <w:i/>
          <w:iCs/>
        </w:rPr>
      </w:pPr>
      <w:r w:rsidRPr="00EC57FB">
        <w:rPr>
          <w:snapToGrid w:val="0"/>
        </w:rPr>
        <w:t xml:space="preserve">The PBAC noted that a number of RSV vaccines and monoclonal antibodies are in development globally for prevention of RSV disease, and the clinical algorithm is changing following TGA registration and market launch of the first wave of these products in Australia, including RSVpreF </w:t>
      </w:r>
      <w:r w:rsidR="00C16411" w:rsidRPr="00EC57FB">
        <w:rPr>
          <w:snapToGrid w:val="0"/>
        </w:rPr>
        <w:t xml:space="preserve">for maternal vaccination </w:t>
      </w:r>
      <w:r w:rsidRPr="00EC57FB">
        <w:rPr>
          <w:snapToGrid w:val="0"/>
        </w:rPr>
        <w:t>which became available on the NIP in February 2025.</w:t>
      </w:r>
      <w:r w:rsidR="00577C66">
        <w:rPr>
          <w:snapToGrid w:val="0"/>
        </w:rPr>
        <w:t xml:space="preserve"> </w:t>
      </w:r>
      <w:r w:rsidRPr="00EC57FB">
        <w:rPr>
          <w:rFonts w:eastAsia="Times New Roman" w:cs="Arial"/>
          <w:snapToGrid w:val="0"/>
          <w:szCs w:val="24"/>
        </w:rPr>
        <w:t>The PBAC noted that arrangements are in place for provision of nirsevimab free of charge, through state and territory arrangements, although precise eligibility criteria vary by jurisdiction.</w:t>
      </w:r>
      <w:r w:rsidR="00577C66">
        <w:rPr>
          <w:snapToGrid w:val="0"/>
        </w:rPr>
        <w:t xml:space="preserve"> </w:t>
      </w:r>
      <w:r w:rsidR="00BE7524" w:rsidRPr="00EC57FB">
        <w:t>The PBAC considered that the proposed NIP listing</w:t>
      </w:r>
      <w:r w:rsidR="007B23E5" w:rsidRPr="00EC57FB">
        <w:t>,</w:t>
      </w:r>
      <w:r w:rsidR="00BE7524" w:rsidRPr="00EC57FB">
        <w:t xml:space="preserve"> which would provide funding under a national program, would be preferable to </w:t>
      </w:r>
      <w:r w:rsidR="00445709" w:rsidRPr="00EC57FB">
        <w:t xml:space="preserve">different </w:t>
      </w:r>
      <w:r w:rsidR="00BE7524" w:rsidRPr="00EC57FB">
        <w:t>arrangements across the states and territories.</w:t>
      </w:r>
    </w:p>
    <w:p w14:paraId="581D2BF1" w14:textId="6A8AB8A4" w:rsidR="00ED6D10" w:rsidRPr="00EC57FB" w:rsidRDefault="00E03300" w:rsidP="00DC4191">
      <w:pPr>
        <w:pStyle w:val="3-BodyText"/>
        <w:numPr>
          <w:ilvl w:val="1"/>
          <w:numId w:val="1"/>
        </w:numPr>
        <w:rPr>
          <w:iCs/>
        </w:rPr>
      </w:pPr>
      <w:r w:rsidRPr="00EC57FB">
        <w:t xml:space="preserve">The PBAC noted that nirsevimab is a </w:t>
      </w:r>
      <w:r w:rsidRPr="00EC57FB">
        <w:rPr>
          <w:iCs/>
        </w:rPr>
        <w:t xml:space="preserve">recombinant human IgG1 kappa monoclonal antibody </w:t>
      </w:r>
      <w:r w:rsidRPr="00EC57FB">
        <w:t>that binds to the prefusion conformation of the RSV F protein to block viral entry into the host cell</w:t>
      </w:r>
      <w:r w:rsidRPr="00EC57FB">
        <w:rPr>
          <w:iCs/>
        </w:rPr>
        <w:t>.</w:t>
      </w:r>
      <w:r w:rsidRPr="00EC57FB">
        <w:t xml:space="preserve"> Nirsevimab provides protection for 5 months via passive immunisation of the infant or young child.</w:t>
      </w:r>
      <w:r w:rsidR="00577C66">
        <w:t xml:space="preserve"> </w:t>
      </w:r>
    </w:p>
    <w:p w14:paraId="61EC2867" w14:textId="6299BE05" w:rsidR="00DE3504" w:rsidRPr="00EC57FB" w:rsidRDefault="00ED6D10" w:rsidP="00013441">
      <w:pPr>
        <w:widowControl w:val="0"/>
        <w:numPr>
          <w:ilvl w:val="1"/>
          <w:numId w:val="1"/>
        </w:numPr>
        <w:spacing w:after="120"/>
        <w:rPr>
          <w:iCs/>
        </w:rPr>
      </w:pPr>
      <w:r w:rsidRPr="00EC57FB">
        <w:rPr>
          <w:bCs/>
        </w:rPr>
        <w:t>The PBAC noted that some infants are at an increased risk of severe RSV complications, including First Nations infants, infants with weakened immune systems, premature babies, and those with chronic lung or heart conditions.</w:t>
      </w:r>
      <w:r w:rsidRPr="00EC57FB">
        <w:t xml:space="preserve"> While some high-risk pregnancies and high-risk infants can be identified before birth, the majority of risk factors for RSV-related disease cannot be identified until after birth.</w:t>
      </w:r>
      <w:r w:rsidR="00577C66">
        <w:t xml:space="preserve"> </w:t>
      </w:r>
    </w:p>
    <w:p w14:paraId="26DB6092" w14:textId="068D430D" w:rsidR="00CF1D62" w:rsidRPr="00EC57FB" w:rsidRDefault="00CF1D62" w:rsidP="00013441">
      <w:pPr>
        <w:widowControl w:val="0"/>
        <w:numPr>
          <w:ilvl w:val="1"/>
          <w:numId w:val="1"/>
        </w:numPr>
        <w:spacing w:after="120"/>
        <w:rPr>
          <w:iCs/>
        </w:rPr>
      </w:pPr>
      <w:r w:rsidRPr="00EC57FB">
        <w:t xml:space="preserve">The PBAC noted that </w:t>
      </w:r>
      <w:r w:rsidRPr="00EC57FB">
        <w:rPr>
          <w:iCs/>
        </w:rPr>
        <w:t>the timing of RSV outbreaks varies with the climate across different regions of Australia and that</w:t>
      </w:r>
      <w:r w:rsidRPr="00EC57FB">
        <w:t xml:space="preserve"> to maximise the effectiveness of nirsevimab, the timing of administration should be targeted to cover the majority of the RSV season in temperate regions, or the period of greatest risk in tropical regions noting that the risk of RSV can persist year-round in the tropical and subtropical regions.</w:t>
      </w:r>
      <w:r w:rsidR="00577C66">
        <w:t xml:space="preserve"> </w:t>
      </w:r>
      <w:r w:rsidRPr="00EC57FB">
        <w:t>In temperate regions, nirsevimab should be administered at birth for infants born in the RSV season, and prior to the beginning of the RSV season for infants born before the start of the season.</w:t>
      </w:r>
      <w:r w:rsidR="00577C66">
        <w:t xml:space="preserve"> </w:t>
      </w:r>
      <w:r w:rsidRPr="00EC57FB">
        <w:t>Given the relatively short duration of protection of nirsevimab (5</w:t>
      </w:r>
      <w:r w:rsidR="007F0C14">
        <w:t> </w:t>
      </w:r>
      <w:r w:rsidRPr="00EC57FB">
        <w:t xml:space="preserve">months), the use of nirsevimab provides greater protection in temperate regions, in terms of the proportion of RSV cases prevented, compared with its use in tropical regions where the risk of RSV can persist year-round. </w:t>
      </w:r>
      <w:r w:rsidRPr="00EC57FB">
        <w:rPr>
          <w:color w:val="000000" w:themeColor="text1"/>
        </w:rPr>
        <w:t xml:space="preserve">The nirsevimab economic model contained two populations based on their climate, either tropical or temperate, to permit the simulation of different timing and duration of the RSV season. </w:t>
      </w:r>
      <w:r w:rsidRPr="00EC57FB">
        <w:t xml:space="preserve">The </w:t>
      </w:r>
      <w:r w:rsidRPr="00EC57FB">
        <w:lastRenderedPageBreak/>
        <w:t xml:space="preserve">resubmission assumed that the use of nirsevimab at the beginning of the season in temperate climates would protect against </w:t>
      </w:r>
      <w:r w:rsidRPr="00CA2190">
        <w:t>almost 90% of the yearly cases of RSV. In tropical climates, where the RSV season is more dispersed, it was assumed that nirsevimab administered at the beginning of the season provided protection against almost 80% of all yearly cases of RSV.</w:t>
      </w:r>
      <w:r w:rsidR="00577C66" w:rsidRPr="00CA2190">
        <w:t xml:space="preserve"> </w:t>
      </w:r>
      <w:r w:rsidRPr="00CA2190">
        <w:t>However, this would require the provision of accurate advice about the optimal timing of</w:t>
      </w:r>
      <w:r w:rsidRPr="00EC57FB">
        <w:t xml:space="preserve"> nirsevimab administration for different jurisdictions, and for this advice to be precisely followed.</w:t>
      </w:r>
      <w:r w:rsidR="00577C66">
        <w:t xml:space="preserve"> </w:t>
      </w:r>
      <w:r w:rsidRPr="00EC57FB">
        <w:t>In comparison, RSVpreF maternal vaccine is accessible via the NIP as a year-round program and may be administered during routine antenatal care (between 28 to 36 weeks gestation).</w:t>
      </w:r>
      <w:r w:rsidR="00577C66">
        <w:t xml:space="preserve"> </w:t>
      </w:r>
    </w:p>
    <w:p w14:paraId="533E9632" w14:textId="202C4F09" w:rsidR="00720B37" w:rsidRPr="00EC57FB" w:rsidRDefault="00720B37" w:rsidP="00013441">
      <w:pPr>
        <w:widowControl w:val="0"/>
        <w:numPr>
          <w:ilvl w:val="1"/>
          <w:numId w:val="1"/>
        </w:numPr>
        <w:spacing w:after="120"/>
        <w:rPr>
          <w:rFonts w:asciiTheme="minorHAnsi" w:hAnsiTheme="minorHAnsi"/>
          <w:bCs/>
        </w:rPr>
      </w:pPr>
      <w:r w:rsidRPr="00EC57FB">
        <w:t xml:space="preserve">In July 2024, the PBAC considered there was a high clinical need for vaccines, or other interventions such as nirsevimab, to reduce the risk of RSV, noting that RSV is a common respiratory infection and although symptoms are usually mild, some children develop severe disease which poses a significant risk, especially in infants aged up to six months. </w:t>
      </w:r>
      <w:r w:rsidR="009D3F20" w:rsidRPr="00EC57FB">
        <w:t>At the May 2025 meeting, the PBAC considered t</w:t>
      </w:r>
      <w:r w:rsidRPr="00EC57FB">
        <w:t xml:space="preserve">his need has been largely addressed by the implementation of </w:t>
      </w:r>
      <w:r w:rsidR="009D3F20" w:rsidRPr="00EC57FB">
        <w:t xml:space="preserve">a maternal </w:t>
      </w:r>
      <w:r w:rsidRPr="00EC57FB">
        <w:t xml:space="preserve">RSVpreF </w:t>
      </w:r>
      <w:r w:rsidR="009D3F20" w:rsidRPr="00EC57FB">
        <w:t>vaccination program through</w:t>
      </w:r>
      <w:r w:rsidRPr="00EC57FB">
        <w:t xml:space="preserve"> the NIP, however the PBAC considered that</w:t>
      </w:r>
      <w:r w:rsidRPr="00EC57FB">
        <w:rPr>
          <w:snapToGrid w:val="0"/>
        </w:rPr>
        <w:t xml:space="preserve"> in some infants, the use of nirsevimab would provide additional protection that could not be addressed by RSVpreF.</w:t>
      </w:r>
      <w:r w:rsidR="00577C66">
        <w:rPr>
          <w:snapToGrid w:val="0"/>
        </w:rPr>
        <w:t xml:space="preserve"> </w:t>
      </w:r>
      <w:r w:rsidRPr="00EC57FB">
        <w:t>The PBAC noted the proposed listing for nirsevimab was supported by the consumer comments received for this resubmission.</w:t>
      </w:r>
    </w:p>
    <w:p w14:paraId="7BE87625" w14:textId="77777777" w:rsidR="00EB6763" w:rsidRPr="00EC57FB" w:rsidRDefault="00EB6763" w:rsidP="00013441">
      <w:pPr>
        <w:widowControl w:val="0"/>
        <w:numPr>
          <w:ilvl w:val="1"/>
          <w:numId w:val="1"/>
        </w:numPr>
        <w:spacing w:after="120"/>
        <w:rPr>
          <w:iCs/>
        </w:rPr>
      </w:pPr>
      <w:r w:rsidRPr="00EC57FB">
        <w:t>The PBAC noted and welcomed the advice from the ATAGI to assist with PBAC consideration of this submission.</w:t>
      </w:r>
    </w:p>
    <w:p w14:paraId="645922CD" w14:textId="5B008E22" w:rsidR="009D3F20" w:rsidRPr="00EC57FB" w:rsidRDefault="009D3F20" w:rsidP="00013441">
      <w:pPr>
        <w:widowControl w:val="0"/>
        <w:numPr>
          <w:ilvl w:val="1"/>
          <w:numId w:val="1"/>
        </w:numPr>
        <w:spacing w:after="120"/>
      </w:pPr>
      <w:r w:rsidRPr="00EC57FB">
        <w:rPr>
          <w:snapToGrid w:val="0"/>
        </w:rPr>
        <w:t xml:space="preserve">The PBAC accepted the proposed clinical place for nirsevimab for </w:t>
      </w:r>
      <w:r w:rsidRPr="00EC57FB">
        <w:t>neonates and infants born during or entering their first RSV season; and children up to 24 months of age who remain vulnerable to severe RSV disease through their second RSV season</w:t>
      </w:r>
      <w:r w:rsidRPr="00EC57FB">
        <w:rPr>
          <w:snapToGrid w:val="0"/>
        </w:rPr>
        <w:t>.</w:t>
      </w:r>
      <w:r w:rsidR="00577C66">
        <w:rPr>
          <w:snapToGrid w:val="0"/>
        </w:rPr>
        <w:t xml:space="preserve"> </w:t>
      </w:r>
      <w:r w:rsidR="00C53087" w:rsidRPr="00EC57FB">
        <w:rPr>
          <w:rFonts w:cstheme="minorHAnsi"/>
          <w:bCs/>
        </w:rPr>
        <w:t>The PBAC considered that the uptake rates remained uncertain but that high uptake of either maternal RSVpreF or nirsevimab in the first 8 months of life should be the goal for a national program, in order to maximise clinical benefits for infants.</w:t>
      </w:r>
      <w:r w:rsidR="00577C66">
        <w:rPr>
          <w:rFonts w:cstheme="minorHAnsi"/>
          <w:bCs/>
        </w:rPr>
        <w:t xml:space="preserve"> </w:t>
      </w:r>
      <w:r w:rsidRPr="00EC57FB">
        <w:t>The PBAC noted ATAGI’s advice that uptake of nirsevimab in states that have implemented programs has been high, although estimates have not yet been published.</w:t>
      </w:r>
      <w:r w:rsidR="00577C66">
        <w:t xml:space="preserve"> </w:t>
      </w:r>
      <w:r w:rsidRPr="00EC57FB">
        <w:t>The ATAGI advice stated that the goal will be to encourage strong RSVpreF vaccine uptake, and to offer nirsevimab to infants whose mothers do not receive the vaccine (or who meet other eligibility criteria).</w:t>
      </w:r>
      <w:r w:rsidR="00577C66">
        <w:t xml:space="preserve"> </w:t>
      </w:r>
      <w:r w:rsidRPr="00EC57FB">
        <w:t>The PBAC considered it is currently unclear whether a pattern of provider or parental choice will emerge, and the relative uptake of nirsevimab vs maternal RSVpreF is therefore uncertain, noting that for the majority of infants only one approach will be used.</w:t>
      </w:r>
    </w:p>
    <w:p w14:paraId="6FBA529D" w14:textId="30DB0C5B" w:rsidR="00BE7524" w:rsidRPr="00EC57FB" w:rsidRDefault="00BE7524" w:rsidP="00013441">
      <w:pPr>
        <w:pStyle w:val="3-BodyText"/>
      </w:pPr>
      <w:bookmarkStart w:id="160" w:name="_Ref200114216"/>
      <w:r w:rsidRPr="00EC57FB">
        <w:t xml:space="preserve">The PBAC </w:t>
      </w:r>
      <w:r w:rsidR="002E05B5" w:rsidRPr="00EC57FB">
        <w:t xml:space="preserve">provided </w:t>
      </w:r>
      <w:r w:rsidRPr="00EC57FB">
        <w:t xml:space="preserve">the following advice in regard to the proposed </w:t>
      </w:r>
      <w:r w:rsidR="00E66EA6" w:rsidRPr="00EC57FB">
        <w:t>NIP listing</w:t>
      </w:r>
      <w:r w:rsidRPr="00EC57FB">
        <w:t>:</w:t>
      </w:r>
      <w:bookmarkEnd w:id="160"/>
    </w:p>
    <w:p w14:paraId="224515AE" w14:textId="4A90D269" w:rsidR="009B5821" w:rsidRPr="00EC57FB" w:rsidRDefault="003B0BE2" w:rsidP="00013441">
      <w:pPr>
        <w:pStyle w:val="ListParagraph"/>
        <w:numPr>
          <w:ilvl w:val="0"/>
          <w:numId w:val="59"/>
        </w:numPr>
        <w:ind w:left="1134"/>
        <w:jc w:val="both"/>
      </w:pPr>
      <w:r w:rsidRPr="00EC57FB">
        <w:t>It</w:t>
      </w:r>
      <w:r w:rsidR="009B5821" w:rsidRPr="00EC57FB">
        <w:t xml:space="preserve"> was of a mind to support NIP listing for nirsevimab with </w:t>
      </w:r>
      <w:r w:rsidR="00E66EA6" w:rsidRPr="00EC57FB">
        <w:t xml:space="preserve">eligibility criteria </w:t>
      </w:r>
      <w:r w:rsidR="009B5821" w:rsidRPr="00EC57FB">
        <w:t>that are aligned with the AIH</w:t>
      </w:r>
      <w:r w:rsidR="005A7656" w:rsidRPr="00EC57FB">
        <w:t xml:space="preserve">, </w:t>
      </w:r>
      <w:r w:rsidR="007A5761" w:rsidRPr="00EC57FB">
        <w:t>including</w:t>
      </w:r>
      <w:r w:rsidR="00C45E0B" w:rsidRPr="00EC57FB">
        <w:t xml:space="preserve"> populations</w:t>
      </w:r>
      <w:r w:rsidR="007929DC" w:rsidRPr="00EC57FB">
        <w:t xml:space="preserve"> where ATAGI has recognised an important clinical need</w:t>
      </w:r>
      <w:r w:rsidR="007A5761" w:rsidRPr="00EC57FB">
        <w:t xml:space="preserve"> but there is</w:t>
      </w:r>
      <w:r w:rsidR="007929DC" w:rsidRPr="00EC57FB">
        <w:t xml:space="preserve"> limited evidence of comparative effectiveness</w:t>
      </w:r>
      <w:r w:rsidR="00652E29" w:rsidRPr="00EC57FB">
        <w:t>,</w:t>
      </w:r>
      <w:r w:rsidR="007929DC" w:rsidRPr="00EC57FB">
        <w:t xml:space="preserve"> not</w:t>
      </w:r>
      <w:r w:rsidR="00652E29" w:rsidRPr="00EC57FB">
        <w:t>ing</w:t>
      </w:r>
      <w:r w:rsidR="007929DC" w:rsidRPr="00EC57FB">
        <w:t xml:space="preserve"> these populations would constitute a small proportion of nirsevimab use.</w:t>
      </w:r>
    </w:p>
    <w:p w14:paraId="1BB9FAA0" w14:textId="2B9FDE8D" w:rsidR="00BE7524" w:rsidRPr="00EC57FB" w:rsidRDefault="0078133A" w:rsidP="00013441">
      <w:pPr>
        <w:pStyle w:val="ListParagraph"/>
        <w:numPr>
          <w:ilvl w:val="0"/>
          <w:numId w:val="59"/>
        </w:numPr>
        <w:ind w:left="1134"/>
        <w:jc w:val="both"/>
      </w:pPr>
      <w:r w:rsidRPr="00EC57FB">
        <w:lastRenderedPageBreak/>
        <w:t>T</w:t>
      </w:r>
      <w:r w:rsidR="00BE7524" w:rsidRPr="00EC57FB">
        <w:t xml:space="preserve">he </w:t>
      </w:r>
      <w:r w:rsidRPr="00EC57FB">
        <w:t xml:space="preserve">resubmission’s request </w:t>
      </w:r>
      <w:r w:rsidR="00BE7524" w:rsidRPr="00EC57FB">
        <w:t xml:space="preserve">for infants being exposed to their first </w:t>
      </w:r>
      <w:r w:rsidRPr="00EC57FB">
        <w:t xml:space="preserve">RSV </w:t>
      </w:r>
      <w:r w:rsidR="00BE7524" w:rsidRPr="00EC57FB">
        <w:t xml:space="preserve">season was not limited by the infant’s age in the proposed </w:t>
      </w:r>
      <w:r w:rsidR="00E66EA6" w:rsidRPr="00EC57FB">
        <w:t>listing</w:t>
      </w:r>
      <w:r w:rsidR="00BE7524" w:rsidRPr="00EC57FB">
        <w:t xml:space="preserve">. Although this is consistent with the approved PI, the AIH recommends use </w:t>
      </w:r>
      <w:r w:rsidRPr="00EC57FB">
        <w:t xml:space="preserve">of nirsevimab up </w:t>
      </w:r>
      <w:r w:rsidR="00BE7524" w:rsidRPr="00EC57FB">
        <w:t xml:space="preserve">to a maximum of 8 months of age (unless the infant has a risk condition). The </w:t>
      </w:r>
      <w:r w:rsidRPr="00EC57FB">
        <w:t>PBAC</w:t>
      </w:r>
      <w:r w:rsidR="00BE7524" w:rsidRPr="00EC57FB">
        <w:t xml:space="preserve"> advised that it would be appropriate to add the 8-month age limit to the proposed NIP listing for infants born during or entering their first RSV season</w:t>
      </w:r>
      <w:r w:rsidR="00890462" w:rsidRPr="00EC57FB">
        <w:t>, and update the financial estimates accordingly</w:t>
      </w:r>
      <w:r w:rsidR="00BE7524" w:rsidRPr="00EC57FB">
        <w:t xml:space="preserve">. </w:t>
      </w:r>
    </w:p>
    <w:p w14:paraId="797B84CB" w14:textId="40578EA4" w:rsidR="00BE7524" w:rsidRPr="00EC57FB" w:rsidRDefault="00BE7524" w:rsidP="00013441">
      <w:pPr>
        <w:pStyle w:val="ListParagraph"/>
        <w:numPr>
          <w:ilvl w:val="0"/>
          <w:numId w:val="59"/>
        </w:numPr>
        <w:ind w:left="1134"/>
        <w:jc w:val="both"/>
      </w:pPr>
      <w:r w:rsidRPr="00EC57FB">
        <w:t>The resubmission did not request catch-up doses for the proposed NIP schedule.</w:t>
      </w:r>
      <w:r w:rsidR="00577C66">
        <w:t xml:space="preserve"> </w:t>
      </w:r>
      <w:r w:rsidR="009742E9" w:rsidRPr="00EC57FB">
        <w:t xml:space="preserve">The PBAC considered this </w:t>
      </w:r>
      <w:r w:rsidRPr="00EC57FB">
        <w:t>may be appropriate, although may require further consideration depending on timing of implementation</w:t>
      </w:r>
      <w:r w:rsidR="009742E9" w:rsidRPr="00EC57FB">
        <w:t xml:space="preserve"> on the NIP</w:t>
      </w:r>
      <w:r w:rsidRPr="00EC57FB">
        <w:t xml:space="preserve">. </w:t>
      </w:r>
      <w:r w:rsidR="009742E9" w:rsidRPr="00EC57FB">
        <w:t>C</w:t>
      </w:r>
      <w:r w:rsidRPr="00EC57FB">
        <w:t xml:space="preserve">atch-up doses </w:t>
      </w:r>
      <w:r w:rsidR="009742E9" w:rsidRPr="00EC57FB">
        <w:t>are</w:t>
      </w:r>
      <w:r w:rsidRPr="00EC57FB">
        <w:t xml:space="preserve"> available in some jurisdictions</w:t>
      </w:r>
      <w:r w:rsidR="009742E9" w:rsidRPr="00EC57FB">
        <w:t xml:space="preserve"> under current arrangements</w:t>
      </w:r>
      <w:r w:rsidRPr="00EC57FB">
        <w:t>.</w:t>
      </w:r>
      <w:r w:rsidR="00577C66">
        <w:t xml:space="preserve"> </w:t>
      </w:r>
      <w:r w:rsidR="00890462" w:rsidRPr="00EC57FB">
        <w:t>The sponsor would need to make a request for catch-up doses if this is considered necessary in the future.</w:t>
      </w:r>
    </w:p>
    <w:p w14:paraId="415942C5" w14:textId="49EC863B" w:rsidR="00C53087" w:rsidRPr="00EC57FB" w:rsidRDefault="00C53087" w:rsidP="00013441">
      <w:pPr>
        <w:pStyle w:val="3-BodyText"/>
        <w:numPr>
          <w:ilvl w:val="1"/>
          <w:numId w:val="1"/>
        </w:numPr>
        <w:rPr>
          <w:iCs/>
        </w:rPr>
      </w:pPr>
      <w:r w:rsidRPr="00EC57FB">
        <w:rPr>
          <w:rFonts w:eastAsia="Times New Roman" w:cs="Arial"/>
          <w:snapToGrid w:val="0"/>
          <w:szCs w:val="24"/>
        </w:rPr>
        <w:t>The PBAC noted that RSVpreF maternal vaccination (Abrysvo®) was added to the NIP in February 2025, and considered this was the main comparator for nirsevimab for infants in their first RSV season, since both products protect infants against RSV.</w:t>
      </w:r>
      <w:r w:rsidR="00577C66">
        <w:rPr>
          <w:rFonts w:eastAsia="Times New Roman" w:cs="Arial"/>
          <w:snapToGrid w:val="0"/>
          <w:szCs w:val="24"/>
        </w:rPr>
        <w:t xml:space="preserve"> </w:t>
      </w:r>
      <w:r w:rsidRPr="00EC57FB">
        <w:rPr>
          <w:rFonts w:eastAsia="Times New Roman" w:cs="Arial"/>
          <w:snapToGrid w:val="0"/>
          <w:szCs w:val="24"/>
        </w:rPr>
        <w:t>The PBAC noted in some infants, the use of nirsevimab would provide additional protection that could not be addressed by RSVpreF maternal vaccine, for example for infants whose mother received the RSVpreF vaccine but were born within two weeks from vaccination, which would result in impaired protection from the vaccine.</w:t>
      </w:r>
      <w:r w:rsidR="00577C66">
        <w:rPr>
          <w:rFonts w:eastAsia="Times New Roman" w:cs="Arial"/>
          <w:snapToGrid w:val="0"/>
          <w:szCs w:val="24"/>
        </w:rPr>
        <w:t xml:space="preserve"> </w:t>
      </w:r>
      <w:r w:rsidRPr="00EC57FB">
        <w:t>The PBAC considered that for populations in which the infant’s mother received RSVpreF, the appropriate comparison would be nirsevimab + RSVpreF versus RSVpreF alone.</w:t>
      </w:r>
      <w:r w:rsidR="00577C66">
        <w:t xml:space="preserve"> </w:t>
      </w:r>
      <w:r w:rsidRPr="00EC57FB">
        <w:rPr>
          <w:rFonts w:eastAsia="Times New Roman" w:cs="Arial"/>
          <w:snapToGrid w:val="0"/>
          <w:szCs w:val="24"/>
        </w:rPr>
        <w:t xml:space="preserve">The PBAC considered that </w:t>
      </w:r>
      <w:r w:rsidR="00666F62" w:rsidRPr="00EC57FB">
        <w:rPr>
          <w:rFonts w:eastAsia="Times New Roman" w:cs="Arial"/>
          <w:snapToGrid w:val="0"/>
          <w:szCs w:val="24"/>
        </w:rPr>
        <w:t xml:space="preserve">no </w:t>
      </w:r>
      <w:r w:rsidR="0096210C" w:rsidRPr="00EC57FB">
        <w:rPr>
          <w:rFonts w:eastAsia="Times New Roman" w:cs="Arial"/>
          <w:snapToGrid w:val="0"/>
          <w:szCs w:val="24"/>
        </w:rPr>
        <w:t>immunisation</w:t>
      </w:r>
      <w:r w:rsidRPr="00EC57FB">
        <w:rPr>
          <w:rFonts w:eastAsia="Times New Roman" w:cs="Arial"/>
          <w:snapToGrid w:val="0"/>
          <w:szCs w:val="24"/>
        </w:rPr>
        <w:t xml:space="preserve"> was the appropriate comparator for the second season.</w:t>
      </w:r>
    </w:p>
    <w:p w14:paraId="2323EB44" w14:textId="69651EC8" w:rsidR="003A5F0D" w:rsidRPr="00EC57FB" w:rsidRDefault="00DD6EE2" w:rsidP="00013441">
      <w:pPr>
        <w:pStyle w:val="3-BodyText"/>
        <w:rPr>
          <w:rFonts w:ascii="Calibri" w:eastAsia="Times New Roman" w:hAnsi="Calibri" w:cs="Arial"/>
          <w:snapToGrid w:val="0"/>
          <w:szCs w:val="24"/>
        </w:rPr>
      </w:pPr>
      <w:r w:rsidRPr="00EC57FB">
        <w:rPr>
          <w:iCs/>
          <w:snapToGrid w:val="0"/>
        </w:rPr>
        <w:t>In regard to Season 1, t</w:t>
      </w:r>
      <w:r w:rsidR="003A5F0D" w:rsidRPr="00EC57FB">
        <w:rPr>
          <w:iCs/>
          <w:snapToGrid w:val="0"/>
        </w:rPr>
        <w:t>he</w:t>
      </w:r>
      <w:r w:rsidR="003A5F0D" w:rsidRPr="00EC57FB">
        <w:rPr>
          <w:snapToGrid w:val="0"/>
        </w:rPr>
        <w:t xml:space="preserve"> PBAC previously considered that a claim of superior comparative effectiveness was reasonable for nirsevimab </w:t>
      </w:r>
      <w:r w:rsidR="00CA5E19" w:rsidRPr="00EC57FB">
        <w:rPr>
          <w:snapToGrid w:val="0"/>
        </w:rPr>
        <w:t xml:space="preserve">versus </w:t>
      </w:r>
      <w:r w:rsidR="003A5F0D" w:rsidRPr="00EC57FB">
        <w:rPr>
          <w:snapToGrid w:val="0"/>
        </w:rPr>
        <w:t xml:space="preserve">no immunisation, as </w:t>
      </w:r>
      <w:r w:rsidR="003A5F0D" w:rsidRPr="00EC57FB">
        <w:rPr>
          <w:rFonts w:cstheme="minorHAnsi"/>
        </w:rPr>
        <w:t xml:space="preserve">supported by the relative risk </w:t>
      </w:r>
      <w:r w:rsidR="003A5F0D" w:rsidRPr="00EC57FB">
        <w:t xml:space="preserve">reduction in MA RSV LRTI in the MELODY and Phase IIb studies. </w:t>
      </w:r>
      <w:r w:rsidR="004F271E" w:rsidRPr="00EC57FB">
        <w:t>The PBAC noted that updated evidence from the MELODY trial indicated that the difference in the effectiveness of nirsevimab versus placebo beyond 150 days (5</w:t>
      </w:r>
      <w:r w:rsidR="00874A59">
        <w:t> </w:t>
      </w:r>
      <w:r w:rsidR="004F271E" w:rsidRPr="00EC57FB">
        <w:t>months) is no longer significant (</w:t>
      </w:r>
      <w:r w:rsidR="004F271E" w:rsidRPr="00EC57FB">
        <w:fldChar w:fldCharType="begin"/>
      </w:r>
      <w:r w:rsidR="004F271E" w:rsidRPr="00EC57FB">
        <w:instrText xml:space="preserve"> REF _Ref186917124 \h  \* MERGEFORMAT </w:instrText>
      </w:r>
      <w:r w:rsidR="004F271E" w:rsidRPr="00EC57FB">
        <w:fldChar w:fldCharType="separate"/>
      </w:r>
      <w:r w:rsidR="00502C25" w:rsidRPr="00EC57FB">
        <w:t xml:space="preserve">Table </w:t>
      </w:r>
      <w:r w:rsidR="00502C25">
        <w:t>12</w:t>
      </w:r>
      <w:r w:rsidR="004F271E" w:rsidRPr="00EC57FB">
        <w:fldChar w:fldCharType="end"/>
      </w:r>
      <w:r w:rsidR="004F271E" w:rsidRPr="00EC57FB">
        <w:t>). The resubmission, appropriately, made no claim of effectiveness of nirsevimab beyond 150 days.</w:t>
      </w:r>
      <w:r w:rsidR="00577C66">
        <w:t xml:space="preserve"> </w:t>
      </w:r>
      <w:r w:rsidR="003A5F0D" w:rsidRPr="00EC57FB">
        <w:t xml:space="preserve">The PBAC was </w:t>
      </w:r>
      <w:r w:rsidR="002C2045" w:rsidRPr="00EC57FB">
        <w:t xml:space="preserve">again </w:t>
      </w:r>
      <w:r w:rsidR="003A5F0D" w:rsidRPr="00EC57FB">
        <w:t>satisfied that the claim of non-inferior safety was reasonable based on the similar rates of AEs observed in the nirsevimab and placebo arms of both studies.</w:t>
      </w:r>
      <w:r w:rsidR="00577C66">
        <w:t xml:space="preserve"> </w:t>
      </w:r>
      <w:r w:rsidR="00E4263E" w:rsidRPr="00EC57FB">
        <w:t>T</w:t>
      </w:r>
      <w:r w:rsidR="00B40EC8" w:rsidRPr="00EC57FB">
        <w:rPr>
          <w:rFonts w:ascii="Calibri" w:eastAsia="Times New Roman" w:hAnsi="Calibri" w:cs="Arial"/>
          <w:snapToGrid w:val="0"/>
          <w:szCs w:val="24"/>
        </w:rPr>
        <w:t xml:space="preserve">he </w:t>
      </w:r>
      <w:r w:rsidR="00EB6763" w:rsidRPr="00EC57FB">
        <w:rPr>
          <w:rFonts w:ascii="Calibri" w:eastAsia="Times New Roman" w:hAnsi="Calibri" w:cs="Arial"/>
          <w:snapToGrid w:val="0"/>
          <w:szCs w:val="24"/>
        </w:rPr>
        <w:t xml:space="preserve">PBAC noted that the </w:t>
      </w:r>
      <w:r w:rsidR="00B40EC8" w:rsidRPr="00EC57FB">
        <w:rPr>
          <w:rFonts w:ascii="Calibri" w:eastAsia="Times New Roman" w:hAnsi="Calibri" w:cs="Arial"/>
          <w:snapToGrid w:val="0"/>
          <w:szCs w:val="24"/>
        </w:rPr>
        <w:t xml:space="preserve">resubmission </w:t>
      </w:r>
      <w:r w:rsidR="003A5F0D" w:rsidRPr="00EC57FB">
        <w:rPr>
          <w:rFonts w:ascii="Calibri" w:eastAsia="Times New Roman" w:hAnsi="Calibri" w:cs="Arial"/>
          <w:snapToGrid w:val="0"/>
          <w:szCs w:val="24"/>
        </w:rPr>
        <w:t xml:space="preserve">again </w:t>
      </w:r>
      <w:r w:rsidR="00B40EC8" w:rsidRPr="00EC57FB">
        <w:rPr>
          <w:rFonts w:ascii="Calibri" w:eastAsia="Times New Roman" w:hAnsi="Calibri" w:cs="Arial"/>
          <w:snapToGrid w:val="0"/>
          <w:szCs w:val="24"/>
        </w:rPr>
        <w:t xml:space="preserve">relied on a meta-analysis of the MELODY trial (which included infants with a gestational age ≥35 weeks) and the Phase 2b trial (which included infants with a gestational age between 29 and &lt;35 weeks). </w:t>
      </w:r>
      <w:r w:rsidR="003A5F0D" w:rsidRPr="00EC57FB">
        <w:rPr>
          <w:rFonts w:ascii="Calibri" w:eastAsia="Times New Roman" w:hAnsi="Calibri" w:cs="Arial"/>
          <w:snapToGrid w:val="0"/>
          <w:szCs w:val="24"/>
        </w:rPr>
        <w:t>Consistent with its previous advice, t</w:t>
      </w:r>
      <w:r w:rsidR="00B40EC8" w:rsidRPr="00EC57FB">
        <w:rPr>
          <w:rFonts w:ascii="Calibri" w:eastAsia="Times New Roman" w:hAnsi="Calibri" w:cs="Arial"/>
          <w:snapToGrid w:val="0"/>
          <w:szCs w:val="24"/>
        </w:rPr>
        <w:t xml:space="preserve">he </w:t>
      </w:r>
      <w:r w:rsidR="00EB6763" w:rsidRPr="00EC57FB">
        <w:rPr>
          <w:rFonts w:ascii="Calibri" w:eastAsia="Times New Roman" w:hAnsi="Calibri" w:cs="Arial"/>
          <w:snapToGrid w:val="0"/>
          <w:szCs w:val="24"/>
        </w:rPr>
        <w:t xml:space="preserve">PBAC </w:t>
      </w:r>
      <w:r w:rsidR="00B40EC8" w:rsidRPr="00EC57FB">
        <w:rPr>
          <w:rFonts w:ascii="Calibri" w:eastAsia="Times New Roman" w:hAnsi="Calibri" w:cs="Arial"/>
          <w:snapToGrid w:val="0"/>
          <w:szCs w:val="24"/>
        </w:rPr>
        <w:t xml:space="preserve">considered that the MELODY trial </w:t>
      </w:r>
      <w:r w:rsidR="00EB6763" w:rsidRPr="00EC57FB">
        <w:rPr>
          <w:rFonts w:ascii="Calibri" w:eastAsia="Times New Roman" w:hAnsi="Calibri" w:cs="Arial"/>
          <w:snapToGrid w:val="0"/>
          <w:szCs w:val="24"/>
        </w:rPr>
        <w:t>provided</w:t>
      </w:r>
      <w:r w:rsidR="00B40EC8" w:rsidRPr="00EC57FB">
        <w:rPr>
          <w:rFonts w:ascii="Calibri" w:eastAsia="Times New Roman" w:hAnsi="Calibri" w:cs="Arial"/>
          <w:snapToGrid w:val="0"/>
          <w:szCs w:val="24"/>
        </w:rPr>
        <w:t xml:space="preserve"> the most relevant and robust estimate</w:t>
      </w:r>
      <w:r w:rsidR="00EB6763" w:rsidRPr="00EC57FB">
        <w:rPr>
          <w:rFonts w:ascii="Calibri" w:eastAsia="Times New Roman" w:hAnsi="Calibri" w:cs="Arial"/>
          <w:snapToGrid w:val="0"/>
          <w:szCs w:val="24"/>
        </w:rPr>
        <w:t>s</w:t>
      </w:r>
      <w:r w:rsidR="00B40EC8" w:rsidRPr="00EC57FB">
        <w:rPr>
          <w:rFonts w:ascii="Calibri" w:eastAsia="Times New Roman" w:hAnsi="Calibri" w:cs="Arial"/>
          <w:snapToGrid w:val="0"/>
          <w:szCs w:val="24"/>
        </w:rPr>
        <w:t xml:space="preserve"> of efficacy of nirsevimab </w:t>
      </w:r>
      <w:r w:rsidR="0031682C" w:rsidRPr="00EC57FB">
        <w:rPr>
          <w:rFonts w:ascii="Calibri" w:eastAsia="Times New Roman" w:hAnsi="Calibri" w:cs="Arial"/>
          <w:snapToGrid w:val="0"/>
          <w:szCs w:val="24"/>
        </w:rPr>
        <w:t xml:space="preserve">compared with placebo </w:t>
      </w:r>
      <w:r w:rsidR="00B40EC8" w:rsidRPr="00EC57FB">
        <w:rPr>
          <w:rFonts w:ascii="Calibri" w:eastAsia="Times New Roman" w:hAnsi="Calibri" w:cs="Arial"/>
          <w:snapToGrid w:val="0"/>
          <w:szCs w:val="24"/>
        </w:rPr>
        <w:t>in Season 1</w:t>
      </w:r>
      <w:r w:rsidR="00CB3D92" w:rsidRPr="00EC57FB">
        <w:rPr>
          <w:rFonts w:ascii="Calibri" w:eastAsia="Times New Roman" w:hAnsi="Calibri" w:cs="Arial"/>
          <w:snapToGrid w:val="0"/>
          <w:szCs w:val="24"/>
        </w:rPr>
        <w:t>;</w:t>
      </w:r>
      <w:r w:rsidR="003A5F0D" w:rsidRPr="00EC57FB">
        <w:rPr>
          <w:rFonts w:ascii="Calibri" w:eastAsia="Times New Roman" w:hAnsi="Calibri" w:cs="Arial"/>
          <w:snapToGrid w:val="0"/>
          <w:szCs w:val="24"/>
        </w:rPr>
        <w:t xml:space="preserve"> updated data from the MELODY final analysis supported an efficacy estimate of 76.4% compared with 74.5% that was supported by the PBAC in July 2024.</w:t>
      </w:r>
      <w:r w:rsidR="00577C66">
        <w:rPr>
          <w:rFonts w:ascii="Calibri" w:eastAsia="Times New Roman" w:hAnsi="Calibri" w:cs="Arial"/>
          <w:snapToGrid w:val="0"/>
          <w:szCs w:val="24"/>
        </w:rPr>
        <w:t xml:space="preserve"> </w:t>
      </w:r>
      <w:r w:rsidR="00622482" w:rsidRPr="00EC57FB">
        <w:t xml:space="preserve">The PBAC considered it was reasonable to consider efficacy and safety in Population C(a) in </w:t>
      </w:r>
      <w:r w:rsidR="00622482" w:rsidRPr="00EC57FB">
        <w:lastRenderedPageBreak/>
        <w:fldChar w:fldCharType="begin"/>
      </w:r>
      <w:r w:rsidR="00622482" w:rsidRPr="00EC57FB">
        <w:instrText xml:space="preserve"> REF _Ref188054881 \h  \* MERGEFORMAT </w:instrText>
      </w:r>
      <w:r w:rsidR="00622482" w:rsidRPr="00EC57FB">
        <w:fldChar w:fldCharType="separate"/>
      </w:r>
      <w:r w:rsidR="00502C25" w:rsidRPr="00EC57FB">
        <w:t xml:space="preserve">Figure </w:t>
      </w:r>
      <w:r w:rsidR="00502C25">
        <w:t>1</w:t>
      </w:r>
      <w:r w:rsidR="00622482" w:rsidRPr="00EC57FB">
        <w:fldChar w:fldCharType="end"/>
      </w:r>
      <w:r w:rsidR="00622482" w:rsidRPr="00EC57FB">
        <w:t xml:space="preserve"> to be consistent with Population A in </w:t>
      </w:r>
      <w:r w:rsidR="00622482" w:rsidRPr="00EC57FB">
        <w:fldChar w:fldCharType="begin"/>
      </w:r>
      <w:r w:rsidR="00622482" w:rsidRPr="00EC57FB">
        <w:instrText xml:space="preserve"> REF _Ref188054881 \h  \* MERGEFORMAT </w:instrText>
      </w:r>
      <w:r w:rsidR="00622482" w:rsidRPr="00EC57FB">
        <w:fldChar w:fldCharType="separate"/>
      </w:r>
      <w:r w:rsidR="00502C25" w:rsidRPr="00EC57FB">
        <w:t xml:space="preserve">Figure </w:t>
      </w:r>
      <w:r w:rsidR="00502C25">
        <w:t>1</w:t>
      </w:r>
      <w:r w:rsidR="00622482" w:rsidRPr="00EC57FB">
        <w:fldChar w:fldCharType="end"/>
      </w:r>
      <w:r w:rsidR="00622482" w:rsidRPr="00EC57FB">
        <w:t>), as proposed by the sponsor and accepted by the ESC.</w:t>
      </w:r>
    </w:p>
    <w:p w14:paraId="163844F1" w14:textId="2124F220" w:rsidR="00B40EC8" w:rsidRPr="00EC57FB" w:rsidRDefault="00B40EC8" w:rsidP="00013441">
      <w:pPr>
        <w:pStyle w:val="3-BodyText"/>
      </w:pPr>
      <w:r w:rsidRPr="00EC57FB">
        <w:rPr>
          <w:snapToGrid w:val="0"/>
        </w:rPr>
        <w:t xml:space="preserve">The resubmission maintained that nirsevimab is superior to RSVpreF in scenarios where the mother has not previously been vaccinated, which was previously not accepted by the PBAC in July 2024. </w:t>
      </w:r>
      <w:r w:rsidR="0036000D" w:rsidRPr="00EC57FB">
        <w:rPr>
          <w:snapToGrid w:val="0"/>
        </w:rPr>
        <w:t xml:space="preserve">The </w:t>
      </w:r>
      <w:r w:rsidR="00824EB3" w:rsidRPr="00EC57FB">
        <w:rPr>
          <w:snapToGrid w:val="0"/>
        </w:rPr>
        <w:t xml:space="preserve">ATAGI </w:t>
      </w:r>
      <w:r w:rsidR="002B079C" w:rsidRPr="00EC57FB">
        <w:rPr>
          <w:snapToGrid w:val="0"/>
        </w:rPr>
        <w:t>considered</w:t>
      </w:r>
      <w:r w:rsidR="00824EB3" w:rsidRPr="00EC57FB">
        <w:rPr>
          <w:snapToGrid w:val="0"/>
        </w:rPr>
        <w:t xml:space="preserve"> “the comparison of nirsevimab and RSVpreF presented in the submission was unreliable, and a conclusion of superior effectiveness is not supported by the data”</w:t>
      </w:r>
      <w:r w:rsidR="004F271E" w:rsidRPr="00EC57FB">
        <w:rPr>
          <w:snapToGrid w:val="0"/>
        </w:rPr>
        <w:t xml:space="preserve"> (paragraph </w:t>
      </w:r>
      <w:r w:rsidR="004F271E" w:rsidRPr="00EC57FB">
        <w:rPr>
          <w:snapToGrid w:val="0"/>
        </w:rPr>
        <w:fldChar w:fldCharType="begin"/>
      </w:r>
      <w:r w:rsidR="004F271E" w:rsidRPr="00EC57FB">
        <w:rPr>
          <w:snapToGrid w:val="0"/>
        </w:rPr>
        <w:instrText xml:space="preserve"> REF _Ref199910152 \r \h </w:instrText>
      </w:r>
      <w:r w:rsidR="004F271E" w:rsidRPr="00EC57FB">
        <w:rPr>
          <w:snapToGrid w:val="0"/>
        </w:rPr>
      </w:r>
      <w:r w:rsidR="004F271E" w:rsidRPr="00EC57FB">
        <w:rPr>
          <w:snapToGrid w:val="0"/>
        </w:rPr>
        <w:fldChar w:fldCharType="separate"/>
      </w:r>
      <w:r w:rsidR="00502C25">
        <w:rPr>
          <w:snapToGrid w:val="0"/>
        </w:rPr>
        <w:t>6.52</w:t>
      </w:r>
      <w:r w:rsidR="004F271E" w:rsidRPr="00EC57FB">
        <w:rPr>
          <w:snapToGrid w:val="0"/>
        </w:rPr>
        <w:fldChar w:fldCharType="end"/>
      </w:r>
      <w:r w:rsidR="004F271E" w:rsidRPr="00EC57FB">
        <w:rPr>
          <w:snapToGrid w:val="0"/>
        </w:rPr>
        <w:t>)</w:t>
      </w:r>
      <w:r w:rsidR="00824EB3" w:rsidRPr="00EC57FB">
        <w:rPr>
          <w:snapToGrid w:val="0"/>
        </w:rPr>
        <w:t>.</w:t>
      </w:r>
      <w:r w:rsidR="002B079C" w:rsidRPr="00EC57FB">
        <w:rPr>
          <w:snapToGrid w:val="0"/>
        </w:rPr>
        <w:t xml:space="preserve"> </w:t>
      </w:r>
      <w:r w:rsidRPr="00EC57FB">
        <w:rPr>
          <w:snapToGrid w:val="0"/>
        </w:rPr>
        <w:t xml:space="preserve">The </w:t>
      </w:r>
      <w:r w:rsidR="003A5F0D" w:rsidRPr="00EC57FB">
        <w:rPr>
          <w:snapToGrid w:val="0"/>
        </w:rPr>
        <w:t xml:space="preserve">PBAC </w:t>
      </w:r>
      <w:r w:rsidR="00580C8E" w:rsidRPr="00EC57FB">
        <w:t xml:space="preserve">agreed with ATAGI and </w:t>
      </w:r>
      <w:r w:rsidR="00DD6EE2" w:rsidRPr="00EC57FB">
        <w:t>again concluded</w:t>
      </w:r>
      <w:r w:rsidR="003A5F0D" w:rsidRPr="00EC57FB">
        <w:t xml:space="preserve"> that </w:t>
      </w:r>
      <w:r w:rsidRPr="00EC57FB">
        <w:t xml:space="preserve">the </w:t>
      </w:r>
      <w:r w:rsidR="00F35F18" w:rsidRPr="00EC57FB">
        <w:t>indirect treatment comparison</w:t>
      </w:r>
      <w:r w:rsidRPr="00EC57FB">
        <w:t xml:space="preserve"> </w:t>
      </w:r>
      <w:r w:rsidR="003A5F0D" w:rsidRPr="00EC57FB">
        <w:t xml:space="preserve">was </w:t>
      </w:r>
      <w:r w:rsidRPr="00EC57FB">
        <w:t>insufficient to support a claim that nirsevimab is superior to maternal RSVpreF vaccination due to transitivity issues.</w:t>
      </w:r>
      <w:r w:rsidR="008650DE" w:rsidRPr="00EC57FB">
        <w:t xml:space="preserve"> The PBAC</w:t>
      </w:r>
      <w:r w:rsidR="00415FFA" w:rsidRPr="00EC57FB">
        <w:t xml:space="preserve"> advised that nirsevimab could be considered non-inferior to </w:t>
      </w:r>
      <w:r w:rsidR="005520B8" w:rsidRPr="00EC57FB">
        <w:t>RSVpreF.</w:t>
      </w:r>
      <w:r w:rsidRPr="00EC57FB">
        <w:t xml:space="preserve"> </w:t>
      </w:r>
    </w:p>
    <w:p w14:paraId="195F3CA3" w14:textId="27DDA6BA" w:rsidR="00B40EC8" w:rsidRPr="00EC57FB" w:rsidRDefault="00B40EC8" w:rsidP="00013441">
      <w:pPr>
        <w:widowControl w:val="0"/>
        <w:numPr>
          <w:ilvl w:val="1"/>
          <w:numId w:val="1"/>
        </w:numPr>
        <w:spacing w:after="120"/>
        <w:rPr>
          <w:snapToGrid w:val="0"/>
        </w:rPr>
      </w:pPr>
      <w:r w:rsidRPr="00EC57FB">
        <w:t xml:space="preserve">The resubmission did not provide clinical evaluations for nirsevimab in some of the requested populations. The </w:t>
      </w:r>
      <w:r w:rsidR="00DD6EE2" w:rsidRPr="00EC57FB">
        <w:t>PBAC</w:t>
      </w:r>
      <w:r w:rsidRPr="00EC57FB">
        <w:t xml:space="preserve"> noted the absence of evidence to support that nirsevimab </w:t>
      </w:r>
      <w:r w:rsidR="00BE7E00" w:rsidRPr="00EC57FB">
        <w:t>after</w:t>
      </w:r>
      <w:r w:rsidRPr="00EC57FB">
        <w:t xml:space="preserve"> maternal RSVpreF vaccination is superior to maternal RSVpreF vaccination alone.</w:t>
      </w:r>
      <w:r w:rsidR="00577C66">
        <w:t xml:space="preserve"> </w:t>
      </w:r>
      <w:r w:rsidR="00DD6EE2" w:rsidRPr="00EC57FB">
        <w:t xml:space="preserve">The PBAC agreed with the ATAGI advice that noted the magnitude of the effectiveness of nirsevimab following maternal vaccination vs maternal vaccination alone is difficult to predict, and will change depending on the timing of the birth with respect to the first RSV season, however, it was reasonable to conclude that nirsevimab would provide a meaningful benefit in </w:t>
      </w:r>
      <w:r w:rsidR="007B0E2C" w:rsidRPr="00EC57FB">
        <w:t>1) </w:t>
      </w:r>
      <w:r w:rsidR="00DD6EE2" w:rsidRPr="00EC57FB">
        <w:t>infants who are at the highest risk of hospitalisation from RSV</w:t>
      </w:r>
      <w:r w:rsidR="007B0E2C" w:rsidRPr="00EC57FB">
        <w:t xml:space="preserve"> (Population C(b)</w:t>
      </w:r>
      <w:r w:rsidR="0036000D" w:rsidRPr="00EC57FB">
        <w:t xml:space="preserve"> in </w:t>
      </w:r>
      <w:r w:rsidR="0036000D" w:rsidRPr="00EC57FB">
        <w:fldChar w:fldCharType="begin"/>
      </w:r>
      <w:r w:rsidR="0036000D" w:rsidRPr="00EC57FB">
        <w:instrText xml:space="preserve"> REF _Ref188054881 \h  \* MERGEFORMAT </w:instrText>
      </w:r>
      <w:r w:rsidR="0036000D" w:rsidRPr="00EC57FB">
        <w:fldChar w:fldCharType="separate"/>
      </w:r>
      <w:r w:rsidR="00502C25" w:rsidRPr="00EC57FB">
        <w:t xml:space="preserve">Figure </w:t>
      </w:r>
      <w:r w:rsidR="00502C25">
        <w:t>1</w:t>
      </w:r>
      <w:r w:rsidR="0036000D" w:rsidRPr="00EC57FB">
        <w:fldChar w:fldCharType="end"/>
      </w:r>
      <w:r w:rsidR="007B0E2C" w:rsidRPr="00EC57FB">
        <w:t>), and 2) infant</w:t>
      </w:r>
      <w:r w:rsidR="008A17C3" w:rsidRPr="00EC57FB">
        <w:t xml:space="preserve">s with </w:t>
      </w:r>
      <w:r w:rsidR="007B0E2C" w:rsidRPr="00EC57FB">
        <w:t>suboptimal RSV antibodies despite the mother having received the RSVpreF vaccine</w:t>
      </w:r>
      <w:r w:rsidR="008A17C3" w:rsidRPr="00EC57FB">
        <w:t xml:space="preserve"> e.g. birth occurred within 2 weeks of the mother’s vaccination with RSVpreF </w:t>
      </w:r>
      <w:r w:rsidR="007B0E2C" w:rsidRPr="00EC57FB">
        <w:t>(Population B</w:t>
      </w:r>
      <w:r w:rsidR="0036000D" w:rsidRPr="00EC57FB">
        <w:t xml:space="preserve"> in </w:t>
      </w:r>
      <w:r w:rsidR="0036000D" w:rsidRPr="00EC57FB">
        <w:fldChar w:fldCharType="begin"/>
      </w:r>
      <w:r w:rsidR="0036000D" w:rsidRPr="00EC57FB">
        <w:instrText xml:space="preserve"> REF _Ref188054881 \h  \* MERGEFORMAT </w:instrText>
      </w:r>
      <w:r w:rsidR="0036000D" w:rsidRPr="00EC57FB">
        <w:fldChar w:fldCharType="separate"/>
      </w:r>
      <w:r w:rsidR="00502C25" w:rsidRPr="00EC57FB">
        <w:t xml:space="preserve">Figure </w:t>
      </w:r>
      <w:r w:rsidR="00502C25">
        <w:t>1</w:t>
      </w:r>
      <w:r w:rsidR="0036000D" w:rsidRPr="00EC57FB">
        <w:fldChar w:fldCharType="end"/>
      </w:r>
      <w:r w:rsidR="007B0E2C" w:rsidRPr="00EC57FB">
        <w:t>).</w:t>
      </w:r>
      <w:r w:rsidR="00324D65" w:rsidRPr="00EC57FB">
        <w:t xml:space="preserve">For season 2, the PBAC </w:t>
      </w:r>
      <w:r w:rsidR="00775F7E" w:rsidRPr="00EC57FB">
        <w:t xml:space="preserve">noted that </w:t>
      </w:r>
      <w:r w:rsidR="00324D65" w:rsidRPr="00EC57FB">
        <w:t>the clinical trial evidence to support the superiority of nirsevimab over no immunisation in terms of effectiveness was limited but considered that this claim was reasonable.</w:t>
      </w:r>
      <w:r w:rsidR="00577C66">
        <w:t xml:space="preserve"> </w:t>
      </w:r>
      <w:r w:rsidR="00D9465D" w:rsidRPr="00EC57FB">
        <w:t>The PBAC noted the population in which nirsevimab is proposed to be used in the second RSV season is aligned with the AIH, i.e. in children up to 24 months of age who remain vulnerable to severe RSV disease through their second RSV season (Population D</w:t>
      </w:r>
      <w:r w:rsidR="000A19D7" w:rsidRPr="00EC57FB">
        <w:t xml:space="preserve"> in </w:t>
      </w:r>
      <w:r w:rsidR="000A19D7" w:rsidRPr="00EC57FB">
        <w:fldChar w:fldCharType="begin"/>
      </w:r>
      <w:r w:rsidR="000A19D7" w:rsidRPr="00EC57FB">
        <w:instrText xml:space="preserve"> REF _Ref188054881 \h  \* MERGEFORMAT </w:instrText>
      </w:r>
      <w:r w:rsidR="000A19D7" w:rsidRPr="00EC57FB">
        <w:fldChar w:fldCharType="separate"/>
      </w:r>
      <w:r w:rsidR="00502C25" w:rsidRPr="00EC57FB">
        <w:t xml:space="preserve">Figure </w:t>
      </w:r>
      <w:r w:rsidR="00502C25">
        <w:t>1</w:t>
      </w:r>
      <w:r w:rsidR="000A19D7" w:rsidRPr="00EC57FB">
        <w:fldChar w:fldCharType="end"/>
      </w:r>
      <w:r w:rsidR="00D9465D" w:rsidRPr="00EC57FB">
        <w:t>).</w:t>
      </w:r>
      <w:r w:rsidR="00577C66">
        <w:t xml:space="preserve"> </w:t>
      </w:r>
      <w:r w:rsidR="00D9465D" w:rsidRPr="00EC57FB">
        <w:t>The PBAC considered this population has a high clinical need for protection from RSV.</w:t>
      </w:r>
    </w:p>
    <w:p w14:paraId="4E894DD4" w14:textId="7B502E15" w:rsidR="00851C3B" w:rsidRPr="00EC57FB" w:rsidRDefault="00851C3B" w:rsidP="00013441">
      <w:pPr>
        <w:widowControl w:val="0"/>
        <w:numPr>
          <w:ilvl w:val="1"/>
          <w:numId w:val="1"/>
        </w:numPr>
        <w:spacing w:after="120"/>
        <w:rPr>
          <w:iCs/>
        </w:rPr>
      </w:pPr>
      <w:r w:rsidRPr="00EC57FB">
        <w:rPr>
          <w:snapToGrid w:val="0"/>
        </w:rPr>
        <w:t>For the economic evaluation, t</w:t>
      </w:r>
      <w:r w:rsidRPr="00EC57FB">
        <w:t xml:space="preserve">he resubmission again presented a CUA based on </w:t>
      </w:r>
      <w:r w:rsidRPr="00EC57FB">
        <w:rPr>
          <w:iCs/>
        </w:rPr>
        <w:t xml:space="preserve">a meta-analysis of </w:t>
      </w:r>
      <w:r w:rsidRPr="00EC57FB">
        <w:rPr>
          <w:rFonts w:cs="Calibri"/>
          <w:color w:val="000000"/>
          <w:szCs w:val="20"/>
        </w:rPr>
        <w:t>the MELODY trial and a subgroup of the Phase 2b trial for Season 1.</w:t>
      </w:r>
      <w:r w:rsidR="00577C66">
        <w:rPr>
          <w:rFonts w:cs="Calibri"/>
          <w:color w:val="000000"/>
          <w:szCs w:val="20"/>
        </w:rPr>
        <w:t xml:space="preserve"> </w:t>
      </w:r>
      <w:r w:rsidRPr="00EC57FB">
        <w:rPr>
          <w:iCs/>
        </w:rPr>
        <w:t xml:space="preserve">Consistent with the July 2024 model, </w:t>
      </w:r>
      <w:r w:rsidRPr="00EC57FB">
        <w:t>the tropical and temperate populations were aggregated to generate an overall population ICER.</w:t>
      </w:r>
      <w:r w:rsidR="00577C66">
        <w:t xml:space="preserve"> </w:t>
      </w:r>
      <w:r w:rsidRPr="00EC57FB">
        <w:t>The PBAC noted that nirsevimab was associated with lower ICERs in temperate regions (</w:t>
      </w:r>
      <w:r w:rsidRPr="00EC57FB">
        <w:fldChar w:fldCharType="begin"/>
      </w:r>
      <w:r w:rsidRPr="00EC57FB">
        <w:instrText xml:space="preserve"> REF _Ref187252223 \h </w:instrText>
      </w:r>
      <w:r w:rsidRPr="00EC57FB">
        <w:fldChar w:fldCharType="separate"/>
      </w:r>
      <w:r w:rsidR="00502C25" w:rsidRPr="00EC57FB">
        <w:t xml:space="preserve">Table </w:t>
      </w:r>
      <w:r w:rsidR="00502C25">
        <w:rPr>
          <w:noProof/>
        </w:rPr>
        <w:t>26</w:t>
      </w:r>
      <w:r w:rsidRPr="00EC57FB">
        <w:fldChar w:fldCharType="end"/>
      </w:r>
      <w:r w:rsidR="006D2567" w:rsidRPr="00EC57FB">
        <w:t xml:space="preserve">; </w:t>
      </w:r>
      <w:r w:rsidR="006D2567" w:rsidRPr="00D521DB">
        <w:t>assume</w:t>
      </w:r>
      <w:r w:rsidR="007C2F5E" w:rsidRPr="00D521DB">
        <w:t>d</w:t>
      </w:r>
      <w:r w:rsidR="006D2567" w:rsidRPr="00D521DB">
        <w:t xml:space="preserve"> for 79% of use</w:t>
      </w:r>
      <w:r w:rsidRPr="00D521DB">
        <w:t>), compared with tropical regions (</w:t>
      </w:r>
      <w:r w:rsidRPr="00D521DB">
        <w:fldChar w:fldCharType="begin"/>
      </w:r>
      <w:r w:rsidRPr="00D521DB">
        <w:instrText xml:space="preserve"> REF _Ref187252341 \h </w:instrText>
      </w:r>
      <w:r w:rsidR="00DE7468" w:rsidRPr="00D521DB">
        <w:instrText xml:space="preserve"> \* MERGEFORMAT </w:instrText>
      </w:r>
      <w:r w:rsidRPr="00D521DB">
        <w:fldChar w:fldCharType="separate"/>
      </w:r>
      <w:r w:rsidR="00502C25" w:rsidRPr="00EC57FB">
        <w:t xml:space="preserve">Table </w:t>
      </w:r>
      <w:r w:rsidR="00502C25">
        <w:t>27</w:t>
      </w:r>
      <w:r w:rsidRPr="00D521DB">
        <w:fldChar w:fldCharType="end"/>
      </w:r>
      <w:r w:rsidR="006D2567" w:rsidRPr="00D521DB">
        <w:t>; assumed for 21% of use</w:t>
      </w:r>
      <w:r w:rsidRPr="00D521DB">
        <w:t>).</w:t>
      </w:r>
      <w:r w:rsidR="00577C66">
        <w:t xml:space="preserve"> </w:t>
      </w:r>
    </w:p>
    <w:p w14:paraId="2A1DD048" w14:textId="5FC355A4" w:rsidR="00DE7468" w:rsidRPr="00EC57FB" w:rsidRDefault="00B910B4" w:rsidP="001E5BB7">
      <w:pPr>
        <w:widowControl w:val="0"/>
        <w:numPr>
          <w:ilvl w:val="1"/>
          <w:numId w:val="1"/>
        </w:numPr>
        <w:spacing w:after="120"/>
      </w:pPr>
      <w:r w:rsidRPr="00EC57FB">
        <w:t xml:space="preserve">For the first </w:t>
      </w:r>
      <w:r w:rsidR="00851C3B" w:rsidRPr="00EC57FB">
        <w:t xml:space="preserve">RSV </w:t>
      </w:r>
      <w:r w:rsidRPr="00EC57FB">
        <w:t>season</w:t>
      </w:r>
      <w:r w:rsidR="001900DE" w:rsidRPr="00EC57FB">
        <w:t xml:space="preserve">, </w:t>
      </w:r>
      <w:r w:rsidR="00A7036F" w:rsidRPr="00EC57FB">
        <w:t xml:space="preserve">the PBAC considered </w:t>
      </w:r>
      <w:r w:rsidR="0014194A" w:rsidRPr="00EC57FB">
        <w:t xml:space="preserve">that </w:t>
      </w:r>
      <w:r w:rsidR="00A7036F" w:rsidRPr="00EC57FB">
        <w:t>nir</w:t>
      </w:r>
      <w:r w:rsidR="00851C3B" w:rsidRPr="00EC57FB">
        <w:t>sevimab</w:t>
      </w:r>
      <w:r w:rsidR="00A7036F" w:rsidRPr="00EC57FB">
        <w:t xml:space="preserve"> should be cost</w:t>
      </w:r>
      <w:r w:rsidR="0014194A" w:rsidRPr="00EC57FB">
        <w:noBreakHyphen/>
      </w:r>
      <w:r w:rsidR="00A7036F" w:rsidRPr="00EC57FB">
        <w:t>min</w:t>
      </w:r>
      <w:r w:rsidR="00851C3B" w:rsidRPr="00EC57FB">
        <w:t>imised</w:t>
      </w:r>
      <w:r w:rsidR="00A7036F" w:rsidRPr="00EC57FB">
        <w:t xml:space="preserve"> to RSVpreF</w:t>
      </w:r>
      <w:r w:rsidR="00D86081" w:rsidRPr="00EC57FB">
        <w:t xml:space="preserve"> </w:t>
      </w:r>
      <w:r w:rsidR="0014194A" w:rsidRPr="00EC57FB">
        <w:t xml:space="preserve">for the majority of the population (corresponding to Population A in in </w:t>
      </w:r>
      <w:r w:rsidR="0014194A" w:rsidRPr="00EC57FB">
        <w:fldChar w:fldCharType="begin"/>
      </w:r>
      <w:r w:rsidR="0014194A" w:rsidRPr="00EC57FB">
        <w:instrText xml:space="preserve"> REF _Ref188054881 \h  \* MERGEFORMAT </w:instrText>
      </w:r>
      <w:r w:rsidR="0014194A" w:rsidRPr="00EC57FB">
        <w:fldChar w:fldCharType="separate"/>
      </w:r>
      <w:r w:rsidR="00502C25" w:rsidRPr="00EC57FB">
        <w:t xml:space="preserve">Figure </w:t>
      </w:r>
      <w:r w:rsidR="00502C25">
        <w:t>1</w:t>
      </w:r>
      <w:r w:rsidR="0014194A" w:rsidRPr="00EC57FB">
        <w:fldChar w:fldCharType="end"/>
      </w:r>
      <w:r w:rsidR="0014194A" w:rsidRPr="00EC57FB">
        <w:t xml:space="preserve">), </w:t>
      </w:r>
      <w:r w:rsidR="0057105E" w:rsidRPr="00EC57FB">
        <w:t>based on an equi-effective dose of 1 nirsevimab dose (</w:t>
      </w:r>
      <w:r w:rsidR="008E16DA" w:rsidRPr="00EC57FB">
        <w:t xml:space="preserve">either </w:t>
      </w:r>
      <w:r w:rsidR="000B22C2" w:rsidRPr="00EC57FB">
        <w:t xml:space="preserve">50 mg or 100 mg; </w:t>
      </w:r>
      <w:r w:rsidR="0057105E" w:rsidRPr="00EC57FB">
        <w:t>administered to the infant) to 1 RSVpreF dose (</w:t>
      </w:r>
      <w:r w:rsidR="00F703F7" w:rsidRPr="00EC57FB">
        <w:t xml:space="preserve">one vial of Abrysvo vaccine, </w:t>
      </w:r>
      <w:r w:rsidR="0057105E" w:rsidRPr="00EC57FB">
        <w:t>administered to the mother).</w:t>
      </w:r>
      <w:r w:rsidR="00577C66">
        <w:rPr>
          <w:snapToGrid w:val="0"/>
        </w:rPr>
        <w:t xml:space="preserve"> </w:t>
      </w:r>
      <w:r w:rsidR="00DE7468" w:rsidRPr="00EC57FB">
        <w:rPr>
          <w:snapToGrid w:val="0"/>
        </w:rPr>
        <w:t>In addition</w:t>
      </w:r>
      <w:r w:rsidR="0014194A" w:rsidRPr="00EC57FB">
        <w:rPr>
          <w:snapToGrid w:val="0"/>
        </w:rPr>
        <w:t xml:space="preserve">, </w:t>
      </w:r>
      <w:bookmarkStart w:id="161" w:name="_Ref199914383"/>
      <w:r w:rsidR="0014194A" w:rsidRPr="00EC57FB">
        <w:rPr>
          <w:snapToGrid w:val="0"/>
        </w:rPr>
        <w:t xml:space="preserve">the PBAC recognised </w:t>
      </w:r>
      <w:r w:rsidR="00DE7468" w:rsidRPr="00EC57FB">
        <w:rPr>
          <w:snapToGrid w:val="0"/>
        </w:rPr>
        <w:t xml:space="preserve">there were </w:t>
      </w:r>
      <w:r w:rsidR="0014194A" w:rsidRPr="00EC57FB">
        <w:rPr>
          <w:snapToGrid w:val="0"/>
        </w:rPr>
        <w:t xml:space="preserve">additional considerations for populations B, C(a), and C(b) </w:t>
      </w:r>
      <w:r w:rsidR="0014194A" w:rsidRPr="00EC57FB">
        <w:t xml:space="preserve">in </w:t>
      </w:r>
      <w:r w:rsidR="0014194A" w:rsidRPr="00EC57FB">
        <w:fldChar w:fldCharType="begin"/>
      </w:r>
      <w:r w:rsidR="0014194A" w:rsidRPr="00EC57FB">
        <w:instrText xml:space="preserve"> REF _Ref188054881 \h  \* MERGEFORMAT </w:instrText>
      </w:r>
      <w:r w:rsidR="0014194A" w:rsidRPr="00EC57FB">
        <w:fldChar w:fldCharType="separate"/>
      </w:r>
      <w:r w:rsidR="00502C25" w:rsidRPr="00EC57FB">
        <w:t xml:space="preserve">Figure </w:t>
      </w:r>
      <w:r w:rsidR="00502C25">
        <w:t>1</w:t>
      </w:r>
      <w:r w:rsidR="0014194A" w:rsidRPr="00EC57FB">
        <w:fldChar w:fldCharType="end"/>
      </w:r>
      <w:r w:rsidR="0014194A" w:rsidRPr="00EC57FB">
        <w:rPr>
          <w:snapToGrid w:val="0"/>
        </w:rPr>
        <w:t xml:space="preserve">. </w:t>
      </w:r>
      <w:r w:rsidR="00DE7468" w:rsidRPr="00EC57FB">
        <w:t xml:space="preserve">The PBAC </w:t>
      </w:r>
      <w:r w:rsidR="00DE7468" w:rsidRPr="00EC57FB">
        <w:lastRenderedPageBreak/>
        <w:t>noted that the sponsor did not adequately address these populations in their resubmission.</w:t>
      </w:r>
      <w:r w:rsidR="00577C66">
        <w:t xml:space="preserve"> </w:t>
      </w:r>
      <w:r w:rsidR="00DE7468" w:rsidRPr="00EC57FB">
        <w:t>For these populations, the PBAC advised that a cost utility analysis versus no immunisation</w:t>
      </w:r>
      <w:r w:rsidR="00577C66">
        <w:t xml:space="preserve"> </w:t>
      </w:r>
      <w:r w:rsidR="00DE7468" w:rsidRPr="00EC57FB">
        <w:t>was a reasonable approach to assess the cost-effectiveness of nirsevimab in the context of the relatively small size of this combined population.</w:t>
      </w:r>
      <w:r w:rsidR="00577C66">
        <w:t xml:space="preserve"> </w:t>
      </w:r>
      <w:r w:rsidR="00DE7468" w:rsidRPr="00EC57FB">
        <w:t>The PBAC noted the sensitivity analyses explored by the ESC and agreed with ESC’s advice that (i) the impact of nirsevimab on asthma and recurrent wheezing should be removed; (ii) the hospitalisation costs should be reduced to better reflect expected readmissions (apply costs for readmission within one month from Brusco 2018, rather the total aggregated costs of hospitalisations over six months); (iii) an administration cost of $9.80 should be included; (iv) e</w:t>
      </w:r>
      <w:r w:rsidR="00DE7468" w:rsidRPr="00EC57FB">
        <w:rPr>
          <w:color w:val="000000" w:themeColor="text1"/>
        </w:rPr>
        <w:t xml:space="preserve">ffectiveness of nirsevimab </w:t>
      </w:r>
      <w:r w:rsidR="00DE7468" w:rsidRPr="00EC57FB">
        <w:t xml:space="preserve">should be based on the </w:t>
      </w:r>
      <w:r w:rsidR="00DE7468" w:rsidRPr="00EC57FB">
        <w:rPr>
          <w:color w:val="000000" w:themeColor="text1"/>
        </w:rPr>
        <w:t xml:space="preserve">MA RSV LRTI endpoint in the final analysis of MELODY (76.4%); (v) a RSV </w:t>
      </w:r>
      <w:r w:rsidR="00DE7468" w:rsidRPr="00EC57FB">
        <w:t xml:space="preserve">hospitalisation rate of 3.67% should be used. The PBAC noted the hospitalisation rate was higher than the estimate it had previously supported in July 2024 (2.33%), however considered reasonable in the context of at least some of the population for this analysis being at high risk of severe RSV. The PBAC noted the aggregated ICER (including temperate and tropical regions) corresponding to this analysis was </w:t>
      </w:r>
      <w:r w:rsidR="00477AAB" w:rsidRPr="00477AAB">
        <w:t>$75,000 to &lt; $95,000</w:t>
      </w:r>
      <w:r w:rsidR="00DE7468" w:rsidRPr="00EC57FB">
        <w:rPr>
          <w:iCs/>
        </w:rPr>
        <w:t>/QALY</w:t>
      </w:r>
      <w:r w:rsidR="00DE7468" w:rsidRPr="00EC57FB">
        <w:t xml:space="preserve"> (</w:t>
      </w:r>
      <w:r w:rsidR="00DE7468" w:rsidRPr="00EC57FB">
        <w:fldChar w:fldCharType="begin"/>
      </w:r>
      <w:r w:rsidR="00DE7468" w:rsidRPr="00EC57FB">
        <w:instrText xml:space="preserve"> REF _Ref187254273 \h  \* MERGEFORMAT </w:instrText>
      </w:r>
      <w:r w:rsidR="00DE7468" w:rsidRPr="00EC57FB">
        <w:fldChar w:fldCharType="separate"/>
      </w:r>
      <w:r w:rsidR="00502C25" w:rsidRPr="00EC57FB">
        <w:t xml:space="preserve">Table </w:t>
      </w:r>
      <w:r w:rsidR="00502C25">
        <w:t>29</w:t>
      </w:r>
      <w:r w:rsidR="00DE7468" w:rsidRPr="00EC57FB">
        <w:fldChar w:fldCharType="end"/>
      </w:r>
      <w:r w:rsidR="00DE7468" w:rsidRPr="00EC57FB">
        <w:t>).</w:t>
      </w:r>
      <w:r w:rsidR="00577C66">
        <w:t xml:space="preserve"> </w:t>
      </w:r>
      <w:r w:rsidR="00DE7468" w:rsidRPr="00EC57FB">
        <w:t>Further it was noted this assumed optimal timing of administration of nirsevimab to maximise its activity against RSV infection.</w:t>
      </w:r>
      <w:r w:rsidR="00577C66">
        <w:t xml:space="preserve"> </w:t>
      </w:r>
      <w:r w:rsidR="00DE7468" w:rsidRPr="00EC57FB">
        <w:rPr>
          <w:snapToGrid w:val="0"/>
        </w:rPr>
        <w:t xml:space="preserve">The PBAC considered that the aggregated ICER that would define acceptable cost-effectiveness should be no greater than </w:t>
      </w:r>
      <w:r w:rsidR="00BF5060" w:rsidRPr="00BF5060">
        <w:rPr>
          <w:snapToGrid w:val="0"/>
        </w:rPr>
        <w:t>$15,000 to &lt;$25,000</w:t>
      </w:r>
      <w:r w:rsidR="00DE7468" w:rsidRPr="00EC57FB">
        <w:rPr>
          <w:snapToGrid w:val="0"/>
        </w:rPr>
        <w:t>/QALY.</w:t>
      </w:r>
      <w:r w:rsidR="00577C66">
        <w:rPr>
          <w:snapToGrid w:val="0"/>
        </w:rPr>
        <w:t xml:space="preserve"> </w:t>
      </w:r>
    </w:p>
    <w:p w14:paraId="18AB2773" w14:textId="02713753" w:rsidR="00314E81" w:rsidRPr="00EC57FB" w:rsidRDefault="00865761" w:rsidP="001E5BB7">
      <w:pPr>
        <w:widowControl w:val="0"/>
        <w:numPr>
          <w:ilvl w:val="1"/>
          <w:numId w:val="1"/>
        </w:numPr>
        <w:spacing w:after="120"/>
        <w:rPr>
          <w:color w:val="000000" w:themeColor="text1"/>
        </w:rPr>
      </w:pPr>
      <w:bookmarkStart w:id="162" w:name="_Ref199914408"/>
      <w:bookmarkEnd w:id="161"/>
      <w:r w:rsidRPr="00EC57FB">
        <w:rPr>
          <w:snapToGrid w:val="0"/>
        </w:rPr>
        <w:t>For the second season</w:t>
      </w:r>
      <w:r w:rsidR="00A874E9" w:rsidRPr="00EC57FB">
        <w:rPr>
          <w:snapToGrid w:val="0"/>
        </w:rPr>
        <w:t xml:space="preserve">, </w:t>
      </w:r>
      <w:r w:rsidR="007308E8" w:rsidRPr="00EC57FB">
        <w:rPr>
          <w:iCs/>
          <w:color w:val="000000" w:themeColor="text1"/>
          <w:szCs w:val="20"/>
        </w:rPr>
        <w:t>the PBAC noted the</w:t>
      </w:r>
      <w:r w:rsidR="007308E8" w:rsidRPr="00EC57FB">
        <w:rPr>
          <w:color w:val="000000" w:themeColor="text1"/>
        </w:rPr>
        <w:t xml:space="preserve">re was limited evidence to inform </w:t>
      </w:r>
      <w:r w:rsidR="004C1914" w:rsidRPr="00EC57FB">
        <w:rPr>
          <w:color w:val="000000" w:themeColor="text1"/>
        </w:rPr>
        <w:t>a cost</w:t>
      </w:r>
      <w:r w:rsidR="004C1914" w:rsidRPr="00EC57FB">
        <w:rPr>
          <w:color w:val="000000" w:themeColor="text1"/>
        </w:rPr>
        <w:noBreakHyphen/>
        <w:t>effectiveness evaluation</w:t>
      </w:r>
      <w:r w:rsidR="007308E8" w:rsidRPr="00EC57FB">
        <w:rPr>
          <w:color w:val="000000" w:themeColor="text1"/>
        </w:rPr>
        <w:t>.</w:t>
      </w:r>
      <w:r w:rsidR="00577C66">
        <w:rPr>
          <w:color w:val="000000" w:themeColor="text1"/>
        </w:rPr>
        <w:t xml:space="preserve"> </w:t>
      </w:r>
      <w:r w:rsidR="006C29BB" w:rsidRPr="00EC57FB">
        <w:rPr>
          <w:color w:val="000000" w:themeColor="text1"/>
        </w:rPr>
        <w:t xml:space="preserve">The PBAC considered that the </w:t>
      </w:r>
      <w:r w:rsidR="006C29BB" w:rsidRPr="00EC57FB">
        <w:rPr>
          <w:iCs/>
        </w:rPr>
        <w:t xml:space="preserve">Season 2 model provided by the sponsor was not reliable for decision-making (paragraph </w:t>
      </w:r>
      <w:r w:rsidR="006C29BB" w:rsidRPr="00EC57FB">
        <w:rPr>
          <w:iCs/>
        </w:rPr>
        <w:fldChar w:fldCharType="begin"/>
      </w:r>
      <w:r w:rsidR="006C29BB" w:rsidRPr="00EC57FB">
        <w:rPr>
          <w:iCs/>
        </w:rPr>
        <w:instrText xml:space="preserve"> REF _Ref200114773 \r \h </w:instrText>
      </w:r>
      <w:r w:rsidR="006C29BB" w:rsidRPr="00EC57FB">
        <w:rPr>
          <w:iCs/>
        </w:rPr>
      </w:r>
      <w:r w:rsidR="006C29BB" w:rsidRPr="00EC57FB">
        <w:rPr>
          <w:iCs/>
        </w:rPr>
        <w:fldChar w:fldCharType="separate"/>
      </w:r>
      <w:r w:rsidR="00502C25">
        <w:rPr>
          <w:iCs/>
        </w:rPr>
        <w:t>6.76</w:t>
      </w:r>
      <w:r w:rsidR="006C29BB" w:rsidRPr="00EC57FB">
        <w:rPr>
          <w:iCs/>
        </w:rPr>
        <w:fldChar w:fldCharType="end"/>
      </w:r>
      <w:r w:rsidR="006C29BB" w:rsidRPr="00EC57FB">
        <w:rPr>
          <w:iCs/>
        </w:rPr>
        <w:t>).</w:t>
      </w:r>
      <w:r w:rsidR="00577C66">
        <w:rPr>
          <w:iCs/>
        </w:rPr>
        <w:t xml:space="preserve"> </w:t>
      </w:r>
      <w:r w:rsidR="006C29BB" w:rsidRPr="00EC57FB">
        <w:rPr>
          <w:iCs/>
        </w:rPr>
        <w:t xml:space="preserve">However, in recognition of the small population size and the clinical need in this population, the PBAC considered that the same </w:t>
      </w:r>
      <w:r w:rsidR="0038074B" w:rsidRPr="00EC57FB">
        <w:rPr>
          <w:iCs/>
        </w:rPr>
        <w:t>cost</w:t>
      </w:r>
      <w:r w:rsidR="006C29BB" w:rsidRPr="00EC57FB">
        <w:rPr>
          <w:iCs/>
        </w:rPr>
        <w:t xml:space="preserve"> per </w:t>
      </w:r>
      <w:r w:rsidR="0038074B" w:rsidRPr="00EC57FB">
        <w:rPr>
          <w:iCs/>
        </w:rPr>
        <w:t>dose</w:t>
      </w:r>
      <w:r w:rsidR="006C29BB" w:rsidRPr="00EC57FB">
        <w:rPr>
          <w:iCs/>
        </w:rPr>
        <w:t xml:space="preserve"> arising from the CUA described in </w:t>
      </w:r>
      <w:r w:rsidR="00314E81" w:rsidRPr="00EC57FB">
        <w:rPr>
          <w:iCs/>
        </w:rPr>
        <w:t xml:space="preserve">paragraph </w:t>
      </w:r>
      <w:r w:rsidR="006C29BB" w:rsidRPr="00EC57FB">
        <w:rPr>
          <w:iCs/>
        </w:rPr>
        <w:fldChar w:fldCharType="begin"/>
      </w:r>
      <w:r w:rsidR="006C29BB" w:rsidRPr="00EC57FB">
        <w:rPr>
          <w:iCs/>
        </w:rPr>
        <w:instrText xml:space="preserve"> REF _Ref199914383 \r \h </w:instrText>
      </w:r>
      <w:r w:rsidR="006C29BB" w:rsidRPr="00EC57FB">
        <w:rPr>
          <w:iCs/>
        </w:rPr>
      </w:r>
      <w:r w:rsidR="006C29BB" w:rsidRPr="00EC57FB">
        <w:rPr>
          <w:iCs/>
        </w:rPr>
        <w:fldChar w:fldCharType="separate"/>
      </w:r>
      <w:r w:rsidR="00502C25">
        <w:rPr>
          <w:iCs/>
        </w:rPr>
        <w:t>7.16</w:t>
      </w:r>
      <w:r w:rsidR="006C29BB" w:rsidRPr="00EC57FB">
        <w:rPr>
          <w:iCs/>
        </w:rPr>
        <w:fldChar w:fldCharType="end"/>
      </w:r>
      <w:r w:rsidR="00314E81" w:rsidRPr="00EC57FB">
        <w:rPr>
          <w:iCs/>
        </w:rPr>
        <w:t xml:space="preserve"> could be considered acceptable for nirsevimab doses for high risk children in Season 2</w:t>
      </w:r>
      <w:r w:rsidR="0038074B" w:rsidRPr="00EC57FB">
        <w:rPr>
          <w:iCs/>
        </w:rPr>
        <w:t xml:space="preserve"> (i.e. </w:t>
      </w:r>
      <w:r w:rsidR="0038074B" w:rsidRPr="00EC57FB">
        <w:t>the cost for nirsevimab per child should be equal in Season 1 and Season 2)</w:t>
      </w:r>
      <w:r w:rsidR="00314E81" w:rsidRPr="00EC57FB">
        <w:rPr>
          <w:iCs/>
        </w:rPr>
        <w:t>.</w:t>
      </w:r>
      <w:r w:rsidR="00577C66">
        <w:rPr>
          <w:iCs/>
        </w:rPr>
        <w:t xml:space="preserve"> </w:t>
      </w:r>
      <w:r w:rsidR="00314E81" w:rsidRPr="00EC57FB">
        <w:rPr>
          <w:iCs/>
        </w:rPr>
        <w:t>The PBAC noted that t</w:t>
      </w:r>
      <w:r w:rsidR="00314E81" w:rsidRPr="00EC57FB">
        <w:t xml:space="preserve">he recommended dose of nirsevimab for the second RSV season is 200 mg (2 x 100 mg), and </w:t>
      </w:r>
      <w:r w:rsidR="0038074B" w:rsidRPr="00EC57FB">
        <w:t>the</w:t>
      </w:r>
      <w:r w:rsidR="00577C66">
        <w:t xml:space="preserve"> </w:t>
      </w:r>
      <w:r w:rsidR="0038074B" w:rsidRPr="00EC57FB">
        <w:t>dose of nirsevimab in Season 1 is either 50 mg or 100 mg.</w:t>
      </w:r>
      <w:r w:rsidR="00577C66">
        <w:t xml:space="preserve"> </w:t>
      </w:r>
    </w:p>
    <w:p w14:paraId="7DAB3AF7" w14:textId="77777777" w:rsidR="00DE7468" w:rsidRPr="00EC57FB" w:rsidRDefault="00DE7468" w:rsidP="00DE7468">
      <w:pPr>
        <w:pStyle w:val="3-BodyText"/>
      </w:pPr>
      <w:bookmarkStart w:id="163" w:name="_Ref200116922"/>
      <w:r w:rsidRPr="00EC57FB">
        <w:t>The PBAC provided the following advice in relation to generation of the overall price for nirsevimab:</w:t>
      </w:r>
      <w:bookmarkEnd w:id="163"/>
    </w:p>
    <w:p w14:paraId="2D01FF15" w14:textId="3A399E2B" w:rsidR="00DE7468" w:rsidRPr="00EC57FB" w:rsidRDefault="00DE7468" w:rsidP="001E5BB7">
      <w:pPr>
        <w:pStyle w:val="ListParagraph"/>
        <w:numPr>
          <w:ilvl w:val="0"/>
          <w:numId w:val="63"/>
        </w:numPr>
        <w:ind w:left="1134"/>
        <w:jc w:val="both"/>
      </w:pPr>
      <w:r w:rsidRPr="00EC57FB">
        <w:t xml:space="preserve">For the proportion of use in population B, C(a) and C(b), apply the price corresponding to the Season 1 CUA as described in paragraph </w:t>
      </w:r>
      <w:r w:rsidRPr="00EC57FB">
        <w:fldChar w:fldCharType="begin"/>
      </w:r>
      <w:r w:rsidRPr="00EC57FB">
        <w:instrText xml:space="preserve"> REF _Ref199914383 \r \h </w:instrText>
      </w:r>
      <w:r w:rsidR="001E5BB7">
        <w:instrText xml:space="preserve"> \* MERGEFORMAT </w:instrText>
      </w:r>
      <w:r w:rsidRPr="00EC57FB">
        <w:fldChar w:fldCharType="separate"/>
      </w:r>
      <w:r w:rsidR="00502C25">
        <w:t>7.16</w:t>
      </w:r>
      <w:r w:rsidRPr="00EC57FB">
        <w:fldChar w:fldCharType="end"/>
      </w:r>
      <w:r w:rsidRPr="00EC57FB">
        <w:t>. The PBAC noted the high risk population (C(a) + C(b)) was estimated in the pre-PBAC response to be 2% of births. The PBAC noted that the submission did not provide an estimate of the size of population B, however the PBAC expected that it would be small;</w:t>
      </w:r>
    </w:p>
    <w:p w14:paraId="40A38B17" w14:textId="71200DCC" w:rsidR="00DE7468" w:rsidRPr="00EC57FB" w:rsidRDefault="00DE7468" w:rsidP="001E5BB7">
      <w:pPr>
        <w:pStyle w:val="ListParagraph"/>
        <w:numPr>
          <w:ilvl w:val="0"/>
          <w:numId w:val="63"/>
        </w:numPr>
        <w:ind w:left="1134"/>
        <w:jc w:val="both"/>
      </w:pPr>
      <w:r w:rsidRPr="00EC57FB">
        <w:t xml:space="preserve">For the proportion of use in population D, apply the </w:t>
      </w:r>
      <w:r w:rsidR="008D7E57" w:rsidRPr="00EC57FB">
        <w:rPr>
          <w:iCs/>
        </w:rPr>
        <w:t xml:space="preserve">same cost per dose arising from the CUA described above </w:t>
      </w:r>
      <w:r w:rsidRPr="00EC57FB">
        <w:t xml:space="preserve">as </w:t>
      </w:r>
      <w:r w:rsidR="008D7E57" w:rsidRPr="00EC57FB">
        <w:t>discussed</w:t>
      </w:r>
      <w:r w:rsidRPr="00EC57FB">
        <w:t xml:space="preserve"> in paragraph </w:t>
      </w:r>
      <w:r w:rsidRPr="00EC57FB">
        <w:fldChar w:fldCharType="begin"/>
      </w:r>
      <w:r w:rsidRPr="00EC57FB">
        <w:instrText xml:space="preserve"> REF _Ref199914408 \r \h </w:instrText>
      </w:r>
      <w:r w:rsidR="001E5BB7">
        <w:instrText xml:space="preserve"> \* MERGEFORMAT </w:instrText>
      </w:r>
      <w:r w:rsidRPr="00EC57FB">
        <w:fldChar w:fldCharType="separate"/>
      </w:r>
      <w:r w:rsidR="00502C25">
        <w:t>7.17</w:t>
      </w:r>
      <w:r w:rsidRPr="00EC57FB">
        <w:fldChar w:fldCharType="end"/>
      </w:r>
      <w:r w:rsidRPr="00EC57FB">
        <w:t xml:space="preserve">. The PBAC noted </w:t>
      </w:r>
      <w:r w:rsidRPr="00EC57FB">
        <w:lastRenderedPageBreak/>
        <w:t>the high risk population (D) was estimated in the pre-PBAC response to be 2% of births;</w:t>
      </w:r>
    </w:p>
    <w:p w14:paraId="5D1BCF9D" w14:textId="4D54AB32" w:rsidR="00DE7468" w:rsidRPr="00EC57FB" w:rsidRDefault="00DE7468" w:rsidP="001E5BB7">
      <w:pPr>
        <w:pStyle w:val="ListParagraph"/>
        <w:numPr>
          <w:ilvl w:val="0"/>
          <w:numId w:val="63"/>
        </w:numPr>
        <w:ind w:left="1134"/>
        <w:jc w:val="both"/>
      </w:pPr>
      <w:r w:rsidRPr="00EC57FB">
        <w:t xml:space="preserve">For the </w:t>
      </w:r>
      <w:r w:rsidR="008D7E57" w:rsidRPr="00EC57FB">
        <w:t xml:space="preserve">remaining proportion of nirsevimab use, </w:t>
      </w:r>
      <w:r w:rsidRPr="00EC57FB">
        <w:t xml:space="preserve">apply the price corresponding to Season 1 CMA </w:t>
      </w:r>
      <w:r w:rsidR="008D7E57" w:rsidRPr="00EC57FB">
        <w:t>(Population A)</w:t>
      </w:r>
      <w:r w:rsidRPr="00EC57FB">
        <w:t>.</w:t>
      </w:r>
      <w:r w:rsidR="00577C66">
        <w:t xml:space="preserve"> </w:t>
      </w:r>
      <w:r w:rsidRPr="00EC57FB">
        <w:t xml:space="preserve">The PBAC advice for the CMA is provided in paragraph </w:t>
      </w:r>
      <w:r w:rsidR="008D7E57" w:rsidRPr="00EC57FB">
        <w:fldChar w:fldCharType="begin"/>
      </w:r>
      <w:r w:rsidR="008D7E57" w:rsidRPr="00EC57FB">
        <w:instrText xml:space="preserve"> REF _Ref199914383 \r \h </w:instrText>
      </w:r>
      <w:r w:rsidR="001E5BB7">
        <w:instrText xml:space="preserve"> \* MERGEFORMAT </w:instrText>
      </w:r>
      <w:r w:rsidR="008D7E57" w:rsidRPr="00EC57FB">
        <w:fldChar w:fldCharType="separate"/>
      </w:r>
      <w:r w:rsidR="00502C25">
        <w:t>7.16</w:t>
      </w:r>
      <w:r w:rsidR="008D7E57" w:rsidRPr="00EC57FB">
        <w:fldChar w:fldCharType="end"/>
      </w:r>
      <w:r w:rsidRPr="00EC57FB">
        <w:t>.</w:t>
      </w:r>
      <w:r w:rsidR="00577C66">
        <w:t xml:space="preserve"> </w:t>
      </w:r>
      <w:r w:rsidRPr="00EC57FB">
        <w:t xml:space="preserve">The PBAC noted that a confidential price applies to RSVpreF under the NIP, which is not available to the sponsor, however this does not prevent the sponsor from providing a written proposal for nirsevimab using an assumed price for RSVpreF (see paragraph </w:t>
      </w:r>
      <w:r w:rsidRPr="00EC57FB">
        <w:fldChar w:fldCharType="begin"/>
      </w:r>
      <w:r w:rsidRPr="00EC57FB">
        <w:instrText xml:space="preserve"> REF _Ref199356003 \r \h </w:instrText>
      </w:r>
      <w:r w:rsidR="001E5BB7">
        <w:instrText xml:space="preserve"> \* MERGEFORMAT </w:instrText>
      </w:r>
      <w:r w:rsidRPr="00EC57FB">
        <w:fldChar w:fldCharType="separate"/>
      </w:r>
      <w:r w:rsidR="00502C25">
        <w:t>7.20</w:t>
      </w:r>
      <w:r w:rsidRPr="00EC57FB">
        <w:fldChar w:fldCharType="end"/>
      </w:r>
      <w:r w:rsidRPr="00EC57FB">
        <w:t>).</w:t>
      </w:r>
    </w:p>
    <w:p w14:paraId="265CAD9F" w14:textId="4528F3D0" w:rsidR="00500C51" w:rsidRPr="00EC57FB" w:rsidRDefault="001E742E" w:rsidP="00DC4191">
      <w:pPr>
        <w:pStyle w:val="3-BodyText"/>
        <w:widowControl w:val="0"/>
        <w:numPr>
          <w:ilvl w:val="1"/>
          <w:numId w:val="1"/>
        </w:numPr>
        <w:rPr>
          <w:snapToGrid w:val="0"/>
        </w:rPr>
      </w:pPr>
      <w:bookmarkStart w:id="164" w:name="_Ref200114380"/>
      <w:bookmarkEnd w:id="162"/>
      <w:r w:rsidRPr="00EC57FB">
        <w:rPr>
          <w:snapToGrid w:val="0"/>
        </w:rPr>
        <w:t xml:space="preserve">In regard to the financial estimates, </w:t>
      </w:r>
      <w:r w:rsidR="003D29BD" w:rsidRPr="00EC57FB">
        <w:rPr>
          <w:snapToGrid w:val="0"/>
        </w:rPr>
        <w:t>the PBAC noted the high uptake rate and the high cost to Government predicted by the resubmission.</w:t>
      </w:r>
      <w:r w:rsidR="00577C66">
        <w:rPr>
          <w:snapToGrid w:val="0"/>
        </w:rPr>
        <w:t xml:space="preserve"> </w:t>
      </w:r>
      <w:r w:rsidRPr="00EC57FB">
        <w:rPr>
          <w:snapToGrid w:val="0"/>
        </w:rPr>
        <w:t xml:space="preserve">The pre-PBAC response stated that nirsevimab would </w:t>
      </w:r>
      <w:r w:rsidRPr="00EC57FB">
        <w:t>provide parents a choice between infant immunisation and maternal vaccination, and t</w:t>
      </w:r>
      <w:r w:rsidR="00500C51" w:rsidRPr="00EC57FB">
        <w:rPr>
          <w:snapToGrid w:val="0"/>
        </w:rPr>
        <w:t xml:space="preserve">he sponsor estimated that </w:t>
      </w:r>
      <w:r w:rsidR="000641E5" w:rsidRPr="000641E5">
        <w:rPr>
          <w:snapToGrid w:val="0"/>
          <w:color w:val="000000"/>
          <w:w w:val="61"/>
          <w:shd w:val="solid" w:color="000000" w:fill="000000"/>
          <w:fitText w:val="471" w:id="-662981886"/>
          <w14:textFill>
            <w14:solidFill>
              <w14:srgbClr w14:val="000000">
                <w14:alpha w14:val="100000"/>
              </w14:srgbClr>
            </w14:solidFill>
          </w14:textFill>
        </w:rPr>
        <w:t>|||  ||</w:t>
      </w:r>
      <w:r w:rsidR="000641E5" w:rsidRPr="000641E5">
        <w:rPr>
          <w:snapToGrid w:val="0"/>
          <w:color w:val="000000"/>
          <w:spacing w:val="1"/>
          <w:w w:val="61"/>
          <w:shd w:val="solid" w:color="000000" w:fill="000000"/>
          <w:fitText w:val="471" w:id="-662981886"/>
          <w14:textFill>
            <w14:solidFill>
              <w14:srgbClr w14:val="000000">
                <w14:alpha w14:val="100000"/>
              </w14:srgbClr>
            </w14:solidFill>
          </w14:textFill>
        </w:rPr>
        <w:t>|</w:t>
      </w:r>
      <w:r w:rsidR="00500C51" w:rsidRPr="00EC57FB">
        <w:rPr>
          <w:snapToGrid w:val="0"/>
        </w:rPr>
        <w:t xml:space="preserve">% of infants would be protected by nirsevimab while only </w:t>
      </w:r>
      <w:r w:rsidR="000641E5" w:rsidRPr="00B73761">
        <w:rPr>
          <w:snapToGrid w:val="0"/>
          <w:color w:val="000000"/>
          <w:w w:val="61"/>
          <w:shd w:val="solid" w:color="000000" w:fill="000000"/>
          <w:fitText w:val="471" w:id="-662981885"/>
          <w14:textFill>
            <w14:solidFill>
              <w14:srgbClr w14:val="000000">
                <w14:alpha w14:val="100000"/>
              </w14:srgbClr>
            </w14:solidFill>
          </w14:textFill>
        </w:rPr>
        <w:t>|||  ||</w:t>
      </w:r>
      <w:r w:rsidR="000641E5" w:rsidRPr="00B73761">
        <w:rPr>
          <w:snapToGrid w:val="0"/>
          <w:color w:val="000000"/>
          <w:spacing w:val="1"/>
          <w:w w:val="61"/>
          <w:shd w:val="solid" w:color="000000" w:fill="000000"/>
          <w:fitText w:val="471" w:id="-662981885"/>
          <w14:textFill>
            <w14:solidFill>
              <w14:srgbClr w14:val="000000">
                <w14:alpha w14:val="100000"/>
              </w14:srgbClr>
            </w14:solidFill>
          </w14:textFill>
        </w:rPr>
        <w:t>|</w:t>
      </w:r>
      <w:r w:rsidR="00500C51" w:rsidRPr="00EC57FB">
        <w:rPr>
          <w:snapToGrid w:val="0"/>
        </w:rPr>
        <w:t>% would be protected by maternal RSVpreF.</w:t>
      </w:r>
      <w:r w:rsidR="00577C66">
        <w:rPr>
          <w:snapToGrid w:val="0"/>
        </w:rPr>
        <w:t xml:space="preserve"> </w:t>
      </w:r>
      <w:r w:rsidR="00500C51" w:rsidRPr="00EC57FB">
        <w:rPr>
          <w:snapToGrid w:val="0"/>
        </w:rPr>
        <w:t xml:space="preserve">This contrasted with ATAGI advice, which </w:t>
      </w:r>
      <w:r w:rsidR="00DA2390" w:rsidRPr="00EC57FB">
        <w:rPr>
          <w:snapToGrid w:val="0"/>
        </w:rPr>
        <w:t>anticipated</w:t>
      </w:r>
      <w:r w:rsidR="00500C51" w:rsidRPr="00EC57FB">
        <w:rPr>
          <w:snapToGrid w:val="0"/>
        </w:rPr>
        <w:t xml:space="preserve"> </w:t>
      </w:r>
      <w:r w:rsidR="00DA2390" w:rsidRPr="00EC57FB">
        <w:rPr>
          <w:snapToGrid w:val="0"/>
        </w:rPr>
        <w:t>strong</w:t>
      </w:r>
      <w:r w:rsidR="00500C51" w:rsidRPr="00EC57FB">
        <w:rPr>
          <w:snapToGrid w:val="0"/>
        </w:rPr>
        <w:t xml:space="preserve"> uptake of maternal RSVpreF</w:t>
      </w:r>
      <w:r w:rsidR="00DA2390" w:rsidRPr="00EC57FB">
        <w:rPr>
          <w:snapToGrid w:val="0"/>
        </w:rPr>
        <w:t>, noting that maternal pertussis vaccine coverage was approaching 90% in recent years.</w:t>
      </w:r>
      <w:r w:rsidR="00577C66">
        <w:rPr>
          <w:snapToGrid w:val="0"/>
        </w:rPr>
        <w:t xml:space="preserve"> </w:t>
      </w:r>
      <w:r w:rsidR="00DA2390" w:rsidRPr="00EC57FB">
        <w:rPr>
          <w:snapToGrid w:val="0"/>
        </w:rPr>
        <w:t>It was also noted that for maternal influenza vaccination, uptake between 32% and 75% has been reported</w:t>
      </w:r>
      <w:r w:rsidRPr="00EC57FB">
        <w:rPr>
          <w:snapToGrid w:val="0"/>
        </w:rPr>
        <w:t xml:space="preserve"> in Australian jurisdictions</w:t>
      </w:r>
      <w:r w:rsidR="00DA2390" w:rsidRPr="00EC57FB">
        <w:rPr>
          <w:snapToGrid w:val="0"/>
        </w:rPr>
        <w:t>, with rates increasing in recent years</w:t>
      </w:r>
      <w:r w:rsidR="00354E36" w:rsidRPr="00EC57FB">
        <w:rPr>
          <w:snapToGrid w:val="0"/>
        </w:rPr>
        <w:t>.</w:t>
      </w:r>
      <w:r w:rsidR="00577C66">
        <w:t xml:space="preserve"> </w:t>
      </w:r>
      <w:r w:rsidR="00D32B3E" w:rsidRPr="00EC57FB">
        <w:rPr>
          <w:snapToGrid w:val="0"/>
        </w:rPr>
        <w:t>The PBAC considered it was uncertain to what extent the use of nirsevimab would replace the use of RSVpreF in clinical practice, however the PBAC considered that nirsevimab uptake would be lower than estimated in the resubmission.</w:t>
      </w:r>
      <w:r w:rsidR="00577C66">
        <w:rPr>
          <w:snapToGrid w:val="0"/>
        </w:rPr>
        <w:t xml:space="preserve"> </w:t>
      </w:r>
      <w:r w:rsidR="00FF467F" w:rsidRPr="00EC57FB">
        <w:rPr>
          <w:snapToGrid w:val="0"/>
        </w:rPr>
        <w:t>As discussed above, t</w:t>
      </w:r>
      <w:r w:rsidR="00FF467F" w:rsidRPr="00EC57FB">
        <w:t>he PBAC advised that it would be appropriate to add the 8-month age limit to the proposed NIP listing for infants born during or entering their first RSV season</w:t>
      </w:r>
      <w:r w:rsidR="00AD584B" w:rsidRPr="00EC57FB">
        <w:t xml:space="preserve"> (consistent with the AIH)</w:t>
      </w:r>
      <w:r w:rsidR="00FF467F" w:rsidRPr="00EC57FB">
        <w:t xml:space="preserve">, and </w:t>
      </w:r>
      <w:r w:rsidR="00AD584B" w:rsidRPr="00EC57FB">
        <w:t xml:space="preserve">the </w:t>
      </w:r>
      <w:r w:rsidR="00FF467F" w:rsidRPr="00EC57FB">
        <w:t xml:space="preserve">financial estimates </w:t>
      </w:r>
      <w:r w:rsidR="00AD584B" w:rsidRPr="00EC57FB">
        <w:t xml:space="preserve">should be updated </w:t>
      </w:r>
      <w:r w:rsidR="00FF467F" w:rsidRPr="00EC57FB">
        <w:t xml:space="preserve">accordingly (paragraph </w:t>
      </w:r>
      <w:r w:rsidR="00FF467F" w:rsidRPr="00EC57FB">
        <w:fldChar w:fldCharType="begin"/>
      </w:r>
      <w:r w:rsidR="00FF467F" w:rsidRPr="00EC57FB">
        <w:instrText xml:space="preserve"> REF _Ref200114216 \r \h </w:instrText>
      </w:r>
      <w:r w:rsidR="00FF467F" w:rsidRPr="00EC57FB">
        <w:fldChar w:fldCharType="separate"/>
      </w:r>
      <w:r w:rsidR="00502C25">
        <w:t>7.10</w:t>
      </w:r>
      <w:r w:rsidR="00FF467F" w:rsidRPr="00EC57FB">
        <w:fldChar w:fldCharType="end"/>
      </w:r>
      <w:r w:rsidR="00FF467F" w:rsidRPr="00EC57FB">
        <w:t>).</w:t>
      </w:r>
      <w:bookmarkEnd w:id="164"/>
      <w:r w:rsidR="00FF467F" w:rsidRPr="00EC57FB">
        <w:t xml:space="preserve"> </w:t>
      </w:r>
    </w:p>
    <w:p w14:paraId="30C8F3CD" w14:textId="502B52E2" w:rsidR="00746C6F" w:rsidRPr="00EC57FB" w:rsidRDefault="00746C6F" w:rsidP="00746C6F">
      <w:pPr>
        <w:pStyle w:val="3-BodyText"/>
        <w:numPr>
          <w:ilvl w:val="1"/>
          <w:numId w:val="1"/>
        </w:numPr>
        <w:spacing w:before="120"/>
      </w:pPr>
      <w:bookmarkStart w:id="165" w:name="_Ref199356003"/>
      <w:bookmarkStart w:id="166" w:name="_Ref167369439"/>
      <w:r w:rsidRPr="00EC57FB">
        <w:t>The PBAC considered that nirsevimab could be recommended for NIP listing if the following criteria were met:</w:t>
      </w:r>
      <w:bookmarkEnd w:id="165"/>
    </w:p>
    <w:bookmarkEnd w:id="166"/>
    <w:p w14:paraId="770C2620" w14:textId="22D63F82" w:rsidR="00CA2F24" w:rsidRPr="00EC57FB" w:rsidRDefault="00746C6F" w:rsidP="00DC4191">
      <w:pPr>
        <w:pStyle w:val="ListParagraph"/>
        <w:ind w:left="1134"/>
        <w:jc w:val="both"/>
      </w:pPr>
      <w:r w:rsidRPr="00EC57FB">
        <w:t>Notification from the Department that a</w:t>
      </w:r>
      <w:r w:rsidR="00CA2F24" w:rsidRPr="00EC57FB">
        <w:t xml:space="preserve"> pathway for the listing of passive immunisation strategies on the NIP has been established</w:t>
      </w:r>
      <w:r w:rsidR="00FC5C63" w:rsidRPr="00EC57FB">
        <w:t>,</w:t>
      </w:r>
      <w:r w:rsidR="00CA2F24" w:rsidRPr="00EC57FB">
        <w:t xml:space="preserve"> thereby allowing </w:t>
      </w:r>
      <w:r w:rsidR="00FC5C63" w:rsidRPr="00EC57FB">
        <w:t xml:space="preserve">monoclonal antibodies such as </w:t>
      </w:r>
      <w:r w:rsidRPr="00EC57FB">
        <w:t xml:space="preserve">nirsevimab </w:t>
      </w:r>
      <w:r w:rsidR="00FC5C63" w:rsidRPr="00EC57FB">
        <w:t xml:space="preserve">to be made available </w:t>
      </w:r>
      <w:r w:rsidRPr="00EC57FB">
        <w:t>on the NIP;</w:t>
      </w:r>
    </w:p>
    <w:p w14:paraId="0C21224A" w14:textId="673B12C6" w:rsidR="00356148" w:rsidRPr="00EC57FB" w:rsidRDefault="009B6567" w:rsidP="00DC4191">
      <w:pPr>
        <w:pStyle w:val="ListParagraph"/>
        <w:ind w:left="1134"/>
        <w:jc w:val="both"/>
      </w:pPr>
      <w:r w:rsidRPr="00EC57FB">
        <w:t>Written proposal from the sponsor</w:t>
      </w:r>
      <w:r w:rsidR="00356148" w:rsidRPr="00EC57FB">
        <w:t xml:space="preserve"> including:</w:t>
      </w:r>
    </w:p>
    <w:p w14:paraId="26951368" w14:textId="56497567" w:rsidR="00746C6F" w:rsidRPr="00EC57FB" w:rsidRDefault="001315EF" w:rsidP="00577C66">
      <w:pPr>
        <w:pStyle w:val="ListParagraph"/>
        <w:numPr>
          <w:ilvl w:val="1"/>
          <w:numId w:val="10"/>
        </w:numPr>
        <w:ind w:left="1560"/>
        <w:jc w:val="both"/>
      </w:pPr>
      <w:r w:rsidRPr="00EC57FB">
        <w:t xml:space="preserve">Calculation of a weighted </w:t>
      </w:r>
      <w:r w:rsidR="00746C6F" w:rsidRPr="00EC57FB">
        <w:t>price for nirsevimab</w:t>
      </w:r>
      <w:r w:rsidRPr="00EC57FB">
        <w:t xml:space="preserve"> </w:t>
      </w:r>
      <w:r w:rsidR="00746C6F" w:rsidRPr="00EC57FB">
        <w:t xml:space="preserve">as </w:t>
      </w:r>
      <w:r w:rsidR="00D32B3E" w:rsidRPr="00EC57FB">
        <w:t>described in</w:t>
      </w:r>
      <w:r w:rsidR="00746C6F" w:rsidRPr="00EC57FB">
        <w:t xml:space="preserve"> paragraph</w:t>
      </w:r>
      <w:r w:rsidR="00D32B3E" w:rsidRPr="00EC57FB">
        <w:t xml:space="preserve"> </w:t>
      </w:r>
      <w:r w:rsidR="00724FA2" w:rsidRPr="00EC57FB">
        <w:fldChar w:fldCharType="begin"/>
      </w:r>
      <w:r w:rsidR="00724FA2" w:rsidRPr="00EC57FB">
        <w:instrText xml:space="preserve"> REF _Ref200116922 \r \h </w:instrText>
      </w:r>
      <w:r w:rsidR="00724FA2" w:rsidRPr="00EC57FB">
        <w:fldChar w:fldCharType="separate"/>
      </w:r>
      <w:r w:rsidR="00502C25">
        <w:t>7.18</w:t>
      </w:r>
      <w:r w:rsidR="00724FA2" w:rsidRPr="00EC57FB">
        <w:fldChar w:fldCharType="end"/>
      </w:r>
      <w:r w:rsidR="00746C6F" w:rsidRPr="00EC57FB">
        <w:t>;</w:t>
      </w:r>
    </w:p>
    <w:p w14:paraId="58FC8EDF" w14:textId="6E4F4B7D" w:rsidR="00AD584B" w:rsidRPr="00EC57FB" w:rsidRDefault="00746C6F" w:rsidP="00577C66">
      <w:pPr>
        <w:pStyle w:val="ListParagraph"/>
        <w:numPr>
          <w:ilvl w:val="1"/>
          <w:numId w:val="10"/>
        </w:numPr>
        <w:ind w:left="1560"/>
        <w:jc w:val="both"/>
      </w:pPr>
      <w:r w:rsidRPr="00EC57FB">
        <w:t>Recalculation of the financial implications using the revised nirsevimab price</w:t>
      </w:r>
      <w:r w:rsidR="005B1CBB" w:rsidRPr="00EC57FB">
        <w:t>, noting this would also allow the sponsor an opportunity to revise or confirm its estimates for uptake in each of the populations for nirsevimab that are used for generation of a weighted price</w:t>
      </w:r>
      <w:r w:rsidRPr="00EC57FB">
        <w:t>.</w:t>
      </w:r>
      <w:r w:rsidR="00577C66">
        <w:t xml:space="preserve"> </w:t>
      </w:r>
      <w:r w:rsidR="00AD584B" w:rsidRPr="00EC57FB">
        <w:t xml:space="preserve">The revised estimates should address advice provided in paragraph </w:t>
      </w:r>
      <w:r w:rsidR="00AD584B" w:rsidRPr="00EC57FB">
        <w:fldChar w:fldCharType="begin"/>
      </w:r>
      <w:r w:rsidR="00AD584B" w:rsidRPr="00EC57FB">
        <w:instrText xml:space="preserve"> REF _Ref200114380 \r \h </w:instrText>
      </w:r>
      <w:r w:rsidR="00AD584B" w:rsidRPr="00EC57FB">
        <w:fldChar w:fldCharType="separate"/>
      </w:r>
      <w:r w:rsidR="00502C25">
        <w:t>7.19</w:t>
      </w:r>
      <w:r w:rsidR="00AD584B" w:rsidRPr="00EC57FB">
        <w:fldChar w:fldCharType="end"/>
      </w:r>
      <w:r w:rsidR="00AD584B" w:rsidRPr="00EC57FB">
        <w:t>.</w:t>
      </w:r>
    </w:p>
    <w:p w14:paraId="053C4D94" w14:textId="466D3206" w:rsidR="00E50FF8" w:rsidRPr="00577C66" w:rsidRDefault="00356148" w:rsidP="00577C66">
      <w:pPr>
        <w:pStyle w:val="3-BodyText"/>
        <w:rPr>
          <w:snapToGrid w:val="0"/>
        </w:rPr>
      </w:pPr>
      <w:r w:rsidRPr="00EC57FB">
        <w:t xml:space="preserve">The PBAC noted that the sponsor may reinitiate the process of PBAC consideration </w:t>
      </w:r>
      <w:r w:rsidR="00EF1405" w:rsidRPr="00EC57FB">
        <w:t xml:space="preserve">for nirsevimab </w:t>
      </w:r>
      <w:r w:rsidRPr="00EC57FB">
        <w:t xml:space="preserve">by providing a written proposal after notification from the Department that NIP eligibility concerns have been resolved, consistent with paragraph </w:t>
      </w:r>
      <w:r w:rsidRPr="00EC57FB">
        <w:fldChar w:fldCharType="begin"/>
      </w:r>
      <w:r w:rsidRPr="00EC57FB">
        <w:instrText xml:space="preserve"> REF _Ref199356003 \r \h </w:instrText>
      </w:r>
      <w:r w:rsidRPr="00EC57FB">
        <w:fldChar w:fldCharType="separate"/>
      </w:r>
      <w:r w:rsidR="00502C25">
        <w:t>7.20</w:t>
      </w:r>
      <w:r w:rsidRPr="00EC57FB">
        <w:fldChar w:fldCharType="end"/>
      </w:r>
      <w:r w:rsidRPr="00EC57FB">
        <w:t>.</w:t>
      </w:r>
    </w:p>
    <w:p w14:paraId="7578DC69" w14:textId="77777777" w:rsidR="00E50FF8" w:rsidRPr="00EC57FB" w:rsidRDefault="00E50FF8" w:rsidP="00E50FF8">
      <w:pPr>
        <w:spacing w:before="240"/>
        <w:rPr>
          <w:rFonts w:asciiTheme="minorHAnsi" w:hAnsiTheme="minorHAnsi"/>
          <w:b/>
          <w:bCs/>
          <w:snapToGrid w:val="0"/>
        </w:rPr>
      </w:pPr>
      <w:r w:rsidRPr="00EC57FB">
        <w:rPr>
          <w:rFonts w:asciiTheme="minorHAnsi" w:hAnsiTheme="minorHAnsi"/>
          <w:b/>
          <w:bCs/>
          <w:snapToGrid w:val="0"/>
        </w:rPr>
        <w:lastRenderedPageBreak/>
        <w:t>Outcome:</w:t>
      </w:r>
    </w:p>
    <w:p w14:paraId="38ACAA72" w14:textId="56F0E8E0" w:rsidR="00E50FF8" w:rsidRDefault="00557247" w:rsidP="00E50FF8">
      <w:pPr>
        <w:rPr>
          <w:rFonts w:asciiTheme="minorHAnsi" w:hAnsiTheme="minorHAnsi"/>
          <w:bCs/>
          <w:snapToGrid w:val="0"/>
        </w:rPr>
      </w:pPr>
      <w:r w:rsidRPr="00EC57FB">
        <w:rPr>
          <w:rFonts w:asciiTheme="minorHAnsi" w:hAnsiTheme="minorHAnsi"/>
          <w:bCs/>
          <w:snapToGrid w:val="0"/>
        </w:rPr>
        <w:t>Deferred</w:t>
      </w:r>
    </w:p>
    <w:p w14:paraId="00252A44" w14:textId="77777777" w:rsidR="00856C9D" w:rsidRPr="00856C9D" w:rsidRDefault="00856C9D" w:rsidP="00856C9D">
      <w:pPr>
        <w:pStyle w:val="2-SectionHeading"/>
      </w:pPr>
      <w:r w:rsidRPr="00856C9D">
        <w:t>Context for Decision</w:t>
      </w:r>
    </w:p>
    <w:p w14:paraId="2CD310D3" w14:textId="77777777" w:rsidR="00856C9D" w:rsidRPr="00061CBE" w:rsidRDefault="00856C9D" w:rsidP="00856C9D">
      <w:pPr>
        <w:pStyle w:val="3-BodyText"/>
        <w:numPr>
          <w:ilvl w:val="0"/>
          <w:numId w:val="0"/>
        </w:numPr>
        <w:ind w:left="720"/>
        <w:rPr>
          <w:lang w:val="en-GB"/>
        </w:rPr>
      </w:pPr>
      <w:r w:rsidRPr="00061CBE">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839493E" w14:textId="1BA90EFA" w:rsidR="00856C9D" w:rsidRPr="00856C9D" w:rsidRDefault="00856C9D" w:rsidP="00856C9D">
      <w:pPr>
        <w:pStyle w:val="2-SectionHeading"/>
      </w:pPr>
      <w:r w:rsidRPr="00856C9D">
        <w:t>Sponsor’s Comment</w:t>
      </w:r>
    </w:p>
    <w:bookmarkEnd w:id="157"/>
    <w:bookmarkEnd w:id="158"/>
    <w:p w14:paraId="3FBDD29D" w14:textId="323C10CD" w:rsidR="006E1A8D" w:rsidRDefault="00F83699" w:rsidP="00096A0D">
      <w:pPr>
        <w:pStyle w:val="3-BodyText"/>
        <w:numPr>
          <w:ilvl w:val="0"/>
          <w:numId w:val="0"/>
        </w:numPr>
        <w:ind w:left="720"/>
      </w:pPr>
      <w:r w:rsidRPr="00F83699">
        <w:rPr>
          <w:lang w:val="en-GB"/>
        </w:rPr>
        <w:t>Sanofi-Aventis believes that</w:t>
      </w:r>
      <w:r w:rsidRPr="00F83699" w:rsidDel="00F83699">
        <w:rPr>
          <w:lang w:val="en-GB"/>
        </w:rPr>
        <w:t xml:space="preserve"> </w:t>
      </w:r>
      <w:r w:rsidR="00096A0D">
        <w:rPr>
          <w:lang w:val="en-GB"/>
        </w:rPr>
        <w:t>t</w:t>
      </w:r>
      <w:r w:rsidR="006E1A8D">
        <w:t>he primary objective of an RSV immunisation program is to achieve broad coverage that ensures protection for all infants.</w:t>
      </w:r>
      <w:r w:rsidR="00096A0D">
        <w:t xml:space="preserve"> Sanofi believes that</w:t>
      </w:r>
      <w:r w:rsidR="006E1A8D">
        <w:t xml:space="preserve"> </w:t>
      </w:r>
      <w:r w:rsidR="00096A0D">
        <w:t>n</w:t>
      </w:r>
      <w:r w:rsidR="006E1A8D">
        <w:t xml:space="preserve">irsevimab plays an important role in avoiding the significant burden associated with RSV in infants. </w:t>
      </w:r>
      <w:r w:rsidR="00096A0D">
        <w:t>Sanofi is of the opinion that t</w:t>
      </w:r>
      <w:r w:rsidR="006E1A8D">
        <w:t>he success of nirsevimab immunisation has been demonstrated in state</w:t>
      </w:r>
      <w:r w:rsidR="00DD3E47">
        <w:t>-based</w:t>
      </w:r>
      <w:r w:rsidR="006E1A8D">
        <w:t xml:space="preserve"> programs across Australia, in terms of vaccine effectiveness and cost effectiveness, and similar best practice programs continue to be rolled out overseas.</w:t>
      </w:r>
    </w:p>
    <w:p w14:paraId="43005D5D" w14:textId="74574791" w:rsidR="00577C66" w:rsidRPr="00EC57FB" w:rsidRDefault="009A5989" w:rsidP="00096A0D">
      <w:pPr>
        <w:pStyle w:val="3-BodyText"/>
        <w:numPr>
          <w:ilvl w:val="0"/>
          <w:numId w:val="0"/>
        </w:numPr>
        <w:ind w:left="720"/>
        <w:rPr>
          <w:snapToGrid w:val="0"/>
        </w:rPr>
      </w:pPr>
      <w:r>
        <w:t>Sanofi</w:t>
      </w:r>
      <w:r w:rsidR="006E1A8D">
        <w:t xml:space="preserve"> recognise the legislative complexities involved in listing nirsevimab on the National Immunisation Program. </w:t>
      </w:r>
      <w:r>
        <w:t>Sanofi believes that, w</w:t>
      </w:r>
      <w:r w:rsidR="006E1A8D">
        <w:t>ith planning already underway for next year's RSV season, timely legislative amendments are critical to ensure comprehensive national protection. While these discussions are ongoing, Sanofi remains committed to ensuring infants remain protected through established state- and territory-funded nirsevimab programs.</w:t>
      </w:r>
    </w:p>
    <w:sectPr w:rsidR="00577C66" w:rsidRPr="00EC57FB" w:rsidSect="00D95EBB">
      <w:headerReference w:type="even" r:id="rId34"/>
      <w:headerReference w:type="default" r:id="rId35"/>
      <w:footerReference w:type="even" r:id="rId36"/>
      <w:footerReference w:type="default" r:id="rId37"/>
      <w:headerReference w:type="first" r:id="rId38"/>
      <w:footerReference w:type="first" r:id="rId3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24FB" w14:textId="77777777" w:rsidR="0040391B" w:rsidRPr="00EC57FB" w:rsidRDefault="0040391B" w:rsidP="00124A51">
      <w:r w:rsidRPr="00EC57FB">
        <w:separator/>
      </w:r>
    </w:p>
    <w:p w14:paraId="02C5717A" w14:textId="77777777" w:rsidR="0040391B" w:rsidRPr="00EC57FB" w:rsidRDefault="0040391B"/>
  </w:endnote>
  <w:endnote w:type="continuationSeparator" w:id="0">
    <w:p w14:paraId="4E4115DF" w14:textId="77777777" w:rsidR="0040391B" w:rsidRPr="00EC57FB" w:rsidRDefault="0040391B" w:rsidP="00124A51">
      <w:r w:rsidRPr="00EC57FB">
        <w:continuationSeparator/>
      </w:r>
    </w:p>
    <w:p w14:paraId="31F0E4A7" w14:textId="77777777" w:rsidR="0040391B" w:rsidRPr="00EC57FB" w:rsidRDefault="0040391B"/>
  </w:endnote>
  <w:endnote w:type="continuationNotice" w:id="1">
    <w:p w14:paraId="40EA58CA" w14:textId="77777777" w:rsidR="0040391B" w:rsidRPr="00EC57FB" w:rsidRDefault="00403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17D5" w14:textId="543B324F" w:rsidR="000F5701" w:rsidRDefault="007C15E6">
    <w:pPr>
      <w:pStyle w:val="Footer"/>
    </w:pPr>
    <w:r>
      <w:rPr>
        <w:noProof/>
      </w:rPr>
      <mc:AlternateContent>
        <mc:Choice Requires="wps">
          <w:drawing>
            <wp:anchor distT="0" distB="0" distL="0" distR="0" simplePos="0" relativeHeight="251668480" behindDoc="0" locked="0" layoutInCell="1" allowOverlap="1" wp14:anchorId="7E05F582" wp14:editId="4A2D64DE">
              <wp:simplePos x="635" y="635"/>
              <wp:positionH relativeFrom="page">
                <wp:align>center</wp:align>
              </wp:positionH>
              <wp:positionV relativeFrom="page">
                <wp:align>bottom</wp:align>
              </wp:positionV>
              <wp:extent cx="551815" cy="376555"/>
              <wp:effectExtent l="0" t="0" r="635" b="0"/>
              <wp:wrapNone/>
              <wp:docPr id="7969451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BFEE03" w14:textId="1A1AD909" w:rsidR="007C15E6" w:rsidRPr="007C15E6" w:rsidRDefault="007C15E6" w:rsidP="007C15E6">
                          <w:pPr>
                            <w:rPr>
                              <w:rFonts w:eastAsia="Calibri" w:cs="Calibri"/>
                              <w:noProof/>
                              <w:color w:val="FF0000"/>
                            </w:rPr>
                          </w:pPr>
                          <w:r w:rsidRPr="007C15E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5F582"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CBFEE03" w14:textId="1A1AD909" w:rsidR="007C15E6" w:rsidRPr="007C15E6" w:rsidRDefault="007C15E6" w:rsidP="007C15E6">
                    <w:pPr>
                      <w:rPr>
                        <w:rFonts w:eastAsia="Calibri" w:cs="Calibri"/>
                        <w:noProof/>
                        <w:color w:val="FF0000"/>
                      </w:rPr>
                    </w:pPr>
                    <w:r w:rsidRPr="007C15E6">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264B" w14:textId="30B4CC9C" w:rsidR="00B644D1" w:rsidRPr="00EC57FB" w:rsidRDefault="007C15E6" w:rsidP="00B644D1">
    <w:pPr>
      <w:pStyle w:val="Footer"/>
      <w:jc w:val="center"/>
    </w:pPr>
    <w:r>
      <w:rPr>
        <w:noProof/>
      </w:rPr>
      <mc:AlternateContent>
        <mc:Choice Requires="wps">
          <w:drawing>
            <wp:anchor distT="0" distB="0" distL="0" distR="0" simplePos="0" relativeHeight="251669504" behindDoc="0" locked="0" layoutInCell="1" allowOverlap="1" wp14:anchorId="231A3B2A" wp14:editId="19D6D11E">
              <wp:simplePos x="635" y="635"/>
              <wp:positionH relativeFrom="page">
                <wp:align>center</wp:align>
              </wp:positionH>
              <wp:positionV relativeFrom="page">
                <wp:align>bottom</wp:align>
              </wp:positionV>
              <wp:extent cx="551815" cy="376555"/>
              <wp:effectExtent l="0" t="0" r="635" b="0"/>
              <wp:wrapNone/>
              <wp:docPr id="102224218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B936A3" w14:textId="5771EA26" w:rsidR="007C15E6" w:rsidRPr="007C15E6" w:rsidRDefault="007C15E6" w:rsidP="007C15E6">
                          <w:pPr>
                            <w:rPr>
                              <w:rFonts w:eastAsia="Calibri" w:cs="Calibri"/>
                              <w:noProof/>
                              <w:color w:val="FF0000"/>
                            </w:rPr>
                          </w:pPr>
                          <w:r w:rsidRPr="007C15E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1A3B2A"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7B936A3" w14:textId="5771EA26" w:rsidR="007C15E6" w:rsidRPr="007C15E6" w:rsidRDefault="007C15E6" w:rsidP="007C15E6">
                    <w:pPr>
                      <w:rPr>
                        <w:rFonts w:eastAsia="Calibri" w:cs="Calibri"/>
                        <w:noProof/>
                        <w:color w:val="FF0000"/>
                      </w:rPr>
                    </w:pPr>
                    <w:r w:rsidRPr="007C15E6">
                      <w:rPr>
                        <w:rFonts w:eastAsia="Calibri" w:cs="Calibri"/>
                        <w:noProof/>
                        <w:color w:val="FF0000"/>
                      </w:rPr>
                      <w:t>OFFICIAL</w:t>
                    </w:r>
                  </w:p>
                </w:txbxContent>
              </v:textbox>
              <w10:wrap anchorx="page" anchory="page"/>
            </v:shape>
          </w:pict>
        </mc:Fallback>
      </mc:AlternateContent>
    </w:r>
  </w:p>
  <w:p w14:paraId="37484CD3" w14:textId="7BC82D6C" w:rsidR="00D843F2" w:rsidRPr="00EC57FB" w:rsidRDefault="00000000" w:rsidP="00B644D1">
    <w:pPr>
      <w:pStyle w:val="Footer"/>
      <w:jc w:val="center"/>
      <w:rPr>
        <w:b/>
        <w:bCs/>
      </w:rPr>
    </w:pPr>
    <w:sdt>
      <w:sdtPr>
        <w:id w:val="1036156457"/>
        <w:docPartObj>
          <w:docPartGallery w:val="Page Numbers (Bottom of Page)"/>
          <w:docPartUnique/>
        </w:docPartObj>
      </w:sdtPr>
      <w:sdtEndPr>
        <w:rPr>
          <w:b/>
          <w:bCs/>
        </w:rPr>
      </w:sdtEndPr>
      <w:sdtContent>
        <w:r w:rsidR="00B644D1" w:rsidRPr="00EC57FB">
          <w:rPr>
            <w:b/>
            <w:bCs/>
          </w:rPr>
          <w:fldChar w:fldCharType="begin"/>
        </w:r>
        <w:r w:rsidR="00B644D1" w:rsidRPr="00EC57FB">
          <w:rPr>
            <w:b/>
            <w:bCs/>
          </w:rPr>
          <w:instrText xml:space="preserve"> PAGE   \* MERGEFORMAT </w:instrText>
        </w:r>
        <w:r w:rsidR="00B644D1" w:rsidRPr="00EC57FB">
          <w:rPr>
            <w:b/>
            <w:bCs/>
          </w:rPr>
          <w:fldChar w:fldCharType="separate"/>
        </w:r>
        <w:r w:rsidR="00B644D1" w:rsidRPr="00EC57FB">
          <w:rPr>
            <w:b/>
            <w:bCs/>
          </w:rPr>
          <w:t>3</w:t>
        </w:r>
        <w:r w:rsidR="00B644D1" w:rsidRPr="00EC57FB">
          <w:rPr>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81EE" w14:textId="70C4083A" w:rsidR="000F5701" w:rsidRDefault="007C15E6">
    <w:pPr>
      <w:pStyle w:val="Footer"/>
    </w:pPr>
    <w:r>
      <w:rPr>
        <w:noProof/>
      </w:rPr>
      <mc:AlternateContent>
        <mc:Choice Requires="wps">
          <w:drawing>
            <wp:anchor distT="0" distB="0" distL="0" distR="0" simplePos="0" relativeHeight="251667456" behindDoc="0" locked="0" layoutInCell="1" allowOverlap="1" wp14:anchorId="2B7C8F02" wp14:editId="05921A53">
              <wp:simplePos x="635" y="635"/>
              <wp:positionH relativeFrom="page">
                <wp:align>center</wp:align>
              </wp:positionH>
              <wp:positionV relativeFrom="page">
                <wp:align>bottom</wp:align>
              </wp:positionV>
              <wp:extent cx="551815" cy="376555"/>
              <wp:effectExtent l="0" t="0" r="635" b="0"/>
              <wp:wrapNone/>
              <wp:docPr id="5268298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62A78F" w14:textId="3CC2D1F8" w:rsidR="007C15E6" w:rsidRPr="007C15E6" w:rsidRDefault="007C15E6" w:rsidP="007C15E6">
                          <w:pPr>
                            <w:rPr>
                              <w:rFonts w:eastAsia="Calibri" w:cs="Calibri"/>
                              <w:noProof/>
                              <w:color w:val="FF0000"/>
                            </w:rPr>
                          </w:pPr>
                          <w:r w:rsidRPr="007C15E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7C8F02"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D62A78F" w14:textId="3CC2D1F8" w:rsidR="007C15E6" w:rsidRPr="007C15E6" w:rsidRDefault="007C15E6" w:rsidP="007C15E6">
                    <w:pPr>
                      <w:rPr>
                        <w:rFonts w:eastAsia="Calibri" w:cs="Calibri"/>
                        <w:noProof/>
                        <w:color w:val="FF0000"/>
                      </w:rPr>
                    </w:pPr>
                    <w:r w:rsidRPr="007C15E6">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DBB9" w14:textId="77777777" w:rsidR="0040391B" w:rsidRPr="00EC57FB" w:rsidRDefault="0040391B" w:rsidP="00124A51">
      <w:r w:rsidRPr="00EC57FB">
        <w:separator/>
      </w:r>
    </w:p>
    <w:p w14:paraId="540BFFBA" w14:textId="77777777" w:rsidR="0040391B" w:rsidRPr="00EC57FB" w:rsidRDefault="0040391B"/>
  </w:footnote>
  <w:footnote w:type="continuationSeparator" w:id="0">
    <w:p w14:paraId="2178B260" w14:textId="77777777" w:rsidR="0040391B" w:rsidRPr="00EC57FB" w:rsidRDefault="0040391B" w:rsidP="00124A51">
      <w:r w:rsidRPr="00EC57FB">
        <w:continuationSeparator/>
      </w:r>
    </w:p>
    <w:p w14:paraId="2E5FC90B" w14:textId="77777777" w:rsidR="0040391B" w:rsidRPr="00EC57FB" w:rsidRDefault="0040391B"/>
  </w:footnote>
  <w:footnote w:type="continuationNotice" w:id="1">
    <w:p w14:paraId="2D1300DB" w14:textId="77777777" w:rsidR="0040391B" w:rsidRPr="00EC57FB" w:rsidRDefault="0040391B"/>
  </w:footnote>
  <w:footnote w:id="2">
    <w:p w14:paraId="2494C810" w14:textId="77777777" w:rsidR="00A92202" w:rsidRPr="00EC57FB" w:rsidRDefault="00A92202" w:rsidP="00A92202">
      <w:pPr>
        <w:pStyle w:val="FootnoteText"/>
        <w:jc w:val="left"/>
      </w:pPr>
      <w:r w:rsidRPr="00EC57FB">
        <w:rPr>
          <w:rStyle w:val="FootnoteReference"/>
        </w:rPr>
        <w:footnoteRef/>
      </w:r>
      <w:r w:rsidRPr="00EC57FB">
        <w:t xml:space="preserve"> </w:t>
      </w:r>
      <w:hyperlink r:id="rId1" w:history="1">
        <w:r w:rsidRPr="00EC57FB">
          <w:rPr>
            <w:rStyle w:val="Hyperlink"/>
          </w:rPr>
          <w:t>https://immunisationhandbook.health.gov.au/contents/vaccine-preventable-diseases/respiratory-syncytial-virus-rsv</w:t>
        </w:r>
      </w:hyperlink>
      <w:r w:rsidRPr="00EC57FB">
        <w:t xml:space="preserve"> </w:t>
      </w:r>
    </w:p>
  </w:footnote>
  <w:footnote w:id="3">
    <w:p w14:paraId="5F87F64A" w14:textId="74E65496" w:rsidR="005045A9" w:rsidRPr="00EC57FB" w:rsidRDefault="005045A9" w:rsidP="00A92202">
      <w:pPr>
        <w:pStyle w:val="FootnoteText"/>
        <w:jc w:val="left"/>
      </w:pPr>
      <w:r w:rsidRPr="00EC57FB">
        <w:rPr>
          <w:rStyle w:val="FootnoteReference"/>
        </w:rPr>
        <w:footnoteRef/>
      </w:r>
      <w:r w:rsidR="00A92202" w:rsidRPr="00EC57FB">
        <w:t xml:space="preserve"> </w:t>
      </w:r>
      <w:hyperlink r:id="rId2" w:history="1">
        <w:r w:rsidR="00A92202" w:rsidRPr="00EC57FB">
          <w:rPr>
            <w:rStyle w:val="Hyperlink"/>
          </w:rPr>
          <w:t>https://ncirs.org.au/ncirs-releases-suite-new-and-updated-rsv-resources-infant-protection-programs-launched-across</w:t>
        </w:r>
      </w:hyperlink>
      <w:r w:rsidRPr="00EC57FB">
        <w:t xml:space="preserve"> </w:t>
      </w:r>
    </w:p>
  </w:footnote>
  <w:footnote w:id="4">
    <w:p w14:paraId="10BDFE4B" w14:textId="7595BA27" w:rsidR="001E1F27" w:rsidRPr="00EC57FB" w:rsidRDefault="001E1F27" w:rsidP="001E1F27">
      <w:pPr>
        <w:pStyle w:val="FootnoteText"/>
        <w:ind w:left="284" w:hanging="284"/>
      </w:pPr>
      <w:r w:rsidRPr="00EC57FB">
        <w:rPr>
          <w:rStyle w:val="FootnoteReference"/>
        </w:rPr>
        <w:footnoteRef/>
      </w:r>
      <w:r w:rsidRPr="00EC57FB">
        <w:t xml:space="preserve"> </w:t>
      </w:r>
      <w:r w:rsidRPr="00EC57FB">
        <w:tab/>
      </w:r>
      <w:hyperlink r:id="rId3" w:history="1">
        <w:r w:rsidR="001F4FDD" w:rsidRPr="00EC57FB">
          <w:rPr>
            <w:rStyle w:val="Hyperlink"/>
          </w:rPr>
          <w:t>https://www.health.gov.au/ministers/the-hon-mark-butler-mp/media/protection-against-rsv-for-mums-and-bubs-with-free-vaccine-available-from-3-february-0</w:t>
        </w:r>
      </w:hyperlink>
      <w:r w:rsidR="001F4FDD" w:rsidRPr="00EC57FB">
        <w:t xml:space="preserve"> [Last </w:t>
      </w:r>
      <w:r w:rsidR="00BC5781" w:rsidRPr="00EC57FB">
        <w:t>accessed</w:t>
      </w:r>
      <w:r w:rsidR="001F4FDD" w:rsidRPr="00EC57FB">
        <w:t>: 20 Jan 2025]</w:t>
      </w:r>
    </w:p>
  </w:footnote>
  <w:footnote w:id="5">
    <w:p w14:paraId="2653B531" w14:textId="62E5E03E" w:rsidR="00521A2C" w:rsidRPr="00EC57FB" w:rsidRDefault="00521A2C">
      <w:pPr>
        <w:pStyle w:val="FootnoteText"/>
      </w:pPr>
      <w:r w:rsidRPr="00EC57FB">
        <w:rPr>
          <w:rStyle w:val="FootnoteReference"/>
        </w:rPr>
        <w:footnoteRef/>
      </w:r>
      <w:r w:rsidRPr="00EC57FB">
        <w:t xml:space="preserve"> </w:t>
      </w:r>
      <w:hyperlink r:id="rId4" w:history="1">
        <w:r w:rsidRPr="00EC57FB">
          <w:rPr>
            <w:rStyle w:val="Hyperlink"/>
          </w:rPr>
          <w:t>https://immunisationhandbook.health.gov.au/contents/vaccine-preventable-diseases/respiratory-syncytial-virus-rsv</w:t>
        </w:r>
      </w:hyperlink>
      <w:r w:rsidRPr="00EC57FB">
        <w:t xml:space="preserve"> </w:t>
      </w:r>
    </w:p>
  </w:footnote>
  <w:footnote w:id="6">
    <w:p w14:paraId="273F4985" w14:textId="3EF1599D" w:rsidR="0050322E" w:rsidRPr="00EC57FB" w:rsidRDefault="0050322E" w:rsidP="00401307">
      <w:pPr>
        <w:pStyle w:val="FootnoteText"/>
        <w:jc w:val="left"/>
      </w:pPr>
      <w:r w:rsidRPr="00EC57FB">
        <w:rPr>
          <w:rStyle w:val="FootnoteReference"/>
        </w:rPr>
        <w:footnoteRef/>
      </w:r>
      <w:r w:rsidRPr="00EC57FB">
        <w:t xml:space="preserve"> </w:t>
      </w:r>
      <w:r w:rsidR="00D458D9" w:rsidRPr="00EC57FB">
        <w:t>Ranmuthugala G</w:t>
      </w:r>
      <w:r w:rsidR="00105C89" w:rsidRPr="00EC57FB">
        <w:t>.</w:t>
      </w:r>
      <w:r w:rsidR="00D458D9" w:rsidRPr="00EC57FB">
        <w:t>, Brown L</w:t>
      </w:r>
      <w:r w:rsidR="003D41E1" w:rsidRPr="00EC57FB">
        <w:t>.</w:t>
      </w:r>
      <w:r w:rsidR="00D458D9" w:rsidRPr="00EC57FB">
        <w:t>, Lidbury B</w:t>
      </w:r>
      <w:r w:rsidR="003D41E1" w:rsidRPr="00EC57FB">
        <w:t>.</w:t>
      </w:r>
      <w:r w:rsidR="00D458D9" w:rsidRPr="00EC57FB">
        <w:t>A</w:t>
      </w:r>
      <w:r w:rsidR="00B36220" w:rsidRPr="00EC57FB">
        <w:t>.</w:t>
      </w:r>
      <w:r w:rsidR="00D458D9" w:rsidRPr="00EC57FB">
        <w:t xml:space="preserve"> Respiratory syncytial virus – the unrecognised cause of health and economic burden among young children in Australia. </w:t>
      </w:r>
      <w:r w:rsidR="00D458D9" w:rsidRPr="00EC57FB">
        <w:rPr>
          <w:iCs/>
        </w:rPr>
        <w:t>Communicable Diseases Intelligence</w:t>
      </w:r>
      <w:r w:rsidR="00AD5704" w:rsidRPr="00EC57FB">
        <w:rPr>
          <w:iCs/>
        </w:rPr>
        <w:t>.</w:t>
      </w:r>
      <w:r w:rsidR="00AD5704" w:rsidRPr="00EC57FB">
        <w:t xml:space="preserve"> 2011;</w:t>
      </w:r>
      <w:r w:rsidR="00D458D9" w:rsidRPr="00EC57FB">
        <w:t>35(2)</w:t>
      </w:r>
      <w:r w:rsidR="00AD5704" w:rsidRPr="00EC57FB">
        <w:t>:177-84</w:t>
      </w:r>
      <w:r w:rsidR="00401307" w:rsidRPr="00EC57FB">
        <w:t xml:space="preserve">. Available at: </w:t>
      </w:r>
      <w:hyperlink r:id="rId5" w:history="1">
        <w:r w:rsidR="00401307" w:rsidRPr="00EC57FB">
          <w:rPr>
            <w:rStyle w:val="Hyperlink"/>
          </w:rPr>
          <w:t>https://www1.health.gov.au/internet/main/publishing.nsf/Content/cda-cdi3502h.htm</w:t>
        </w:r>
      </w:hyperlink>
      <w:r w:rsidR="00401307" w:rsidRPr="00EC57FB">
        <w:t xml:space="preserve"> [Last accessed: 28 Nov 2024]</w:t>
      </w:r>
    </w:p>
  </w:footnote>
  <w:footnote w:id="7">
    <w:p w14:paraId="4ED41ED1" w14:textId="61B74B7C" w:rsidR="006868FA" w:rsidRPr="00EC57FB" w:rsidRDefault="006868FA" w:rsidP="00A46D1A">
      <w:pPr>
        <w:pStyle w:val="FootnoteText"/>
        <w:jc w:val="left"/>
      </w:pPr>
      <w:r w:rsidRPr="00EC57FB">
        <w:rPr>
          <w:rStyle w:val="FootnoteReference"/>
        </w:rPr>
        <w:footnoteRef/>
      </w:r>
      <w:r w:rsidRPr="00EC57FB">
        <w:t xml:space="preserve"> </w:t>
      </w:r>
      <w:r w:rsidR="00A46D1A" w:rsidRPr="00EC57FB">
        <w:t>Smith D</w:t>
      </w:r>
      <w:r w:rsidR="00D86AA2" w:rsidRPr="00EC57FB">
        <w:t>.</w:t>
      </w:r>
      <w:r w:rsidR="00A46D1A" w:rsidRPr="00EC57FB">
        <w:t>K</w:t>
      </w:r>
      <w:r w:rsidR="00D86AA2" w:rsidRPr="00EC57FB">
        <w:t>.</w:t>
      </w:r>
      <w:r w:rsidR="00A46D1A" w:rsidRPr="00EC57FB">
        <w:t>, Seales S</w:t>
      </w:r>
      <w:r w:rsidR="00D86AA2" w:rsidRPr="00EC57FB">
        <w:t>.</w:t>
      </w:r>
      <w:r w:rsidR="00A46D1A" w:rsidRPr="00EC57FB">
        <w:t>, Budzik C</w:t>
      </w:r>
      <w:r w:rsidR="00D86AA2" w:rsidRPr="00EC57FB">
        <w:t>.</w:t>
      </w:r>
      <w:r w:rsidR="00A46D1A" w:rsidRPr="00EC57FB">
        <w:t xml:space="preserve"> Respiratory Syncytial Virus Bronchiolitis in Children. </w:t>
      </w:r>
      <w:r w:rsidR="00A46D1A" w:rsidRPr="00EC57FB">
        <w:rPr>
          <w:iCs/>
        </w:rPr>
        <w:t xml:space="preserve">Am Fam Physician. </w:t>
      </w:r>
      <w:r w:rsidR="00A46D1A" w:rsidRPr="00EC57FB">
        <w:t>95(2):pp94-9</w:t>
      </w:r>
      <w:r w:rsidR="00CA3FD5" w:rsidRPr="00EC57FB">
        <w:t xml:space="preserve"> </w:t>
      </w:r>
      <w:hyperlink r:id="rId6" w:history="1">
        <w:r w:rsidR="00CA3FD5" w:rsidRPr="00EC57FB">
          <w:rPr>
            <w:rStyle w:val="Hyperlink"/>
          </w:rPr>
          <w:t>https://www.aafp.org/pubs/afp/issues/2017/0115/p94.pdf</w:t>
        </w:r>
      </w:hyperlink>
      <w:r w:rsidR="00CA3FD5" w:rsidRPr="00EC57FB">
        <w:t xml:space="preserve"> </w:t>
      </w:r>
      <w:r w:rsidR="00343E71" w:rsidRPr="00EC57FB">
        <w:t>[Last accessed: 28 Nov 2024]</w:t>
      </w:r>
    </w:p>
  </w:footnote>
  <w:footnote w:id="8">
    <w:p w14:paraId="3CCCDD81" w14:textId="1DD7251B" w:rsidR="0055751C" w:rsidRPr="00EC57FB" w:rsidRDefault="0055751C" w:rsidP="00343E71">
      <w:pPr>
        <w:pStyle w:val="FootnoteText"/>
        <w:jc w:val="left"/>
      </w:pPr>
      <w:r w:rsidRPr="00EC57FB">
        <w:rPr>
          <w:rStyle w:val="FootnoteReference"/>
        </w:rPr>
        <w:footnoteRef/>
      </w:r>
      <w:r w:rsidRPr="00EC57FB">
        <w:t xml:space="preserve"> Havdal L.B., Bøås H., et al. Risk factors associated with severe disease in respiratory syncytial virus infected children under 5 years of age. </w:t>
      </w:r>
      <w:r w:rsidRPr="00EC57FB">
        <w:rPr>
          <w:iCs/>
        </w:rPr>
        <w:t>Frontiers in Pediatrics.</w:t>
      </w:r>
      <w:r w:rsidRPr="00EC57FB">
        <w:t xml:space="preserve"> </w:t>
      </w:r>
      <w:r w:rsidR="00605888" w:rsidRPr="00EC57FB">
        <w:t>2022;</w:t>
      </w:r>
      <w:r w:rsidR="006E0966" w:rsidRPr="00EC57FB">
        <w:t>10:1004739</w:t>
      </w:r>
      <w:r w:rsidR="00343E71" w:rsidRPr="00EC57FB">
        <w:t xml:space="preserve"> </w:t>
      </w:r>
      <w:hyperlink r:id="rId7" w:history="1">
        <w:r w:rsidR="00343E71" w:rsidRPr="00EC57FB">
          <w:rPr>
            <w:rStyle w:val="Hyperlink"/>
          </w:rPr>
          <w:t>https://doi.org/10.3389/fped.2022.1004739</w:t>
        </w:r>
      </w:hyperlink>
      <w:r w:rsidR="00343E71" w:rsidRPr="00EC57FB">
        <w:t xml:space="preserve"> [Last accessed: 28 Nov 2024]</w:t>
      </w:r>
    </w:p>
  </w:footnote>
  <w:footnote w:id="9">
    <w:p w14:paraId="6DE8692B" w14:textId="4DAB48AC" w:rsidR="002D4D14" w:rsidRPr="00EC57FB" w:rsidRDefault="002D4D14" w:rsidP="002F47C1">
      <w:pPr>
        <w:pStyle w:val="FootnoteText"/>
        <w:jc w:val="left"/>
      </w:pPr>
      <w:r w:rsidRPr="00EC57FB">
        <w:rPr>
          <w:rStyle w:val="FootnoteReference"/>
        </w:rPr>
        <w:footnoteRef/>
      </w:r>
      <w:r w:rsidRPr="00EC57FB">
        <w:t xml:space="preserve"> Australian Technical Advisory Group on Immunisation (ATAGI). Australian Immunisation Handbook, Australian Government Department of Health and Aged Care, Canberra, 2024</w:t>
      </w:r>
      <w:r w:rsidR="006B1C22" w:rsidRPr="00EC57FB">
        <w:t xml:space="preserve">. </w:t>
      </w:r>
      <w:r w:rsidR="008B0D36" w:rsidRPr="00EC57FB">
        <w:t>Chapter: Respiratory syncytial</w:t>
      </w:r>
      <w:r w:rsidR="006B1C22" w:rsidRPr="00EC57FB">
        <w:t xml:space="preserve"> virus</w:t>
      </w:r>
      <w:r w:rsidR="008B0D36" w:rsidRPr="00EC57FB">
        <w:t xml:space="preserve"> (RSV)</w:t>
      </w:r>
      <w:r w:rsidR="006174FA" w:rsidRPr="00EC57FB">
        <w:t xml:space="preserve"> </w:t>
      </w:r>
      <w:hyperlink r:id="rId8" w:anchor="nature-of-the-disease" w:history="1">
        <w:r w:rsidR="006174FA" w:rsidRPr="00EC57FB">
          <w:rPr>
            <w:rStyle w:val="Hyperlink"/>
          </w:rPr>
          <w:t>https://immunisationhandbook.health.gov.au/contents/vaccine-preventable-diseases/respiratory-syncytial-virus-rsv#nature-of-the-disease</w:t>
        </w:r>
      </w:hyperlink>
      <w:r w:rsidR="006174FA" w:rsidRPr="00EC57FB">
        <w:t xml:space="preserve"> </w:t>
      </w:r>
      <w:r w:rsidR="005D7CB5" w:rsidRPr="00EC57FB">
        <w:t>[Last updated: 9 October 2024]</w:t>
      </w:r>
    </w:p>
  </w:footnote>
  <w:footnote w:id="10">
    <w:p w14:paraId="299BB217" w14:textId="4C07A2EB" w:rsidR="004C69C1" w:rsidRPr="00EC57FB" w:rsidRDefault="004C69C1" w:rsidP="002F47C1">
      <w:pPr>
        <w:pStyle w:val="FootnoteText"/>
        <w:jc w:val="left"/>
      </w:pPr>
      <w:r w:rsidRPr="00EC57FB">
        <w:rPr>
          <w:rStyle w:val="FootnoteReference"/>
        </w:rPr>
        <w:footnoteRef/>
      </w:r>
      <w:r w:rsidRPr="00EC57FB">
        <w:t xml:space="preserve"> </w:t>
      </w:r>
      <w:r w:rsidR="002F47C1" w:rsidRPr="00EC57FB">
        <w:t xml:space="preserve">Jacoby P., Glass K., Moore H.C. Characterizing the risk of respiratory syncytial virus in infants with older siblings: a population-based birth cohort study. </w:t>
      </w:r>
      <w:r w:rsidR="002F47C1" w:rsidRPr="00EC57FB">
        <w:rPr>
          <w:iCs/>
        </w:rPr>
        <w:t>Epidemiol Infect.</w:t>
      </w:r>
      <w:r w:rsidR="002F47C1" w:rsidRPr="00EC57FB">
        <w:t xml:space="preserve"> </w:t>
      </w:r>
      <w:r w:rsidR="002F52F1" w:rsidRPr="00EC57FB">
        <w:t>2017;</w:t>
      </w:r>
      <w:r w:rsidR="002F47C1" w:rsidRPr="00EC57FB">
        <w:t>145(2):266-71</w:t>
      </w:r>
      <w:r w:rsidR="00D53902" w:rsidRPr="00EC57FB">
        <w:t xml:space="preserve"> </w:t>
      </w:r>
      <w:hyperlink r:id="rId9" w:history="1">
        <w:r w:rsidR="00D53902" w:rsidRPr="00EC57FB">
          <w:rPr>
            <w:rStyle w:val="Hyperlink"/>
          </w:rPr>
          <w:t>https://doi.org/10.1017/s0950268816002545</w:t>
        </w:r>
      </w:hyperlink>
      <w:r w:rsidR="00D53902" w:rsidRPr="00EC57FB">
        <w:t xml:space="preserve"> </w:t>
      </w:r>
      <w:r w:rsidR="00C56C03" w:rsidRPr="00EC57FB">
        <w:t>[Last accessed: 28 Nov 2024]</w:t>
      </w:r>
    </w:p>
  </w:footnote>
  <w:footnote w:id="11">
    <w:p w14:paraId="4D153782" w14:textId="654A1771" w:rsidR="004877AF" w:rsidRPr="00EC57FB" w:rsidRDefault="004877AF" w:rsidP="00407094">
      <w:pPr>
        <w:pStyle w:val="FootnoteText"/>
        <w:jc w:val="left"/>
      </w:pPr>
      <w:r w:rsidRPr="00EC57FB">
        <w:rPr>
          <w:rStyle w:val="FootnoteReference"/>
        </w:rPr>
        <w:footnoteRef/>
      </w:r>
      <w:r w:rsidRPr="00EC57FB">
        <w:t xml:space="preserve"> </w:t>
      </w:r>
      <w:r w:rsidR="00407094" w:rsidRPr="00EC57FB">
        <w:t xml:space="preserve">Chuang Y.C., Lin K.P., et al. The Impact of the COVID-19 Pandemic on Respiratory Syncytial Virus Infection: A Narrative Review. </w:t>
      </w:r>
      <w:r w:rsidR="00407094" w:rsidRPr="00EC57FB">
        <w:rPr>
          <w:iCs/>
        </w:rPr>
        <w:t>Infect Drug Resist.</w:t>
      </w:r>
      <w:r w:rsidR="00407094" w:rsidRPr="00EC57FB">
        <w:t xml:space="preserve"> 2023;16:661-75</w:t>
      </w:r>
      <w:r w:rsidR="002F0356" w:rsidRPr="00EC57FB">
        <w:t xml:space="preserve"> </w:t>
      </w:r>
      <w:hyperlink r:id="rId10" w:history="1">
        <w:r w:rsidR="002F0356" w:rsidRPr="00EC57FB">
          <w:rPr>
            <w:rStyle w:val="Hyperlink"/>
          </w:rPr>
          <w:t>https://doi.org/10.2147/idr.s396434</w:t>
        </w:r>
      </w:hyperlink>
      <w:r w:rsidR="002F0356" w:rsidRPr="00EC57FB">
        <w:t xml:space="preserve"> [Last accessed: 28 Nov 2024</w:t>
      </w:r>
      <w:r w:rsidR="00AF0C24" w:rsidRPr="00EC57FB">
        <w:t>]</w:t>
      </w:r>
    </w:p>
  </w:footnote>
  <w:footnote w:id="12">
    <w:p w14:paraId="30FFCD8C" w14:textId="77777777" w:rsidR="00F45504" w:rsidRPr="00EC57FB" w:rsidRDefault="00F45504" w:rsidP="00F45504">
      <w:pPr>
        <w:pStyle w:val="FootnoteText"/>
      </w:pPr>
      <w:r w:rsidRPr="00EC57FB">
        <w:rPr>
          <w:rStyle w:val="FootnoteReference"/>
        </w:rPr>
        <w:footnoteRef/>
      </w:r>
      <w:r w:rsidRPr="00EC57FB">
        <w:t xml:space="preserve"> Wadia U, Moore HC, Richmond PC, Levy A, Bell L, Pienaar C, Harvey J, Finucane C, van der Helder E, Bloomfield L, Cheng A, Effler P, Blyth CC. Effectiveness of nirsevimab in preventing RSV-hospitalisation among young children in Western Australia 2024. J Infect. 2025 Apr;90(4):106466. doi: 10.1016/j.jinf.2025.106466. Epub 2025 Mar 10. PMID: 40074179.</w:t>
      </w:r>
    </w:p>
  </w:footnote>
  <w:footnote w:id="13">
    <w:p w14:paraId="607D2FA7" w14:textId="77777777" w:rsidR="00F45504" w:rsidRPr="00EC57FB" w:rsidRDefault="00F45504" w:rsidP="00F45504">
      <w:pPr>
        <w:pStyle w:val="FootnoteText"/>
      </w:pPr>
      <w:r w:rsidRPr="00EC57FB">
        <w:rPr>
          <w:rStyle w:val="FootnoteReference"/>
        </w:rPr>
        <w:footnoteRef/>
      </w:r>
      <w:r w:rsidRPr="00EC57FB">
        <w:t xml:space="preserve"> Bloomfield LE, Pingault NV, Foong RE, French S, Morgan JA, Wadia U, Moore HC, Blyth CC, Richmond PC, Armstrong PK, Effler PV. Nirsevimab immunisation of infants and respiratory syncytial virus (RSV)-associated hospitalisations, Western Australia, 2024: a population-based analysis. Med J Aust. 2025 Apr 28. doi: 10.5694/mja2.52655. Epub ahead of print. PMID: 40293046.</w:t>
      </w:r>
    </w:p>
  </w:footnote>
  <w:footnote w:id="14">
    <w:p w14:paraId="14620662" w14:textId="41141723" w:rsidR="000A1E76" w:rsidRPr="00EC57FB" w:rsidRDefault="000A1E76" w:rsidP="000A1E76">
      <w:pPr>
        <w:pStyle w:val="FootnoteText"/>
        <w:jc w:val="left"/>
      </w:pPr>
      <w:r w:rsidRPr="00EC57FB">
        <w:rPr>
          <w:rStyle w:val="FootnoteReference"/>
        </w:rPr>
        <w:footnoteRef/>
      </w:r>
      <w:r w:rsidR="00577C66">
        <w:t xml:space="preserve"> </w:t>
      </w:r>
      <w:hyperlink r:id="rId11" w:history="1">
        <w:r w:rsidRPr="00EC57FB">
          <w:rPr>
            <w:rStyle w:val="Hyperlink"/>
          </w:rPr>
          <w:t>https://www.aihw.gov.au/reports/mothers-babies/australias-mothers-babies/contents/baby-outcomes/gestational-age</w:t>
        </w:r>
      </w:hyperlink>
      <w:r w:rsidRPr="00EC57FB">
        <w:t xml:space="preserve"> [Last accessed: 17 Dec 2024]</w:t>
      </w:r>
    </w:p>
  </w:footnote>
  <w:footnote w:id="15">
    <w:p w14:paraId="490842C9" w14:textId="77777777" w:rsidR="003F7876" w:rsidRPr="00EC57FB" w:rsidRDefault="003F7876" w:rsidP="003F7876">
      <w:pPr>
        <w:pStyle w:val="FootnoteText"/>
        <w:jc w:val="left"/>
      </w:pPr>
      <w:r w:rsidRPr="00EC57FB">
        <w:rPr>
          <w:rStyle w:val="FootnoteReference"/>
        </w:rPr>
        <w:footnoteRef/>
      </w:r>
      <w:r w:rsidRPr="00EC57FB">
        <w:t xml:space="preserve"> Bucher H.C., Guyatt G.H., et al. The results of direct and indirect treatment comparisons in meta-analysis of randomized controlled trials. </w:t>
      </w:r>
      <w:r w:rsidRPr="00EC57FB">
        <w:rPr>
          <w:iCs/>
        </w:rPr>
        <w:t>Journal of Clinical Epidemiology.</w:t>
      </w:r>
      <w:r w:rsidRPr="00EC57FB">
        <w:t xml:space="preserve"> 1997;50(6):683-691. </w:t>
      </w:r>
      <w:hyperlink r:id="rId12" w:history="1">
        <w:r w:rsidRPr="00EC57FB">
          <w:rPr>
            <w:rStyle w:val="Hyperlink"/>
          </w:rPr>
          <w:t>https://doi.org/10.1016/S0895-4356(97)00049-8</w:t>
        </w:r>
      </w:hyperlink>
      <w:r w:rsidRPr="00EC57FB">
        <w:t xml:space="preserve"> </w:t>
      </w:r>
    </w:p>
  </w:footnote>
  <w:footnote w:id="16">
    <w:p w14:paraId="1385FB65" w14:textId="77777777" w:rsidR="008F6DB1" w:rsidRPr="00EC57FB" w:rsidRDefault="008F6DB1" w:rsidP="008F6DB1">
      <w:pPr>
        <w:pStyle w:val="FootnoteText"/>
      </w:pPr>
      <w:r w:rsidRPr="00EC57FB">
        <w:rPr>
          <w:rStyle w:val="FootnoteReference"/>
        </w:rPr>
        <w:footnoteRef/>
      </w:r>
      <w:r w:rsidRPr="00EC57FB">
        <w:t xml:space="preserve"> Wadia U, Moore HC, Richmond PC, Levy A, Bell L, Pienaar C, Harvey J, Finucane C, van der Helder E, Bloomfield L, Cheng A, Effler P, Blyth CC. Effectiveness of nirsevimab in preventing RSV-hospitalisation among young children in Western Australia 2024. J Infect. 2025 Apr;90(4):106466. doi: 10.1016/j.jinf.2025.106466. Epub 2025 Mar 10. PMID: 40074179.</w:t>
      </w:r>
    </w:p>
  </w:footnote>
  <w:footnote w:id="17">
    <w:p w14:paraId="422D7FF9" w14:textId="397057FC" w:rsidR="00B03359" w:rsidRDefault="00B03359">
      <w:pPr>
        <w:pStyle w:val="FootnoteText"/>
      </w:pPr>
      <w:r>
        <w:rPr>
          <w:rStyle w:val="FootnoteReference"/>
        </w:rPr>
        <w:footnoteRef/>
      </w:r>
      <w:r>
        <w:t xml:space="preserve"> </w:t>
      </w:r>
      <w:r w:rsidRPr="00B03359">
        <w:rPr>
          <w:i/>
          <w:iCs/>
        </w:rPr>
        <w:t>Note that the results presented in Table 20 are derived from ad-hoc analyses conducted by the authors of Wadia et al. (2025) for the applicant specifically for the purposes of informing the PBAC consideration. These analyses are not the final data from the authors of Wadia et al. (2025) study.</w:t>
      </w:r>
      <w:r>
        <w:rPr>
          <w:i/>
          <w:iCs/>
        </w:rPr>
        <w:t xml:space="preserve"> </w:t>
      </w:r>
      <w:r w:rsidRPr="00B03359">
        <w:rPr>
          <w:i/>
          <w:iCs/>
        </w:rPr>
        <w:t xml:space="preserve">Interpretation of the results and their application should therefore be limited to seeking to understand the basis for the PBAC outcome and should not be used for any other purpose. Wadia et al. (2025) has since been published in the Journal of Infection, incorporating the complete cohort and updated, validated data at </w:t>
      </w:r>
      <w:hyperlink r:id="rId13" w:history="1">
        <w:r w:rsidRPr="00B03359">
          <w:rPr>
            <w:rStyle w:val="Hyperlink"/>
            <w:i/>
            <w:iCs/>
          </w:rPr>
          <w:t>https://doi.org/10.1016/j.jinf.2025.106466</w:t>
        </w:r>
      </w:hyperlink>
      <w:r w:rsidRPr="00B03359">
        <w:rPr>
          <w:i/>
          <w:iCs/>
        </w:rPr>
        <w:t xml:space="preserve">. </w:t>
      </w:r>
    </w:p>
  </w:footnote>
  <w:footnote w:id="18">
    <w:p w14:paraId="445636B5" w14:textId="146F590E" w:rsidR="00937FBC" w:rsidRDefault="00937FBC">
      <w:pPr>
        <w:pStyle w:val="FootnoteText"/>
      </w:pPr>
      <w:r w:rsidRPr="00CC3DCE">
        <w:rPr>
          <w:rStyle w:val="FootnoteReference"/>
        </w:rPr>
        <w:footnoteRef/>
      </w:r>
      <w:r w:rsidRPr="00CC3DCE">
        <w:t xml:space="preserve"> </w:t>
      </w:r>
      <w:r w:rsidR="00146CCD" w:rsidRPr="00CC3DCE">
        <w:t>Errors identified in calculation of nirsevimab treatment costs: The model should have summed treatment costs for nirsevimab administered to infants during each month of the year, but the cost for 4 of the 12 months was erroneously omitted</w:t>
      </w:r>
      <w:r w:rsidR="00BE54B8" w:rsidRPr="00CC3DCE">
        <w:t xml:space="preserve"> (Row 60 in 'Nirsevimab patient model costs' worksheet)</w:t>
      </w:r>
      <w:r w:rsidR="00146CCD" w:rsidRPr="00CC3DCE">
        <w:t>, therefore the nirsevimab treatment costs were significantly underestimated</w:t>
      </w:r>
      <w:r w:rsidR="00BE54B8" w:rsidRPr="00CC3DCE">
        <w:t xml:space="preserve"> by the PSCR and pre-PBAC response models.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AFBE" w14:textId="174C0B0E" w:rsidR="004E142E" w:rsidRDefault="007C15E6">
    <w:pPr>
      <w:pStyle w:val="Header"/>
    </w:pPr>
    <w:r>
      <w:rPr>
        <w:noProof/>
      </w:rPr>
      <mc:AlternateContent>
        <mc:Choice Requires="wps">
          <w:drawing>
            <wp:anchor distT="0" distB="0" distL="0" distR="0" simplePos="0" relativeHeight="251665408" behindDoc="0" locked="0" layoutInCell="1" allowOverlap="1" wp14:anchorId="5B50C591" wp14:editId="03EF53F6">
              <wp:simplePos x="635" y="635"/>
              <wp:positionH relativeFrom="page">
                <wp:align>center</wp:align>
              </wp:positionH>
              <wp:positionV relativeFrom="page">
                <wp:align>top</wp:align>
              </wp:positionV>
              <wp:extent cx="551815" cy="376555"/>
              <wp:effectExtent l="0" t="0" r="635" b="4445"/>
              <wp:wrapNone/>
              <wp:docPr id="16599064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FC99AE" w14:textId="3DA0A531" w:rsidR="007C15E6" w:rsidRPr="007C15E6" w:rsidRDefault="007C15E6" w:rsidP="007C15E6">
                          <w:pPr>
                            <w:rPr>
                              <w:rFonts w:eastAsia="Calibri" w:cs="Calibri"/>
                              <w:noProof/>
                              <w:color w:val="FF0000"/>
                            </w:rPr>
                          </w:pPr>
                          <w:r w:rsidRPr="007C15E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50C591"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68FC99AE" w14:textId="3DA0A531" w:rsidR="007C15E6" w:rsidRPr="007C15E6" w:rsidRDefault="007C15E6" w:rsidP="007C15E6">
                    <w:pPr>
                      <w:rPr>
                        <w:rFonts w:eastAsia="Calibri" w:cs="Calibri"/>
                        <w:noProof/>
                        <w:color w:val="FF0000"/>
                      </w:rPr>
                    </w:pPr>
                    <w:r w:rsidRPr="007C15E6">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096D85C9" w:rsidR="00D843F2" w:rsidRPr="00EC57FB" w:rsidRDefault="007C15E6" w:rsidP="00D822E2">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66432" behindDoc="0" locked="0" layoutInCell="1" allowOverlap="1" wp14:anchorId="49B227FE" wp14:editId="4A06D595">
              <wp:simplePos x="635" y="635"/>
              <wp:positionH relativeFrom="page">
                <wp:align>center</wp:align>
              </wp:positionH>
              <wp:positionV relativeFrom="page">
                <wp:align>top</wp:align>
              </wp:positionV>
              <wp:extent cx="551815" cy="376555"/>
              <wp:effectExtent l="0" t="0" r="635" b="4445"/>
              <wp:wrapNone/>
              <wp:docPr id="51447650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290008" w14:textId="6DF2F13E" w:rsidR="007C15E6" w:rsidRPr="007C15E6" w:rsidRDefault="007C15E6" w:rsidP="007C15E6">
                          <w:pPr>
                            <w:rPr>
                              <w:rFonts w:eastAsia="Calibri" w:cs="Calibri"/>
                              <w:noProof/>
                              <w:color w:val="FF0000"/>
                            </w:rPr>
                          </w:pPr>
                          <w:r w:rsidRPr="007C15E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227FE"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06290008" w14:textId="6DF2F13E" w:rsidR="007C15E6" w:rsidRPr="007C15E6" w:rsidRDefault="007C15E6" w:rsidP="007C15E6">
                    <w:pPr>
                      <w:rPr>
                        <w:rFonts w:eastAsia="Calibri" w:cs="Calibri"/>
                        <w:noProof/>
                        <w:color w:val="FF0000"/>
                      </w:rPr>
                    </w:pPr>
                    <w:r w:rsidRPr="007C15E6">
                      <w:rPr>
                        <w:rFonts w:eastAsia="Calibri" w:cs="Calibri"/>
                        <w:noProof/>
                        <w:color w:val="FF0000"/>
                      </w:rPr>
                      <w:t>OFFICIAL</w:t>
                    </w:r>
                  </w:p>
                </w:txbxContent>
              </v:textbox>
              <w10:wrap anchorx="page" anchory="page"/>
            </v:shape>
          </w:pict>
        </mc:Fallback>
      </mc:AlternateContent>
    </w:r>
    <w:r w:rsidR="00D10C0C">
      <w:rPr>
        <w:rFonts w:asciiTheme="minorHAnsi" w:hAnsiTheme="minorHAnsi"/>
        <w:color w:val="808080"/>
      </w:rPr>
      <w:t>Public Su</w:t>
    </w:r>
    <w:r w:rsidR="00107257">
      <w:rPr>
        <w:rFonts w:asciiTheme="minorHAnsi" w:hAnsiTheme="minorHAnsi"/>
        <w:color w:val="808080"/>
      </w:rPr>
      <w:t>mmary Document</w:t>
    </w:r>
    <w:r w:rsidR="00B644D1" w:rsidRPr="00EC57FB">
      <w:rPr>
        <w:rFonts w:asciiTheme="minorHAnsi" w:hAnsiTheme="minorHAnsi"/>
        <w:color w:val="808080"/>
      </w:rPr>
      <w:t xml:space="preserve"> - </w:t>
    </w:r>
    <w:r w:rsidR="007D1D2F" w:rsidRPr="00EC57FB">
      <w:rPr>
        <w:rFonts w:asciiTheme="minorHAnsi" w:hAnsiTheme="minorHAnsi"/>
        <w:color w:val="808080"/>
      </w:rPr>
      <w:t>May</w:t>
    </w:r>
    <w:r w:rsidR="00E75439" w:rsidRPr="00EC57FB">
      <w:rPr>
        <w:rFonts w:asciiTheme="minorHAnsi" w:hAnsiTheme="minorHAnsi"/>
        <w:color w:val="808080"/>
      </w:rPr>
      <w:t xml:space="preserve"> 202</w:t>
    </w:r>
    <w:r w:rsidR="00CF10A7" w:rsidRPr="00EC57FB">
      <w:rPr>
        <w:rFonts w:asciiTheme="minorHAnsi" w:hAnsiTheme="minorHAnsi"/>
        <w:color w:val="808080"/>
      </w:rPr>
      <w:t xml:space="preserve">5 </w:t>
    </w:r>
    <w:r w:rsidR="00D843F2" w:rsidRPr="00EC57FB">
      <w:rPr>
        <w:rFonts w:asciiTheme="minorHAnsi" w:hAnsiTheme="minorHAnsi"/>
        <w:color w:val="808080"/>
      </w:rPr>
      <w:t>PBAC Meeting</w:t>
    </w:r>
  </w:p>
  <w:p w14:paraId="03AF943B" w14:textId="77777777" w:rsidR="00D843F2" w:rsidRPr="00EC57F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AC3E" w14:textId="0F6EC368" w:rsidR="004E142E" w:rsidRDefault="007C15E6">
    <w:pPr>
      <w:pStyle w:val="Header"/>
    </w:pPr>
    <w:r>
      <w:rPr>
        <w:noProof/>
      </w:rPr>
      <mc:AlternateContent>
        <mc:Choice Requires="wps">
          <w:drawing>
            <wp:anchor distT="0" distB="0" distL="0" distR="0" simplePos="0" relativeHeight="251664384" behindDoc="0" locked="0" layoutInCell="1" allowOverlap="1" wp14:anchorId="274B3863" wp14:editId="59C175FC">
              <wp:simplePos x="635" y="635"/>
              <wp:positionH relativeFrom="page">
                <wp:align>center</wp:align>
              </wp:positionH>
              <wp:positionV relativeFrom="page">
                <wp:align>top</wp:align>
              </wp:positionV>
              <wp:extent cx="551815" cy="376555"/>
              <wp:effectExtent l="0" t="0" r="635" b="4445"/>
              <wp:wrapNone/>
              <wp:docPr id="26001951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70CB7D" w14:textId="203B4E2F" w:rsidR="007C15E6" w:rsidRPr="007C15E6" w:rsidRDefault="007C15E6" w:rsidP="007C15E6">
                          <w:pPr>
                            <w:rPr>
                              <w:rFonts w:eastAsia="Calibri" w:cs="Calibri"/>
                              <w:noProof/>
                              <w:color w:val="FF0000"/>
                            </w:rPr>
                          </w:pPr>
                          <w:r w:rsidRPr="007C15E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4B3863"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670CB7D" w14:textId="203B4E2F" w:rsidR="007C15E6" w:rsidRPr="007C15E6" w:rsidRDefault="007C15E6" w:rsidP="007C15E6">
                    <w:pPr>
                      <w:rPr>
                        <w:rFonts w:eastAsia="Calibri" w:cs="Calibri"/>
                        <w:noProof/>
                        <w:color w:val="FF0000"/>
                      </w:rPr>
                    </w:pPr>
                    <w:r w:rsidRPr="007C15E6">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BC087A"/>
    <w:multiLevelType w:val="hybridMultilevel"/>
    <w:tmpl w:val="548E222C"/>
    <w:lvl w:ilvl="0" w:tplc="5E147EA2">
      <w:start w:val="1"/>
      <w:numFmt w:val="bullet"/>
      <w:lvlText w:val=""/>
      <w:lvlJc w:val="left"/>
      <w:pPr>
        <w:ind w:left="360" w:hanging="360"/>
      </w:pPr>
      <w:rPr>
        <w:rFonts w:ascii="Symbol" w:hAnsi="Symbol" w:hint="default"/>
      </w:rPr>
    </w:lvl>
    <w:lvl w:ilvl="1" w:tplc="8376A3C4">
      <w:start w:val="1"/>
      <w:numFmt w:val="bullet"/>
      <w:lvlText w:val="o"/>
      <w:lvlJc w:val="left"/>
      <w:pPr>
        <w:ind w:left="1080" w:hanging="360"/>
      </w:pPr>
      <w:rPr>
        <w:rFonts w:ascii="Courier New" w:hAnsi="Courier New" w:hint="default"/>
      </w:rPr>
    </w:lvl>
    <w:lvl w:ilvl="2" w:tplc="2FFADEA4">
      <w:start w:val="1"/>
      <w:numFmt w:val="bullet"/>
      <w:lvlText w:val=""/>
      <w:lvlJc w:val="left"/>
      <w:pPr>
        <w:ind w:left="1800" w:hanging="360"/>
      </w:pPr>
      <w:rPr>
        <w:rFonts w:ascii="Wingdings" w:hAnsi="Wingdings" w:hint="default"/>
      </w:rPr>
    </w:lvl>
    <w:lvl w:ilvl="3" w:tplc="E6782580">
      <w:start w:val="1"/>
      <w:numFmt w:val="bullet"/>
      <w:lvlText w:val=""/>
      <w:lvlJc w:val="left"/>
      <w:pPr>
        <w:ind w:left="2520" w:hanging="360"/>
      </w:pPr>
      <w:rPr>
        <w:rFonts w:ascii="Symbol" w:hAnsi="Symbol" w:hint="default"/>
      </w:rPr>
    </w:lvl>
    <w:lvl w:ilvl="4" w:tplc="E4228958">
      <w:start w:val="1"/>
      <w:numFmt w:val="bullet"/>
      <w:lvlText w:val="o"/>
      <w:lvlJc w:val="left"/>
      <w:pPr>
        <w:ind w:left="3240" w:hanging="360"/>
      </w:pPr>
      <w:rPr>
        <w:rFonts w:ascii="Courier New" w:hAnsi="Courier New" w:hint="default"/>
      </w:rPr>
    </w:lvl>
    <w:lvl w:ilvl="5" w:tplc="73B6A2CE">
      <w:start w:val="1"/>
      <w:numFmt w:val="bullet"/>
      <w:lvlText w:val=""/>
      <w:lvlJc w:val="left"/>
      <w:pPr>
        <w:ind w:left="3960" w:hanging="360"/>
      </w:pPr>
      <w:rPr>
        <w:rFonts w:ascii="Wingdings" w:hAnsi="Wingdings" w:hint="default"/>
      </w:rPr>
    </w:lvl>
    <w:lvl w:ilvl="6" w:tplc="216CB2D6">
      <w:start w:val="1"/>
      <w:numFmt w:val="bullet"/>
      <w:lvlText w:val=""/>
      <w:lvlJc w:val="left"/>
      <w:pPr>
        <w:ind w:left="4680" w:hanging="360"/>
      </w:pPr>
      <w:rPr>
        <w:rFonts w:ascii="Symbol" w:hAnsi="Symbol" w:hint="default"/>
      </w:rPr>
    </w:lvl>
    <w:lvl w:ilvl="7" w:tplc="71F8B60E">
      <w:start w:val="1"/>
      <w:numFmt w:val="bullet"/>
      <w:lvlText w:val="o"/>
      <w:lvlJc w:val="left"/>
      <w:pPr>
        <w:ind w:left="5400" w:hanging="360"/>
      </w:pPr>
      <w:rPr>
        <w:rFonts w:ascii="Courier New" w:hAnsi="Courier New" w:hint="default"/>
      </w:rPr>
    </w:lvl>
    <w:lvl w:ilvl="8" w:tplc="EBCEFABC">
      <w:start w:val="1"/>
      <w:numFmt w:val="bullet"/>
      <w:lvlText w:val=""/>
      <w:lvlJc w:val="left"/>
      <w:pPr>
        <w:ind w:left="612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64291E"/>
    <w:multiLevelType w:val="hybridMultilevel"/>
    <w:tmpl w:val="236A02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767FD"/>
    <w:multiLevelType w:val="hybridMultilevel"/>
    <w:tmpl w:val="31E6D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DE8DE4"/>
    <w:multiLevelType w:val="hybridMultilevel"/>
    <w:tmpl w:val="2EF6FBAC"/>
    <w:lvl w:ilvl="0" w:tplc="84482D8A">
      <w:start w:val="1"/>
      <w:numFmt w:val="bullet"/>
      <w:lvlText w:val=""/>
      <w:lvlJc w:val="left"/>
      <w:pPr>
        <w:ind w:left="360" w:hanging="360"/>
      </w:pPr>
      <w:rPr>
        <w:rFonts w:ascii="Symbol" w:hAnsi="Symbol" w:hint="default"/>
      </w:rPr>
    </w:lvl>
    <w:lvl w:ilvl="1" w:tplc="6B3E8C22">
      <w:start w:val="1"/>
      <w:numFmt w:val="bullet"/>
      <w:lvlText w:val="o"/>
      <w:lvlJc w:val="left"/>
      <w:pPr>
        <w:ind w:left="1080" w:hanging="360"/>
      </w:pPr>
      <w:rPr>
        <w:rFonts w:ascii="Courier New" w:hAnsi="Courier New" w:hint="default"/>
      </w:rPr>
    </w:lvl>
    <w:lvl w:ilvl="2" w:tplc="6BAC20A8">
      <w:start w:val="1"/>
      <w:numFmt w:val="bullet"/>
      <w:lvlText w:val=""/>
      <w:lvlJc w:val="left"/>
      <w:pPr>
        <w:ind w:left="1800" w:hanging="360"/>
      </w:pPr>
      <w:rPr>
        <w:rFonts w:ascii="Wingdings" w:hAnsi="Wingdings" w:hint="default"/>
      </w:rPr>
    </w:lvl>
    <w:lvl w:ilvl="3" w:tplc="426E0562">
      <w:start w:val="1"/>
      <w:numFmt w:val="bullet"/>
      <w:lvlText w:val=""/>
      <w:lvlJc w:val="left"/>
      <w:pPr>
        <w:ind w:left="2520" w:hanging="360"/>
      </w:pPr>
      <w:rPr>
        <w:rFonts w:ascii="Symbol" w:hAnsi="Symbol" w:hint="default"/>
      </w:rPr>
    </w:lvl>
    <w:lvl w:ilvl="4" w:tplc="ED823004">
      <w:start w:val="1"/>
      <w:numFmt w:val="bullet"/>
      <w:lvlText w:val="o"/>
      <w:lvlJc w:val="left"/>
      <w:pPr>
        <w:ind w:left="3240" w:hanging="360"/>
      </w:pPr>
      <w:rPr>
        <w:rFonts w:ascii="Courier New" w:hAnsi="Courier New" w:hint="default"/>
      </w:rPr>
    </w:lvl>
    <w:lvl w:ilvl="5" w:tplc="59E293CE">
      <w:start w:val="1"/>
      <w:numFmt w:val="bullet"/>
      <w:lvlText w:val=""/>
      <w:lvlJc w:val="left"/>
      <w:pPr>
        <w:ind w:left="3960" w:hanging="360"/>
      </w:pPr>
      <w:rPr>
        <w:rFonts w:ascii="Wingdings" w:hAnsi="Wingdings" w:hint="default"/>
      </w:rPr>
    </w:lvl>
    <w:lvl w:ilvl="6" w:tplc="DFAEB710">
      <w:start w:val="1"/>
      <w:numFmt w:val="bullet"/>
      <w:lvlText w:val=""/>
      <w:lvlJc w:val="left"/>
      <w:pPr>
        <w:ind w:left="4680" w:hanging="360"/>
      </w:pPr>
      <w:rPr>
        <w:rFonts w:ascii="Symbol" w:hAnsi="Symbol" w:hint="default"/>
      </w:rPr>
    </w:lvl>
    <w:lvl w:ilvl="7" w:tplc="848EACE8">
      <w:start w:val="1"/>
      <w:numFmt w:val="bullet"/>
      <w:lvlText w:val="o"/>
      <w:lvlJc w:val="left"/>
      <w:pPr>
        <w:ind w:left="5400" w:hanging="360"/>
      </w:pPr>
      <w:rPr>
        <w:rFonts w:ascii="Courier New" w:hAnsi="Courier New" w:hint="default"/>
      </w:rPr>
    </w:lvl>
    <w:lvl w:ilvl="8" w:tplc="CF8CE56A">
      <w:start w:val="1"/>
      <w:numFmt w:val="bullet"/>
      <w:lvlText w:val=""/>
      <w:lvlJc w:val="left"/>
      <w:pPr>
        <w:ind w:left="6120" w:hanging="360"/>
      </w:pPr>
      <w:rPr>
        <w:rFonts w:ascii="Wingdings" w:hAnsi="Wingdings" w:hint="default"/>
      </w:rPr>
    </w:lvl>
  </w:abstractNum>
  <w:abstractNum w:abstractNumId="7" w15:restartNumberingAfterBreak="0">
    <w:nsid w:val="138D4C7D"/>
    <w:multiLevelType w:val="hybridMultilevel"/>
    <w:tmpl w:val="1DB2ADAA"/>
    <w:lvl w:ilvl="0" w:tplc="F7E49642">
      <w:start w:val="1"/>
      <w:numFmt w:val="bullet"/>
      <w:lvlText w:val="•"/>
      <w:lvlJc w:val="left"/>
      <w:pPr>
        <w:tabs>
          <w:tab w:val="num" w:pos="720"/>
        </w:tabs>
        <w:ind w:left="720" w:hanging="360"/>
      </w:pPr>
      <w:rPr>
        <w:rFonts w:ascii="Arial" w:hAnsi="Arial" w:hint="default"/>
      </w:rPr>
    </w:lvl>
    <w:lvl w:ilvl="1" w:tplc="DC648D06">
      <w:start w:val="1"/>
      <w:numFmt w:val="bullet"/>
      <w:lvlText w:val="•"/>
      <w:lvlJc w:val="left"/>
      <w:pPr>
        <w:tabs>
          <w:tab w:val="num" w:pos="1440"/>
        </w:tabs>
        <w:ind w:left="1440" w:hanging="360"/>
      </w:pPr>
      <w:rPr>
        <w:rFonts w:ascii="Arial" w:hAnsi="Arial" w:hint="default"/>
      </w:rPr>
    </w:lvl>
    <w:lvl w:ilvl="2" w:tplc="CA0811C4" w:tentative="1">
      <w:start w:val="1"/>
      <w:numFmt w:val="bullet"/>
      <w:lvlText w:val="•"/>
      <w:lvlJc w:val="left"/>
      <w:pPr>
        <w:tabs>
          <w:tab w:val="num" w:pos="2160"/>
        </w:tabs>
        <w:ind w:left="2160" w:hanging="360"/>
      </w:pPr>
      <w:rPr>
        <w:rFonts w:ascii="Arial" w:hAnsi="Arial" w:hint="default"/>
      </w:rPr>
    </w:lvl>
    <w:lvl w:ilvl="3" w:tplc="FB9C4138" w:tentative="1">
      <w:start w:val="1"/>
      <w:numFmt w:val="bullet"/>
      <w:lvlText w:val="•"/>
      <w:lvlJc w:val="left"/>
      <w:pPr>
        <w:tabs>
          <w:tab w:val="num" w:pos="2880"/>
        </w:tabs>
        <w:ind w:left="2880" w:hanging="360"/>
      </w:pPr>
      <w:rPr>
        <w:rFonts w:ascii="Arial" w:hAnsi="Arial" w:hint="default"/>
      </w:rPr>
    </w:lvl>
    <w:lvl w:ilvl="4" w:tplc="56EAC49E" w:tentative="1">
      <w:start w:val="1"/>
      <w:numFmt w:val="bullet"/>
      <w:lvlText w:val="•"/>
      <w:lvlJc w:val="left"/>
      <w:pPr>
        <w:tabs>
          <w:tab w:val="num" w:pos="3600"/>
        </w:tabs>
        <w:ind w:left="3600" w:hanging="360"/>
      </w:pPr>
      <w:rPr>
        <w:rFonts w:ascii="Arial" w:hAnsi="Arial" w:hint="default"/>
      </w:rPr>
    </w:lvl>
    <w:lvl w:ilvl="5" w:tplc="80FCB31A" w:tentative="1">
      <w:start w:val="1"/>
      <w:numFmt w:val="bullet"/>
      <w:lvlText w:val="•"/>
      <w:lvlJc w:val="left"/>
      <w:pPr>
        <w:tabs>
          <w:tab w:val="num" w:pos="4320"/>
        </w:tabs>
        <w:ind w:left="4320" w:hanging="360"/>
      </w:pPr>
      <w:rPr>
        <w:rFonts w:ascii="Arial" w:hAnsi="Arial" w:hint="default"/>
      </w:rPr>
    </w:lvl>
    <w:lvl w:ilvl="6" w:tplc="7D304204" w:tentative="1">
      <w:start w:val="1"/>
      <w:numFmt w:val="bullet"/>
      <w:lvlText w:val="•"/>
      <w:lvlJc w:val="left"/>
      <w:pPr>
        <w:tabs>
          <w:tab w:val="num" w:pos="5040"/>
        </w:tabs>
        <w:ind w:left="5040" w:hanging="360"/>
      </w:pPr>
      <w:rPr>
        <w:rFonts w:ascii="Arial" w:hAnsi="Arial" w:hint="default"/>
      </w:rPr>
    </w:lvl>
    <w:lvl w:ilvl="7" w:tplc="1B1083A2" w:tentative="1">
      <w:start w:val="1"/>
      <w:numFmt w:val="bullet"/>
      <w:lvlText w:val="•"/>
      <w:lvlJc w:val="left"/>
      <w:pPr>
        <w:tabs>
          <w:tab w:val="num" w:pos="5760"/>
        </w:tabs>
        <w:ind w:left="5760" w:hanging="360"/>
      </w:pPr>
      <w:rPr>
        <w:rFonts w:ascii="Arial" w:hAnsi="Arial" w:hint="default"/>
      </w:rPr>
    </w:lvl>
    <w:lvl w:ilvl="8" w:tplc="86D65D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B791E0A"/>
    <w:multiLevelType w:val="hybridMultilevel"/>
    <w:tmpl w:val="2554593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8755C8"/>
    <w:multiLevelType w:val="hybridMultilevel"/>
    <w:tmpl w:val="3222C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92EB6F"/>
    <w:multiLevelType w:val="hybridMultilevel"/>
    <w:tmpl w:val="9D429B8C"/>
    <w:lvl w:ilvl="0" w:tplc="E37CC0D0">
      <w:start w:val="1"/>
      <w:numFmt w:val="bullet"/>
      <w:lvlText w:val=""/>
      <w:lvlJc w:val="left"/>
      <w:pPr>
        <w:ind w:left="360" w:hanging="360"/>
      </w:pPr>
      <w:rPr>
        <w:rFonts w:ascii="Symbol" w:hAnsi="Symbol" w:hint="default"/>
      </w:rPr>
    </w:lvl>
    <w:lvl w:ilvl="1" w:tplc="99445A90">
      <w:start w:val="1"/>
      <w:numFmt w:val="bullet"/>
      <w:lvlText w:val="o"/>
      <w:lvlJc w:val="left"/>
      <w:pPr>
        <w:ind w:left="1080" w:hanging="360"/>
      </w:pPr>
      <w:rPr>
        <w:rFonts w:ascii="Courier New" w:hAnsi="Courier New" w:hint="default"/>
      </w:rPr>
    </w:lvl>
    <w:lvl w:ilvl="2" w:tplc="D9EA920A">
      <w:start w:val="1"/>
      <w:numFmt w:val="bullet"/>
      <w:lvlText w:val=""/>
      <w:lvlJc w:val="left"/>
      <w:pPr>
        <w:ind w:left="1800" w:hanging="360"/>
      </w:pPr>
      <w:rPr>
        <w:rFonts w:ascii="Wingdings" w:hAnsi="Wingdings" w:hint="default"/>
      </w:rPr>
    </w:lvl>
    <w:lvl w:ilvl="3" w:tplc="0C4C11CE">
      <w:start w:val="1"/>
      <w:numFmt w:val="bullet"/>
      <w:lvlText w:val=""/>
      <w:lvlJc w:val="left"/>
      <w:pPr>
        <w:ind w:left="2520" w:hanging="360"/>
      </w:pPr>
      <w:rPr>
        <w:rFonts w:ascii="Symbol" w:hAnsi="Symbol" w:hint="default"/>
      </w:rPr>
    </w:lvl>
    <w:lvl w:ilvl="4" w:tplc="79B0C8C0">
      <w:start w:val="1"/>
      <w:numFmt w:val="bullet"/>
      <w:lvlText w:val="o"/>
      <w:lvlJc w:val="left"/>
      <w:pPr>
        <w:ind w:left="3240" w:hanging="360"/>
      </w:pPr>
      <w:rPr>
        <w:rFonts w:ascii="Courier New" w:hAnsi="Courier New" w:hint="default"/>
      </w:rPr>
    </w:lvl>
    <w:lvl w:ilvl="5" w:tplc="2BCA574E">
      <w:start w:val="1"/>
      <w:numFmt w:val="bullet"/>
      <w:lvlText w:val=""/>
      <w:lvlJc w:val="left"/>
      <w:pPr>
        <w:ind w:left="3960" w:hanging="360"/>
      </w:pPr>
      <w:rPr>
        <w:rFonts w:ascii="Wingdings" w:hAnsi="Wingdings" w:hint="default"/>
      </w:rPr>
    </w:lvl>
    <w:lvl w:ilvl="6" w:tplc="C87AADEA">
      <w:start w:val="1"/>
      <w:numFmt w:val="bullet"/>
      <w:lvlText w:val=""/>
      <w:lvlJc w:val="left"/>
      <w:pPr>
        <w:ind w:left="4680" w:hanging="360"/>
      </w:pPr>
      <w:rPr>
        <w:rFonts w:ascii="Symbol" w:hAnsi="Symbol" w:hint="default"/>
      </w:rPr>
    </w:lvl>
    <w:lvl w:ilvl="7" w:tplc="6082BF88">
      <w:start w:val="1"/>
      <w:numFmt w:val="bullet"/>
      <w:lvlText w:val="o"/>
      <w:lvlJc w:val="left"/>
      <w:pPr>
        <w:ind w:left="5400" w:hanging="360"/>
      </w:pPr>
      <w:rPr>
        <w:rFonts w:ascii="Courier New" w:hAnsi="Courier New" w:hint="default"/>
      </w:rPr>
    </w:lvl>
    <w:lvl w:ilvl="8" w:tplc="7C765306">
      <w:start w:val="1"/>
      <w:numFmt w:val="bullet"/>
      <w:lvlText w:val=""/>
      <w:lvlJc w:val="left"/>
      <w:pPr>
        <w:ind w:left="6120" w:hanging="360"/>
      </w:pPr>
      <w:rPr>
        <w:rFonts w:ascii="Wingdings" w:hAnsi="Wingdings" w:hint="default"/>
      </w:rPr>
    </w:lvl>
  </w:abstractNum>
  <w:abstractNum w:abstractNumId="13"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CD1458"/>
    <w:multiLevelType w:val="hybridMultilevel"/>
    <w:tmpl w:val="5B240D60"/>
    <w:lvl w:ilvl="0" w:tplc="8E90D2E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3E310D"/>
    <w:multiLevelType w:val="hybridMultilevel"/>
    <w:tmpl w:val="E3F608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B8CF219"/>
    <w:multiLevelType w:val="hybridMultilevel"/>
    <w:tmpl w:val="20EC6EFA"/>
    <w:lvl w:ilvl="0" w:tplc="D1D42D04">
      <w:start w:val="1"/>
      <w:numFmt w:val="bullet"/>
      <w:lvlText w:val=""/>
      <w:lvlJc w:val="left"/>
      <w:pPr>
        <w:ind w:left="360" w:hanging="360"/>
      </w:pPr>
      <w:rPr>
        <w:rFonts w:ascii="Symbol" w:hAnsi="Symbol" w:hint="default"/>
      </w:rPr>
    </w:lvl>
    <w:lvl w:ilvl="1" w:tplc="4A1471F6">
      <w:start w:val="1"/>
      <w:numFmt w:val="bullet"/>
      <w:lvlText w:val="o"/>
      <w:lvlJc w:val="left"/>
      <w:pPr>
        <w:ind w:left="1080" w:hanging="360"/>
      </w:pPr>
      <w:rPr>
        <w:rFonts w:ascii="Courier New" w:hAnsi="Courier New" w:hint="default"/>
      </w:rPr>
    </w:lvl>
    <w:lvl w:ilvl="2" w:tplc="866A2A8E">
      <w:start w:val="1"/>
      <w:numFmt w:val="bullet"/>
      <w:lvlText w:val=""/>
      <w:lvlJc w:val="left"/>
      <w:pPr>
        <w:ind w:left="1800" w:hanging="360"/>
      </w:pPr>
      <w:rPr>
        <w:rFonts w:ascii="Wingdings" w:hAnsi="Wingdings" w:hint="default"/>
      </w:rPr>
    </w:lvl>
    <w:lvl w:ilvl="3" w:tplc="EDD6C3EC">
      <w:start w:val="1"/>
      <w:numFmt w:val="bullet"/>
      <w:lvlText w:val=""/>
      <w:lvlJc w:val="left"/>
      <w:pPr>
        <w:ind w:left="2520" w:hanging="360"/>
      </w:pPr>
      <w:rPr>
        <w:rFonts w:ascii="Symbol" w:hAnsi="Symbol" w:hint="default"/>
      </w:rPr>
    </w:lvl>
    <w:lvl w:ilvl="4" w:tplc="D8828548">
      <w:start w:val="1"/>
      <w:numFmt w:val="bullet"/>
      <w:lvlText w:val="o"/>
      <w:lvlJc w:val="left"/>
      <w:pPr>
        <w:ind w:left="3240" w:hanging="360"/>
      </w:pPr>
      <w:rPr>
        <w:rFonts w:ascii="Courier New" w:hAnsi="Courier New" w:hint="default"/>
      </w:rPr>
    </w:lvl>
    <w:lvl w:ilvl="5" w:tplc="9FA899F6">
      <w:start w:val="1"/>
      <w:numFmt w:val="bullet"/>
      <w:lvlText w:val=""/>
      <w:lvlJc w:val="left"/>
      <w:pPr>
        <w:ind w:left="3960" w:hanging="360"/>
      </w:pPr>
      <w:rPr>
        <w:rFonts w:ascii="Wingdings" w:hAnsi="Wingdings" w:hint="default"/>
      </w:rPr>
    </w:lvl>
    <w:lvl w:ilvl="6" w:tplc="0040D95C">
      <w:start w:val="1"/>
      <w:numFmt w:val="bullet"/>
      <w:lvlText w:val=""/>
      <w:lvlJc w:val="left"/>
      <w:pPr>
        <w:ind w:left="4680" w:hanging="360"/>
      </w:pPr>
      <w:rPr>
        <w:rFonts w:ascii="Symbol" w:hAnsi="Symbol" w:hint="default"/>
      </w:rPr>
    </w:lvl>
    <w:lvl w:ilvl="7" w:tplc="38F8D4D8">
      <w:start w:val="1"/>
      <w:numFmt w:val="bullet"/>
      <w:lvlText w:val="o"/>
      <w:lvlJc w:val="left"/>
      <w:pPr>
        <w:ind w:left="5400" w:hanging="360"/>
      </w:pPr>
      <w:rPr>
        <w:rFonts w:ascii="Courier New" w:hAnsi="Courier New" w:hint="default"/>
      </w:rPr>
    </w:lvl>
    <w:lvl w:ilvl="8" w:tplc="DDD84392">
      <w:start w:val="1"/>
      <w:numFmt w:val="bullet"/>
      <w:lvlText w:val=""/>
      <w:lvlJc w:val="left"/>
      <w:pPr>
        <w:ind w:left="6120" w:hanging="360"/>
      </w:pPr>
      <w:rPr>
        <w:rFonts w:ascii="Wingdings" w:hAnsi="Wingdings" w:hint="default"/>
      </w:rPr>
    </w:lvl>
  </w:abstractNum>
  <w:abstractNum w:abstractNumId="19" w15:restartNumberingAfterBreak="0">
    <w:nsid w:val="2BFB6ED7"/>
    <w:multiLevelType w:val="hybridMultilevel"/>
    <w:tmpl w:val="4140BCC0"/>
    <w:lvl w:ilvl="0" w:tplc="E9004292">
      <w:numFmt w:val="bullet"/>
      <w:lvlText w:val="-"/>
      <w:lvlJc w:val="left"/>
      <w:pPr>
        <w:ind w:left="410" w:hanging="360"/>
      </w:pPr>
      <w:rPr>
        <w:rFonts w:ascii="Times New Roman" w:eastAsia="Times New Roman" w:hAnsi="Times New Roman" w:cs="Times New Roman"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2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7735BF"/>
    <w:multiLevelType w:val="hybridMultilevel"/>
    <w:tmpl w:val="3DC8A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03C488F"/>
    <w:multiLevelType w:val="hybridMultilevel"/>
    <w:tmpl w:val="FFFFFFFF"/>
    <w:lvl w:ilvl="0" w:tplc="E7589A84">
      <w:start w:val="1"/>
      <w:numFmt w:val="bullet"/>
      <w:lvlText w:val="·"/>
      <w:lvlJc w:val="left"/>
      <w:pPr>
        <w:ind w:left="720" w:hanging="360"/>
      </w:pPr>
      <w:rPr>
        <w:rFonts w:ascii="Symbol" w:hAnsi="Symbol" w:hint="default"/>
      </w:rPr>
    </w:lvl>
    <w:lvl w:ilvl="1" w:tplc="2D3EF8AA">
      <w:start w:val="1"/>
      <w:numFmt w:val="bullet"/>
      <w:lvlText w:val="o"/>
      <w:lvlJc w:val="left"/>
      <w:pPr>
        <w:ind w:left="1440" w:hanging="360"/>
      </w:pPr>
      <w:rPr>
        <w:rFonts w:ascii="Courier New" w:hAnsi="Courier New" w:hint="default"/>
      </w:rPr>
    </w:lvl>
    <w:lvl w:ilvl="2" w:tplc="47EA49F0">
      <w:start w:val="1"/>
      <w:numFmt w:val="bullet"/>
      <w:lvlText w:val=""/>
      <w:lvlJc w:val="left"/>
      <w:pPr>
        <w:ind w:left="2160" w:hanging="360"/>
      </w:pPr>
      <w:rPr>
        <w:rFonts w:ascii="Wingdings" w:hAnsi="Wingdings" w:hint="default"/>
      </w:rPr>
    </w:lvl>
    <w:lvl w:ilvl="3" w:tplc="04384C60">
      <w:start w:val="1"/>
      <w:numFmt w:val="bullet"/>
      <w:lvlText w:val=""/>
      <w:lvlJc w:val="left"/>
      <w:pPr>
        <w:ind w:left="2880" w:hanging="360"/>
      </w:pPr>
      <w:rPr>
        <w:rFonts w:ascii="Symbol" w:hAnsi="Symbol" w:hint="default"/>
      </w:rPr>
    </w:lvl>
    <w:lvl w:ilvl="4" w:tplc="4E6E4762">
      <w:start w:val="1"/>
      <w:numFmt w:val="bullet"/>
      <w:lvlText w:val="o"/>
      <w:lvlJc w:val="left"/>
      <w:pPr>
        <w:ind w:left="3600" w:hanging="360"/>
      </w:pPr>
      <w:rPr>
        <w:rFonts w:ascii="Courier New" w:hAnsi="Courier New" w:hint="default"/>
      </w:rPr>
    </w:lvl>
    <w:lvl w:ilvl="5" w:tplc="CC5C6260">
      <w:start w:val="1"/>
      <w:numFmt w:val="bullet"/>
      <w:lvlText w:val=""/>
      <w:lvlJc w:val="left"/>
      <w:pPr>
        <w:ind w:left="4320" w:hanging="360"/>
      </w:pPr>
      <w:rPr>
        <w:rFonts w:ascii="Wingdings" w:hAnsi="Wingdings" w:hint="default"/>
      </w:rPr>
    </w:lvl>
    <w:lvl w:ilvl="6" w:tplc="9286B780">
      <w:start w:val="1"/>
      <w:numFmt w:val="bullet"/>
      <w:lvlText w:val=""/>
      <w:lvlJc w:val="left"/>
      <w:pPr>
        <w:ind w:left="5040" w:hanging="360"/>
      </w:pPr>
      <w:rPr>
        <w:rFonts w:ascii="Symbol" w:hAnsi="Symbol" w:hint="default"/>
      </w:rPr>
    </w:lvl>
    <w:lvl w:ilvl="7" w:tplc="5052DE8C">
      <w:start w:val="1"/>
      <w:numFmt w:val="bullet"/>
      <w:lvlText w:val="o"/>
      <w:lvlJc w:val="left"/>
      <w:pPr>
        <w:ind w:left="5760" w:hanging="360"/>
      </w:pPr>
      <w:rPr>
        <w:rFonts w:ascii="Courier New" w:hAnsi="Courier New" w:hint="default"/>
      </w:rPr>
    </w:lvl>
    <w:lvl w:ilvl="8" w:tplc="1E88CE96">
      <w:start w:val="1"/>
      <w:numFmt w:val="bullet"/>
      <w:lvlText w:val=""/>
      <w:lvlJc w:val="left"/>
      <w:pPr>
        <w:ind w:left="6480" w:hanging="360"/>
      </w:pPr>
      <w:rPr>
        <w:rFonts w:ascii="Wingdings" w:hAnsi="Wingdings" w:hint="default"/>
      </w:rPr>
    </w:lvl>
  </w:abstractNum>
  <w:abstractNum w:abstractNumId="24" w15:restartNumberingAfterBreak="0">
    <w:nsid w:val="31054CBB"/>
    <w:multiLevelType w:val="multilevel"/>
    <w:tmpl w:val="694ACC0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numFmt w:val="bullet"/>
      <w:lvlText w:val="-"/>
      <w:lvlJc w:val="left"/>
      <w:pPr>
        <w:ind w:left="360" w:hanging="360"/>
      </w:pPr>
      <w:rPr>
        <w:rFonts w:ascii="Calibri" w:eastAsia="Calibri" w:hAnsi="Calibri" w:cs="Calibr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5CA16D"/>
    <w:multiLevelType w:val="hybridMultilevel"/>
    <w:tmpl w:val="92BCCB74"/>
    <w:lvl w:ilvl="0" w:tplc="A8EAAC5C">
      <w:start w:val="1"/>
      <w:numFmt w:val="bullet"/>
      <w:lvlText w:val=""/>
      <w:lvlJc w:val="left"/>
      <w:pPr>
        <w:ind w:left="360" w:hanging="360"/>
      </w:pPr>
      <w:rPr>
        <w:rFonts w:ascii="Symbol" w:hAnsi="Symbol" w:hint="default"/>
      </w:rPr>
    </w:lvl>
    <w:lvl w:ilvl="1" w:tplc="B1FEF5C0">
      <w:start w:val="1"/>
      <w:numFmt w:val="bullet"/>
      <w:lvlText w:val="o"/>
      <w:lvlJc w:val="left"/>
      <w:pPr>
        <w:ind w:left="1080" w:hanging="360"/>
      </w:pPr>
      <w:rPr>
        <w:rFonts w:ascii="Courier New" w:hAnsi="Courier New" w:hint="default"/>
      </w:rPr>
    </w:lvl>
    <w:lvl w:ilvl="2" w:tplc="5D8C399A">
      <w:start w:val="1"/>
      <w:numFmt w:val="bullet"/>
      <w:lvlText w:val=""/>
      <w:lvlJc w:val="left"/>
      <w:pPr>
        <w:ind w:left="1800" w:hanging="360"/>
      </w:pPr>
      <w:rPr>
        <w:rFonts w:ascii="Wingdings" w:hAnsi="Wingdings" w:hint="default"/>
      </w:rPr>
    </w:lvl>
    <w:lvl w:ilvl="3" w:tplc="3B74577E">
      <w:start w:val="1"/>
      <w:numFmt w:val="bullet"/>
      <w:lvlText w:val=""/>
      <w:lvlJc w:val="left"/>
      <w:pPr>
        <w:ind w:left="2520" w:hanging="360"/>
      </w:pPr>
      <w:rPr>
        <w:rFonts w:ascii="Symbol" w:hAnsi="Symbol" w:hint="default"/>
      </w:rPr>
    </w:lvl>
    <w:lvl w:ilvl="4" w:tplc="EF3A204E">
      <w:start w:val="1"/>
      <w:numFmt w:val="bullet"/>
      <w:lvlText w:val="o"/>
      <w:lvlJc w:val="left"/>
      <w:pPr>
        <w:ind w:left="3240" w:hanging="360"/>
      </w:pPr>
      <w:rPr>
        <w:rFonts w:ascii="Courier New" w:hAnsi="Courier New" w:hint="default"/>
      </w:rPr>
    </w:lvl>
    <w:lvl w:ilvl="5" w:tplc="90242180">
      <w:start w:val="1"/>
      <w:numFmt w:val="bullet"/>
      <w:lvlText w:val=""/>
      <w:lvlJc w:val="left"/>
      <w:pPr>
        <w:ind w:left="3960" w:hanging="360"/>
      </w:pPr>
      <w:rPr>
        <w:rFonts w:ascii="Wingdings" w:hAnsi="Wingdings" w:hint="default"/>
      </w:rPr>
    </w:lvl>
    <w:lvl w:ilvl="6" w:tplc="847ADA96">
      <w:start w:val="1"/>
      <w:numFmt w:val="bullet"/>
      <w:lvlText w:val=""/>
      <w:lvlJc w:val="left"/>
      <w:pPr>
        <w:ind w:left="4680" w:hanging="360"/>
      </w:pPr>
      <w:rPr>
        <w:rFonts w:ascii="Symbol" w:hAnsi="Symbol" w:hint="default"/>
      </w:rPr>
    </w:lvl>
    <w:lvl w:ilvl="7" w:tplc="29AC0398">
      <w:start w:val="1"/>
      <w:numFmt w:val="bullet"/>
      <w:lvlText w:val="o"/>
      <w:lvlJc w:val="left"/>
      <w:pPr>
        <w:ind w:left="5400" w:hanging="360"/>
      </w:pPr>
      <w:rPr>
        <w:rFonts w:ascii="Courier New" w:hAnsi="Courier New" w:hint="default"/>
      </w:rPr>
    </w:lvl>
    <w:lvl w:ilvl="8" w:tplc="607A7C7E">
      <w:start w:val="1"/>
      <w:numFmt w:val="bullet"/>
      <w:lvlText w:val=""/>
      <w:lvlJc w:val="left"/>
      <w:pPr>
        <w:ind w:left="6120" w:hanging="360"/>
      </w:pPr>
      <w:rPr>
        <w:rFonts w:ascii="Wingdings" w:hAnsi="Wingdings" w:hint="default"/>
      </w:rPr>
    </w:lvl>
  </w:abstractNum>
  <w:abstractNum w:abstractNumId="26" w15:restartNumberingAfterBreak="0">
    <w:nsid w:val="347A70C5"/>
    <w:multiLevelType w:val="hybridMultilevel"/>
    <w:tmpl w:val="248A2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B95E8E"/>
    <w:multiLevelType w:val="hybridMultilevel"/>
    <w:tmpl w:val="6F626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2D43DA"/>
    <w:multiLevelType w:val="hybridMultilevel"/>
    <w:tmpl w:val="9DBCC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7E4228"/>
    <w:multiLevelType w:val="hybridMultilevel"/>
    <w:tmpl w:val="B95ED700"/>
    <w:lvl w:ilvl="0" w:tplc="9D0679B4">
      <w:numFmt w:val="bullet"/>
      <w:lvlText w:val=""/>
      <w:lvlJc w:val="left"/>
      <w:pPr>
        <w:ind w:left="720" w:hanging="360"/>
      </w:pPr>
      <w:rPr>
        <w:rFonts w:ascii="Webdings" w:eastAsia="Calibri" w:hAnsi="Webdings" w:hint="default"/>
      </w:rPr>
    </w:lvl>
    <w:lvl w:ilvl="1" w:tplc="9B86DA9E">
      <w:numFmt w:val="bullet"/>
      <w:lvlText w:val="•"/>
      <w:lvlJc w:val="left"/>
      <w:pPr>
        <w:ind w:left="1800" w:hanging="720"/>
      </w:pPr>
      <w:rPr>
        <w:rFonts w:ascii="Arial Narrow" w:eastAsiaTheme="majorEastAsia" w:hAnsi="Arial Narrow" w:cstheme="maj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F06141"/>
    <w:multiLevelType w:val="hybridMultilevel"/>
    <w:tmpl w:val="7EBEC228"/>
    <w:lvl w:ilvl="0" w:tplc="10140D92">
      <w:start w:val="1"/>
      <w:numFmt w:val="bullet"/>
      <w:lvlText w:val=""/>
      <w:lvlJc w:val="left"/>
      <w:pPr>
        <w:ind w:left="720" w:hanging="360"/>
      </w:pPr>
      <w:rPr>
        <w:rFonts w:ascii="Symbol" w:hAnsi="Symbol" w:hint="default"/>
      </w:rPr>
    </w:lvl>
    <w:lvl w:ilvl="1" w:tplc="06E4CF10">
      <w:start w:val="1"/>
      <w:numFmt w:val="bullet"/>
      <w:lvlText w:val="o"/>
      <w:lvlJc w:val="left"/>
      <w:pPr>
        <w:ind w:left="1440" w:hanging="360"/>
      </w:pPr>
      <w:rPr>
        <w:rFonts w:ascii="Courier New" w:hAnsi="Courier New" w:hint="default"/>
      </w:rPr>
    </w:lvl>
    <w:lvl w:ilvl="2" w:tplc="56B23C9A">
      <w:start w:val="1"/>
      <w:numFmt w:val="bullet"/>
      <w:lvlText w:val=""/>
      <w:lvlJc w:val="left"/>
      <w:pPr>
        <w:ind w:left="2160" w:hanging="360"/>
      </w:pPr>
      <w:rPr>
        <w:rFonts w:ascii="Wingdings" w:hAnsi="Wingdings" w:hint="default"/>
      </w:rPr>
    </w:lvl>
    <w:lvl w:ilvl="3" w:tplc="2E10800A">
      <w:start w:val="1"/>
      <w:numFmt w:val="bullet"/>
      <w:lvlText w:val=""/>
      <w:lvlJc w:val="left"/>
      <w:pPr>
        <w:ind w:left="2880" w:hanging="360"/>
      </w:pPr>
      <w:rPr>
        <w:rFonts w:ascii="Symbol" w:hAnsi="Symbol" w:hint="default"/>
      </w:rPr>
    </w:lvl>
    <w:lvl w:ilvl="4" w:tplc="6E8C7828">
      <w:start w:val="1"/>
      <w:numFmt w:val="bullet"/>
      <w:lvlText w:val="o"/>
      <w:lvlJc w:val="left"/>
      <w:pPr>
        <w:ind w:left="3600" w:hanging="360"/>
      </w:pPr>
      <w:rPr>
        <w:rFonts w:ascii="Courier New" w:hAnsi="Courier New" w:hint="default"/>
      </w:rPr>
    </w:lvl>
    <w:lvl w:ilvl="5" w:tplc="174E612C">
      <w:start w:val="1"/>
      <w:numFmt w:val="bullet"/>
      <w:lvlText w:val=""/>
      <w:lvlJc w:val="left"/>
      <w:pPr>
        <w:ind w:left="4320" w:hanging="360"/>
      </w:pPr>
      <w:rPr>
        <w:rFonts w:ascii="Wingdings" w:hAnsi="Wingdings" w:hint="default"/>
      </w:rPr>
    </w:lvl>
    <w:lvl w:ilvl="6" w:tplc="67F6CD86">
      <w:start w:val="1"/>
      <w:numFmt w:val="bullet"/>
      <w:lvlText w:val=""/>
      <w:lvlJc w:val="left"/>
      <w:pPr>
        <w:ind w:left="5040" w:hanging="360"/>
      </w:pPr>
      <w:rPr>
        <w:rFonts w:ascii="Symbol" w:hAnsi="Symbol" w:hint="default"/>
      </w:rPr>
    </w:lvl>
    <w:lvl w:ilvl="7" w:tplc="2998F3A4">
      <w:start w:val="1"/>
      <w:numFmt w:val="bullet"/>
      <w:lvlText w:val="o"/>
      <w:lvlJc w:val="left"/>
      <w:pPr>
        <w:ind w:left="5760" w:hanging="360"/>
      </w:pPr>
      <w:rPr>
        <w:rFonts w:ascii="Courier New" w:hAnsi="Courier New" w:hint="default"/>
      </w:rPr>
    </w:lvl>
    <w:lvl w:ilvl="8" w:tplc="A48618BC">
      <w:start w:val="1"/>
      <w:numFmt w:val="bullet"/>
      <w:lvlText w:val=""/>
      <w:lvlJc w:val="left"/>
      <w:pPr>
        <w:ind w:left="6480" w:hanging="360"/>
      </w:pPr>
      <w:rPr>
        <w:rFonts w:ascii="Wingdings" w:hAnsi="Wingdings" w:hint="default"/>
      </w:rPr>
    </w:lvl>
  </w:abstractNum>
  <w:abstractNum w:abstractNumId="34"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FB7956"/>
    <w:multiLevelType w:val="hybridMultilevel"/>
    <w:tmpl w:val="72F00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2D611D"/>
    <w:multiLevelType w:val="hybridMultilevel"/>
    <w:tmpl w:val="63C02566"/>
    <w:lvl w:ilvl="0" w:tplc="62E205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6327825"/>
    <w:multiLevelType w:val="hybridMultilevel"/>
    <w:tmpl w:val="F12850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7CB4BF6"/>
    <w:multiLevelType w:val="hybridMultilevel"/>
    <w:tmpl w:val="A51EFC2A"/>
    <w:lvl w:ilvl="0" w:tplc="0D1C46D8">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CA7CD6"/>
    <w:multiLevelType w:val="hybridMultilevel"/>
    <w:tmpl w:val="3A30CC2C"/>
    <w:lvl w:ilvl="0" w:tplc="34CA9F24">
      <w:start w:val="1"/>
      <w:numFmt w:val="bullet"/>
      <w:lvlText w:val=""/>
      <w:lvlJc w:val="left"/>
      <w:pPr>
        <w:ind w:left="360" w:hanging="360"/>
      </w:pPr>
      <w:rPr>
        <w:rFonts w:ascii="Symbol" w:hAnsi="Symbol" w:hint="default"/>
      </w:rPr>
    </w:lvl>
    <w:lvl w:ilvl="1" w:tplc="D80CC438">
      <w:start w:val="1"/>
      <w:numFmt w:val="bullet"/>
      <w:lvlText w:val="o"/>
      <w:lvlJc w:val="left"/>
      <w:pPr>
        <w:ind w:left="1080" w:hanging="360"/>
      </w:pPr>
      <w:rPr>
        <w:rFonts w:ascii="Courier New" w:hAnsi="Courier New" w:hint="default"/>
      </w:rPr>
    </w:lvl>
    <w:lvl w:ilvl="2" w:tplc="30767E1E">
      <w:start w:val="1"/>
      <w:numFmt w:val="bullet"/>
      <w:lvlText w:val=""/>
      <w:lvlJc w:val="left"/>
      <w:pPr>
        <w:ind w:left="1800" w:hanging="360"/>
      </w:pPr>
      <w:rPr>
        <w:rFonts w:ascii="Wingdings" w:hAnsi="Wingdings" w:hint="default"/>
      </w:rPr>
    </w:lvl>
    <w:lvl w:ilvl="3" w:tplc="CF602D96">
      <w:start w:val="1"/>
      <w:numFmt w:val="bullet"/>
      <w:lvlText w:val=""/>
      <w:lvlJc w:val="left"/>
      <w:pPr>
        <w:ind w:left="2520" w:hanging="360"/>
      </w:pPr>
      <w:rPr>
        <w:rFonts w:ascii="Symbol" w:hAnsi="Symbol" w:hint="default"/>
      </w:rPr>
    </w:lvl>
    <w:lvl w:ilvl="4" w:tplc="632ACF9C">
      <w:start w:val="1"/>
      <w:numFmt w:val="bullet"/>
      <w:lvlText w:val="o"/>
      <w:lvlJc w:val="left"/>
      <w:pPr>
        <w:ind w:left="3240" w:hanging="360"/>
      </w:pPr>
      <w:rPr>
        <w:rFonts w:ascii="Courier New" w:hAnsi="Courier New" w:hint="default"/>
      </w:rPr>
    </w:lvl>
    <w:lvl w:ilvl="5" w:tplc="3266B9EA">
      <w:start w:val="1"/>
      <w:numFmt w:val="bullet"/>
      <w:lvlText w:val=""/>
      <w:lvlJc w:val="left"/>
      <w:pPr>
        <w:ind w:left="3960" w:hanging="360"/>
      </w:pPr>
      <w:rPr>
        <w:rFonts w:ascii="Wingdings" w:hAnsi="Wingdings" w:hint="default"/>
      </w:rPr>
    </w:lvl>
    <w:lvl w:ilvl="6" w:tplc="FF060E86">
      <w:start w:val="1"/>
      <w:numFmt w:val="bullet"/>
      <w:lvlText w:val=""/>
      <w:lvlJc w:val="left"/>
      <w:pPr>
        <w:ind w:left="4680" w:hanging="360"/>
      </w:pPr>
      <w:rPr>
        <w:rFonts w:ascii="Symbol" w:hAnsi="Symbol" w:hint="default"/>
      </w:rPr>
    </w:lvl>
    <w:lvl w:ilvl="7" w:tplc="66AA1118">
      <w:start w:val="1"/>
      <w:numFmt w:val="bullet"/>
      <w:lvlText w:val="o"/>
      <w:lvlJc w:val="left"/>
      <w:pPr>
        <w:ind w:left="5400" w:hanging="360"/>
      </w:pPr>
      <w:rPr>
        <w:rFonts w:ascii="Courier New" w:hAnsi="Courier New" w:hint="default"/>
      </w:rPr>
    </w:lvl>
    <w:lvl w:ilvl="8" w:tplc="273CAC28">
      <w:start w:val="1"/>
      <w:numFmt w:val="bullet"/>
      <w:lvlText w:val=""/>
      <w:lvlJc w:val="left"/>
      <w:pPr>
        <w:ind w:left="6120" w:hanging="360"/>
      </w:pPr>
      <w:rPr>
        <w:rFonts w:ascii="Wingdings" w:hAnsi="Wingdings" w:hint="default"/>
      </w:rPr>
    </w:lvl>
  </w:abstractNum>
  <w:abstractNum w:abstractNumId="4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642C3AC9"/>
    <w:multiLevelType w:val="hybridMultilevel"/>
    <w:tmpl w:val="F46430B2"/>
    <w:lvl w:ilvl="0" w:tplc="8E90D2EC">
      <w:start w:val="1"/>
      <w:numFmt w:val="bullet"/>
      <w:lvlText w:val="•"/>
      <w:lvlJc w:val="left"/>
      <w:pPr>
        <w:tabs>
          <w:tab w:val="num" w:pos="720"/>
        </w:tabs>
        <w:ind w:left="720" w:hanging="360"/>
      </w:pPr>
      <w:rPr>
        <w:rFonts w:ascii="Arial" w:hAnsi="Arial" w:hint="default"/>
      </w:rPr>
    </w:lvl>
    <w:lvl w:ilvl="1" w:tplc="65863704" w:tentative="1">
      <w:start w:val="1"/>
      <w:numFmt w:val="bullet"/>
      <w:lvlText w:val="•"/>
      <w:lvlJc w:val="left"/>
      <w:pPr>
        <w:tabs>
          <w:tab w:val="num" w:pos="1440"/>
        </w:tabs>
        <w:ind w:left="1440" w:hanging="360"/>
      </w:pPr>
      <w:rPr>
        <w:rFonts w:ascii="Arial" w:hAnsi="Arial" w:hint="default"/>
      </w:rPr>
    </w:lvl>
    <w:lvl w:ilvl="2" w:tplc="EC96CAA0" w:tentative="1">
      <w:start w:val="1"/>
      <w:numFmt w:val="bullet"/>
      <w:lvlText w:val="•"/>
      <w:lvlJc w:val="left"/>
      <w:pPr>
        <w:tabs>
          <w:tab w:val="num" w:pos="2160"/>
        </w:tabs>
        <w:ind w:left="2160" w:hanging="360"/>
      </w:pPr>
      <w:rPr>
        <w:rFonts w:ascii="Arial" w:hAnsi="Arial" w:hint="default"/>
      </w:rPr>
    </w:lvl>
    <w:lvl w:ilvl="3" w:tplc="E3B072C8" w:tentative="1">
      <w:start w:val="1"/>
      <w:numFmt w:val="bullet"/>
      <w:lvlText w:val="•"/>
      <w:lvlJc w:val="left"/>
      <w:pPr>
        <w:tabs>
          <w:tab w:val="num" w:pos="2880"/>
        </w:tabs>
        <w:ind w:left="2880" w:hanging="360"/>
      </w:pPr>
      <w:rPr>
        <w:rFonts w:ascii="Arial" w:hAnsi="Arial" w:hint="default"/>
      </w:rPr>
    </w:lvl>
    <w:lvl w:ilvl="4" w:tplc="DB90D40C" w:tentative="1">
      <w:start w:val="1"/>
      <w:numFmt w:val="bullet"/>
      <w:lvlText w:val="•"/>
      <w:lvlJc w:val="left"/>
      <w:pPr>
        <w:tabs>
          <w:tab w:val="num" w:pos="3600"/>
        </w:tabs>
        <w:ind w:left="3600" w:hanging="360"/>
      </w:pPr>
      <w:rPr>
        <w:rFonts w:ascii="Arial" w:hAnsi="Arial" w:hint="default"/>
      </w:rPr>
    </w:lvl>
    <w:lvl w:ilvl="5" w:tplc="49105DA6" w:tentative="1">
      <w:start w:val="1"/>
      <w:numFmt w:val="bullet"/>
      <w:lvlText w:val="•"/>
      <w:lvlJc w:val="left"/>
      <w:pPr>
        <w:tabs>
          <w:tab w:val="num" w:pos="4320"/>
        </w:tabs>
        <w:ind w:left="4320" w:hanging="360"/>
      </w:pPr>
      <w:rPr>
        <w:rFonts w:ascii="Arial" w:hAnsi="Arial" w:hint="default"/>
      </w:rPr>
    </w:lvl>
    <w:lvl w:ilvl="6" w:tplc="103C3D92" w:tentative="1">
      <w:start w:val="1"/>
      <w:numFmt w:val="bullet"/>
      <w:lvlText w:val="•"/>
      <w:lvlJc w:val="left"/>
      <w:pPr>
        <w:tabs>
          <w:tab w:val="num" w:pos="5040"/>
        </w:tabs>
        <w:ind w:left="5040" w:hanging="360"/>
      </w:pPr>
      <w:rPr>
        <w:rFonts w:ascii="Arial" w:hAnsi="Arial" w:hint="default"/>
      </w:rPr>
    </w:lvl>
    <w:lvl w:ilvl="7" w:tplc="941EDCD2" w:tentative="1">
      <w:start w:val="1"/>
      <w:numFmt w:val="bullet"/>
      <w:lvlText w:val="•"/>
      <w:lvlJc w:val="left"/>
      <w:pPr>
        <w:tabs>
          <w:tab w:val="num" w:pos="5760"/>
        </w:tabs>
        <w:ind w:left="5760" w:hanging="360"/>
      </w:pPr>
      <w:rPr>
        <w:rFonts w:ascii="Arial" w:hAnsi="Arial" w:hint="default"/>
      </w:rPr>
    </w:lvl>
    <w:lvl w:ilvl="8" w:tplc="187C9EB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44D3172"/>
    <w:multiLevelType w:val="hybridMultilevel"/>
    <w:tmpl w:val="92380470"/>
    <w:lvl w:ilvl="0" w:tplc="0C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4B3FF27"/>
    <w:multiLevelType w:val="hybridMultilevel"/>
    <w:tmpl w:val="4A527EDC"/>
    <w:lvl w:ilvl="0" w:tplc="57D4D964">
      <w:start w:val="1"/>
      <w:numFmt w:val="bullet"/>
      <w:lvlText w:val=""/>
      <w:lvlJc w:val="left"/>
      <w:pPr>
        <w:ind w:left="360" w:hanging="360"/>
      </w:pPr>
      <w:rPr>
        <w:rFonts w:ascii="Symbol" w:hAnsi="Symbol" w:hint="default"/>
      </w:rPr>
    </w:lvl>
    <w:lvl w:ilvl="1" w:tplc="84CC2F0C">
      <w:start w:val="1"/>
      <w:numFmt w:val="bullet"/>
      <w:lvlText w:val="o"/>
      <w:lvlJc w:val="left"/>
      <w:pPr>
        <w:ind w:left="1080" w:hanging="360"/>
      </w:pPr>
      <w:rPr>
        <w:rFonts w:ascii="Courier New" w:hAnsi="Courier New" w:hint="default"/>
      </w:rPr>
    </w:lvl>
    <w:lvl w:ilvl="2" w:tplc="5742ECE2">
      <w:start w:val="1"/>
      <w:numFmt w:val="bullet"/>
      <w:lvlText w:val=""/>
      <w:lvlJc w:val="left"/>
      <w:pPr>
        <w:ind w:left="1800" w:hanging="360"/>
      </w:pPr>
      <w:rPr>
        <w:rFonts w:ascii="Wingdings" w:hAnsi="Wingdings" w:hint="default"/>
      </w:rPr>
    </w:lvl>
    <w:lvl w:ilvl="3" w:tplc="4EC6701C">
      <w:start w:val="1"/>
      <w:numFmt w:val="bullet"/>
      <w:lvlText w:val=""/>
      <w:lvlJc w:val="left"/>
      <w:pPr>
        <w:ind w:left="2520" w:hanging="360"/>
      </w:pPr>
      <w:rPr>
        <w:rFonts w:ascii="Symbol" w:hAnsi="Symbol" w:hint="default"/>
      </w:rPr>
    </w:lvl>
    <w:lvl w:ilvl="4" w:tplc="5B7E460C">
      <w:start w:val="1"/>
      <w:numFmt w:val="bullet"/>
      <w:lvlText w:val="o"/>
      <w:lvlJc w:val="left"/>
      <w:pPr>
        <w:ind w:left="3240" w:hanging="360"/>
      </w:pPr>
      <w:rPr>
        <w:rFonts w:ascii="Courier New" w:hAnsi="Courier New" w:hint="default"/>
      </w:rPr>
    </w:lvl>
    <w:lvl w:ilvl="5" w:tplc="9C68D052">
      <w:start w:val="1"/>
      <w:numFmt w:val="bullet"/>
      <w:lvlText w:val=""/>
      <w:lvlJc w:val="left"/>
      <w:pPr>
        <w:ind w:left="3960" w:hanging="360"/>
      </w:pPr>
      <w:rPr>
        <w:rFonts w:ascii="Wingdings" w:hAnsi="Wingdings" w:hint="default"/>
      </w:rPr>
    </w:lvl>
    <w:lvl w:ilvl="6" w:tplc="98080374">
      <w:start w:val="1"/>
      <w:numFmt w:val="bullet"/>
      <w:lvlText w:val=""/>
      <w:lvlJc w:val="left"/>
      <w:pPr>
        <w:ind w:left="4680" w:hanging="360"/>
      </w:pPr>
      <w:rPr>
        <w:rFonts w:ascii="Symbol" w:hAnsi="Symbol" w:hint="default"/>
      </w:rPr>
    </w:lvl>
    <w:lvl w:ilvl="7" w:tplc="EED2A42A">
      <w:start w:val="1"/>
      <w:numFmt w:val="bullet"/>
      <w:lvlText w:val="o"/>
      <w:lvlJc w:val="left"/>
      <w:pPr>
        <w:ind w:left="5400" w:hanging="360"/>
      </w:pPr>
      <w:rPr>
        <w:rFonts w:ascii="Courier New" w:hAnsi="Courier New" w:hint="default"/>
      </w:rPr>
    </w:lvl>
    <w:lvl w:ilvl="8" w:tplc="5F48C740">
      <w:start w:val="1"/>
      <w:numFmt w:val="bullet"/>
      <w:lvlText w:val=""/>
      <w:lvlJc w:val="left"/>
      <w:pPr>
        <w:ind w:left="6120" w:hanging="360"/>
      </w:pPr>
      <w:rPr>
        <w:rFonts w:ascii="Wingdings" w:hAnsi="Wingdings" w:hint="default"/>
      </w:rPr>
    </w:lvl>
  </w:abstractNum>
  <w:abstractNum w:abstractNumId="47" w15:restartNumberingAfterBreak="0">
    <w:nsid w:val="65F23F83"/>
    <w:multiLevelType w:val="multilevel"/>
    <w:tmpl w:val="F07C7B2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1406A55"/>
    <w:multiLevelType w:val="hybridMultilevel"/>
    <w:tmpl w:val="FEE89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E93A83"/>
    <w:multiLevelType w:val="hybridMultilevel"/>
    <w:tmpl w:val="CB4A9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2134BD"/>
    <w:multiLevelType w:val="hybridMultilevel"/>
    <w:tmpl w:val="CC22B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39C092B"/>
    <w:multiLevelType w:val="hybridMultilevel"/>
    <w:tmpl w:val="B0E6FA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74FE155D"/>
    <w:multiLevelType w:val="multilevel"/>
    <w:tmpl w:val="2AAEBB8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4D033C"/>
    <w:multiLevelType w:val="multilevel"/>
    <w:tmpl w:val="0D94680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84F4A52"/>
    <w:multiLevelType w:val="hybridMultilevel"/>
    <w:tmpl w:val="01580384"/>
    <w:lvl w:ilvl="0" w:tplc="E30A912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884260D"/>
    <w:multiLevelType w:val="hybridMultilevel"/>
    <w:tmpl w:val="D8024A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95A447B"/>
    <w:multiLevelType w:val="multilevel"/>
    <w:tmpl w:val="E89AEBA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EF55144"/>
    <w:multiLevelType w:val="hybridMultilevel"/>
    <w:tmpl w:val="48F097DE"/>
    <w:lvl w:ilvl="0" w:tplc="F7BEF584">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16186631">
    <w:abstractNumId w:val="54"/>
  </w:num>
  <w:num w:numId="2" w16cid:durableId="917793048">
    <w:abstractNumId w:val="30"/>
  </w:num>
  <w:num w:numId="3" w16cid:durableId="263461728">
    <w:abstractNumId w:val="0"/>
  </w:num>
  <w:num w:numId="4" w16cid:durableId="1177577810">
    <w:abstractNumId w:val="13"/>
  </w:num>
  <w:num w:numId="5" w16cid:durableId="1156729720">
    <w:abstractNumId w:val="28"/>
  </w:num>
  <w:num w:numId="6" w16cid:durableId="704645582">
    <w:abstractNumId w:val="34"/>
  </w:num>
  <w:num w:numId="7" w16cid:durableId="139346788">
    <w:abstractNumId w:val="58"/>
  </w:num>
  <w:num w:numId="8" w16cid:durableId="1533883230">
    <w:abstractNumId w:val="29"/>
  </w:num>
  <w:num w:numId="9" w16cid:durableId="220360847">
    <w:abstractNumId w:val="45"/>
  </w:num>
  <w:num w:numId="10" w16cid:durableId="268196418">
    <w:abstractNumId w:val="22"/>
  </w:num>
  <w:num w:numId="11" w16cid:durableId="1048839230">
    <w:abstractNumId w:val="54"/>
  </w:num>
  <w:num w:numId="12" w16cid:durableId="36398211">
    <w:abstractNumId w:val="38"/>
  </w:num>
  <w:num w:numId="13" w16cid:durableId="1842894801">
    <w:abstractNumId w:val="26"/>
  </w:num>
  <w:num w:numId="14" w16cid:durableId="1521776795">
    <w:abstractNumId w:val="24"/>
  </w:num>
  <w:num w:numId="15" w16cid:durableId="1000472994">
    <w:abstractNumId w:val="32"/>
  </w:num>
  <w:num w:numId="16" w16cid:durableId="1017777379">
    <w:abstractNumId w:val="10"/>
  </w:num>
  <w:num w:numId="17" w16cid:durableId="931279839">
    <w:abstractNumId w:val="11"/>
  </w:num>
  <w:num w:numId="18" w16cid:durableId="416824973">
    <w:abstractNumId w:val="40"/>
  </w:num>
  <w:num w:numId="19" w16cid:durableId="1111316958">
    <w:abstractNumId w:val="50"/>
  </w:num>
  <w:num w:numId="20" w16cid:durableId="2102411327">
    <w:abstractNumId w:val="51"/>
  </w:num>
  <w:num w:numId="21" w16cid:durableId="779837037">
    <w:abstractNumId w:val="39"/>
  </w:num>
  <w:num w:numId="22" w16cid:durableId="425808986">
    <w:abstractNumId w:val="44"/>
  </w:num>
  <w:num w:numId="23" w16cid:durableId="680930141">
    <w:abstractNumId w:val="35"/>
  </w:num>
  <w:num w:numId="24" w16cid:durableId="2084325994">
    <w:abstractNumId w:val="59"/>
  </w:num>
  <w:num w:numId="25" w16cid:durableId="1817645319">
    <w:abstractNumId w:val="56"/>
  </w:num>
  <w:num w:numId="26" w16cid:durableId="1756123581">
    <w:abstractNumId w:val="17"/>
  </w:num>
  <w:num w:numId="27" w16cid:durableId="1126630147">
    <w:abstractNumId w:val="46"/>
  </w:num>
  <w:num w:numId="28" w16cid:durableId="1101996577">
    <w:abstractNumId w:val="2"/>
  </w:num>
  <w:num w:numId="29" w16cid:durableId="1888566527">
    <w:abstractNumId w:val="41"/>
  </w:num>
  <w:num w:numId="30" w16cid:durableId="1956791614">
    <w:abstractNumId w:val="18"/>
  </w:num>
  <w:num w:numId="31" w16cid:durableId="231503339">
    <w:abstractNumId w:val="25"/>
  </w:num>
  <w:num w:numId="32" w16cid:durableId="1308433515">
    <w:abstractNumId w:val="12"/>
  </w:num>
  <w:num w:numId="33" w16cid:durableId="1607227970">
    <w:abstractNumId w:val="6"/>
  </w:num>
  <w:num w:numId="34" w16cid:durableId="1125779022">
    <w:abstractNumId w:val="53"/>
  </w:num>
  <w:num w:numId="35" w16cid:durableId="388504819">
    <w:abstractNumId w:val="8"/>
  </w:num>
  <w:num w:numId="36" w16cid:durableId="974023093">
    <w:abstractNumId w:val="4"/>
  </w:num>
  <w:num w:numId="37" w16cid:durableId="252665556">
    <w:abstractNumId w:val="27"/>
  </w:num>
  <w:num w:numId="38" w16cid:durableId="894894417">
    <w:abstractNumId w:val="21"/>
  </w:num>
  <w:num w:numId="39" w16cid:durableId="1196387634">
    <w:abstractNumId w:val="47"/>
  </w:num>
  <w:num w:numId="40" w16cid:durableId="1573005167">
    <w:abstractNumId w:val="36"/>
  </w:num>
  <w:num w:numId="41" w16cid:durableId="408699874">
    <w:abstractNumId w:val="37"/>
  </w:num>
  <w:num w:numId="42" w16cid:durableId="1569418770">
    <w:abstractNumId w:val="3"/>
  </w:num>
  <w:num w:numId="43" w16cid:durableId="705176722">
    <w:abstractNumId w:val="1"/>
  </w:num>
  <w:num w:numId="44" w16cid:durableId="1926569401">
    <w:abstractNumId w:val="15"/>
  </w:num>
  <w:num w:numId="45" w16cid:durableId="1979457665">
    <w:abstractNumId w:val="20"/>
  </w:num>
  <w:num w:numId="46" w16cid:durableId="2038313566">
    <w:abstractNumId w:val="14"/>
  </w:num>
  <w:num w:numId="47" w16cid:durableId="1297443176">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997201">
    <w:abstractNumId w:val="48"/>
  </w:num>
  <w:num w:numId="49" w16cid:durableId="1894997130">
    <w:abstractNumId w:val="19"/>
  </w:num>
  <w:num w:numId="50" w16cid:durableId="779952716">
    <w:abstractNumId w:val="52"/>
  </w:num>
  <w:num w:numId="51" w16cid:durableId="1369139076">
    <w:abstractNumId w:val="43"/>
  </w:num>
  <w:num w:numId="52" w16cid:durableId="1016999768">
    <w:abstractNumId w:val="7"/>
  </w:num>
  <w:num w:numId="53" w16cid:durableId="1055935383">
    <w:abstractNumId w:val="16"/>
  </w:num>
  <w:num w:numId="54" w16cid:durableId="1734889072">
    <w:abstractNumId w:val="23"/>
  </w:num>
  <w:num w:numId="55" w16cid:durableId="1208565318">
    <w:abstractNumId w:val="33"/>
  </w:num>
  <w:num w:numId="56" w16cid:durableId="1705329170">
    <w:abstractNumId w:val="57"/>
  </w:num>
  <w:num w:numId="57" w16cid:durableId="178012519">
    <w:abstractNumId w:val="31"/>
  </w:num>
  <w:num w:numId="58" w16cid:durableId="1603536449">
    <w:abstractNumId w:val="9"/>
  </w:num>
  <w:num w:numId="59" w16cid:durableId="1114714788">
    <w:abstractNumId w:val="49"/>
  </w:num>
  <w:num w:numId="60" w16cid:durableId="518130121">
    <w:abstractNumId w:val="54"/>
  </w:num>
  <w:num w:numId="61" w16cid:durableId="144199874">
    <w:abstractNumId w:val="54"/>
  </w:num>
  <w:num w:numId="62" w16cid:durableId="2119908698">
    <w:abstractNumId w:val="55"/>
  </w:num>
  <w:num w:numId="63" w16cid:durableId="1498575432">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1F2"/>
    <w:rsid w:val="000002BE"/>
    <w:rsid w:val="000002D9"/>
    <w:rsid w:val="00000375"/>
    <w:rsid w:val="00000411"/>
    <w:rsid w:val="000005A7"/>
    <w:rsid w:val="000005EC"/>
    <w:rsid w:val="00000790"/>
    <w:rsid w:val="000007FE"/>
    <w:rsid w:val="00000B45"/>
    <w:rsid w:val="00000C54"/>
    <w:rsid w:val="00000CA1"/>
    <w:rsid w:val="00000EB7"/>
    <w:rsid w:val="00000F18"/>
    <w:rsid w:val="00000F48"/>
    <w:rsid w:val="00001059"/>
    <w:rsid w:val="0000110B"/>
    <w:rsid w:val="0000119E"/>
    <w:rsid w:val="000012A0"/>
    <w:rsid w:val="00001404"/>
    <w:rsid w:val="0000153B"/>
    <w:rsid w:val="0000176F"/>
    <w:rsid w:val="00001895"/>
    <w:rsid w:val="000019EC"/>
    <w:rsid w:val="00001A0D"/>
    <w:rsid w:val="00001B88"/>
    <w:rsid w:val="00001CF1"/>
    <w:rsid w:val="00001D57"/>
    <w:rsid w:val="0000200D"/>
    <w:rsid w:val="00002130"/>
    <w:rsid w:val="00002398"/>
    <w:rsid w:val="00002BF8"/>
    <w:rsid w:val="00002C25"/>
    <w:rsid w:val="00002D3C"/>
    <w:rsid w:val="00002E6B"/>
    <w:rsid w:val="00003139"/>
    <w:rsid w:val="0000313F"/>
    <w:rsid w:val="0000329D"/>
    <w:rsid w:val="00003499"/>
    <w:rsid w:val="000036E8"/>
    <w:rsid w:val="00003741"/>
    <w:rsid w:val="00003775"/>
    <w:rsid w:val="00003871"/>
    <w:rsid w:val="000039B7"/>
    <w:rsid w:val="00003D17"/>
    <w:rsid w:val="00003D3C"/>
    <w:rsid w:val="00003D5E"/>
    <w:rsid w:val="00003E37"/>
    <w:rsid w:val="00003E90"/>
    <w:rsid w:val="00003F16"/>
    <w:rsid w:val="00003F76"/>
    <w:rsid w:val="00003FA5"/>
    <w:rsid w:val="00004161"/>
    <w:rsid w:val="00004207"/>
    <w:rsid w:val="000043D4"/>
    <w:rsid w:val="000047AE"/>
    <w:rsid w:val="000047F3"/>
    <w:rsid w:val="00004975"/>
    <w:rsid w:val="00004B9D"/>
    <w:rsid w:val="00004E53"/>
    <w:rsid w:val="00004E56"/>
    <w:rsid w:val="00004F0D"/>
    <w:rsid w:val="00004F2E"/>
    <w:rsid w:val="00004F64"/>
    <w:rsid w:val="000054A6"/>
    <w:rsid w:val="000054E8"/>
    <w:rsid w:val="000056B9"/>
    <w:rsid w:val="00005946"/>
    <w:rsid w:val="00005AB9"/>
    <w:rsid w:val="00005B31"/>
    <w:rsid w:val="00005B5A"/>
    <w:rsid w:val="00005CAA"/>
    <w:rsid w:val="00005CE1"/>
    <w:rsid w:val="00005F30"/>
    <w:rsid w:val="0000624C"/>
    <w:rsid w:val="0000639A"/>
    <w:rsid w:val="00006423"/>
    <w:rsid w:val="000064D9"/>
    <w:rsid w:val="00006822"/>
    <w:rsid w:val="00006A57"/>
    <w:rsid w:val="00006B56"/>
    <w:rsid w:val="00006E15"/>
    <w:rsid w:val="0000709E"/>
    <w:rsid w:val="0000713F"/>
    <w:rsid w:val="000072E3"/>
    <w:rsid w:val="00007551"/>
    <w:rsid w:val="0000764A"/>
    <w:rsid w:val="00007674"/>
    <w:rsid w:val="000076A1"/>
    <w:rsid w:val="00007916"/>
    <w:rsid w:val="00007B0C"/>
    <w:rsid w:val="00007CAB"/>
    <w:rsid w:val="00007E59"/>
    <w:rsid w:val="00007E90"/>
    <w:rsid w:val="000103FA"/>
    <w:rsid w:val="00010856"/>
    <w:rsid w:val="00010873"/>
    <w:rsid w:val="000109A8"/>
    <w:rsid w:val="00010C14"/>
    <w:rsid w:val="00010DED"/>
    <w:rsid w:val="00010FBE"/>
    <w:rsid w:val="000115D7"/>
    <w:rsid w:val="000115D8"/>
    <w:rsid w:val="00011615"/>
    <w:rsid w:val="00011B40"/>
    <w:rsid w:val="00011B75"/>
    <w:rsid w:val="00011D1F"/>
    <w:rsid w:val="00011D76"/>
    <w:rsid w:val="00011E0C"/>
    <w:rsid w:val="00011E21"/>
    <w:rsid w:val="00011E28"/>
    <w:rsid w:val="00011F3E"/>
    <w:rsid w:val="00012124"/>
    <w:rsid w:val="000123F4"/>
    <w:rsid w:val="000124A4"/>
    <w:rsid w:val="00012807"/>
    <w:rsid w:val="00012835"/>
    <w:rsid w:val="00012B20"/>
    <w:rsid w:val="00012D62"/>
    <w:rsid w:val="00012D78"/>
    <w:rsid w:val="0001318C"/>
    <w:rsid w:val="00013247"/>
    <w:rsid w:val="000132D2"/>
    <w:rsid w:val="000133FD"/>
    <w:rsid w:val="00013405"/>
    <w:rsid w:val="00013441"/>
    <w:rsid w:val="00013452"/>
    <w:rsid w:val="00013685"/>
    <w:rsid w:val="000139A5"/>
    <w:rsid w:val="00013EEC"/>
    <w:rsid w:val="00013F3A"/>
    <w:rsid w:val="00013FE8"/>
    <w:rsid w:val="00014022"/>
    <w:rsid w:val="0001417F"/>
    <w:rsid w:val="00014277"/>
    <w:rsid w:val="0001457D"/>
    <w:rsid w:val="00014688"/>
    <w:rsid w:val="0001468D"/>
    <w:rsid w:val="0001490A"/>
    <w:rsid w:val="00014913"/>
    <w:rsid w:val="000149F6"/>
    <w:rsid w:val="00014E5E"/>
    <w:rsid w:val="00014E7B"/>
    <w:rsid w:val="00014E92"/>
    <w:rsid w:val="00014EAF"/>
    <w:rsid w:val="00015308"/>
    <w:rsid w:val="0001531D"/>
    <w:rsid w:val="00015644"/>
    <w:rsid w:val="00015886"/>
    <w:rsid w:val="000158CA"/>
    <w:rsid w:val="0001591D"/>
    <w:rsid w:val="00015ADF"/>
    <w:rsid w:val="00015C85"/>
    <w:rsid w:val="00015D25"/>
    <w:rsid w:val="00015D47"/>
    <w:rsid w:val="00015D50"/>
    <w:rsid w:val="00015E6D"/>
    <w:rsid w:val="000160BD"/>
    <w:rsid w:val="000161A9"/>
    <w:rsid w:val="000162EF"/>
    <w:rsid w:val="000164CE"/>
    <w:rsid w:val="00016774"/>
    <w:rsid w:val="00016847"/>
    <w:rsid w:val="00016F69"/>
    <w:rsid w:val="00017267"/>
    <w:rsid w:val="00017299"/>
    <w:rsid w:val="000177B8"/>
    <w:rsid w:val="000177EA"/>
    <w:rsid w:val="00017828"/>
    <w:rsid w:val="00017DB0"/>
    <w:rsid w:val="0002012D"/>
    <w:rsid w:val="000204B0"/>
    <w:rsid w:val="000205DF"/>
    <w:rsid w:val="00020611"/>
    <w:rsid w:val="000207C9"/>
    <w:rsid w:val="00020B62"/>
    <w:rsid w:val="00020B9C"/>
    <w:rsid w:val="000210AB"/>
    <w:rsid w:val="00021283"/>
    <w:rsid w:val="000215EC"/>
    <w:rsid w:val="0002162E"/>
    <w:rsid w:val="00021637"/>
    <w:rsid w:val="00021973"/>
    <w:rsid w:val="00021A02"/>
    <w:rsid w:val="00021C2A"/>
    <w:rsid w:val="00022157"/>
    <w:rsid w:val="0002225F"/>
    <w:rsid w:val="000223E2"/>
    <w:rsid w:val="0002259A"/>
    <w:rsid w:val="0002265E"/>
    <w:rsid w:val="00022695"/>
    <w:rsid w:val="0002280A"/>
    <w:rsid w:val="0002280F"/>
    <w:rsid w:val="000228AB"/>
    <w:rsid w:val="0002293D"/>
    <w:rsid w:val="00022978"/>
    <w:rsid w:val="00022D69"/>
    <w:rsid w:val="00022EB4"/>
    <w:rsid w:val="00022EB6"/>
    <w:rsid w:val="0002307D"/>
    <w:rsid w:val="000232AD"/>
    <w:rsid w:val="000232E7"/>
    <w:rsid w:val="000232F6"/>
    <w:rsid w:val="0002338F"/>
    <w:rsid w:val="000236F0"/>
    <w:rsid w:val="00023758"/>
    <w:rsid w:val="00023763"/>
    <w:rsid w:val="000237D0"/>
    <w:rsid w:val="0002396A"/>
    <w:rsid w:val="00023A34"/>
    <w:rsid w:val="00023A55"/>
    <w:rsid w:val="00023B9D"/>
    <w:rsid w:val="00023BE2"/>
    <w:rsid w:val="00023CA1"/>
    <w:rsid w:val="00023E5F"/>
    <w:rsid w:val="00023F62"/>
    <w:rsid w:val="00024514"/>
    <w:rsid w:val="00024A9F"/>
    <w:rsid w:val="00024AED"/>
    <w:rsid w:val="00024B88"/>
    <w:rsid w:val="00024DE5"/>
    <w:rsid w:val="00024EB5"/>
    <w:rsid w:val="00024EB6"/>
    <w:rsid w:val="00024EEF"/>
    <w:rsid w:val="00024FBE"/>
    <w:rsid w:val="00024FFC"/>
    <w:rsid w:val="0002506A"/>
    <w:rsid w:val="000252E2"/>
    <w:rsid w:val="0002553E"/>
    <w:rsid w:val="000255B4"/>
    <w:rsid w:val="00025604"/>
    <w:rsid w:val="000256BA"/>
    <w:rsid w:val="000256F5"/>
    <w:rsid w:val="00025750"/>
    <w:rsid w:val="0002584F"/>
    <w:rsid w:val="00025AF2"/>
    <w:rsid w:val="00025B6F"/>
    <w:rsid w:val="00025BE5"/>
    <w:rsid w:val="00026272"/>
    <w:rsid w:val="000262A7"/>
    <w:rsid w:val="000262EB"/>
    <w:rsid w:val="0002643F"/>
    <w:rsid w:val="000266D3"/>
    <w:rsid w:val="000267C2"/>
    <w:rsid w:val="00026A10"/>
    <w:rsid w:val="00026A46"/>
    <w:rsid w:val="00026A81"/>
    <w:rsid w:val="00026C3F"/>
    <w:rsid w:val="000270E7"/>
    <w:rsid w:val="000274A3"/>
    <w:rsid w:val="000274B8"/>
    <w:rsid w:val="00027DD6"/>
    <w:rsid w:val="00027DE1"/>
    <w:rsid w:val="000306FB"/>
    <w:rsid w:val="0003073C"/>
    <w:rsid w:val="00030AE9"/>
    <w:rsid w:val="00030F1B"/>
    <w:rsid w:val="00030FEA"/>
    <w:rsid w:val="0003104E"/>
    <w:rsid w:val="000310ED"/>
    <w:rsid w:val="000312D3"/>
    <w:rsid w:val="000313C3"/>
    <w:rsid w:val="0003156C"/>
    <w:rsid w:val="000315D2"/>
    <w:rsid w:val="000316CD"/>
    <w:rsid w:val="000317EE"/>
    <w:rsid w:val="000318D4"/>
    <w:rsid w:val="000319AE"/>
    <w:rsid w:val="00031AD0"/>
    <w:rsid w:val="00031C12"/>
    <w:rsid w:val="00031F30"/>
    <w:rsid w:val="00031F54"/>
    <w:rsid w:val="00032283"/>
    <w:rsid w:val="0003236E"/>
    <w:rsid w:val="00032691"/>
    <w:rsid w:val="0003299D"/>
    <w:rsid w:val="000329B3"/>
    <w:rsid w:val="00032ACB"/>
    <w:rsid w:val="00032BCE"/>
    <w:rsid w:val="00032DB2"/>
    <w:rsid w:val="00033863"/>
    <w:rsid w:val="000338F9"/>
    <w:rsid w:val="000339F6"/>
    <w:rsid w:val="00033ABA"/>
    <w:rsid w:val="00033ADB"/>
    <w:rsid w:val="00033E5C"/>
    <w:rsid w:val="0003440B"/>
    <w:rsid w:val="00034687"/>
    <w:rsid w:val="000346DD"/>
    <w:rsid w:val="00034C2E"/>
    <w:rsid w:val="00034FEC"/>
    <w:rsid w:val="000350DD"/>
    <w:rsid w:val="000351C4"/>
    <w:rsid w:val="0003521A"/>
    <w:rsid w:val="000352CB"/>
    <w:rsid w:val="000354CC"/>
    <w:rsid w:val="00035860"/>
    <w:rsid w:val="00035A54"/>
    <w:rsid w:val="00035B16"/>
    <w:rsid w:val="00035B1C"/>
    <w:rsid w:val="00035D40"/>
    <w:rsid w:val="00035DC0"/>
    <w:rsid w:val="00035DEF"/>
    <w:rsid w:val="00035EA7"/>
    <w:rsid w:val="00035F0C"/>
    <w:rsid w:val="00036059"/>
    <w:rsid w:val="00036122"/>
    <w:rsid w:val="00036305"/>
    <w:rsid w:val="00036613"/>
    <w:rsid w:val="0003674B"/>
    <w:rsid w:val="000367A4"/>
    <w:rsid w:val="0003681F"/>
    <w:rsid w:val="00036829"/>
    <w:rsid w:val="000369F8"/>
    <w:rsid w:val="00036C6A"/>
    <w:rsid w:val="00036E11"/>
    <w:rsid w:val="00037041"/>
    <w:rsid w:val="00037378"/>
    <w:rsid w:val="00037428"/>
    <w:rsid w:val="0003752C"/>
    <w:rsid w:val="00037572"/>
    <w:rsid w:val="000375D2"/>
    <w:rsid w:val="000376D3"/>
    <w:rsid w:val="0003771A"/>
    <w:rsid w:val="00037750"/>
    <w:rsid w:val="00037859"/>
    <w:rsid w:val="00037933"/>
    <w:rsid w:val="00037994"/>
    <w:rsid w:val="00037C7C"/>
    <w:rsid w:val="00037CF7"/>
    <w:rsid w:val="00037FB5"/>
    <w:rsid w:val="0004003C"/>
    <w:rsid w:val="0004010E"/>
    <w:rsid w:val="0004025E"/>
    <w:rsid w:val="00040351"/>
    <w:rsid w:val="0004047A"/>
    <w:rsid w:val="00040493"/>
    <w:rsid w:val="0004052E"/>
    <w:rsid w:val="00040570"/>
    <w:rsid w:val="000405C7"/>
    <w:rsid w:val="000406DB"/>
    <w:rsid w:val="00040895"/>
    <w:rsid w:val="000408AB"/>
    <w:rsid w:val="00040AFD"/>
    <w:rsid w:val="00040B09"/>
    <w:rsid w:val="00040CAB"/>
    <w:rsid w:val="00040E12"/>
    <w:rsid w:val="00040E3A"/>
    <w:rsid w:val="000410A0"/>
    <w:rsid w:val="00041177"/>
    <w:rsid w:val="0004120F"/>
    <w:rsid w:val="0004132E"/>
    <w:rsid w:val="000414E2"/>
    <w:rsid w:val="0004152B"/>
    <w:rsid w:val="00041613"/>
    <w:rsid w:val="00041702"/>
    <w:rsid w:val="000419D1"/>
    <w:rsid w:val="00041A31"/>
    <w:rsid w:val="00041AAB"/>
    <w:rsid w:val="00041AF7"/>
    <w:rsid w:val="000420D2"/>
    <w:rsid w:val="000420E1"/>
    <w:rsid w:val="00042290"/>
    <w:rsid w:val="0004232C"/>
    <w:rsid w:val="0004254B"/>
    <w:rsid w:val="00042602"/>
    <w:rsid w:val="00042990"/>
    <w:rsid w:val="00042D48"/>
    <w:rsid w:val="00042DA6"/>
    <w:rsid w:val="00042DE0"/>
    <w:rsid w:val="00042E12"/>
    <w:rsid w:val="000430F1"/>
    <w:rsid w:val="00043110"/>
    <w:rsid w:val="000434BC"/>
    <w:rsid w:val="000435EC"/>
    <w:rsid w:val="000435EE"/>
    <w:rsid w:val="000437A7"/>
    <w:rsid w:val="000438F8"/>
    <w:rsid w:val="000439A5"/>
    <w:rsid w:val="00043C37"/>
    <w:rsid w:val="00043FFD"/>
    <w:rsid w:val="0004409D"/>
    <w:rsid w:val="00044278"/>
    <w:rsid w:val="000443FF"/>
    <w:rsid w:val="00044453"/>
    <w:rsid w:val="0004449C"/>
    <w:rsid w:val="00044619"/>
    <w:rsid w:val="00044A66"/>
    <w:rsid w:val="00044C9D"/>
    <w:rsid w:val="00045017"/>
    <w:rsid w:val="00045191"/>
    <w:rsid w:val="000452FE"/>
    <w:rsid w:val="000454D5"/>
    <w:rsid w:val="000454DF"/>
    <w:rsid w:val="00045843"/>
    <w:rsid w:val="00045A2B"/>
    <w:rsid w:val="00045BA4"/>
    <w:rsid w:val="00046033"/>
    <w:rsid w:val="0004648E"/>
    <w:rsid w:val="00046634"/>
    <w:rsid w:val="00046823"/>
    <w:rsid w:val="0004691F"/>
    <w:rsid w:val="0004698F"/>
    <w:rsid w:val="000469EC"/>
    <w:rsid w:val="00046B0B"/>
    <w:rsid w:val="00046C91"/>
    <w:rsid w:val="00046D3E"/>
    <w:rsid w:val="00046D64"/>
    <w:rsid w:val="00046E02"/>
    <w:rsid w:val="0004729E"/>
    <w:rsid w:val="00047365"/>
    <w:rsid w:val="000475F7"/>
    <w:rsid w:val="00047757"/>
    <w:rsid w:val="00047A3A"/>
    <w:rsid w:val="00047AFD"/>
    <w:rsid w:val="00047C64"/>
    <w:rsid w:val="00047DB0"/>
    <w:rsid w:val="00047E26"/>
    <w:rsid w:val="00050313"/>
    <w:rsid w:val="000508C2"/>
    <w:rsid w:val="00050962"/>
    <w:rsid w:val="00050B50"/>
    <w:rsid w:val="00050E11"/>
    <w:rsid w:val="0005134E"/>
    <w:rsid w:val="0005144B"/>
    <w:rsid w:val="00051633"/>
    <w:rsid w:val="0005166C"/>
    <w:rsid w:val="000519ED"/>
    <w:rsid w:val="00051CFF"/>
    <w:rsid w:val="00051D4B"/>
    <w:rsid w:val="00051DD9"/>
    <w:rsid w:val="00051E12"/>
    <w:rsid w:val="00051F4B"/>
    <w:rsid w:val="00051F72"/>
    <w:rsid w:val="000521FF"/>
    <w:rsid w:val="00052324"/>
    <w:rsid w:val="000523F0"/>
    <w:rsid w:val="00052506"/>
    <w:rsid w:val="0005251C"/>
    <w:rsid w:val="00052578"/>
    <w:rsid w:val="00052735"/>
    <w:rsid w:val="00052872"/>
    <w:rsid w:val="00052949"/>
    <w:rsid w:val="00052970"/>
    <w:rsid w:val="00052AB0"/>
    <w:rsid w:val="00052BBA"/>
    <w:rsid w:val="00052C45"/>
    <w:rsid w:val="00052CBE"/>
    <w:rsid w:val="00052D4E"/>
    <w:rsid w:val="0005327E"/>
    <w:rsid w:val="0005331D"/>
    <w:rsid w:val="0005333B"/>
    <w:rsid w:val="00053378"/>
    <w:rsid w:val="000533D9"/>
    <w:rsid w:val="000534BF"/>
    <w:rsid w:val="000534EF"/>
    <w:rsid w:val="00053538"/>
    <w:rsid w:val="000535D1"/>
    <w:rsid w:val="000536B5"/>
    <w:rsid w:val="000539D0"/>
    <w:rsid w:val="00053C16"/>
    <w:rsid w:val="00053C98"/>
    <w:rsid w:val="00053F0A"/>
    <w:rsid w:val="00053FE9"/>
    <w:rsid w:val="00054073"/>
    <w:rsid w:val="00054106"/>
    <w:rsid w:val="00054520"/>
    <w:rsid w:val="00054606"/>
    <w:rsid w:val="00054621"/>
    <w:rsid w:val="00054644"/>
    <w:rsid w:val="000546D7"/>
    <w:rsid w:val="00054A8D"/>
    <w:rsid w:val="00054CEC"/>
    <w:rsid w:val="00054D3F"/>
    <w:rsid w:val="00054F8C"/>
    <w:rsid w:val="000550B7"/>
    <w:rsid w:val="000553FF"/>
    <w:rsid w:val="00055475"/>
    <w:rsid w:val="00055888"/>
    <w:rsid w:val="000559A2"/>
    <w:rsid w:val="00055A58"/>
    <w:rsid w:val="00055ACF"/>
    <w:rsid w:val="00055DFE"/>
    <w:rsid w:val="000560DE"/>
    <w:rsid w:val="0005617C"/>
    <w:rsid w:val="000563D1"/>
    <w:rsid w:val="000566FD"/>
    <w:rsid w:val="00056913"/>
    <w:rsid w:val="00056941"/>
    <w:rsid w:val="00056D18"/>
    <w:rsid w:val="00056ECF"/>
    <w:rsid w:val="00057479"/>
    <w:rsid w:val="00057833"/>
    <w:rsid w:val="00057908"/>
    <w:rsid w:val="00057C27"/>
    <w:rsid w:val="00057D8A"/>
    <w:rsid w:val="00057E0A"/>
    <w:rsid w:val="00057E52"/>
    <w:rsid w:val="000601ED"/>
    <w:rsid w:val="00060206"/>
    <w:rsid w:val="00060243"/>
    <w:rsid w:val="00060388"/>
    <w:rsid w:val="00060465"/>
    <w:rsid w:val="000604DF"/>
    <w:rsid w:val="000606CA"/>
    <w:rsid w:val="00060753"/>
    <w:rsid w:val="00060842"/>
    <w:rsid w:val="000609D5"/>
    <w:rsid w:val="00060A78"/>
    <w:rsid w:val="00060B18"/>
    <w:rsid w:val="00060B54"/>
    <w:rsid w:val="00060ED6"/>
    <w:rsid w:val="00060F36"/>
    <w:rsid w:val="00060F80"/>
    <w:rsid w:val="000612AE"/>
    <w:rsid w:val="000613EC"/>
    <w:rsid w:val="000614A9"/>
    <w:rsid w:val="000614EC"/>
    <w:rsid w:val="00061616"/>
    <w:rsid w:val="00061635"/>
    <w:rsid w:val="00061ABF"/>
    <w:rsid w:val="00061B7A"/>
    <w:rsid w:val="00061B84"/>
    <w:rsid w:val="00061B9B"/>
    <w:rsid w:val="00061C28"/>
    <w:rsid w:val="00061C8C"/>
    <w:rsid w:val="00061DAB"/>
    <w:rsid w:val="00061EE5"/>
    <w:rsid w:val="00061F2E"/>
    <w:rsid w:val="00061FF4"/>
    <w:rsid w:val="000621BB"/>
    <w:rsid w:val="000622E7"/>
    <w:rsid w:val="00062324"/>
    <w:rsid w:val="00062422"/>
    <w:rsid w:val="00062471"/>
    <w:rsid w:val="000624F3"/>
    <w:rsid w:val="0006284A"/>
    <w:rsid w:val="00062A7D"/>
    <w:rsid w:val="00062AE2"/>
    <w:rsid w:val="00062BF5"/>
    <w:rsid w:val="00062D57"/>
    <w:rsid w:val="00062D80"/>
    <w:rsid w:val="0006343A"/>
    <w:rsid w:val="00063814"/>
    <w:rsid w:val="00063878"/>
    <w:rsid w:val="00063A74"/>
    <w:rsid w:val="00063EEB"/>
    <w:rsid w:val="000641E5"/>
    <w:rsid w:val="000643E9"/>
    <w:rsid w:val="000643FA"/>
    <w:rsid w:val="0006449A"/>
    <w:rsid w:val="000645B2"/>
    <w:rsid w:val="000647B0"/>
    <w:rsid w:val="00064876"/>
    <w:rsid w:val="0006493C"/>
    <w:rsid w:val="00064A01"/>
    <w:rsid w:val="00064B04"/>
    <w:rsid w:val="00064D1C"/>
    <w:rsid w:val="00064DAB"/>
    <w:rsid w:val="00064E06"/>
    <w:rsid w:val="00064FCE"/>
    <w:rsid w:val="0006503E"/>
    <w:rsid w:val="00065322"/>
    <w:rsid w:val="0006534B"/>
    <w:rsid w:val="00065382"/>
    <w:rsid w:val="000653B5"/>
    <w:rsid w:val="000653BB"/>
    <w:rsid w:val="00065468"/>
    <w:rsid w:val="0006559E"/>
    <w:rsid w:val="00065A10"/>
    <w:rsid w:val="00065DFE"/>
    <w:rsid w:val="000661D2"/>
    <w:rsid w:val="000662A0"/>
    <w:rsid w:val="00066360"/>
    <w:rsid w:val="00066687"/>
    <w:rsid w:val="000667E1"/>
    <w:rsid w:val="00066891"/>
    <w:rsid w:val="000669A1"/>
    <w:rsid w:val="00066AF8"/>
    <w:rsid w:val="00066E3D"/>
    <w:rsid w:val="00066F69"/>
    <w:rsid w:val="00067411"/>
    <w:rsid w:val="00067416"/>
    <w:rsid w:val="00067493"/>
    <w:rsid w:val="000675EB"/>
    <w:rsid w:val="0006799B"/>
    <w:rsid w:val="00067A27"/>
    <w:rsid w:val="00067C4B"/>
    <w:rsid w:val="00067CC9"/>
    <w:rsid w:val="00067F9E"/>
    <w:rsid w:val="00067FAF"/>
    <w:rsid w:val="00070098"/>
    <w:rsid w:val="000700C7"/>
    <w:rsid w:val="00070232"/>
    <w:rsid w:val="000702BD"/>
    <w:rsid w:val="00070535"/>
    <w:rsid w:val="00070659"/>
    <w:rsid w:val="000708F8"/>
    <w:rsid w:val="00070BCC"/>
    <w:rsid w:val="00070E67"/>
    <w:rsid w:val="000710FB"/>
    <w:rsid w:val="000711C9"/>
    <w:rsid w:val="000711E3"/>
    <w:rsid w:val="000711E9"/>
    <w:rsid w:val="00071245"/>
    <w:rsid w:val="00071248"/>
    <w:rsid w:val="000718EC"/>
    <w:rsid w:val="000719BD"/>
    <w:rsid w:val="00071A23"/>
    <w:rsid w:val="000720B9"/>
    <w:rsid w:val="0007219A"/>
    <w:rsid w:val="00072231"/>
    <w:rsid w:val="000722BC"/>
    <w:rsid w:val="000726D0"/>
    <w:rsid w:val="00072945"/>
    <w:rsid w:val="0007299B"/>
    <w:rsid w:val="000729CD"/>
    <w:rsid w:val="000729F2"/>
    <w:rsid w:val="00072BD5"/>
    <w:rsid w:val="00072C59"/>
    <w:rsid w:val="00072CEE"/>
    <w:rsid w:val="000737F7"/>
    <w:rsid w:val="0007390B"/>
    <w:rsid w:val="00073CA2"/>
    <w:rsid w:val="00073CDB"/>
    <w:rsid w:val="00073F98"/>
    <w:rsid w:val="00073FD2"/>
    <w:rsid w:val="000741FD"/>
    <w:rsid w:val="000743CD"/>
    <w:rsid w:val="00074785"/>
    <w:rsid w:val="00074839"/>
    <w:rsid w:val="000748D6"/>
    <w:rsid w:val="00074AF8"/>
    <w:rsid w:val="00074CE8"/>
    <w:rsid w:val="00074D69"/>
    <w:rsid w:val="00074F96"/>
    <w:rsid w:val="00074FD4"/>
    <w:rsid w:val="000751D6"/>
    <w:rsid w:val="0007524A"/>
    <w:rsid w:val="000753DB"/>
    <w:rsid w:val="00075515"/>
    <w:rsid w:val="0007572A"/>
    <w:rsid w:val="00075DAC"/>
    <w:rsid w:val="00075DF4"/>
    <w:rsid w:val="00075F48"/>
    <w:rsid w:val="00076085"/>
    <w:rsid w:val="000761E1"/>
    <w:rsid w:val="000762BC"/>
    <w:rsid w:val="000762DB"/>
    <w:rsid w:val="0007672F"/>
    <w:rsid w:val="0007681B"/>
    <w:rsid w:val="00076821"/>
    <w:rsid w:val="00076901"/>
    <w:rsid w:val="000769FA"/>
    <w:rsid w:val="00076B54"/>
    <w:rsid w:val="00076DB4"/>
    <w:rsid w:val="00077458"/>
    <w:rsid w:val="000774F0"/>
    <w:rsid w:val="00077762"/>
    <w:rsid w:val="0007777A"/>
    <w:rsid w:val="0007787A"/>
    <w:rsid w:val="000779EC"/>
    <w:rsid w:val="00077A36"/>
    <w:rsid w:val="00077A77"/>
    <w:rsid w:val="00077BF2"/>
    <w:rsid w:val="00077CC3"/>
    <w:rsid w:val="00077D11"/>
    <w:rsid w:val="00077E16"/>
    <w:rsid w:val="00077E57"/>
    <w:rsid w:val="00077F51"/>
    <w:rsid w:val="0008011E"/>
    <w:rsid w:val="0008012E"/>
    <w:rsid w:val="0008016B"/>
    <w:rsid w:val="00080251"/>
    <w:rsid w:val="00080263"/>
    <w:rsid w:val="000802F4"/>
    <w:rsid w:val="0008042D"/>
    <w:rsid w:val="00080909"/>
    <w:rsid w:val="00080DF1"/>
    <w:rsid w:val="00080ECD"/>
    <w:rsid w:val="00080EDE"/>
    <w:rsid w:val="00081098"/>
    <w:rsid w:val="0008124C"/>
    <w:rsid w:val="000812CA"/>
    <w:rsid w:val="000819FA"/>
    <w:rsid w:val="00081A09"/>
    <w:rsid w:val="00081AD2"/>
    <w:rsid w:val="00081AFF"/>
    <w:rsid w:val="00081C5C"/>
    <w:rsid w:val="00081E63"/>
    <w:rsid w:val="00081ED4"/>
    <w:rsid w:val="00081EF9"/>
    <w:rsid w:val="000820DF"/>
    <w:rsid w:val="00082124"/>
    <w:rsid w:val="000824CE"/>
    <w:rsid w:val="0008258D"/>
    <w:rsid w:val="00082848"/>
    <w:rsid w:val="00082D61"/>
    <w:rsid w:val="00082D9A"/>
    <w:rsid w:val="00082DCD"/>
    <w:rsid w:val="00082E38"/>
    <w:rsid w:val="00082F53"/>
    <w:rsid w:val="000830C1"/>
    <w:rsid w:val="000832D2"/>
    <w:rsid w:val="000836A3"/>
    <w:rsid w:val="000837C3"/>
    <w:rsid w:val="000838AF"/>
    <w:rsid w:val="000839C5"/>
    <w:rsid w:val="000839F6"/>
    <w:rsid w:val="00083BAC"/>
    <w:rsid w:val="00083C2B"/>
    <w:rsid w:val="00083E99"/>
    <w:rsid w:val="00083FC3"/>
    <w:rsid w:val="000840C5"/>
    <w:rsid w:val="0008411B"/>
    <w:rsid w:val="0008433E"/>
    <w:rsid w:val="000843D2"/>
    <w:rsid w:val="000844AE"/>
    <w:rsid w:val="000847C4"/>
    <w:rsid w:val="00084874"/>
    <w:rsid w:val="000849BB"/>
    <w:rsid w:val="00084AE5"/>
    <w:rsid w:val="00084C47"/>
    <w:rsid w:val="00084D19"/>
    <w:rsid w:val="00084F28"/>
    <w:rsid w:val="00084F91"/>
    <w:rsid w:val="00084FA8"/>
    <w:rsid w:val="0008508B"/>
    <w:rsid w:val="000856C5"/>
    <w:rsid w:val="00085818"/>
    <w:rsid w:val="00085B99"/>
    <w:rsid w:val="00085C30"/>
    <w:rsid w:val="00085C31"/>
    <w:rsid w:val="00085CAB"/>
    <w:rsid w:val="00085D2A"/>
    <w:rsid w:val="00085E3C"/>
    <w:rsid w:val="000862C2"/>
    <w:rsid w:val="000862E1"/>
    <w:rsid w:val="0008631C"/>
    <w:rsid w:val="00086622"/>
    <w:rsid w:val="000869A1"/>
    <w:rsid w:val="00086A20"/>
    <w:rsid w:val="00086BFC"/>
    <w:rsid w:val="00086E94"/>
    <w:rsid w:val="00087208"/>
    <w:rsid w:val="0008757C"/>
    <w:rsid w:val="0008758A"/>
    <w:rsid w:val="000875E0"/>
    <w:rsid w:val="0008784B"/>
    <w:rsid w:val="000879A6"/>
    <w:rsid w:val="00087D59"/>
    <w:rsid w:val="00087E08"/>
    <w:rsid w:val="00087E82"/>
    <w:rsid w:val="000902D9"/>
    <w:rsid w:val="000902F2"/>
    <w:rsid w:val="000905F6"/>
    <w:rsid w:val="000906D3"/>
    <w:rsid w:val="0009085D"/>
    <w:rsid w:val="0009098D"/>
    <w:rsid w:val="00090C7E"/>
    <w:rsid w:val="00090D43"/>
    <w:rsid w:val="00090DEC"/>
    <w:rsid w:val="00090E26"/>
    <w:rsid w:val="00090E56"/>
    <w:rsid w:val="00090EF3"/>
    <w:rsid w:val="00090F09"/>
    <w:rsid w:val="000911AC"/>
    <w:rsid w:val="0009179A"/>
    <w:rsid w:val="00091802"/>
    <w:rsid w:val="0009188A"/>
    <w:rsid w:val="0009190D"/>
    <w:rsid w:val="00091B14"/>
    <w:rsid w:val="00091C4E"/>
    <w:rsid w:val="00091D05"/>
    <w:rsid w:val="00091F46"/>
    <w:rsid w:val="00091FD2"/>
    <w:rsid w:val="000920A9"/>
    <w:rsid w:val="000920D4"/>
    <w:rsid w:val="000921C3"/>
    <w:rsid w:val="0009242D"/>
    <w:rsid w:val="00092600"/>
    <w:rsid w:val="0009262B"/>
    <w:rsid w:val="00092791"/>
    <w:rsid w:val="000927AB"/>
    <w:rsid w:val="000928EC"/>
    <w:rsid w:val="00092BEC"/>
    <w:rsid w:val="0009308C"/>
    <w:rsid w:val="00093310"/>
    <w:rsid w:val="0009360A"/>
    <w:rsid w:val="00093D60"/>
    <w:rsid w:val="000941D7"/>
    <w:rsid w:val="00094363"/>
    <w:rsid w:val="0009445C"/>
    <w:rsid w:val="00094595"/>
    <w:rsid w:val="00094A78"/>
    <w:rsid w:val="00094B4E"/>
    <w:rsid w:val="00094B91"/>
    <w:rsid w:val="00094C6B"/>
    <w:rsid w:val="00094CC8"/>
    <w:rsid w:val="00094E37"/>
    <w:rsid w:val="0009503B"/>
    <w:rsid w:val="00095095"/>
    <w:rsid w:val="00095200"/>
    <w:rsid w:val="0009531F"/>
    <w:rsid w:val="0009545A"/>
    <w:rsid w:val="000955C6"/>
    <w:rsid w:val="0009560F"/>
    <w:rsid w:val="00095644"/>
    <w:rsid w:val="00095694"/>
    <w:rsid w:val="00095696"/>
    <w:rsid w:val="000957E5"/>
    <w:rsid w:val="000957FF"/>
    <w:rsid w:val="000958EF"/>
    <w:rsid w:val="000959B4"/>
    <w:rsid w:val="000959C2"/>
    <w:rsid w:val="00095CA4"/>
    <w:rsid w:val="00095CDA"/>
    <w:rsid w:val="00095DE9"/>
    <w:rsid w:val="00095E9A"/>
    <w:rsid w:val="00095FE5"/>
    <w:rsid w:val="000961B2"/>
    <w:rsid w:val="00096284"/>
    <w:rsid w:val="000964EB"/>
    <w:rsid w:val="0009660F"/>
    <w:rsid w:val="00096699"/>
    <w:rsid w:val="00096A0D"/>
    <w:rsid w:val="00096A75"/>
    <w:rsid w:val="00096AA7"/>
    <w:rsid w:val="00096C7F"/>
    <w:rsid w:val="00096CCB"/>
    <w:rsid w:val="00096D78"/>
    <w:rsid w:val="00096ED0"/>
    <w:rsid w:val="00097054"/>
    <w:rsid w:val="00097068"/>
    <w:rsid w:val="000971F7"/>
    <w:rsid w:val="00097225"/>
    <w:rsid w:val="00097396"/>
    <w:rsid w:val="00097691"/>
    <w:rsid w:val="000976CC"/>
    <w:rsid w:val="00097C06"/>
    <w:rsid w:val="00097EEA"/>
    <w:rsid w:val="000A0B67"/>
    <w:rsid w:val="000A0BE6"/>
    <w:rsid w:val="000A0D7A"/>
    <w:rsid w:val="000A0E8C"/>
    <w:rsid w:val="000A10AB"/>
    <w:rsid w:val="000A11EA"/>
    <w:rsid w:val="000A14D6"/>
    <w:rsid w:val="000A155C"/>
    <w:rsid w:val="000A17DE"/>
    <w:rsid w:val="000A19D4"/>
    <w:rsid w:val="000A19D7"/>
    <w:rsid w:val="000A1B94"/>
    <w:rsid w:val="000A1BC0"/>
    <w:rsid w:val="000A1D6D"/>
    <w:rsid w:val="000A1E76"/>
    <w:rsid w:val="000A1FC4"/>
    <w:rsid w:val="000A2027"/>
    <w:rsid w:val="000A2040"/>
    <w:rsid w:val="000A2307"/>
    <w:rsid w:val="000A238C"/>
    <w:rsid w:val="000A23C9"/>
    <w:rsid w:val="000A23D4"/>
    <w:rsid w:val="000A24C7"/>
    <w:rsid w:val="000A2570"/>
    <w:rsid w:val="000A2A23"/>
    <w:rsid w:val="000A2C62"/>
    <w:rsid w:val="000A2CCD"/>
    <w:rsid w:val="000A2CD7"/>
    <w:rsid w:val="000A2D24"/>
    <w:rsid w:val="000A2EA9"/>
    <w:rsid w:val="000A2F4F"/>
    <w:rsid w:val="000A2F9E"/>
    <w:rsid w:val="000A2FFD"/>
    <w:rsid w:val="000A32C7"/>
    <w:rsid w:val="000A34B2"/>
    <w:rsid w:val="000A35CA"/>
    <w:rsid w:val="000A36FD"/>
    <w:rsid w:val="000A3895"/>
    <w:rsid w:val="000A392F"/>
    <w:rsid w:val="000A3BFE"/>
    <w:rsid w:val="000A3E47"/>
    <w:rsid w:val="000A4180"/>
    <w:rsid w:val="000A4DDB"/>
    <w:rsid w:val="000A522B"/>
    <w:rsid w:val="000A5265"/>
    <w:rsid w:val="000A559C"/>
    <w:rsid w:val="000A564F"/>
    <w:rsid w:val="000A5652"/>
    <w:rsid w:val="000A57A5"/>
    <w:rsid w:val="000A58B6"/>
    <w:rsid w:val="000A59BD"/>
    <w:rsid w:val="000A5A49"/>
    <w:rsid w:val="000A5B69"/>
    <w:rsid w:val="000A5BAD"/>
    <w:rsid w:val="000A5BFD"/>
    <w:rsid w:val="000A5C48"/>
    <w:rsid w:val="000A5D4C"/>
    <w:rsid w:val="000A6039"/>
    <w:rsid w:val="000A651C"/>
    <w:rsid w:val="000A6686"/>
    <w:rsid w:val="000A688D"/>
    <w:rsid w:val="000A689D"/>
    <w:rsid w:val="000A6C2B"/>
    <w:rsid w:val="000A6DDD"/>
    <w:rsid w:val="000A6E73"/>
    <w:rsid w:val="000A6EA4"/>
    <w:rsid w:val="000A715C"/>
    <w:rsid w:val="000A718F"/>
    <w:rsid w:val="000A72EA"/>
    <w:rsid w:val="000A732C"/>
    <w:rsid w:val="000A73FE"/>
    <w:rsid w:val="000A7453"/>
    <w:rsid w:val="000A74BC"/>
    <w:rsid w:val="000A74E7"/>
    <w:rsid w:val="000A7931"/>
    <w:rsid w:val="000A7991"/>
    <w:rsid w:val="000A7D08"/>
    <w:rsid w:val="000B0121"/>
    <w:rsid w:val="000B049A"/>
    <w:rsid w:val="000B0670"/>
    <w:rsid w:val="000B0725"/>
    <w:rsid w:val="000B0784"/>
    <w:rsid w:val="000B07A0"/>
    <w:rsid w:val="000B07AA"/>
    <w:rsid w:val="000B0A00"/>
    <w:rsid w:val="000B0A61"/>
    <w:rsid w:val="000B0AE7"/>
    <w:rsid w:val="000B0B58"/>
    <w:rsid w:val="000B0B94"/>
    <w:rsid w:val="000B0E75"/>
    <w:rsid w:val="000B0F03"/>
    <w:rsid w:val="000B0F65"/>
    <w:rsid w:val="000B1076"/>
    <w:rsid w:val="000B1115"/>
    <w:rsid w:val="000B141E"/>
    <w:rsid w:val="000B1930"/>
    <w:rsid w:val="000B197F"/>
    <w:rsid w:val="000B1A4A"/>
    <w:rsid w:val="000B1B35"/>
    <w:rsid w:val="000B1BF2"/>
    <w:rsid w:val="000B1F4D"/>
    <w:rsid w:val="000B1FAE"/>
    <w:rsid w:val="000B22BA"/>
    <w:rsid w:val="000B22C2"/>
    <w:rsid w:val="000B2543"/>
    <w:rsid w:val="000B2593"/>
    <w:rsid w:val="000B2625"/>
    <w:rsid w:val="000B2870"/>
    <w:rsid w:val="000B289F"/>
    <w:rsid w:val="000B2977"/>
    <w:rsid w:val="000B2BFD"/>
    <w:rsid w:val="000B2D2F"/>
    <w:rsid w:val="000B2DCB"/>
    <w:rsid w:val="000B2EDE"/>
    <w:rsid w:val="000B3022"/>
    <w:rsid w:val="000B3151"/>
    <w:rsid w:val="000B344D"/>
    <w:rsid w:val="000B3740"/>
    <w:rsid w:val="000B39E2"/>
    <w:rsid w:val="000B3A89"/>
    <w:rsid w:val="000B3AA0"/>
    <w:rsid w:val="000B3B1F"/>
    <w:rsid w:val="000B3C29"/>
    <w:rsid w:val="000B3FAE"/>
    <w:rsid w:val="000B40C8"/>
    <w:rsid w:val="000B40F7"/>
    <w:rsid w:val="000B4181"/>
    <w:rsid w:val="000B41AB"/>
    <w:rsid w:val="000B42B7"/>
    <w:rsid w:val="000B45FC"/>
    <w:rsid w:val="000B462B"/>
    <w:rsid w:val="000B4664"/>
    <w:rsid w:val="000B4709"/>
    <w:rsid w:val="000B4814"/>
    <w:rsid w:val="000B4962"/>
    <w:rsid w:val="000B49FA"/>
    <w:rsid w:val="000B4B22"/>
    <w:rsid w:val="000B4C43"/>
    <w:rsid w:val="000B4D8D"/>
    <w:rsid w:val="000B5125"/>
    <w:rsid w:val="000B51DC"/>
    <w:rsid w:val="000B5384"/>
    <w:rsid w:val="000B53A0"/>
    <w:rsid w:val="000B5528"/>
    <w:rsid w:val="000B559F"/>
    <w:rsid w:val="000B59E8"/>
    <w:rsid w:val="000B5A2E"/>
    <w:rsid w:val="000B5CE0"/>
    <w:rsid w:val="000B5D01"/>
    <w:rsid w:val="000B5DEB"/>
    <w:rsid w:val="000B664E"/>
    <w:rsid w:val="000B68C6"/>
    <w:rsid w:val="000B68D4"/>
    <w:rsid w:val="000B690C"/>
    <w:rsid w:val="000B69D7"/>
    <w:rsid w:val="000B6C40"/>
    <w:rsid w:val="000B6CAC"/>
    <w:rsid w:val="000B6DA0"/>
    <w:rsid w:val="000B6E8B"/>
    <w:rsid w:val="000B6EBE"/>
    <w:rsid w:val="000B7393"/>
    <w:rsid w:val="000B73FD"/>
    <w:rsid w:val="000B74A4"/>
    <w:rsid w:val="000B74B0"/>
    <w:rsid w:val="000B7552"/>
    <w:rsid w:val="000B7612"/>
    <w:rsid w:val="000B7665"/>
    <w:rsid w:val="000B773F"/>
    <w:rsid w:val="000B78AE"/>
    <w:rsid w:val="000B7D1D"/>
    <w:rsid w:val="000C02C4"/>
    <w:rsid w:val="000C03CD"/>
    <w:rsid w:val="000C0A10"/>
    <w:rsid w:val="000C0AAA"/>
    <w:rsid w:val="000C0C0F"/>
    <w:rsid w:val="000C0EC5"/>
    <w:rsid w:val="000C132D"/>
    <w:rsid w:val="000C1367"/>
    <w:rsid w:val="000C14E3"/>
    <w:rsid w:val="000C15EE"/>
    <w:rsid w:val="000C1738"/>
    <w:rsid w:val="000C18EA"/>
    <w:rsid w:val="000C1970"/>
    <w:rsid w:val="000C1A00"/>
    <w:rsid w:val="000C1B80"/>
    <w:rsid w:val="000C1CF9"/>
    <w:rsid w:val="000C1E00"/>
    <w:rsid w:val="000C24ED"/>
    <w:rsid w:val="000C2509"/>
    <w:rsid w:val="000C2701"/>
    <w:rsid w:val="000C2B5F"/>
    <w:rsid w:val="000C2C51"/>
    <w:rsid w:val="000C30C8"/>
    <w:rsid w:val="000C3218"/>
    <w:rsid w:val="000C3332"/>
    <w:rsid w:val="000C3425"/>
    <w:rsid w:val="000C347E"/>
    <w:rsid w:val="000C37D2"/>
    <w:rsid w:val="000C3A05"/>
    <w:rsid w:val="000C3B0A"/>
    <w:rsid w:val="000C3C31"/>
    <w:rsid w:val="000C3DF9"/>
    <w:rsid w:val="000C3FCA"/>
    <w:rsid w:val="000C403A"/>
    <w:rsid w:val="000C4048"/>
    <w:rsid w:val="000C4A55"/>
    <w:rsid w:val="000C4A85"/>
    <w:rsid w:val="000C4B07"/>
    <w:rsid w:val="000C4CF2"/>
    <w:rsid w:val="000C4FF7"/>
    <w:rsid w:val="000C51D3"/>
    <w:rsid w:val="000C5281"/>
    <w:rsid w:val="000C5289"/>
    <w:rsid w:val="000C52A9"/>
    <w:rsid w:val="000C52D1"/>
    <w:rsid w:val="000C52EF"/>
    <w:rsid w:val="000C5324"/>
    <w:rsid w:val="000C53F0"/>
    <w:rsid w:val="000C558B"/>
    <w:rsid w:val="000C61B7"/>
    <w:rsid w:val="000C620C"/>
    <w:rsid w:val="000C6713"/>
    <w:rsid w:val="000C6996"/>
    <w:rsid w:val="000C6E7B"/>
    <w:rsid w:val="000C7041"/>
    <w:rsid w:val="000C71D7"/>
    <w:rsid w:val="000C722F"/>
    <w:rsid w:val="000C732B"/>
    <w:rsid w:val="000C7370"/>
    <w:rsid w:val="000C7BFA"/>
    <w:rsid w:val="000C7D8F"/>
    <w:rsid w:val="000C7EE5"/>
    <w:rsid w:val="000D00FD"/>
    <w:rsid w:val="000D02EB"/>
    <w:rsid w:val="000D046B"/>
    <w:rsid w:val="000D065D"/>
    <w:rsid w:val="000D0720"/>
    <w:rsid w:val="000D0844"/>
    <w:rsid w:val="000D0938"/>
    <w:rsid w:val="000D0D11"/>
    <w:rsid w:val="000D1297"/>
    <w:rsid w:val="000D14FC"/>
    <w:rsid w:val="000D1994"/>
    <w:rsid w:val="000D1ADA"/>
    <w:rsid w:val="000D1BFC"/>
    <w:rsid w:val="000D1CC4"/>
    <w:rsid w:val="000D1D5D"/>
    <w:rsid w:val="000D1FE7"/>
    <w:rsid w:val="000D2092"/>
    <w:rsid w:val="000D2315"/>
    <w:rsid w:val="000D243F"/>
    <w:rsid w:val="000D2468"/>
    <w:rsid w:val="000D2517"/>
    <w:rsid w:val="000D268C"/>
    <w:rsid w:val="000D27C5"/>
    <w:rsid w:val="000D281A"/>
    <w:rsid w:val="000D2848"/>
    <w:rsid w:val="000D2BE9"/>
    <w:rsid w:val="000D2DF7"/>
    <w:rsid w:val="000D2EDA"/>
    <w:rsid w:val="000D326A"/>
    <w:rsid w:val="000D347C"/>
    <w:rsid w:val="000D355A"/>
    <w:rsid w:val="000D38E5"/>
    <w:rsid w:val="000D38FD"/>
    <w:rsid w:val="000D39D6"/>
    <w:rsid w:val="000D3D0D"/>
    <w:rsid w:val="000D3E8B"/>
    <w:rsid w:val="000D3F66"/>
    <w:rsid w:val="000D4143"/>
    <w:rsid w:val="000D4264"/>
    <w:rsid w:val="000D429C"/>
    <w:rsid w:val="000D448A"/>
    <w:rsid w:val="000D4ABC"/>
    <w:rsid w:val="000D4D6A"/>
    <w:rsid w:val="000D500B"/>
    <w:rsid w:val="000D5055"/>
    <w:rsid w:val="000D5077"/>
    <w:rsid w:val="000D5128"/>
    <w:rsid w:val="000D51FB"/>
    <w:rsid w:val="000D520B"/>
    <w:rsid w:val="000D533C"/>
    <w:rsid w:val="000D5821"/>
    <w:rsid w:val="000D5957"/>
    <w:rsid w:val="000D59D0"/>
    <w:rsid w:val="000D5B8E"/>
    <w:rsid w:val="000D5C27"/>
    <w:rsid w:val="000D5CBE"/>
    <w:rsid w:val="000D625F"/>
    <w:rsid w:val="000D62BD"/>
    <w:rsid w:val="000D6619"/>
    <w:rsid w:val="000D6661"/>
    <w:rsid w:val="000D66A7"/>
    <w:rsid w:val="000D6975"/>
    <w:rsid w:val="000D6A4B"/>
    <w:rsid w:val="000D6CD8"/>
    <w:rsid w:val="000D6E60"/>
    <w:rsid w:val="000D6E8B"/>
    <w:rsid w:val="000D706F"/>
    <w:rsid w:val="000D7125"/>
    <w:rsid w:val="000D7189"/>
    <w:rsid w:val="000D747D"/>
    <w:rsid w:val="000D74EF"/>
    <w:rsid w:val="000D7552"/>
    <w:rsid w:val="000D759C"/>
    <w:rsid w:val="000D7741"/>
    <w:rsid w:val="000D7747"/>
    <w:rsid w:val="000D77DC"/>
    <w:rsid w:val="000D7B89"/>
    <w:rsid w:val="000D7F44"/>
    <w:rsid w:val="000E010D"/>
    <w:rsid w:val="000E0405"/>
    <w:rsid w:val="000E0443"/>
    <w:rsid w:val="000E0477"/>
    <w:rsid w:val="000E0640"/>
    <w:rsid w:val="000E07DF"/>
    <w:rsid w:val="000E086A"/>
    <w:rsid w:val="000E088D"/>
    <w:rsid w:val="000E0965"/>
    <w:rsid w:val="000E11D7"/>
    <w:rsid w:val="000E12C3"/>
    <w:rsid w:val="000E135D"/>
    <w:rsid w:val="000E14F1"/>
    <w:rsid w:val="000E158F"/>
    <w:rsid w:val="000E16A6"/>
    <w:rsid w:val="000E1703"/>
    <w:rsid w:val="000E1754"/>
    <w:rsid w:val="000E1853"/>
    <w:rsid w:val="000E1C20"/>
    <w:rsid w:val="000E1F58"/>
    <w:rsid w:val="000E21D4"/>
    <w:rsid w:val="000E23E1"/>
    <w:rsid w:val="000E2475"/>
    <w:rsid w:val="000E28A1"/>
    <w:rsid w:val="000E2A0C"/>
    <w:rsid w:val="000E2BD8"/>
    <w:rsid w:val="000E2BF8"/>
    <w:rsid w:val="000E2D43"/>
    <w:rsid w:val="000E2DB5"/>
    <w:rsid w:val="000E2F00"/>
    <w:rsid w:val="000E33A4"/>
    <w:rsid w:val="000E349A"/>
    <w:rsid w:val="000E3642"/>
    <w:rsid w:val="000E36F0"/>
    <w:rsid w:val="000E3748"/>
    <w:rsid w:val="000E3926"/>
    <w:rsid w:val="000E3A78"/>
    <w:rsid w:val="000E3C25"/>
    <w:rsid w:val="000E3D88"/>
    <w:rsid w:val="000E3DBC"/>
    <w:rsid w:val="000E3DD6"/>
    <w:rsid w:val="000E3DEC"/>
    <w:rsid w:val="000E40B1"/>
    <w:rsid w:val="000E4153"/>
    <w:rsid w:val="000E43A6"/>
    <w:rsid w:val="000E4653"/>
    <w:rsid w:val="000E46C5"/>
    <w:rsid w:val="000E49A1"/>
    <w:rsid w:val="000E4C76"/>
    <w:rsid w:val="000E4DD3"/>
    <w:rsid w:val="000E4EAE"/>
    <w:rsid w:val="000E504B"/>
    <w:rsid w:val="000E5075"/>
    <w:rsid w:val="000E5114"/>
    <w:rsid w:val="000E529B"/>
    <w:rsid w:val="000E574E"/>
    <w:rsid w:val="000E5908"/>
    <w:rsid w:val="000E5D8F"/>
    <w:rsid w:val="000E5EBB"/>
    <w:rsid w:val="000E5F06"/>
    <w:rsid w:val="000E5F4A"/>
    <w:rsid w:val="000E5F87"/>
    <w:rsid w:val="000E60A5"/>
    <w:rsid w:val="000E624F"/>
    <w:rsid w:val="000E63AE"/>
    <w:rsid w:val="000E6442"/>
    <w:rsid w:val="000E656D"/>
    <w:rsid w:val="000E67EB"/>
    <w:rsid w:val="000E6836"/>
    <w:rsid w:val="000E685A"/>
    <w:rsid w:val="000E68F6"/>
    <w:rsid w:val="000E6B25"/>
    <w:rsid w:val="000E6C8E"/>
    <w:rsid w:val="000E6E7B"/>
    <w:rsid w:val="000E7419"/>
    <w:rsid w:val="000E749E"/>
    <w:rsid w:val="000E763E"/>
    <w:rsid w:val="000E766C"/>
    <w:rsid w:val="000E76D0"/>
    <w:rsid w:val="000E77AD"/>
    <w:rsid w:val="000E785F"/>
    <w:rsid w:val="000E7A51"/>
    <w:rsid w:val="000E7B82"/>
    <w:rsid w:val="000F00BA"/>
    <w:rsid w:val="000F013B"/>
    <w:rsid w:val="000F087C"/>
    <w:rsid w:val="000F0880"/>
    <w:rsid w:val="000F088F"/>
    <w:rsid w:val="000F08FC"/>
    <w:rsid w:val="000F0993"/>
    <w:rsid w:val="000F0A21"/>
    <w:rsid w:val="000F11C5"/>
    <w:rsid w:val="000F1265"/>
    <w:rsid w:val="000F1687"/>
    <w:rsid w:val="000F16D0"/>
    <w:rsid w:val="000F17CF"/>
    <w:rsid w:val="000F199C"/>
    <w:rsid w:val="000F1DCA"/>
    <w:rsid w:val="000F1FDC"/>
    <w:rsid w:val="000F21A2"/>
    <w:rsid w:val="000F22E2"/>
    <w:rsid w:val="000F28C2"/>
    <w:rsid w:val="000F2928"/>
    <w:rsid w:val="000F2BFE"/>
    <w:rsid w:val="000F2C6C"/>
    <w:rsid w:val="000F2FCE"/>
    <w:rsid w:val="000F2FFE"/>
    <w:rsid w:val="000F316A"/>
    <w:rsid w:val="000F32A1"/>
    <w:rsid w:val="000F37E2"/>
    <w:rsid w:val="000F3A3E"/>
    <w:rsid w:val="000F3AC3"/>
    <w:rsid w:val="000F3AD3"/>
    <w:rsid w:val="000F3C74"/>
    <w:rsid w:val="000F413F"/>
    <w:rsid w:val="000F41A9"/>
    <w:rsid w:val="000F429E"/>
    <w:rsid w:val="000F4660"/>
    <w:rsid w:val="000F48DF"/>
    <w:rsid w:val="000F4966"/>
    <w:rsid w:val="000F49C8"/>
    <w:rsid w:val="000F4AA7"/>
    <w:rsid w:val="000F4BB8"/>
    <w:rsid w:val="000F4CB2"/>
    <w:rsid w:val="000F4FA6"/>
    <w:rsid w:val="000F4FA9"/>
    <w:rsid w:val="000F52B4"/>
    <w:rsid w:val="000F53FB"/>
    <w:rsid w:val="000F5701"/>
    <w:rsid w:val="000F588F"/>
    <w:rsid w:val="000F5AE4"/>
    <w:rsid w:val="000F5FC9"/>
    <w:rsid w:val="000F60FF"/>
    <w:rsid w:val="000F6253"/>
    <w:rsid w:val="000F632F"/>
    <w:rsid w:val="000F6348"/>
    <w:rsid w:val="000F6427"/>
    <w:rsid w:val="000F6465"/>
    <w:rsid w:val="000F66A5"/>
    <w:rsid w:val="000F67FD"/>
    <w:rsid w:val="000F6909"/>
    <w:rsid w:val="000F6A49"/>
    <w:rsid w:val="000F6CD5"/>
    <w:rsid w:val="000F6EAA"/>
    <w:rsid w:val="000F6F61"/>
    <w:rsid w:val="000F7127"/>
    <w:rsid w:val="000F7128"/>
    <w:rsid w:val="000F721A"/>
    <w:rsid w:val="000F7242"/>
    <w:rsid w:val="000F75C0"/>
    <w:rsid w:val="000F76D8"/>
    <w:rsid w:val="000F77BF"/>
    <w:rsid w:val="000F7808"/>
    <w:rsid w:val="000F7A12"/>
    <w:rsid w:val="000F7B54"/>
    <w:rsid w:val="000F7C57"/>
    <w:rsid w:val="000F7E27"/>
    <w:rsid w:val="000F7E4D"/>
    <w:rsid w:val="000F7E57"/>
    <w:rsid w:val="000F7F02"/>
    <w:rsid w:val="000F7FD8"/>
    <w:rsid w:val="0010004B"/>
    <w:rsid w:val="001000B3"/>
    <w:rsid w:val="00100173"/>
    <w:rsid w:val="0010028A"/>
    <w:rsid w:val="0010034C"/>
    <w:rsid w:val="00100399"/>
    <w:rsid w:val="0010047F"/>
    <w:rsid w:val="001004CA"/>
    <w:rsid w:val="00100627"/>
    <w:rsid w:val="00100706"/>
    <w:rsid w:val="00100BC4"/>
    <w:rsid w:val="00100BD2"/>
    <w:rsid w:val="00100F56"/>
    <w:rsid w:val="00100F8A"/>
    <w:rsid w:val="00100FA2"/>
    <w:rsid w:val="001012CE"/>
    <w:rsid w:val="00101307"/>
    <w:rsid w:val="00101472"/>
    <w:rsid w:val="001018B0"/>
    <w:rsid w:val="001019F3"/>
    <w:rsid w:val="00101C2F"/>
    <w:rsid w:val="00101F88"/>
    <w:rsid w:val="00101FD8"/>
    <w:rsid w:val="0010205B"/>
    <w:rsid w:val="001026D1"/>
    <w:rsid w:val="0010292F"/>
    <w:rsid w:val="001029AE"/>
    <w:rsid w:val="00102C3C"/>
    <w:rsid w:val="00103169"/>
    <w:rsid w:val="0010320C"/>
    <w:rsid w:val="001032C3"/>
    <w:rsid w:val="001037E6"/>
    <w:rsid w:val="00103ADE"/>
    <w:rsid w:val="00103D21"/>
    <w:rsid w:val="00104089"/>
    <w:rsid w:val="0010412B"/>
    <w:rsid w:val="0010434A"/>
    <w:rsid w:val="0010452E"/>
    <w:rsid w:val="00104806"/>
    <w:rsid w:val="00104A5E"/>
    <w:rsid w:val="00104C8B"/>
    <w:rsid w:val="00104E9F"/>
    <w:rsid w:val="00104FD0"/>
    <w:rsid w:val="00105127"/>
    <w:rsid w:val="0010524C"/>
    <w:rsid w:val="00105276"/>
    <w:rsid w:val="00105583"/>
    <w:rsid w:val="001057A1"/>
    <w:rsid w:val="00105A11"/>
    <w:rsid w:val="00105AE2"/>
    <w:rsid w:val="00105C89"/>
    <w:rsid w:val="00105C8E"/>
    <w:rsid w:val="00105D16"/>
    <w:rsid w:val="00105F04"/>
    <w:rsid w:val="00105F44"/>
    <w:rsid w:val="00105FE1"/>
    <w:rsid w:val="00106028"/>
    <w:rsid w:val="001060C6"/>
    <w:rsid w:val="0010661B"/>
    <w:rsid w:val="00106B80"/>
    <w:rsid w:val="00106CE9"/>
    <w:rsid w:val="00106DCA"/>
    <w:rsid w:val="00107257"/>
    <w:rsid w:val="001079E9"/>
    <w:rsid w:val="00110124"/>
    <w:rsid w:val="0011032E"/>
    <w:rsid w:val="00110447"/>
    <w:rsid w:val="00110499"/>
    <w:rsid w:val="001105BC"/>
    <w:rsid w:val="001107B6"/>
    <w:rsid w:val="00110973"/>
    <w:rsid w:val="00110C66"/>
    <w:rsid w:val="00110D27"/>
    <w:rsid w:val="00110E5B"/>
    <w:rsid w:val="00111039"/>
    <w:rsid w:val="00111064"/>
    <w:rsid w:val="001112E2"/>
    <w:rsid w:val="0011132A"/>
    <w:rsid w:val="001113B0"/>
    <w:rsid w:val="0011165E"/>
    <w:rsid w:val="00111700"/>
    <w:rsid w:val="00111781"/>
    <w:rsid w:val="001118F8"/>
    <w:rsid w:val="00111A37"/>
    <w:rsid w:val="00111CA7"/>
    <w:rsid w:val="00111DC4"/>
    <w:rsid w:val="00111FD8"/>
    <w:rsid w:val="001120B4"/>
    <w:rsid w:val="00112176"/>
    <w:rsid w:val="0011233D"/>
    <w:rsid w:val="001124D8"/>
    <w:rsid w:val="00112784"/>
    <w:rsid w:val="00112A1E"/>
    <w:rsid w:val="00112D2D"/>
    <w:rsid w:val="00112EB7"/>
    <w:rsid w:val="00112FEA"/>
    <w:rsid w:val="001130A9"/>
    <w:rsid w:val="001130BF"/>
    <w:rsid w:val="0011316E"/>
    <w:rsid w:val="00113183"/>
    <w:rsid w:val="001131D3"/>
    <w:rsid w:val="00113222"/>
    <w:rsid w:val="00113398"/>
    <w:rsid w:val="0011340A"/>
    <w:rsid w:val="0011348B"/>
    <w:rsid w:val="001134B0"/>
    <w:rsid w:val="0011352F"/>
    <w:rsid w:val="00113552"/>
    <w:rsid w:val="00113634"/>
    <w:rsid w:val="00113670"/>
    <w:rsid w:val="00113AAE"/>
    <w:rsid w:val="00113B5E"/>
    <w:rsid w:val="00113BC6"/>
    <w:rsid w:val="00113FC2"/>
    <w:rsid w:val="00113FCB"/>
    <w:rsid w:val="001140FB"/>
    <w:rsid w:val="001141F1"/>
    <w:rsid w:val="001142EB"/>
    <w:rsid w:val="001143A7"/>
    <w:rsid w:val="0011441A"/>
    <w:rsid w:val="00114493"/>
    <w:rsid w:val="001147A9"/>
    <w:rsid w:val="001147B3"/>
    <w:rsid w:val="001147BD"/>
    <w:rsid w:val="0011480B"/>
    <w:rsid w:val="00114A37"/>
    <w:rsid w:val="00114BAD"/>
    <w:rsid w:val="00114D16"/>
    <w:rsid w:val="00114D2F"/>
    <w:rsid w:val="00114F13"/>
    <w:rsid w:val="00115369"/>
    <w:rsid w:val="0011566A"/>
    <w:rsid w:val="001156AD"/>
    <w:rsid w:val="00115751"/>
    <w:rsid w:val="00115778"/>
    <w:rsid w:val="00115852"/>
    <w:rsid w:val="00115982"/>
    <w:rsid w:val="00116104"/>
    <w:rsid w:val="00116115"/>
    <w:rsid w:val="00116423"/>
    <w:rsid w:val="001164EA"/>
    <w:rsid w:val="001165FE"/>
    <w:rsid w:val="00116876"/>
    <w:rsid w:val="001169A5"/>
    <w:rsid w:val="001169E4"/>
    <w:rsid w:val="00116C53"/>
    <w:rsid w:val="00116C8D"/>
    <w:rsid w:val="00117092"/>
    <w:rsid w:val="00117100"/>
    <w:rsid w:val="00117326"/>
    <w:rsid w:val="001174ED"/>
    <w:rsid w:val="00117561"/>
    <w:rsid w:val="001176D3"/>
    <w:rsid w:val="00117725"/>
    <w:rsid w:val="0011781D"/>
    <w:rsid w:val="00117985"/>
    <w:rsid w:val="00117A53"/>
    <w:rsid w:val="00117AAB"/>
    <w:rsid w:val="00117AC5"/>
    <w:rsid w:val="00117BEB"/>
    <w:rsid w:val="00117E3C"/>
    <w:rsid w:val="00117E55"/>
    <w:rsid w:val="0012018B"/>
    <w:rsid w:val="001204B8"/>
    <w:rsid w:val="0012084C"/>
    <w:rsid w:val="0012094F"/>
    <w:rsid w:val="001209CA"/>
    <w:rsid w:val="00120B48"/>
    <w:rsid w:val="00120B76"/>
    <w:rsid w:val="00120BE0"/>
    <w:rsid w:val="00120C6B"/>
    <w:rsid w:val="00120D3F"/>
    <w:rsid w:val="00120F9C"/>
    <w:rsid w:val="001211C6"/>
    <w:rsid w:val="001212BA"/>
    <w:rsid w:val="00121383"/>
    <w:rsid w:val="0012141F"/>
    <w:rsid w:val="0012170D"/>
    <w:rsid w:val="00121799"/>
    <w:rsid w:val="0012183F"/>
    <w:rsid w:val="00121BFD"/>
    <w:rsid w:val="00121C78"/>
    <w:rsid w:val="00121EB2"/>
    <w:rsid w:val="001222FC"/>
    <w:rsid w:val="00122398"/>
    <w:rsid w:val="0012253C"/>
    <w:rsid w:val="00122549"/>
    <w:rsid w:val="00122587"/>
    <w:rsid w:val="0012281C"/>
    <w:rsid w:val="0012290A"/>
    <w:rsid w:val="00122AD7"/>
    <w:rsid w:val="00122B0F"/>
    <w:rsid w:val="00122C89"/>
    <w:rsid w:val="00122F1A"/>
    <w:rsid w:val="001230C6"/>
    <w:rsid w:val="00123426"/>
    <w:rsid w:val="001238E4"/>
    <w:rsid w:val="00123902"/>
    <w:rsid w:val="00123C00"/>
    <w:rsid w:val="00123C65"/>
    <w:rsid w:val="00123CBD"/>
    <w:rsid w:val="00123D17"/>
    <w:rsid w:val="001240B0"/>
    <w:rsid w:val="00124335"/>
    <w:rsid w:val="001244F4"/>
    <w:rsid w:val="0012465C"/>
    <w:rsid w:val="00124701"/>
    <w:rsid w:val="00124755"/>
    <w:rsid w:val="001247AB"/>
    <w:rsid w:val="0012484C"/>
    <w:rsid w:val="00124A51"/>
    <w:rsid w:val="00124B26"/>
    <w:rsid w:val="00124C6B"/>
    <w:rsid w:val="00124D25"/>
    <w:rsid w:val="00124E33"/>
    <w:rsid w:val="0012531B"/>
    <w:rsid w:val="00125436"/>
    <w:rsid w:val="001255FB"/>
    <w:rsid w:val="0012563C"/>
    <w:rsid w:val="001257DA"/>
    <w:rsid w:val="001258D1"/>
    <w:rsid w:val="001258D4"/>
    <w:rsid w:val="00125D4F"/>
    <w:rsid w:val="00125E16"/>
    <w:rsid w:val="001261A8"/>
    <w:rsid w:val="001263DA"/>
    <w:rsid w:val="00126406"/>
    <w:rsid w:val="0012646C"/>
    <w:rsid w:val="00126621"/>
    <w:rsid w:val="001267B4"/>
    <w:rsid w:val="00126857"/>
    <w:rsid w:val="001268F0"/>
    <w:rsid w:val="00126A96"/>
    <w:rsid w:val="00126AD3"/>
    <w:rsid w:val="00126B1D"/>
    <w:rsid w:val="00126C26"/>
    <w:rsid w:val="00126F0A"/>
    <w:rsid w:val="00127BB4"/>
    <w:rsid w:val="00127CB4"/>
    <w:rsid w:val="00127D1D"/>
    <w:rsid w:val="00127D8F"/>
    <w:rsid w:val="00127E59"/>
    <w:rsid w:val="00127E96"/>
    <w:rsid w:val="00127EB6"/>
    <w:rsid w:val="001300AE"/>
    <w:rsid w:val="00130145"/>
    <w:rsid w:val="00130190"/>
    <w:rsid w:val="001301E9"/>
    <w:rsid w:val="001302A5"/>
    <w:rsid w:val="001302DB"/>
    <w:rsid w:val="00130335"/>
    <w:rsid w:val="00130341"/>
    <w:rsid w:val="001304CD"/>
    <w:rsid w:val="00130769"/>
    <w:rsid w:val="0013084F"/>
    <w:rsid w:val="00130CCE"/>
    <w:rsid w:val="00130DD8"/>
    <w:rsid w:val="00130FCB"/>
    <w:rsid w:val="0013128B"/>
    <w:rsid w:val="001313FE"/>
    <w:rsid w:val="001315C1"/>
    <w:rsid w:val="001315EF"/>
    <w:rsid w:val="0013161D"/>
    <w:rsid w:val="0013169B"/>
    <w:rsid w:val="001317EC"/>
    <w:rsid w:val="00131921"/>
    <w:rsid w:val="001319AF"/>
    <w:rsid w:val="00131A5B"/>
    <w:rsid w:val="00131CA5"/>
    <w:rsid w:val="00131D82"/>
    <w:rsid w:val="00131E5A"/>
    <w:rsid w:val="00131EE6"/>
    <w:rsid w:val="00131F96"/>
    <w:rsid w:val="00132184"/>
    <w:rsid w:val="00132240"/>
    <w:rsid w:val="001324CF"/>
    <w:rsid w:val="001325C6"/>
    <w:rsid w:val="00132880"/>
    <w:rsid w:val="001328FB"/>
    <w:rsid w:val="00132B22"/>
    <w:rsid w:val="00132CF7"/>
    <w:rsid w:val="00133031"/>
    <w:rsid w:val="0013303C"/>
    <w:rsid w:val="0013313E"/>
    <w:rsid w:val="00133792"/>
    <w:rsid w:val="0013379B"/>
    <w:rsid w:val="00133A05"/>
    <w:rsid w:val="00133A75"/>
    <w:rsid w:val="00133A9D"/>
    <w:rsid w:val="00133D36"/>
    <w:rsid w:val="00133E4F"/>
    <w:rsid w:val="00133F97"/>
    <w:rsid w:val="00133FE4"/>
    <w:rsid w:val="001341A3"/>
    <w:rsid w:val="0013427B"/>
    <w:rsid w:val="0013431A"/>
    <w:rsid w:val="00134380"/>
    <w:rsid w:val="00134427"/>
    <w:rsid w:val="001346FD"/>
    <w:rsid w:val="0013485B"/>
    <w:rsid w:val="00134B00"/>
    <w:rsid w:val="00134B63"/>
    <w:rsid w:val="00134D84"/>
    <w:rsid w:val="00134FB8"/>
    <w:rsid w:val="00135198"/>
    <w:rsid w:val="001351F4"/>
    <w:rsid w:val="00135703"/>
    <w:rsid w:val="001357FC"/>
    <w:rsid w:val="001359F8"/>
    <w:rsid w:val="00135C0A"/>
    <w:rsid w:val="00135CC2"/>
    <w:rsid w:val="00135E3D"/>
    <w:rsid w:val="00136144"/>
    <w:rsid w:val="001361D9"/>
    <w:rsid w:val="001361ED"/>
    <w:rsid w:val="00136220"/>
    <w:rsid w:val="001362B6"/>
    <w:rsid w:val="0013643F"/>
    <w:rsid w:val="00136513"/>
    <w:rsid w:val="0013689C"/>
    <w:rsid w:val="001369C8"/>
    <w:rsid w:val="001369F2"/>
    <w:rsid w:val="00136BAF"/>
    <w:rsid w:val="00136EAD"/>
    <w:rsid w:val="00136ECF"/>
    <w:rsid w:val="00136F16"/>
    <w:rsid w:val="0013706A"/>
    <w:rsid w:val="001373DD"/>
    <w:rsid w:val="00137645"/>
    <w:rsid w:val="001376E6"/>
    <w:rsid w:val="0013782D"/>
    <w:rsid w:val="001378C0"/>
    <w:rsid w:val="00137950"/>
    <w:rsid w:val="00137F82"/>
    <w:rsid w:val="001400A5"/>
    <w:rsid w:val="0014015A"/>
    <w:rsid w:val="001401BE"/>
    <w:rsid w:val="0014031B"/>
    <w:rsid w:val="001405C4"/>
    <w:rsid w:val="00140AF6"/>
    <w:rsid w:val="00140B3E"/>
    <w:rsid w:val="00140C43"/>
    <w:rsid w:val="00140C4B"/>
    <w:rsid w:val="00140D68"/>
    <w:rsid w:val="00140E99"/>
    <w:rsid w:val="00141042"/>
    <w:rsid w:val="00141196"/>
    <w:rsid w:val="00141328"/>
    <w:rsid w:val="0014138B"/>
    <w:rsid w:val="00141396"/>
    <w:rsid w:val="0014144F"/>
    <w:rsid w:val="00141614"/>
    <w:rsid w:val="00141622"/>
    <w:rsid w:val="0014164E"/>
    <w:rsid w:val="001416F2"/>
    <w:rsid w:val="00141744"/>
    <w:rsid w:val="001417F9"/>
    <w:rsid w:val="00141915"/>
    <w:rsid w:val="0014192C"/>
    <w:rsid w:val="0014194A"/>
    <w:rsid w:val="0014198F"/>
    <w:rsid w:val="00141FD6"/>
    <w:rsid w:val="0014237C"/>
    <w:rsid w:val="0014239F"/>
    <w:rsid w:val="0014252A"/>
    <w:rsid w:val="001427A9"/>
    <w:rsid w:val="0014282C"/>
    <w:rsid w:val="00142C86"/>
    <w:rsid w:val="00142DFB"/>
    <w:rsid w:val="00142ED1"/>
    <w:rsid w:val="00143089"/>
    <w:rsid w:val="00143124"/>
    <w:rsid w:val="00143264"/>
    <w:rsid w:val="0014346E"/>
    <w:rsid w:val="00143535"/>
    <w:rsid w:val="0014358A"/>
    <w:rsid w:val="0014367C"/>
    <w:rsid w:val="001437EE"/>
    <w:rsid w:val="00143A03"/>
    <w:rsid w:val="00143DDA"/>
    <w:rsid w:val="00143E91"/>
    <w:rsid w:val="00143F67"/>
    <w:rsid w:val="001449E9"/>
    <w:rsid w:val="00144A44"/>
    <w:rsid w:val="00144B2C"/>
    <w:rsid w:val="00144B42"/>
    <w:rsid w:val="00144BF9"/>
    <w:rsid w:val="00144E3C"/>
    <w:rsid w:val="001450AB"/>
    <w:rsid w:val="00145234"/>
    <w:rsid w:val="00145463"/>
    <w:rsid w:val="00145540"/>
    <w:rsid w:val="0014560F"/>
    <w:rsid w:val="001456B0"/>
    <w:rsid w:val="001456CC"/>
    <w:rsid w:val="0014572F"/>
    <w:rsid w:val="00145733"/>
    <w:rsid w:val="001457B2"/>
    <w:rsid w:val="001459E3"/>
    <w:rsid w:val="00145B66"/>
    <w:rsid w:val="00145BED"/>
    <w:rsid w:val="00145C21"/>
    <w:rsid w:val="00145FA2"/>
    <w:rsid w:val="0014630F"/>
    <w:rsid w:val="00146337"/>
    <w:rsid w:val="0014648D"/>
    <w:rsid w:val="001467EE"/>
    <w:rsid w:val="00146831"/>
    <w:rsid w:val="00146894"/>
    <w:rsid w:val="001469C8"/>
    <w:rsid w:val="00146C8A"/>
    <w:rsid w:val="00146CCD"/>
    <w:rsid w:val="00146D12"/>
    <w:rsid w:val="001470D2"/>
    <w:rsid w:val="0014726D"/>
    <w:rsid w:val="00147429"/>
    <w:rsid w:val="00147726"/>
    <w:rsid w:val="00147736"/>
    <w:rsid w:val="00147A69"/>
    <w:rsid w:val="00147C1A"/>
    <w:rsid w:val="00147C51"/>
    <w:rsid w:val="00147C62"/>
    <w:rsid w:val="00147EFE"/>
    <w:rsid w:val="00147F47"/>
    <w:rsid w:val="0015014A"/>
    <w:rsid w:val="00150188"/>
    <w:rsid w:val="001504F6"/>
    <w:rsid w:val="00150776"/>
    <w:rsid w:val="00150EDE"/>
    <w:rsid w:val="001514E6"/>
    <w:rsid w:val="001515B1"/>
    <w:rsid w:val="0015171D"/>
    <w:rsid w:val="00151ACF"/>
    <w:rsid w:val="00151B2D"/>
    <w:rsid w:val="00151BDF"/>
    <w:rsid w:val="00152299"/>
    <w:rsid w:val="0015236A"/>
    <w:rsid w:val="001526BE"/>
    <w:rsid w:val="001529AB"/>
    <w:rsid w:val="001529BE"/>
    <w:rsid w:val="00152B74"/>
    <w:rsid w:val="00153086"/>
    <w:rsid w:val="0015321C"/>
    <w:rsid w:val="00153555"/>
    <w:rsid w:val="001535B7"/>
    <w:rsid w:val="001537D2"/>
    <w:rsid w:val="001538CA"/>
    <w:rsid w:val="0015396C"/>
    <w:rsid w:val="001539A8"/>
    <w:rsid w:val="00153B57"/>
    <w:rsid w:val="00153BFA"/>
    <w:rsid w:val="00153C1F"/>
    <w:rsid w:val="0015407F"/>
    <w:rsid w:val="001540A9"/>
    <w:rsid w:val="001542C2"/>
    <w:rsid w:val="001542EC"/>
    <w:rsid w:val="001543E7"/>
    <w:rsid w:val="00154416"/>
    <w:rsid w:val="00154565"/>
    <w:rsid w:val="001547AB"/>
    <w:rsid w:val="00154851"/>
    <w:rsid w:val="00154907"/>
    <w:rsid w:val="00154A21"/>
    <w:rsid w:val="00154BF3"/>
    <w:rsid w:val="00154CA1"/>
    <w:rsid w:val="00155102"/>
    <w:rsid w:val="00155261"/>
    <w:rsid w:val="0015537D"/>
    <w:rsid w:val="00155444"/>
    <w:rsid w:val="00155499"/>
    <w:rsid w:val="001554A4"/>
    <w:rsid w:val="001554CF"/>
    <w:rsid w:val="0015558B"/>
    <w:rsid w:val="00155629"/>
    <w:rsid w:val="001557B0"/>
    <w:rsid w:val="00155861"/>
    <w:rsid w:val="00155941"/>
    <w:rsid w:val="001559DF"/>
    <w:rsid w:val="00155AB4"/>
    <w:rsid w:val="00155D02"/>
    <w:rsid w:val="00155D21"/>
    <w:rsid w:val="0015632B"/>
    <w:rsid w:val="00156707"/>
    <w:rsid w:val="0015681D"/>
    <w:rsid w:val="001569E6"/>
    <w:rsid w:val="00156A58"/>
    <w:rsid w:val="00156B02"/>
    <w:rsid w:val="00156D27"/>
    <w:rsid w:val="00156D98"/>
    <w:rsid w:val="00156EE7"/>
    <w:rsid w:val="00156F8F"/>
    <w:rsid w:val="00157130"/>
    <w:rsid w:val="001573A6"/>
    <w:rsid w:val="001576B1"/>
    <w:rsid w:val="00157795"/>
    <w:rsid w:val="00157808"/>
    <w:rsid w:val="00157E19"/>
    <w:rsid w:val="00157E33"/>
    <w:rsid w:val="001601FF"/>
    <w:rsid w:val="0016042C"/>
    <w:rsid w:val="0016047B"/>
    <w:rsid w:val="001604DF"/>
    <w:rsid w:val="00160683"/>
    <w:rsid w:val="0016094E"/>
    <w:rsid w:val="001609B8"/>
    <w:rsid w:val="00160A4C"/>
    <w:rsid w:val="00160B48"/>
    <w:rsid w:val="00160C83"/>
    <w:rsid w:val="00160DB9"/>
    <w:rsid w:val="00160FE3"/>
    <w:rsid w:val="0016109C"/>
    <w:rsid w:val="0016117C"/>
    <w:rsid w:val="0016149F"/>
    <w:rsid w:val="001614F1"/>
    <w:rsid w:val="00161578"/>
    <w:rsid w:val="001616A0"/>
    <w:rsid w:val="001618DA"/>
    <w:rsid w:val="00161AFA"/>
    <w:rsid w:val="00161CD5"/>
    <w:rsid w:val="00161DBA"/>
    <w:rsid w:val="001621AA"/>
    <w:rsid w:val="0016234D"/>
    <w:rsid w:val="0016238A"/>
    <w:rsid w:val="0016275D"/>
    <w:rsid w:val="00162913"/>
    <w:rsid w:val="001629C9"/>
    <w:rsid w:val="00162A02"/>
    <w:rsid w:val="00162ABA"/>
    <w:rsid w:val="00162E14"/>
    <w:rsid w:val="00163149"/>
    <w:rsid w:val="00163306"/>
    <w:rsid w:val="0016332E"/>
    <w:rsid w:val="001633AD"/>
    <w:rsid w:val="001633DD"/>
    <w:rsid w:val="0016341E"/>
    <w:rsid w:val="001634D2"/>
    <w:rsid w:val="0016379B"/>
    <w:rsid w:val="001637B1"/>
    <w:rsid w:val="0016393C"/>
    <w:rsid w:val="001639D8"/>
    <w:rsid w:val="001639E8"/>
    <w:rsid w:val="00163B1A"/>
    <w:rsid w:val="00163BA8"/>
    <w:rsid w:val="00163C29"/>
    <w:rsid w:val="00163D4B"/>
    <w:rsid w:val="00163DB8"/>
    <w:rsid w:val="00163EFF"/>
    <w:rsid w:val="00163F3D"/>
    <w:rsid w:val="00163F66"/>
    <w:rsid w:val="0016418D"/>
    <w:rsid w:val="001643E9"/>
    <w:rsid w:val="0016448F"/>
    <w:rsid w:val="0016476E"/>
    <w:rsid w:val="0016478E"/>
    <w:rsid w:val="001648A9"/>
    <w:rsid w:val="00164A92"/>
    <w:rsid w:val="00164C1D"/>
    <w:rsid w:val="00164F8D"/>
    <w:rsid w:val="00164F9C"/>
    <w:rsid w:val="001653C2"/>
    <w:rsid w:val="00165413"/>
    <w:rsid w:val="001655FD"/>
    <w:rsid w:val="00165650"/>
    <w:rsid w:val="001657B8"/>
    <w:rsid w:val="00165E40"/>
    <w:rsid w:val="00165EC4"/>
    <w:rsid w:val="001661FB"/>
    <w:rsid w:val="00166404"/>
    <w:rsid w:val="001667DC"/>
    <w:rsid w:val="001669F0"/>
    <w:rsid w:val="00166A65"/>
    <w:rsid w:val="00166A7A"/>
    <w:rsid w:val="00166A8A"/>
    <w:rsid w:val="00166AA8"/>
    <w:rsid w:val="00166C24"/>
    <w:rsid w:val="00166E86"/>
    <w:rsid w:val="001671A0"/>
    <w:rsid w:val="001673AC"/>
    <w:rsid w:val="00167494"/>
    <w:rsid w:val="001675A4"/>
    <w:rsid w:val="0016767F"/>
    <w:rsid w:val="00167746"/>
    <w:rsid w:val="001677DE"/>
    <w:rsid w:val="00167892"/>
    <w:rsid w:val="001679B2"/>
    <w:rsid w:val="001679F7"/>
    <w:rsid w:val="00167AE3"/>
    <w:rsid w:val="00167F9F"/>
    <w:rsid w:val="0017020E"/>
    <w:rsid w:val="00170210"/>
    <w:rsid w:val="00170215"/>
    <w:rsid w:val="00170227"/>
    <w:rsid w:val="0017044F"/>
    <w:rsid w:val="00170480"/>
    <w:rsid w:val="00170533"/>
    <w:rsid w:val="00170584"/>
    <w:rsid w:val="001708FB"/>
    <w:rsid w:val="0017090C"/>
    <w:rsid w:val="00170B2E"/>
    <w:rsid w:val="00170B7A"/>
    <w:rsid w:val="00170CD9"/>
    <w:rsid w:val="00170D62"/>
    <w:rsid w:val="00170EB7"/>
    <w:rsid w:val="001710E1"/>
    <w:rsid w:val="001712BC"/>
    <w:rsid w:val="00171546"/>
    <w:rsid w:val="00171662"/>
    <w:rsid w:val="00171843"/>
    <w:rsid w:val="00171869"/>
    <w:rsid w:val="001718BF"/>
    <w:rsid w:val="0017190E"/>
    <w:rsid w:val="001719AA"/>
    <w:rsid w:val="001719AC"/>
    <w:rsid w:val="00171AE8"/>
    <w:rsid w:val="00171C88"/>
    <w:rsid w:val="00171E24"/>
    <w:rsid w:val="00171E91"/>
    <w:rsid w:val="001724A7"/>
    <w:rsid w:val="001724C3"/>
    <w:rsid w:val="001725D4"/>
    <w:rsid w:val="00172670"/>
    <w:rsid w:val="001728C8"/>
    <w:rsid w:val="001728E9"/>
    <w:rsid w:val="001729BA"/>
    <w:rsid w:val="00172AA2"/>
    <w:rsid w:val="00172B9A"/>
    <w:rsid w:val="00172C65"/>
    <w:rsid w:val="00172CED"/>
    <w:rsid w:val="00172E54"/>
    <w:rsid w:val="00172F44"/>
    <w:rsid w:val="00173015"/>
    <w:rsid w:val="00173243"/>
    <w:rsid w:val="00173355"/>
    <w:rsid w:val="001733F8"/>
    <w:rsid w:val="00173447"/>
    <w:rsid w:val="0017352F"/>
    <w:rsid w:val="00173565"/>
    <w:rsid w:val="001736EB"/>
    <w:rsid w:val="0017370A"/>
    <w:rsid w:val="0017397B"/>
    <w:rsid w:val="00173AE5"/>
    <w:rsid w:val="00173B07"/>
    <w:rsid w:val="00173D99"/>
    <w:rsid w:val="00173F7C"/>
    <w:rsid w:val="0017434B"/>
    <w:rsid w:val="00174370"/>
    <w:rsid w:val="001744F4"/>
    <w:rsid w:val="00174625"/>
    <w:rsid w:val="001747BC"/>
    <w:rsid w:val="001749EA"/>
    <w:rsid w:val="001749FF"/>
    <w:rsid w:val="00174A13"/>
    <w:rsid w:val="00174A30"/>
    <w:rsid w:val="00174E88"/>
    <w:rsid w:val="00174ED9"/>
    <w:rsid w:val="00174F77"/>
    <w:rsid w:val="00174FE3"/>
    <w:rsid w:val="00175097"/>
    <w:rsid w:val="00175145"/>
    <w:rsid w:val="00175160"/>
    <w:rsid w:val="001751FA"/>
    <w:rsid w:val="00175460"/>
    <w:rsid w:val="001754A3"/>
    <w:rsid w:val="001757B4"/>
    <w:rsid w:val="0017588B"/>
    <w:rsid w:val="00175951"/>
    <w:rsid w:val="00175A70"/>
    <w:rsid w:val="00175D58"/>
    <w:rsid w:val="00175F53"/>
    <w:rsid w:val="001760F2"/>
    <w:rsid w:val="0017645B"/>
    <w:rsid w:val="0017649E"/>
    <w:rsid w:val="001764F3"/>
    <w:rsid w:val="00176699"/>
    <w:rsid w:val="00176C86"/>
    <w:rsid w:val="00176D9F"/>
    <w:rsid w:val="00176DB2"/>
    <w:rsid w:val="00177187"/>
    <w:rsid w:val="00177325"/>
    <w:rsid w:val="001776FA"/>
    <w:rsid w:val="00177E6A"/>
    <w:rsid w:val="001800AF"/>
    <w:rsid w:val="001800F9"/>
    <w:rsid w:val="001801CB"/>
    <w:rsid w:val="001801D1"/>
    <w:rsid w:val="001801EF"/>
    <w:rsid w:val="001801F9"/>
    <w:rsid w:val="001805A1"/>
    <w:rsid w:val="001806AA"/>
    <w:rsid w:val="001806F3"/>
    <w:rsid w:val="00180F50"/>
    <w:rsid w:val="001810E1"/>
    <w:rsid w:val="001812E5"/>
    <w:rsid w:val="001812F6"/>
    <w:rsid w:val="00181344"/>
    <w:rsid w:val="00181497"/>
    <w:rsid w:val="00181594"/>
    <w:rsid w:val="001817E4"/>
    <w:rsid w:val="00181938"/>
    <w:rsid w:val="00181C10"/>
    <w:rsid w:val="00181D41"/>
    <w:rsid w:val="00181D9C"/>
    <w:rsid w:val="00182269"/>
    <w:rsid w:val="001823AA"/>
    <w:rsid w:val="001827F4"/>
    <w:rsid w:val="00182AD2"/>
    <w:rsid w:val="00182BAA"/>
    <w:rsid w:val="00182CAC"/>
    <w:rsid w:val="00182CE4"/>
    <w:rsid w:val="00182E2C"/>
    <w:rsid w:val="00182EE3"/>
    <w:rsid w:val="001830AF"/>
    <w:rsid w:val="001832FB"/>
    <w:rsid w:val="0018331F"/>
    <w:rsid w:val="001837FF"/>
    <w:rsid w:val="00183BC1"/>
    <w:rsid w:val="00183E68"/>
    <w:rsid w:val="00184430"/>
    <w:rsid w:val="00184569"/>
    <w:rsid w:val="0018488D"/>
    <w:rsid w:val="0018495C"/>
    <w:rsid w:val="00184A35"/>
    <w:rsid w:val="00184B0E"/>
    <w:rsid w:val="00184E35"/>
    <w:rsid w:val="001852CB"/>
    <w:rsid w:val="001853ED"/>
    <w:rsid w:val="001855E3"/>
    <w:rsid w:val="00185942"/>
    <w:rsid w:val="00185994"/>
    <w:rsid w:val="00185A64"/>
    <w:rsid w:val="00185BE1"/>
    <w:rsid w:val="00185C06"/>
    <w:rsid w:val="001863D7"/>
    <w:rsid w:val="00186470"/>
    <w:rsid w:val="00186791"/>
    <w:rsid w:val="001867D2"/>
    <w:rsid w:val="001869E3"/>
    <w:rsid w:val="00186AC7"/>
    <w:rsid w:val="00186B43"/>
    <w:rsid w:val="00186BE8"/>
    <w:rsid w:val="00186C8A"/>
    <w:rsid w:val="00186E21"/>
    <w:rsid w:val="00186E7B"/>
    <w:rsid w:val="00186F5B"/>
    <w:rsid w:val="00187270"/>
    <w:rsid w:val="0018752F"/>
    <w:rsid w:val="00187C8A"/>
    <w:rsid w:val="001900DE"/>
    <w:rsid w:val="001903E5"/>
    <w:rsid w:val="00190939"/>
    <w:rsid w:val="00190B91"/>
    <w:rsid w:val="00190B98"/>
    <w:rsid w:val="00190BA7"/>
    <w:rsid w:val="00190E22"/>
    <w:rsid w:val="001911DA"/>
    <w:rsid w:val="001913E8"/>
    <w:rsid w:val="00191541"/>
    <w:rsid w:val="00191F4C"/>
    <w:rsid w:val="00191F54"/>
    <w:rsid w:val="00192035"/>
    <w:rsid w:val="00192120"/>
    <w:rsid w:val="00192138"/>
    <w:rsid w:val="001926FE"/>
    <w:rsid w:val="0019277C"/>
    <w:rsid w:val="00192976"/>
    <w:rsid w:val="00192AA5"/>
    <w:rsid w:val="00192E35"/>
    <w:rsid w:val="0019300B"/>
    <w:rsid w:val="001930B9"/>
    <w:rsid w:val="001931E4"/>
    <w:rsid w:val="00193305"/>
    <w:rsid w:val="001933F2"/>
    <w:rsid w:val="001935D1"/>
    <w:rsid w:val="00193695"/>
    <w:rsid w:val="001937D1"/>
    <w:rsid w:val="00193838"/>
    <w:rsid w:val="00193876"/>
    <w:rsid w:val="00193D9E"/>
    <w:rsid w:val="00193E5F"/>
    <w:rsid w:val="00193E78"/>
    <w:rsid w:val="00193E97"/>
    <w:rsid w:val="00194203"/>
    <w:rsid w:val="001942CA"/>
    <w:rsid w:val="0019438B"/>
    <w:rsid w:val="001944EA"/>
    <w:rsid w:val="00194525"/>
    <w:rsid w:val="001945BE"/>
    <w:rsid w:val="001946EA"/>
    <w:rsid w:val="00194713"/>
    <w:rsid w:val="00194AD8"/>
    <w:rsid w:val="001951DE"/>
    <w:rsid w:val="00195222"/>
    <w:rsid w:val="001952A2"/>
    <w:rsid w:val="00195452"/>
    <w:rsid w:val="00195642"/>
    <w:rsid w:val="0019566E"/>
    <w:rsid w:val="00195757"/>
    <w:rsid w:val="001957F9"/>
    <w:rsid w:val="001958B7"/>
    <w:rsid w:val="00195BDD"/>
    <w:rsid w:val="00195EA2"/>
    <w:rsid w:val="00195FCC"/>
    <w:rsid w:val="00196012"/>
    <w:rsid w:val="0019633C"/>
    <w:rsid w:val="00196438"/>
    <w:rsid w:val="001964C9"/>
    <w:rsid w:val="00196B68"/>
    <w:rsid w:val="00196BFD"/>
    <w:rsid w:val="00196D29"/>
    <w:rsid w:val="00196D44"/>
    <w:rsid w:val="00196E94"/>
    <w:rsid w:val="00196F9B"/>
    <w:rsid w:val="00196FD3"/>
    <w:rsid w:val="00197007"/>
    <w:rsid w:val="00197263"/>
    <w:rsid w:val="001973B6"/>
    <w:rsid w:val="00197509"/>
    <w:rsid w:val="00197539"/>
    <w:rsid w:val="001975A5"/>
    <w:rsid w:val="001975D8"/>
    <w:rsid w:val="001976E9"/>
    <w:rsid w:val="001977AD"/>
    <w:rsid w:val="00197925"/>
    <w:rsid w:val="001979AF"/>
    <w:rsid w:val="00197FB5"/>
    <w:rsid w:val="001A0293"/>
    <w:rsid w:val="001A0494"/>
    <w:rsid w:val="001A0506"/>
    <w:rsid w:val="001A0575"/>
    <w:rsid w:val="001A0845"/>
    <w:rsid w:val="001A0A52"/>
    <w:rsid w:val="001A0B6A"/>
    <w:rsid w:val="001A0C4F"/>
    <w:rsid w:val="001A0EFE"/>
    <w:rsid w:val="001A0FAF"/>
    <w:rsid w:val="001A1447"/>
    <w:rsid w:val="001A154D"/>
    <w:rsid w:val="001A1653"/>
    <w:rsid w:val="001A1682"/>
    <w:rsid w:val="001A178E"/>
    <w:rsid w:val="001A18A0"/>
    <w:rsid w:val="001A1AF1"/>
    <w:rsid w:val="001A1DDB"/>
    <w:rsid w:val="001A1E47"/>
    <w:rsid w:val="001A1F22"/>
    <w:rsid w:val="001A1F2C"/>
    <w:rsid w:val="001A1FAE"/>
    <w:rsid w:val="001A2115"/>
    <w:rsid w:val="001A226C"/>
    <w:rsid w:val="001A227C"/>
    <w:rsid w:val="001A22CC"/>
    <w:rsid w:val="001A26C3"/>
    <w:rsid w:val="001A2783"/>
    <w:rsid w:val="001A2937"/>
    <w:rsid w:val="001A298E"/>
    <w:rsid w:val="001A2EAB"/>
    <w:rsid w:val="001A2F42"/>
    <w:rsid w:val="001A300F"/>
    <w:rsid w:val="001A30BE"/>
    <w:rsid w:val="001A3453"/>
    <w:rsid w:val="001A3494"/>
    <w:rsid w:val="001A34EB"/>
    <w:rsid w:val="001A35C4"/>
    <w:rsid w:val="001A3C97"/>
    <w:rsid w:val="001A3CF9"/>
    <w:rsid w:val="001A3D2B"/>
    <w:rsid w:val="001A421F"/>
    <w:rsid w:val="001A4305"/>
    <w:rsid w:val="001A43FA"/>
    <w:rsid w:val="001A4474"/>
    <w:rsid w:val="001A44BA"/>
    <w:rsid w:val="001A44CD"/>
    <w:rsid w:val="001A47C5"/>
    <w:rsid w:val="001A4829"/>
    <w:rsid w:val="001A48A5"/>
    <w:rsid w:val="001A4A31"/>
    <w:rsid w:val="001A4ACA"/>
    <w:rsid w:val="001A4EA6"/>
    <w:rsid w:val="001A4EEC"/>
    <w:rsid w:val="001A515E"/>
    <w:rsid w:val="001A5444"/>
    <w:rsid w:val="001A54BB"/>
    <w:rsid w:val="001A57B1"/>
    <w:rsid w:val="001A59FB"/>
    <w:rsid w:val="001A5B6B"/>
    <w:rsid w:val="001A5B7E"/>
    <w:rsid w:val="001A5D20"/>
    <w:rsid w:val="001A5D33"/>
    <w:rsid w:val="001A5E9E"/>
    <w:rsid w:val="001A5FC8"/>
    <w:rsid w:val="001A62D1"/>
    <w:rsid w:val="001A6354"/>
    <w:rsid w:val="001A6366"/>
    <w:rsid w:val="001A6409"/>
    <w:rsid w:val="001A6447"/>
    <w:rsid w:val="001A64FB"/>
    <w:rsid w:val="001A6524"/>
    <w:rsid w:val="001A6633"/>
    <w:rsid w:val="001A6757"/>
    <w:rsid w:val="001A67F0"/>
    <w:rsid w:val="001A6A5B"/>
    <w:rsid w:val="001A6BFE"/>
    <w:rsid w:val="001A6F86"/>
    <w:rsid w:val="001A6FD3"/>
    <w:rsid w:val="001A6FF5"/>
    <w:rsid w:val="001A7050"/>
    <w:rsid w:val="001A7384"/>
    <w:rsid w:val="001A738A"/>
    <w:rsid w:val="001A7507"/>
    <w:rsid w:val="001A784F"/>
    <w:rsid w:val="001A7AE8"/>
    <w:rsid w:val="001A7E9D"/>
    <w:rsid w:val="001A7FF4"/>
    <w:rsid w:val="001B036C"/>
    <w:rsid w:val="001B0617"/>
    <w:rsid w:val="001B0710"/>
    <w:rsid w:val="001B07A8"/>
    <w:rsid w:val="001B08B1"/>
    <w:rsid w:val="001B097C"/>
    <w:rsid w:val="001B0AF1"/>
    <w:rsid w:val="001B0B80"/>
    <w:rsid w:val="001B0D7E"/>
    <w:rsid w:val="001B0DA3"/>
    <w:rsid w:val="001B0DC4"/>
    <w:rsid w:val="001B0EEE"/>
    <w:rsid w:val="001B0FA6"/>
    <w:rsid w:val="001B12D3"/>
    <w:rsid w:val="001B1491"/>
    <w:rsid w:val="001B1509"/>
    <w:rsid w:val="001B1626"/>
    <w:rsid w:val="001B17AF"/>
    <w:rsid w:val="001B184F"/>
    <w:rsid w:val="001B186C"/>
    <w:rsid w:val="001B1953"/>
    <w:rsid w:val="001B19CC"/>
    <w:rsid w:val="001B1AE0"/>
    <w:rsid w:val="001B1BFC"/>
    <w:rsid w:val="001B2016"/>
    <w:rsid w:val="001B204E"/>
    <w:rsid w:val="001B220D"/>
    <w:rsid w:val="001B2231"/>
    <w:rsid w:val="001B2372"/>
    <w:rsid w:val="001B2476"/>
    <w:rsid w:val="001B28ED"/>
    <w:rsid w:val="001B29B2"/>
    <w:rsid w:val="001B2B63"/>
    <w:rsid w:val="001B2B6F"/>
    <w:rsid w:val="001B2C4A"/>
    <w:rsid w:val="001B2C5E"/>
    <w:rsid w:val="001B2EFF"/>
    <w:rsid w:val="001B314D"/>
    <w:rsid w:val="001B3443"/>
    <w:rsid w:val="001B349C"/>
    <w:rsid w:val="001B35F1"/>
    <w:rsid w:val="001B3793"/>
    <w:rsid w:val="001B3802"/>
    <w:rsid w:val="001B3906"/>
    <w:rsid w:val="001B3942"/>
    <w:rsid w:val="001B3B31"/>
    <w:rsid w:val="001B3BAA"/>
    <w:rsid w:val="001B3BFD"/>
    <w:rsid w:val="001B3CE0"/>
    <w:rsid w:val="001B3EA2"/>
    <w:rsid w:val="001B3F97"/>
    <w:rsid w:val="001B44CD"/>
    <w:rsid w:val="001B4564"/>
    <w:rsid w:val="001B46E8"/>
    <w:rsid w:val="001B4A07"/>
    <w:rsid w:val="001B4B86"/>
    <w:rsid w:val="001B4C7E"/>
    <w:rsid w:val="001B4D20"/>
    <w:rsid w:val="001B4DA7"/>
    <w:rsid w:val="001B52BF"/>
    <w:rsid w:val="001B5338"/>
    <w:rsid w:val="001B5576"/>
    <w:rsid w:val="001B56E8"/>
    <w:rsid w:val="001B588D"/>
    <w:rsid w:val="001B5911"/>
    <w:rsid w:val="001B595F"/>
    <w:rsid w:val="001B5AF0"/>
    <w:rsid w:val="001B5C93"/>
    <w:rsid w:val="001B5DC2"/>
    <w:rsid w:val="001B5E47"/>
    <w:rsid w:val="001B5F40"/>
    <w:rsid w:val="001B5F96"/>
    <w:rsid w:val="001B62A3"/>
    <w:rsid w:val="001B66BB"/>
    <w:rsid w:val="001B67C6"/>
    <w:rsid w:val="001B67D1"/>
    <w:rsid w:val="001B6932"/>
    <w:rsid w:val="001B69C4"/>
    <w:rsid w:val="001B6CB7"/>
    <w:rsid w:val="001B6DAB"/>
    <w:rsid w:val="001B7123"/>
    <w:rsid w:val="001B7175"/>
    <w:rsid w:val="001B7348"/>
    <w:rsid w:val="001B74A9"/>
    <w:rsid w:val="001B7594"/>
    <w:rsid w:val="001B7819"/>
    <w:rsid w:val="001B7B50"/>
    <w:rsid w:val="001B7D04"/>
    <w:rsid w:val="001B7F84"/>
    <w:rsid w:val="001C0029"/>
    <w:rsid w:val="001C0273"/>
    <w:rsid w:val="001C02B9"/>
    <w:rsid w:val="001C0565"/>
    <w:rsid w:val="001C0624"/>
    <w:rsid w:val="001C07B7"/>
    <w:rsid w:val="001C08E0"/>
    <w:rsid w:val="001C0904"/>
    <w:rsid w:val="001C09DC"/>
    <w:rsid w:val="001C0A06"/>
    <w:rsid w:val="001C0ABE"/>
    <w:rsid w:val="001C0ECA"/>
    <w:rsid w:val="001C0F86"/>
    <w:rsid w:val="001C10A7"/>
    <w:rsid w:val="001C11BC"/>
    <w:rsid w:val="001C11D8"/>
    <w:rsid w:val="001C12F6"/>
    <w:rsid w:val="001C1547"/>
    <w:rsid w:val="001C16CB"/>
    <w:rsid w:val="001C1903"/>
    <w:rsid w:val="001C1B00"/>
    <w:rsid w:val="001C1B95"/>
    <w:rsid w:val="001C1EEF"/>
    <w:rsid w:val="001C1F4E"/>
    <w:rsid w:val="001C22C2"/>
    <w:rsid w:val="001C2485"/>
    <w:rsid w:val="001C252B"/>
    <w:rsid w:val="001C2542"/>
    <w:rsid w:val="001C296C"/>
    <w:rsid w:val="001C29EA"/>
    <w:rsid w:val="001C2A9B"/>
    <w:rsid w:val="001C2AC5"/>
    <w:rsid w:val="001C2B08"/>
    <w:rsid w:val="001C2B6E"/>
    <w:rsid w:val="001C2E65"/>
    <w:rsid w:val="001C30A8"/>
    <w:rsid w:val="001C31B7"/>
    <w:rsid w:val="001C39C0"/>
    <w:rsid w:val="001C39DB"/>
    <w:rsid w:val="001C3A47"/>
    <w:rsid w:val="001C3BF4"/>
    <w:rsid w:val="001C3DD6"/>
    <w:rsid w:val="001C3E02"/>
    <w:rsid w:val="001C3F38"/>
    <w:rsid w:val="001C3FE2"/>
    <w:rsid w:val="001C408E"/>
    <w:rsid w:val="001C40B3"/>
    <w:rsid w:val="001C4181"/>
    <w:rsid w:val="001C41C0"/>
    <w:rsid w:val="001C4299"/>
    <w:rsid w:val="001C43FD"/>
    <w:rsid w:val="001C45B4"/>
    <w:rsid w:val="001C46D2"/>
    <w:rsid w:val="001C4796"/>
    <w:rsid w:val="001C4867"/>
    <w:rsid w:val="001C4874"/>
    <w:rsid w:val="001C4CBD"/>
    <w:rsid w:val="001C5445"/>
    <w:rsid w:val="001C555F"/>
    <w:rsid w:val="001C578F"/>
    <w:rsid w:val="001C5F94"/>
    <w:rsid w:val="001C5FCC"/>
    <w:rsid w:val="001C61EF"/>
    <w:rsid w:val="001C6245"/>
    <w:rsid w:val="001C6359"/>
    <w:rsid w:val="001C6E66"/>
    <w:rsid w:val="001C6EC6"/>
    <w:rsid w:val="001C6ECB"/>
    <w:rsid w:val="001C7240"/>
    <w:rsid w:val="001C7377"/>
    <w:rsid w:val="001C7482"/>
    <w:rsid w:val="001C7957"/>
    <w:rsid w:val="001C7E5A"/>
    <w:rsid w:val="001C7E64"/>
    <w:rsid w:val="001D015F"/>
    <w:rsid w:val="001D016B"/>
    <w:rsid w:val="001D05D4"/>
    <w:rsid w:val="001D08A4"/>
    <w:rsid w:val="001D0B31"/>
    <w:rsid w:val="001D0C6D"/>
    <w:rsid w:val="001D1100"/>
    <w:rsid w:val="001D112B"/>
    <w:rsid w:val="001D11B2"/>
    <w:rsid w:val="001D1208"/>
    <w:rsid w:val="001D124C"/>
    <w:rsid w:val="001D1269"/>
    <w:rsid w:val="001D1391"/>
    <w:rsid w:val="001D147D"/>
    <w:rsid w:val="001D14C4"/>
    <w:rsid w:val="001D1708"/>
    <w:rsid w:val="001D1742"/>
    <w:rsid w:val="001D17FB"/>
    <w:rsid w:val="001D1A41"/>
    <w:rsid w:val="001D1C2D"/>
    <w:rsid w:val="001D202B"/>
    <w:rsid w:val="001D2154"/>
    <w:rsid w:val="001D2387"/>
    <w:rsid w:val="001D2489"/>
    <w:rsid w:val="001D252C"/>
    <w:rsid w:val="001D25D7"/>
    <w:rsid w:val="001D25D9"/>
    <w:rsid w:val="001D2690"/>
    <w:rsid w:val="001D27BB"/>
    <w:rsid w:val="001D28FC"/>
    <w:rsid w:val="001D2BF0"/>
    <w:rsid w:val="001D2CBF"/>
    <w:rsid w:val="001D2CFB"/>
    <w:rsid w:val="001D2DE4"/>
    <w:rsid w:val="001D3156"/>
    <w:rsid w:val="001D32BC"/>
    <w:rsid w:val="001D32E9"/>
    <w:rsid w:val="001D33B8"/>
    <w:rsid w:val="001D3596"/>
    <w:rsid w:val="001D36A9"/>
    <w:rsid w:val="001D36FF"/>
    <w:rsid w:val="001D37D2"/>
    <w:rsid w:val="001D3C87"/>
    <w:rsid w:val="001D3F69"/>
    <w:rsid w:val="001D401B"/>
    <w:rsid w:val="001D472D"/>
    <w:rsid w:val="001D47DC"/>
    <w:rsid w:val="001D4836"/>
    <w:rsid w:val="001D4984"/>
    <w:rsid w:val="001D4AD5"/>
    <w:rsid w:val="001D4E42"/>
    <w:rsid w:val="001D4F78"/>
    <w:rsid w:val="001D50B2"/>
    <w:rsid w:val="001D50D7"/>
    <w:rsid w:val="001D5281"/>
    <w:rsid w:val="001D52F1"/>
    <w:rsid w:val="001D54EE"/>
    <w:rsid w:val="001D56B9"/>
    <w:rsid w:val="001D5798"/>
    <w:rsid w:val="001D57B4"/>
    <w:rsid w:val="001D58BE"/>
    <w:rsid w:val="001D5C75"/>
    <w:rsid w:val="001D5F87"/>
    <w:rsid w:val="001D6035"/>
    <w:rsid w:val="001D6080"/>
    <w:rsid w:val="001D6877"/>
    <w:rsid w:val="001D6B20"/>
    <w:rsid w:val="001D6C6D"/>
    <w:rsid w:val="001D6D5F"/>
    <w:rsid w:val="001D6E09"/>
    <w:rsid w:val="001D6F76"/>
    <w:rsid w:val="001D718D"/>
    <w:rsid w:val="001D71F4"/>
    <w:rsid w:val="001D737A"/>
    <w:rsid w:val="001D73EE"/>
    <w:rsid w:val="001D7583"/>
    <w:rsid w:val="001D7645"/>
    <w:rsid w:val="001D78C5"/>
    <w:rsid w:val="001D78F1"/>
    <w:rsid w:val="001D7C7F"/>
    <w:rsid w:val="001D7EDA"/>
    <w:rsid w:val="001D7EE2"/>
    <w:rsid w:val="001D7F3D"/>
    <w:rsid w:val="001E02B0"/>
    <w:rsid w:val="001E02B8"/>
    <w:rsid w:val="001E02D1"/>
    <w:rsid w:val="001E031C"/>
    <w:rsid w:val="001E03C5"/>
    <w:rsid w:val="001E03F4"/>
    <w:rsid w:val="001E0410"/>
    <w:rsid w:val="001E04B8"/>
    <w:rsid w:val="001E04EA"/>
    <w:rsid w:val="001E0612"/>
    <w:rsid w:val="001E080A"/>
    <w:rsid w:val="001E0F84"/>
    <w:rsid w:val="001E101E"/>
    <w:rsid w:val="001E1060"/>
    <w:rsid w:val="001E11A8"/>
    <w:rsid w:val="001E1343"/>
    <w:rsid w:val="001E13B0"/>
    <w:rsid w:val="001E146F"/>
    <w:rsid w:val="001E14E1"/>
    <w:rsid w:val="001E14E3"/>
    <w:rsid w:val="001E152A"/>
    <w:rsid w:val="001E1821"/>
    <w:rsid w:val="001E1B7D"/>
    <w:rsid w:val="001E1BA2"/>
    <w:rsid w:val="001E1E86"/>
    <w:rsid w:val="001E1F27"/>
    <w:rsid w:val="001E1F40"/>
    <w:rsid w:val="001E2164"/>
    <w:rsid w:val="001E216A"/>
    <w:rsid w:val="001E22DF"/>
    <w:rsid w:val="001E2320"/>
    <w:rsid w:val="001E238E"/>
    <w:rsid w:val="001E2451"/>
    <w:rsid w:val="001E2483"/>
    <w:rsid w:val="001E281B"/>
    <w:rsid w:val="001E2859"/>
    <w:rsid w:val="001E2A3D"/>
    <w:rsid w:val="001E2AE6"/>
    <w:rsid w:val="001E2B1E"/>
    <w:rsid w:val="001E2C94"/>
    <w:rsid w:val="001E2CFF"/>
    <w:rsid w:val="001E2D63"/>
    <w:rsid w:val="001E2D8E"/>
    <w:rsid w:val="001E2E66"/>
    <w:rsid w:val="001E2EC7"/>
    <w:rsid w:val="001E2F00"/>
    <w:rsid w:val="001E2F24"/>
    <w:rsid w:val="001E2F5E"/>
    <w:rsid w:val="001E2FA8"/>
    <w:rsid w:val="001E2FC1"/>
    <w:rsid w:val="001E30D4"/>
    <w:rsid w:val="001E30E2"/>
    <w:rsid w:val="001E34DF"/>
    <w:rsid w:val="001E38EB"/>
    <w:rsid w:val="001E3BDF"/>
    <w:rsid w:val="001E3C87"/>
    <w:rsid w:val="001E3E88"/>
    <w:rsid w:val="001E4121"/>
    <w:rsid w:val="001E416E"/>
    <w:rsid w:val="001E42D2"/>
    <w:rsid w:val="001E4323"/>
    <w:rsid w:val="001E4340"/>
    <w:rsid w:val="001E4385"/>
    <w:rsid w:val="001E43C5"/>
    <w:rsid w:val="001E43EA"/>
    <w:rsid w:val="001E4483"/>
    <w:rsid w:val="001E48B3"/>
    <w:rsid w:val="001E4AD1"/>
    <w:rsid w:val="001E4B1E"/>
    <w:rsid w:val="001E4B7D"/>
    <w:rsid w:val="001E4CF2"/>
    <w:rsid w:val="001E4E22"/>
    <w:rsid w:val="001E5212"/>
    <w:rsid w:val="001E5229"/>
    <w:rsid w:val="001E52EB"/>
    <w:rsid w:val="001E536A"/>
    <w:rsid w:val="001E539A"/>
    <w:rsid w:val="001E53D9"/>
    <w:rsid w:val="001E558F"/>
    <w:rsid w:val="001E5A87"/>
    <w:rsid w:val="001E5AC7"/>
    <w:rsid w:val="001E5BB7"/>
    <w:rsid w:val="001E5C04"/>
    <w:rsid w:val="001E5CCF"/>
    <w:rsid w:val="001E5EF4"/>
    <w:rsid w:val="001E5F5F"/>
    <w:rsid w:val="001E6038"/>
    <w:rsid w:val="001E60CC"/>
    <w:rsid w:val="001E60DC"/>
    <w:rsid w:val="001E6164"/>
    <w:rsid w:val="001E61D2"/>
    <w:rsid w:val="001E6539"/>
    <w:rsid w:val="001E6573"/>
    <w:rsid w:val="001E6825"/>
    <w:rsid w:val="001E6A59"/>
    <w:rsid w:val="001E6FA4"/>
    <w:rsid w:val="001E7094"/>
    <w:rsid w:val="001E7367"/>
    <w:rsid w:val="001E740C"/>
    <w:rsid w:val="001E742E"/>
    <w:rsid w:val="001E74B1"/>
    <w:rsid w:val="001E74B6"/>
    <w:rsid w:val="001E78CB"/>
    <w:rsid w:val="001E797F"/>
    <w:rsid w:val="001E7E35"/>
    <w:rsid w:val="001E7E5B"/>
    <w:rsid w:val="001E7E93"/>
    <w:rsid w:val="001E7EC6"/>
    <w:rsid w:val="001E7FAB"/>
    <w:rsid w:val="001E7FC4"/>
    <w:rsid w:val="001F02B4"/>
    <w:rsid w:val="001F0351"/>
    <w:rsid w:val="001F0420"/>
    <w:rsid w:val="001F04BC"/>
    <w:rsid w:val="001F064D"/>
    <w:rsid w:val="001F06F7"/>
    <w:rsid w:val="001F087D"/>
    <w:rsid w:val="001F099D"/>
    <w:rsid w:val="001F0B5E"/>
    <w:rsid w:val="001F0CD8"/>
    <w:rsid w:val="001F0D7C"/>
    <w:rsid w:val="001F0E24"/>
    <w:rsid w:val="001F1235"/>
    <w:rsid w:val="001F1251"/>
    <w:rsid w:val="001F14D0"/>
    <w:rsid w:val="001F1512"/>
    <w:rsid w:val="001F181B"/>
    <w:rsid w:val="001F1A31"/>
    <w:rsid w:val="001F1AB6"/>
    <w:rsid w:val="001F1B23"/>
    <w:rsid w:val="001F1B8D"/>
    <w:rsid w:val="001F1C6A"/>
    <w:rsid w:val="001F1C6E"/>
    <w:rsid w:val="001F1C7E"/>
    <w:rsid w:val="001F1CB3"/>
    <w:rsid w:val="001F1D1C"/>
    <w:rsid w:val="001F219F"/>
    <w:rsid w:val="001F271F"/>
    <w:rsid w:val="001F2872"/>
    <w:rsid w:val="001F2954"/>
    <w:rsid w:val="001F295D"/>
    <w:rsid w:val="001F29EE"/>
    <w:rsid w:val="001F2A13"/>
    <w:rsid w:val="001F2A54"/>
    <w:rsid w:val="001F2C31"/>
    <w:rsid w:val="001F2FA6"/>
    <w:rsid w:val="001F308F"/>
    <w:rsid w:val="001F30A5"/>
    <w:rsid w:val="001F30BB"/>
    <w:rsid w:val="001F330F"/>
    <w:rsid w:val="001F347C"/>
    <w:rsid w:val="001F34CD"/>
    <w:rsid w:val="001F3531"/>
    <w:rsid w:val="001F35F3"/>
    <w:rsid w:val="001F36BB"/>
    <w:rsid w:val="001F38B5"/>
    <w:rsid w:val="001F39B7"/>
    <w:rsid w:val="001F3C9A"/>
    <w:rsid w:val="001F3DA0"/>
    <w:rsid w:val="001F4081"/>
    <w:rsid w:val="001F415A"/>
    <w:rsid w:val="001F4258"/>
    <w:rsid w:val="001F4293"/>
    <w:rsid w:val="001F4331"/>
    <w:rsid w:val="001F4518"/>
    <w:rsid w:val="001F4702"/>
    <w:rsid w:val="001F497F"/>
    <w:rsid w:val="001F4CB4"/>
    <w:rsid w:val="001F4D3F"/>
    <w:rsid w:val="001F4E83"/>
    <w:rsid w:val="001F4EA2"/>
    <w:rsid w:val="001F4FDD"/>
    <w:rsid w:val="001F5781"/>
    <w:rsid w:val="001F578D"/>
    <w:rsid w:val="001F5816"/>
    <w:rsid w:val="001F5961"/>
    <w:rsid w:val="001F5B16"/>
    <w:rsid w:val="001F5C88"/>
    <w:rsid w:val="001F5F55"/>
    <w:rsid w:val="001F60B1"/>
    <w:rsid w:val="001F61BF"/>
    <w:rsid w:val="001F6A37"/>
    <w:rsid w:val="001F6A4A"/>
    <w:rsid w:val="001F6CE8"/>
    <w:rsid w:val="001F6F4B"/>
    <w:rsid w:val="001F7075"/>
    <w:rsid w:val="001F717C"/>
    <w:rsid w:val="001F7361"/>
    <w:rsid w:val="001F7440"/>
    <w:rsid w:val="001F7620"/>
    <w:rsid w:val="001F7645"/>
    <w:rsid w:val="001F77F0"/>
    <w:rsid w:val="001F781C"/>
    <w:rsid w:val="001F7838"/>
    <w:rsid w:val="001F7902"/>
    <w:rsid w:val="001F7909"/>
    <w:rsid w:val="001F79A0"/>
    <w:rsid w:val="001F7E9F"/>
    <w:rsid w:val="001F7F25"/>
    <w:rsid w:val="0020016F"/>
    <w:rsid w:val="0020027E"/>
    <w:rsid w:val="002005EE"/>
    <w:rsid w:val="002007F8"/>
    <w:rsid w:val="00200BBE"/>
    <w:rsid w:val="00200E2C"/>
    <w:rsid w:val="00200E62"/>
    <w:rsid w:val="00200FF9"/>
    <w:rsid w:val="002011B0"/>
    <w:rsid w:val="0020143A"/>
    <w:rsid w:val="002017AD"/>
    <w:rsid w:val="0020182E"/>
    <w:rsid w:val="00201A57"/>
    <w:rsid w:val="00201AE8"/>
    <w:rsid w:val="00201AFB"/>
    <w:rsid w:val="00201BF6"/>
    <w:rsid w:val="00201D3A"/>
    <w:rsid w:val="00201D64"/>
    <w:rsid w:val="002020B4"/>
    <w:rsid w:val="002020DD"/>
    <w:rsid w:val="002022BF"/>
    <w:rsid w:val="00202616"/>
    <w:rsid w:val="00202885"/>
    <w:rsid w:val="00202BE2"/>
    <w:rsid w:val="00202C72"/>
    <w:rsid w:val="00202DB8"/>
    <w:rsid w:val="00202DD7"/>
    <w:rsid w:val="0020307E"/>
    <w:rsid w:val="00203181"/>
    <w:rsid w:val="0020319E"/>
    <w:rsid w:val="0020333F"/>
    <w:rsid w:val="00203417"/>
    <w:rsid w:val="002034BC"/>
    <w:rsid w:val="002034C4"/>
    <w:rsid w:val="0020365C"/>
    <w:rsid w:val="00203688"/>
    <w:rsid w:val="00203783"/>
    <w:rsid w:val="00203822"/>
    <w:rsid w:val="0020385F"/>
    <w:rsid w:val="002038D4"/>
    <w:rsid w:val="002039F1"/>
    <w:rsid w:val="00203BA7"/>
    <w:rsid w:val="00203BCB"/>
    <w:rsid w:val="00203F0B"/>
    <w:rsid w:val="00204018"/>
    <w:rsid w:val="0020402D"/>
    <w:rsid w:val="002040B0"/>
    <w:rsid w:val="002041E2"/>
    <w:rsid w:val="002045DB"/>
    <w:rsid w:val="002045E1"/>
    <w:rsid w:val="00204614"/>
    <w:rsid w:val="00204619"/>
    <w:rsid w:val="00204705"/>
    <w:rsid w:val="00204A04"/>
    <w:rsid w:val="00204B01"/>
    <w:rsid w:val="002051CF"/>
    <w:rsid w:val="002051EF"/>
    <w:rsid w:val="0020550F"/>
    <w:rsid w:val="0020559D"/>
    <w:rsid w:val="00205611"/>
    <w:rsid w:val="00205831"/>
    <w:rsid w:val="00205AE7"/>
    <w:rsid w:val="00205BA9"/>
    <w:rsid w:val="00205D55"/>
    <w:rsid w:val="00205EE6"/>
    <w:rsid w:val="00205FEA"/>
    <w:rsid w:val="002060E9"/>
    <w:rsid w:val="00206156"/>
    <w:rsid w:val="002062DE"/>
    <w:rsid w:val="002063D6"/>
    <w:rsid w:val="002064B9"/>
    <w:rsid w:val="002067A9"/>
    <w:rsid w:val="002068A0"/>
    <w:rsid w:val="00206B6D"/>
    <w:rsid w:val="00206C5A"/>
    <w:rsid w:val="00206D11"/>
    <w:rsid w:val="00206D26"/>
    <w:rsid w:val="00207021"/>
    <w:rsid w:val="00207140"/>
    <w:rsid w:val="0020732F"/>
    <w:rsid w:val="002074A2"/>
    <w:rsid w:val="00207705"/>
    <w:rsid w:val="0020775A"/>
    <w:rsid w:val="00207D00"/>
    <w:rsid w:val="002100E2"/>
    <w:rsid w:val="00210205"/>
    <w:rsid w:val="002105C1"/>
    <w:rsid w:val="00210911"/>
    <w:rsid w:val="00210ACB"/>
    <w:rsid w:val="00210AE5"/>
    <w:rsid w:val="00210CDC"/>
    <w:rsid w:val="00210D6A"/>
    <w:rsid w:val="00210E1B"/>
    <w:rsid w:val="00210E9E"/>
    <w:rsid w:val="00210EA5"/>
    <w:rsid w:val="00210F8D"/>
    <w:rsid w:val="0021120A"/>
    <w:rsid w:val="00211540"/>
    <w:rsid w:val="002116FD"/>
    <w:rsid w:val="00211A4C"/>
    <w:rsid w:val="00211BD2"/>
    <w:rsid w:val="00211BE4"/>
    <w:rsid w:val="00211D00"/>
    <w:rsid w:val="002122E9"/>
    <w:rsid w:val="002123BA"/>
    <w:rsid w:val="002124B6"/>
    <w:rsid w:val="00212679"/>
    <w:rsid w:val="002127E8"/>
    <w:rsid w:val="0021284E"/>
    <w:rsid w:val="002129B4"/>
    <w:rsid w:val="00212A89"/>
    <w:rsid w:val="00212E17"/>
    <w:rsid w:val="00212EDF"/>
    <w:rsid w:val="00212F02"/>
    <w:rsid w:val="002131B7"/>
    <w:rsid w:val="002131BB"/>
    <w:rsid w:val="0021360E"/>
    <w:rsid w:val="00213639"/>
    <w:rsid w:val="0021392A"/>
    <w:rsid w:val="00213A98"/>
    <w:rsid w:val="00213BDE"/>
    <w:rsid w:val="00213C31"/>
    <w:rsid w:val="00213C94"/>
    <w:rsid w:val="00213EF5"/>
    <w:rsid w:val="00214030"/>
    <w:rsid w:val="00214686"/>
    <w:rsid w:val="00214D96"/>
    <w:rsid w:val="00214EF9"/>
    <w:rsid w:val="00215192"/>
    <w:rsid w:val="002153C2"/>
    <w:rsid w:val="00215437"/>
    <w:rsid w:val="00215847"/>
    <w:rsid w:val="00215A15"/>
    <w:rsid w:val="00215B36"/>
    <w:rsid w:val="00215C71"/>
    <w:rsid w:val="00215D56"/>
    <w:rsid w:val="00215FAF"/>
    <w:rsid w:val="002163AA"/>
    <w:rsid w:val="0021654C"/>
    <w:rsid w:val="002165B3"/>
    <w:rsid w:val="002167FC"/>
    <w:rsid w:val="00216BF5"/>
    <w:rsid w:val="00216D24"/>
    <w:rsid w:val="00216FE0"/>
    <w:rsid w:val="00217014"/>
    <w:rsid w:val="00217158"/>
    <w:rsid w:val="002172B2"/>
    <w:rsid w:val="0021731B"/>
    <w:rsid w:val="00217461"/>
    <w:rsid w:val="002175B4"/>
    <w:rsid w:val="0021765C"/>
    <w:rsid w:val="0021777C"/>
    <w:rsid w:val="0021798D"/>
    <w:rsid w:val="00217C38"/>
    <w:rsid w:val="00217C8E"/>
    <w:rsid w:val="00217DE6"/>
    <w:rsid w:val="00217F08"/>
    <w:rsid w:val="002200AE"/>
    <w:rsid w:val="00220114"/>
    <w:rsid w:val="002203B3"/>
    <w:rsid w:val="002206FB"/>
    <w:rsid w:val="00220998"/>
    <w:rsid w:val="002209F6"/>
    <w:rsid w:val="00220BDF"/>
    <w:rsid w:val="00220C99"/>
    <w:rsid w:val="00220D0F"/>
    <w:rsid w:val="00220F0A"/>
    <w:rsid w:val="0022122C"/>
    <w:rsid w:val="0022148D"/>
    <w:rsid w:val="0022177E"/>
    <w:rsid w:val="0022182D"/>
    <w:rsid w:val="00221871"/>
    <w:rsid w:val="00221958"/>
    <w:rsid w:val="002219BA"/>
    <w:rsid w:val="00221AEA"/>
    <w:rsid w:val="00221AF1"/>
    <w:rsid w:val="00221B00"/>
    <w:rsid w:val="00221DA3"/>
    <w:rsid w:val="00221DF2"/>
    <w:rsid w:val="00221FDE"/>
    <w:rsid w:val="00222197"/>
    <w:rsid w:val="002222A2"/>
    <w:rsid w:val="002224BB"/>
    <w:rsid w:val="002224D8"/>
    <w:rsid w:val="00222509"/>
    <w:rsid w:val="00222761"/>
    <w:rsid w:val="00222849"/>
    <w:rsid w:val="00222CC2"/>
    <w:rsid w:val="00222E77"/>
    <w:rsid w:val="00222F4E"/>
    <w:rsid w:val="002239EC"/>
    <w:rsid w:val="00223B49"/>
    <w:rsid w:val="00223C5D"/>
    <w:rsid w:val="00223CE4"/>
    <w:rsid w:val="00223D38"/>
    <w:rsid w:val="00223D5A"/>
    <w:rsid w:val="00224252"/>
    <w:rsid w:val="002246AC"/>
    <w:rsid w:val="00224875"/>
    <w:rsid w:val="002248EA"/>
    <w:rsid w:val="002249B2"/>
    <w:rsid w:val="00224B93"/>
    <w:rsid w:val="00224D6F"/>
    <w:rsid w:val="00224DD4"/>
    <w:rsid w:val="00224F38"/>
    <w:rsid w:val="002250C4"/>
    <w:rsid w:val="00225303"/>
    <w:rsid w:val="002254C8"/>
    <w:rsid w:val="00225536"/>
    <w:rsid w:val="002255CB"/>
    <w:rsid w:val="00225918"/>
    <w:rsid w:val="00225B4B"/>
    <w:rsid w:val="00225C27"/>
    <w:rsid w:val="00225D27"/>
    <w:rsid w:val="00225EDF"/>
    <w:rsid w:val="002264F7"/>
    <w:rsid w:val="00226636"/>
    <w:rsid w:val="0022674F"/>
    <w:rsid w:val="00226893"/>
    <w:rsid w:val="00226A4C"/>
    <w:rsid w:val="00226A7B"/>
    <w:rsid w:val="00226AA7"/>
    <w:rsid w:val="00226B57"/>
    <w:rsid w:val="00226D01"/>
    <w:rsid w:val="00226D57"/>
    <w:rsid w:val="00226EC6"/>
    <w:rsid w:val="00226FF6"/>
    <w:rsid w:val="0022755C"/>
    <w:rsid w:val="0022783D"/>
    <w:rsid w:val="002278A0"/>
    <w:rsid w:val="00227CA4"/>
    <w:rsid w:val="00227E4C"/>
    <w:rsid w:val="0023011F"/>
    <w:rsid w:val="00230136"/>
    <w:rsid w:val="0023080F"/>
    <w:rsid w:val="00230958"/>
    <w:rsid w:val="002309CC"/>
    <w:rsid w:val="00230A81"/>
    <w:rsid w:val="00230AC4"/>
    <w:rsid w:val="00230D4B"/>
    <w:rsid w:val="00230DF6"/>
    <w:rsid w:val="00230F8A"/>
    <w:rsid w:val="00231045"/>
    <w:rsid w:val="0023113E"/>
    <w:rsid w:val="002311A4"/>
    <w:rsid w:val="002311D3"/>
    <w:rsid w:val="002312C4"/>
    <w:rsid w:val="00231543"/>
    <w:rsid w:val="00231654"/>
    <w:rsid w:val="00231704"/>
    <w:rsid w:val="0023185F"/>
    <w:rsid w:val="00231B84"/>
    <w:rsid w:val="00231BA9"/>
    <w:rsid w:val="00231C0C"/>
    <w:rsid w:val="00231E23"/>
    <w:rsid w:val="0023209F"/>
    <w:rsid w:val="00232381"/>
    <w:rsid w:val="0023245A"/>
    <w:rsid w:val="0023257E"/>
    <w:rsid w:val="0023289B"/>
    <w:rsid w:val="00232927"/>
    <w:rsid w:val="00232BB0"/>
    <w:rsid w:val="00232D1E"/>
    <w:rsid w:val="00232E03"/>
    <w:rsid w:val="00232EC4"/>
    <w:rsid w:val="00232F3D"/>
    <w:rsid w:val="00233096"/>
    <w:rsid w:val="002331C1"/>
    <w:rsid w:val="00233463"/>
    <w:rsid w:val="0023351C"/>
    <w:rsid w:val="002335EE"/>
    <w:rsid w:val="00233939"/>
    <w:rsid w:val="0023393D"/>
    <w:rsid w:val="00233BC7"/>
    <w:rsid w:val="00233BEF"/>
    <w:rsid w:val="00233C01"/>
    <w:rsid w:val="00233C0B"/>
    <w:rsid w:val="00233C24"/>
    <w:rsid w:val="00233C6C"/>
    <w:rsid w:val="00233C8D"/>
    <w:rsid w:val="00233E89"/>
    <w:rsid w:val="00233F0C"/>
    <w:rsid w:val="0023413C"/>
    <w:rsid w:val="00234217"/>
    <w:rsid w:val="00234224"/>
    <w:rsid w:val="0023465B"/>
    <w:rsid w:val="002346F0"/>
    <w:rsid w:val="00234859"/>
    <w:rsid w:val="00234985"/>
    <w:rsid w:val="00234BC4"/>
    <w:rsid w:val="00234C74"/>
    <w:rsid w:val="00234D19"/>
    <w:rsid w:val="00234E70"/>
    <w:rsid w:val="002350C0"/>
    <w:rsid w:val="002352E3"/>
    <w:rsid w:val="0023531A"/>
    <w:rsid w:val="00235793"/>
    <w:rsid w:val="002358AC"/>
    <w:rsid w:val="00236145"/>
    <w:rsid w:val="00236158"/>
    <w:rsid w:val="002361A3"/>
    <w:rsid w:val="0023629D"/>
    <w:rsid w:val="0023643D"/>
    <w:rsid w:val="002364FD"/>
    <w:rsid w:val="0023670F"/>
    <w:rsid w:val="00236953"/>
    <w:rsid w:val="0023697B"/>
    <w:rsid w:val="00236D31"/>
    <w:rsid w:val="00236DD7"/>
    <w:rsid w:val="00236EFC"/>
    <w:rsid w:val="00237255"/>
    <w:rsid w:val="002372A8"/>
    <w:rsid w:val="0023781A"/>
    <w:rsid w:val="00237B8C"/>
    <w:rsid w:val="00237E6E"/>
    <w:rsid w:val="00237EE2"/>
    <w:rsid w:val="0024007D"/>
    <w:rsid w:val="0024038F"/>
    <w:rsid w:val="002403B3"/>
    <w:rsid w:val="00240502"/>
    <w:rsid w:val="002405D7"/>
    <w:rsid w:val="00240879"/>
    <w:rsid w:val="00240BAC"/>
    <w:rsid w:val="00240C05"/>
    <w:rsid w:val="00240CF8"/>
    <w:rsid w:val="00240E0D"/>
    <w:rsid w:val="0024100F"/>
    <w:rsid w:val="002414BA"/>
    <w:rsid w:val="002416F3"/>
    <w:rsid w:val="0024184F"/>
    <w:rsid w:val="0024186A"/>
    <w:rsid w:val="0024190E"/>
    <w:rsid w:val="00241929"/>
    <w:rsid w:val="0024196B"/>
    <w:rsid w:val="00241D53"/>
    <w:rsid w:val="00241F88"/>
    <w:rsid w:val="002424AF"/>
    <w:rsid w:val="002424B5"/>
    <w:rsid w:val="0024268A"/>
    <w:rsid w:val="00242848"/>
    <w:rsid w:val="0024299F"/>
    <w:rsid w:val="00242D9D"/>
    <w:rsid w:val="0024307F"/>
    <w:rsid w:val="002430B1"/>
    <w:rsid w:val="00243211"/>
    <w:rsid w:val="00243277"/>
    <w:rsid w:val="002433BB"/>
    <w:rsid w:val="002433EF"/>
    <w:rsid w:val="002435AC"/>
    <w:rsid w:val="0024366A"/>
    <w:rsid w:val="002437F4"/>
    <w:rsid w:val="002439DC"/>
    <w:rsid w:val="00243DB4"/>
    <w:rsid w:val="00243E28"/>
    <w:rsid w:val="002440B6"/>
    <w:rsid w:val="002440FE"/>
    <w:rsid w:val="002441D2"/>
    <w:rsid w:val="002441FD"/>
    <w:rsid w:val="00244209"/>
    <w:rsid w:val="00244250"/>
    <w:rsid w:val="00244336"/>
    <w:rsid w:val="002445FD"/>
    <w:rsid w:val="0024484B"/>
    <w:rsid w:val="00244A69"/>
    <w:rsid w:val="00244C2B"/>
    <w:rsid w:val="00244D55"/>
    <w:rsid w:val="00244DC8"/>
    <w:rsid w:val="00244EC4"/>
    <w:rsid w:val="00245135"/>
    <w:rsid w:val="002451F2"/>
    <w:rsid w:val="002452C5"/>
    <w:rsid w:val="0024535D"/>
    <w:rsid w:val="002453D8"/>
    <w:rsid w:val="00245613"/>
    <w:rsid w:val="0024564A"/>
    <w:rsid w:val="0024573D"/>
    <w:rsid w:val="00245847"/>
    <w:rsid w:val="002458BA"/>
    <w:rsid w:val="00245986"/>
    <w:rsid w:val="002459BC"/>
    <w:rsid w:val="00245C1A"/>
    <w:rsid w:val="00245C3D"/>
    <w:rsid w:val="00245CE9"/>
    <w:rsid w:val="00245E70"/>
    <w:rsid w:val="00245ED0"/>
    <w:rsid w:val="0024600F"/>
    <w:rsid w:val="0024636C"/>
    <w:rsid w:val="002468BD"/>
    <w:rsid w:val="00246A58"/>
    <w:rsid w:val="00246E6F"/>
    <w:rsid w:val="00246E90"/>
    <w:rsid w:val="002470EF"/>
    <w:rsid w:val="00247227"/>
    <w:rsid w:val="0024748B"/>
    <w:rsid w:val="002476A9"/>
    <w:rsid w:val="002478C9"/>
    <w:rsid w:val="00247925"/>
    <w:rsid w:val="00247DE4"/>
    <w:rsid w:val="00247EC0"/>
    <w:rsid w:val="00247F1A"/>
    <w:rsid w:val="00247FAD"/>
    <w:rsid w:val="0025000E"/>
    <w:rsid w:val="002501DC"/>
    <w:rsid w:val="00250241"/>
    <w:rsid w:val="00250388"/>
    <w:rsid w:val="00250429"/>
    <w:rsid w:val="00250832"/>
    <w:rsid w:val="00250857"/>
    <w:rsid w:val="00250996"/>
    <w:rsid w:val="002509D1"/>
    <w:rsid w:val="00250C07"/>
    <w:rsid w:val="00250EE5"/>
    <w:rsid w:val="00251006"/>
    <w:rsid w:val="002514C4"/>
    <w:rsid w:val="00251776"/>
    <w:rsid w:val="002517F8"/>
    <w:rsid w:val="00251B80"/>
    <w:rsid w:val="00251CD4"/>
    <w:rsid w:val="00251D00"/>
    <w:rsid w:val="00252140"/>
    <w:rsid w:val="002521E4"/>
    <w:rsid w:val="0025240B"/>
    <w:rsid w:val="002524A2"/>
    <w:rsid w:val="002524C4"/>
    <w:rsid w:val="002524D5"/>
    <w:rsid w:val="0025252C"/>
    <w:rsid w:val="002527AC"/>
    <w:rsid w:val="00252831"/>
    <w:rsid w:val="002528AF"/>
    <w:rsid w:val="00252907"/>
    <w:rsid w:val="00252A4A"/>
    <w:rsid w:val="00252AD1"/>
    <w:rsid w:val="00252B97"/>
    <w:rsid w:val="00252ED5"/>
    <w:rsid w:val="00252FE4"/>
    <w:rsid w:val="00253082"/>
    <w:rsid w:val="002530F6"/>
    <w:rsid w:val="002531D5"/>
    <w:rsid w:val="00253261"/>
    <w:rsid w:val="0025352B"/>
    <w:rsid w:val="00253594"/>
    <w:rsid w:val="00253605"/>
    <w:rsid w:val="0025381A"/>
    <w:rsid w:val="00253961"/>
    <w:rsid w:val="0025399A"/>
    <w:rsid w:val="002539D1"/>
    <w:rsid w:val="002539DB"/>
    <w:rsid w:val="00253B1D"/>
    <w:rsid w:val="00253B35"/>
    <w:rsid w:val="00253C04"/>
    <w:rsid w:val="00253DF6"/>
    <w:rsid w:val="002540E1"/>
    <w:rsid w:val="00254193"/>
    <w:rsid w:val="002541B1"/>
    <w:rsid w:val="00254229"/>
    <w:rsid w:val="002543C6"/>
    <w:rsid w:val="0025456A"/>
    <w:rsid w:val="002545A7"/>
    <w:rsid w:val="00254625"/>
    <w:rsid w:val="00254626"/>
    <w:rsid w:val="0025464A"/>
    <w:rsid w:val="00254693"/>
    <w:rsid w:val="002546FB"/>
    <w:rsid w:val="002547DE"/>
    <w:rsid w:val="00254831"/>
    <w:rsid w:val="0025495F"/>
    <w:rsid w:val="002549AB"/>
    <w:rsid w:val="00254A46"/>
    <w:rsid w:val="00254ACC"/>
    <w:rsid w:val="00254C7F"/>
    <w:rsid w:val="00254D06"/>
    <w:rsid w:val="00254DCF"/>
    <w:rsid w:val="002550B2"/>
    <w:rsid w:val="0025534B"/>
    <w:rsid w:val="0025599B"/>
    <w:rsid w:val="00255BB7"/>
    <w:rsid w:val="00255D8E"/>
    <w:rsid w:val="00255E95"/>
    <w:rsid w:val="00255E9D"/>
    <w:rsid w:val="00255FB9"/>
    <w:rsid w:val="00256329"/>
    <w:rsid w:val="0025664C"/>
    <w:rsid w:val="00256724"/>
    <w:rsid w:val="00256858"/>
    <w:rsid w:val="002569E4"/>
    <w:rsid w:val="00256A07"/>
    <w:rsid w:val="00256BAF"/>
    <w:rsid w:val="0025740F"/>
    <w:rsid w:val="002574F1"/>
    <w:rsid w:val="00257541"/>
    <w:rsid w:val="002576B0"/>
    <w:rsid w:val="002577BB"/>
    <w:rsid w:val="00257977"/>
    <w:rsid w:val="00257A39"/>
    <w:rsid w:val="00257AC4"/>
    <w:rsid w:val="00257BBE"/>
    <w:rsid w:val="00257DDC"/>
    <w:rsid w:val="00260073"/>
    <w:rsid w:val="00260076"/>
    <w:rsid w:val="00260409"/>
    <w:rsid w:val="00260687"/>
    <w:rsid w:val="002606D5"/>
    <w:rsid w:val="00260A9C"/>
    <w:rsid w:val="00260E9E"/>
    <w:rsid w:val="00261057"/>
    <w:rsid w:val="00261088"/>
    <w:rsid w:val="00261115"/>
    <w:rsid w:val="0026115D"/>
    <w:rsid w:val="00261169"/>
    <w:rsid w:val="002611E5"/>
    <w:rsid w:val="002612D2"/>
    <w:rsid w:val="002613D3"/>
    <w:rsid w:val="0026174B"/>
    <w:rsid w:val="00261928"/>
    <w:rsid w:val="00261A35"/>
    <w:rsid w:val="00261D63"/>
    <w:rsid w:val="00261E97"/>
    <w:rsid w:val="00261EEF"/>
    <w:rsid w:val="00262228"/>
    <w:rsid w:val="002622C5"/>
    <w:rsid w:val="0026233F"/>
    <w:rsid w:val="002626A2"/>
    <w:rsid w:val="0026274B"/>
    <w:rsid w:val="002627C8"/>
    <w:rsid w:val="0026281C"/>
    <w:rsid w:val="002629B2"/>
    <w:rsid w:val="00262A1A"/>
    <w:rsid w:val="00262A62"/>
    <w:rsid w:val="00262A87"/>
    <w:rsid w:val="00262C0F"/>
    <w:rsid w:val="00263088"/>
    <w:rsid w:val="00263123"/>
    <w:rsid w:val="0026339D"/>
    <w:rsid w:val="002635B4"/>
    <w:rsid w:val="002638C5"/>
    <w:rsid w:val="0026394E"/>
    <w:rsid w:val="00263D29"/>
    <w:rsid w:val="0026413B"/>
    <w:rsid w:val="002642AC"/>
    <w:rsid w:val="00264366"/>
    <w:rsid w:val="00264559"/>
    <w:rsid w:val="002645A7"/>
    <w:rsid w:val="00264824"/>
    <w:rsid w:val="00264836"/>
    <w:rsid w:val="00264A5A"/>
    <w:rsid w:val="00264A94"/>
    <w:rsid w:val="00264B86"/>
    <w:rsid w:val="00264D26"/>
    <w:rsid w:val="00264E29"/>
    <w:rsid w:val="00264EAD"/>
    <w:rsid w:val="00264F93"/>
    <w:rsid w:val="0026509C"/>
    <w:rsid w:val="00265163"/>
    <w:rsid w:val="002653CC"/>
    <w:rsid w:val="00265744"/>
    <w:rsid w:val="00265766"/>
    <w:rsid w:val="002657E8"/>
    <w:rsid w:val="00265AF2"/>
    <w:rsid w:val="00265D08"/>
    <w:rsid w:val="00265D1D"/>
    <w:rsid w:val="00265EA5"/>
    <w:rsid w:val="00265FFF"/>
    <w:rsid w:val="00266022"/>
    <w:rsid w:val="00266078"/>
    <w:rsid w:val="0026609F"/>
    <w:rsid w:val="00266177"/>
    <w:rsid w:val="002662F9"/>
    <w:rsid w:val="002667BC"/>
    <w:rsid w:val="00266982"/>
    <w:rsid w:val="002669D2"/>
    <w:rsid w:val="00266B2C"/>
    <w:rsid w:val="00266FF1"/>
    <w:rsid w:val="00267116"/>
    <w:rsid w:val="00267374"/>
    <w:rsid w:val="00267467"/>
    <w:rsid w:val="0026755A"/>
    <w:rsid w:val="0026756A"/>
    <w:rsid w:val="00267642"/>
    <w:rsid w:val="00267AEA"/>
    <w:rsid w:val="00267F45"/>
    <w:rsid w:val="002700E6"/>
    <w:rsid w:val="0027011A"/>
    <w:rsid w:val="002704A4"/>
    <w:rsid w:val="00270798"/>
    <w:rsid w:val="00270AA1"/>
    <w:rsid w:val="00270B17"/>
    <w:rsid w:val="00270D2E"/>
    <w:rsid w:val="00270F79"/>
    <w:rsid w:val="00271487"/>
    <w:rsid w:val="002716D7"/>
    <w:rsid w:val="0027183D"/>
    <w:rsid w:val="00271851"/>
    <w:rsid w:val="0027185D"/>
    <w:rsid w:val="002719B8"/>
    <w:rsid w:val="00271C4E"/>
    <w:rsid w:val="00272007"/>
    <w:rsid w:val="00272029"/>
    <w:rsid w:val="002720B9"/>
    <w:rsid w:val="002722A4"/>
    <w:rsid w:val="00272320"/>
    <w:rsid w:val="0027294B"/>
    <w:rsid w:val="00272D43"/>
    <w:rsid w:val="00272E7E"/>
    <w:rsid w:val="0027318E"/>
    <w:rsid w:val="002732D9"/>
    <w:rsid w:val="002732F9"/>
    <w:rsid w:val="00273358"/>
    <w:rsid w:val="0027337F"/>
    <w:rsid w:val="0027345A"/>
    <w:rsid w:val="00273502"/>
    <w:rsid w:val="00273596"/>
    <w:rsid w:val="00273869"/>
    <w:rsid w:val="00273927"/>
    <w:rsid w:val="0027393B"/>
    <w:rsid w:val="00273BD9"/>
    <w:rsid w:val="00273EB4"/>
    <w:rsid w:val="00273F5F"/>
    <w:rsid w:val="00273F7B"/>
    <w:rsid w:val="00274186"/>
    <w:rsid w:val="0027424B"/>
    <w:rsid w:val="00274258"/>
    <w:rsid w:val="0027449A"/>
    <w:rsid w:val="0027453D"/>
    <w:rsid w:val="00274682"/>
    <w:rsid w:val="002749E5"/>
    <w:rsid w:val="00274A49"/>
    <w:rsid w:val="00274C79"/>
    <w:rsid w:val="00274C9C"/>
    <w:rsid w:val="00274EBB"/>
    <w:rsid w:val="002750CA"/>
    <w:rsid w:val="00275158"/>
    <w:rsid w:val="002752C5"/>
    <w:rsid w:val="0027542A"/>
    <w:rsid w:val="00275475"/>
    <w:rsid w:val="00275533"/>
    <w:rsid w:val="0027557C"/>
    <w:rsid w:val="00275762"/>
    <w:rsid w:val="0027591F"/>
    <w:rsid w:val="00275950"/>
    <w:rsid w:val="00275C5A"/>
    <w:rsid w:val="00275E5C"/>
    <w:rsid w:val="00275E68"/>
    <w:rsid w:val="002760C0"/>
    <w:rsid w:val="002761AF"/>
    <w:rsid w:val="002765A1"/>
    <w:rsid w:val="002767A6"/>
    <w:rsid w:val="0027681D"/>
    <w:rsid w:val="0027684E"/>
    <w:rsid w:val="0027695F"/>
    <w:rsid w:val="00276A4C"/>
    <w:rsid w:val="00276DEB"/>
    <w:rsid w:val="00276E1B"/>
    <w:rsid w:val="00276E8F"/>
    <w:rsid w:val="002770B9"/>
    <w:rsid w:val="0027711E"/>
    <w:rsid w:val="002771C0"/>
    <w:rsid w:val="0027775C"/>
    <w:rsid w:val="00277825"/>
    <w:rsid w:val="00277A62"/>
    <w:rsid w:val="00277A69"/>
    <w:rsid w:val="00277B50"/>
    <w:rsid w:val="00277CAD"/>
    <w:rsid w:val="00277D31"/>
    <w:rsid w:val="00277FE2"/>
    <w:rsid w:val="00280185"/>
    <w:rsid w:val="002802CD"/>
    <w:rsid w:val="00280514"/>
    <w:rsid w:val="002807E1"/>
    <w:rsid w:val="00280A32"/>
    <w:rsid w:val="00280ADE"/>
    <w:rsid w:val="00280D1A"/>
    <w:rsid w:val="00280FA1"/>
    <w:rsid w:val="00281014"/>
    <w:rsid w:val="002814AB"/>
    <w:rsid w:val="002814D0"/>
    <w:rsid w:val="002814EB"/>
    <w:rsid w:val="0028184D"/>
    <w:rsid w:val="00281996"/>
    <w:rsid w:val="00281A65"/>
    <w:rsid w:val="00281B6C"/>
    <w:rsid w:val="00281B83"/>
    <w:rsid w:val="00281E4C"/>
    <w:rsid w:val="00281EF7"/>
    <w:rsid w:val="00282115"/>
    <w:rsid w:val="00282265"/>
    <w:rsid w:val="00282408"/>
    <w:rsid w:val="002824DD"/>
    <w:rsid w:val="00282A41"/>
    <w:rsid w:val="00282BEE"/>
    <w:rsid w:val="00282C65"/>
    <w:rsid w:val="00282D5E"/>
    <w:rsid w:val="00282EA7"/>
    <w:rsid w:val="00282F38"/>
    <w:rsid w:val="00282F82"/>
    <w:rsid w:val="002831B6"/>
    <w:rsid w:val="0028321C"/>
    <w:rsid w:val="002832AA"/>
    <w:rsid w:val="0028362D"/>
    <w:rsid w:val="0028372D"/>
    <w:rsid w:val="00283879"/>
    <w:rsid w:val="00283A08"/>
    <w:rsid w:val="00283A85"/>
    <w:rsid w:val="00283D0E"/>
    <w:rsid w:val="0028408C"/>
    <w:rsid w:val="00284165"/>
    <w:rsid w:val="0028423B"/>
    <w:rsid w:val="002844B0"/>
    <w:rsid w:val="002848D6"/>
    <w:rsid w:val="00284ED8"/>
    <w:rsid w:val="00284F10"/>
    <w:rsid w:val="00285001"/>
    <w:rsid w:val="0028503A"/>
    <w:rsid w:val="0028503E"/>
    <w:rsid w:val="00285112"/>
    <w:rsid w:val="0028560C"/>
    <w:rsid w:val="002858E5"/>
    <w:rsid w:val="002859AC"/>
    <w:rsid w:val="00285A22"/>
    <w:rsid w:val="00285B25"/>
    <w:rsid w:val="00285BA7"/>
    <w:rsid w:val="00285BCE"/>
    <w:rsid w:val="00285CCE"/>
    <w:rsid w:val="00285CFB"/>
    <w:rsid w:val="00285D33"/>
    <w:rsid w:val="002860BD"/>
    <w:rsid w:val="00286529"/>
    <w:rsid w:val="00286593"/>
    <w:rsid w:val="002865ED"/>
    <w:rsid w:val="0028665D"/>
    <w:rsid w:val="002868C8"/>
    <w:rsid w:val="00287047"/>
    <w:rsid w:val="00287129"/>
    <w:rsid w:val="00287217"/>
    <w:rsid w:val="00287283"/>
    <w:rsid w:val="002872D3"/>
    <w:rsid w:val="00287359"/>
    <w:rsid w:val="002873C3"/>
    <w:rsid w:val="002873DD"/>
    <w:rsid w:val="002874D6"/>
    <w:rsid w:val="002874F3"/>
    <w:rsid w:val="002876FA"/>
    <w:rsid w:val="002878B2"/>
    <w:rsid w:val="00287E96"/>
    <w:rsid w:val="0029054A"/>
    <w:rsid w:val="00290571"/>
    <w:rsid w:val="0029069F"/>
    <w:rsid w:val="00290752"/>
    <w:rsid w:val="00290A06"/>
    <w:rsid w:val="00290ED3"/>
    <w:rsid w:val="002910B3"/>
    <w:rsid w:val="002910CB"/>
    <w:rsid w:val="002911EC"/>
    <w:rsid w:val="00291201"/>
    <w:rsid w:val="0029125E"/>
    <w:rsid w:val="002913C1"/>
    <w:rsid w:val="002919A0"/>
    <w:rsid w:val="00291A27"/>
    <w:rsid w:val="00291A44"/>
    <w:rsid w:val="00291AF8"/>
    <w:rsid w:val="00291C44"/>
    <w:rsid w:val="00291E23"/>
    <w:rsid w:val="00291E91"/>
    <w:rsid w:val="00292033"/>
    <w:rsid w:val="00292040"/>
    <w:rsid w:val="00292078"/>
    <w:rsid w:val="00292279"/>
    <w:rsid w:val="002923BE"/>
    <w:rsid w:val="0029261A"/>
    <w:rsid w:val="0029264F"/>
    <w:rsid w:val="002926CB"/>
    <w:rsid w:val="00292AFA"/>
    <w:rsid w:val="00292B31"/>
    <w:rsid w:val="00292BE5"/>
    <w:rsid w:val="00292D86"/>
    <w:rsid w:val="00292E85"/>
    <w:rsid w:val="00292EFE"/>
    <w:rsid w:val="00293241"/>
    <w:rsid w:val="0029326C"/>
    <w:rsid w:val="00293598"/>
    <w:rsid w:val="0029360E"/>
    <w:rsid w:val="00293696"/>
    <w:rsid w:val="00293767"/>
    <w:rsid w:val="002938D7"/>
    <w:rsid w:val="00293CD9"/>
    <w:rsid w:val="00293DDA"/>
    <w:rsid w:val="00293F1A"/>
    <w:rsid w:val="00294059"/>
    <w:rsid w:val="00294128"/>
    <w:rsid w:val="002943A2"/>
    <w:rsid w:val="002943D3"/>
    <w:rsid w:val="00294592"/>
    <w:rsid w:val="0029468E"/>
    <w:rsid w:val="00294814"/>
    <w:rsid w:val="00294B0D"/>
    <w:rsid w:val="00294BAC"/>
    <w:rsid w:val="00294CA3"/>
    <w:rsid w:val="00294E6D"/>
    <w:rsid w:val="00295174"/>
    <w:rsid w:val="00295556"/>
    <w:rsid w:val="002955A0"/>
    <w:rsid w:val="00295607"/>
    <w:rsid w:val="00295807"/>
    <w:rsid w:val="00295875"/>
    <w:rsid w:val="002959E9"/>
    <w:rsid w:val="00295E14"/>
    <w:rsid w:val="00295F83"/>
    <w:rsid w:val="00296088"/>
    <w:rsid w:val="00296096"/>
    <w:rsid w:val="002962F0"/>
    <w:rsid w:val="00296315"/>
    <w:rsid w:val="00296470"/>
    <w:rsid w:val="0029658E"/>
    <w:rsid w:val="00296645"/>
    <w:rsid w:val="00296653"/>
    <w:rsid w:val="002968AB"/>
    <w:rsid w:val="0029696C"/>
    <w:rsid w:val="002969C6"/>
    <w:rsid w:val="00296C1B"/>
    <w:rsid w:val="0029721B"/>
    <w:rsid w:val="002972D4"/>
    <w:rsid w:val="002972FB"/>
    <w:rsid w:val="002973B4"/>
    <w:rsid w:val="00297419"/>
    <w:rsid w:val="00297622"/>
    <w:rsid w:val="0029762C"/>
    <w:rsid w:val="00297A36"/>
    <w:rsid w:val="00297B1E"/>
    <w:rsid w:val="00297F1C"/>
    <w:rsid w:val="00297F89"/>
    <w:rsid w:val="002A0213"/>
    <w:rsid w:val="002A02F8"/>
    <w:rsid w:val="002A04B0"/>
    <w:rsid w:val="002A0669"/>
    <w:rsid w:val="002A0721"/>
    <w:rsid w:val="002A0840"/>
    <w:rsid w:val="002A089B"/>
    <w:rsid w:val="002A0AA5"/>
    <w:rsid w:val="002A0BD5"/>
    <w:rsid w:val="002A0CE6"/>
    <w:rsid w:val="002A0D4F"/>
    <w:rsid w:val="002A0F15"/>
    <w:rsid w:val="002A0FF9"/>
    <w:rsid w:val="002A142D"/>
    <w:rsid w:val="002A14AB"/>
    <w:rsid w:val="002A1566"/>
    <w:rsid w:val="002A1713"/>
    <w:rsid w:val="002A1731"/>
    <w:rsid w:val="002A17DB"/>
    <w:rsid w:val="002A1D04"/>
    <w:rsid w:val="002A1D38"/>
    <w:rsid w:val="002A1E7F"/>
    <w:rsid w:val="002A1FBC"/>
    <w:rsid w:val="002A2074"/>
    <w:rsid w:val="002A2416"/>
    <w:rsid w:val="002A245A"/>
    <w:rsid w:val="002A24FB"/>
    <w:rsid w:val="002A2503"/>
    <w:rsid w:val="002A25BC"/>
    <w:rsid w:val="002A25CB"/>
    <w:rsid w:val="002A26E7"/>
    <w:rsid w:val="002A281B"/>
    <w:rsid w:val="002A2827"/>
    <w:rsid w:val="002A2AB3"/>
    <w:rsid w:val="002A2ADE"/>
    <w:rsid w:val="002A2F50"/>
    <w:rsid w:val="002A3115"/>
    <w:rsid w:val="002A341F"/>
    <w:rsid w:val="002A350A"/>
    <w:rsid w:val="002A3516"/>
    <w:rsid w:val="002A3623"/>
    <w:rsid w:val="002A397C"/>
    <w:rsid w:val="002A3A82"/>
    <w:rsid w:val="002A3C4F"/>
    <w:rsid w:val="002A3CD0"/>
    <w:rsid w:val="002A3E99"/>
    <w:rsid w:val="002A4180"/>
    <w:rsid w:val="002A443A"/>
    <w:rsid w:val="002A4816"/>
    <w:rsid w:val="002A4865"/>
    <w:rsid w:val="002A4AA5"/>
    <w:rsid w:val="002A4C31"/>
    <w:rsid w:val="002A4DCD"/>
    <w:rsid w:val="002A516C"/>
    <w:rsid w:val="002A51F2"/>
    <w:rsid w:val="002A542A"/>
    <w:rsid w:val="002A5610"/>
    <w:rsid w:val="002A5623"/>
    <w:rsid w:val="002A5C90"/>
    <w:rsid w:val="002A5C9E"/>
    <w:rsid w:val="002A6097"/>
    <w:rsid w:val="002A60FA"/>
    <w:rsid w:val="002A6118"/>
    <w:rsid w:val="002A638D"/>
    <w:rsid w:val="002A6410"/>
    <w:rsid w:val="002A6931"/>
    <w:rsid w:val="002A6BCF"/>
    <w:rsid w:val="002A6CA9"/>
    <w:rsid w:val="002A6DD4"/>
    <w:rsid w:val="002A6EF8"/>
    <w:rsid w:val="002A6F14"/>
    <w:rsid w:val="002A710A"/>
    <w:rsid w:val="002A7173"/>
    <w:rsid w:val="002A743C"/>
    <w:rsid w:val="002A7542"/>
    <w:rsid w:val="002A763A"/>
    <w:rsid w:val="002A765A"/>
    <w:rsid w:val="002A77C3"/>
    <w:rsid w:val="002A7861"/>
    <w:rsid w:val="002A7943"/>
    <w:rsid w:val="002A7A17"/>
    <w:rsid w:val="002A7A91"/>
    <w:rsid w:val="002A7D32"/>
    <w:rsid w:val="002B02CB"/>
    <w:rsid w:val="002B0401"/>
    <w:rsid w:val="002B05A1"/>
    <w:rsid w:val="002B079C"/>
    <w:rsid w:val="002B09A4"/>
    <w:rsid w:val="002B0DF1"/>
    <w:rsid w:val="002B0F61"/>
    <w:rsid w:val="002B0FEB"/>
    <w:rsid w:val="002B100E"/>
    <w:rsid w:val="002B127B"/>
    <w:rsid w:val="002B1646"/>
    <w:rsid w:val="002B17FC"/>
    <w:rsid w:val="002B187C"/>
    <w:rsid w:val="002B1AAE"/>
    <w:rsid w:val="002B1C18"/>
    <w:rsid w:val="002B1C1F"/>
    <w:rsid w:val="002B1DCB"/>
    <w:rsid w:val="002B1FCE"/>
    <w:rsid w:val="002B224F"/>
    <w:rsid w:val="002B2365"/>
    <w:rsid w:val="002B23F3"/>
    <w:rsid w:val="002B24E2"/>
    <w:rsid w:val="002B26D4"/>
    <w:rsid w:val="002B294B"/>
    <w:rsid w:val="002B29DC"/>
    <w:rsid w:val="002B29E6"/>
    <w:rsid w:val="002B2B1D"/>
    <w:rsid w:val="002B2EAB"/>
    <w:rsid w:val="002B3309"/>
    <w:rsid w:val="002B337E"/>
    <w:rsid w:val="002B34D1"/>
    <w:rsid w:val="002B3609"/>
    <w:rsid w:val="002B369A"/>
    <w:rsid w:val="002B36ED"/>
    <w:rsid w:val="002B3847"/>
    <w:rsid w:val="002B3BC4"/>
    <w:rsid w:val="002B3BF2"/>
    <w:rsid w:val="002B3F97"/>
    <w:rsid w:val="002B432F"/>
    <w:rsid w:val="002B47F5"/>
    <w:rsid w:val="002B4C00"/>
    <w:rsid w:val="002B4EFF"/>
    <w:rsid w:val="002B4F42"/>
    <w:rsid w:val="002B514D"/>
    <w:rsid w:val="002B5157"/>
    <w:rsid w:val="002B5174"/>
    <w:rsid w:val="002B5341"/>
    <w:rsid w:val="002B5346"/>
    <w:rsid w:val="002B54BC"/>
    <w:rsid w:val="002B5993"/>
    <w:rsid w:val="002B5A14"/>
    <w:rsid w:val="002B5DFE"/>
    <w:rsid w:val="002B5E3E"/>
    <w:rsid w:val="002B619A"/>
    <w:rsid w:val="002B62B3"/>
    <w:rsid w:val="002B62FD"/>
    <w:rsid w:val="002B63FA"/>
    <w:rsid w:val="002B6754"/>
    <w:rsid w:val="002B6BE1"/>
    <w:rsid w:val="002B6CCE"/>
    <w:rsid w:val="002B6D1F"/>
    <w:rsid w:val="002B6E4F"/>
    <w:rsid w:val="002B6EFB"/>
    <w:rsid w:val="002B72C1"/>
    <w:rsid w:val="002B7938"/>
    <w:rsid w:val="002B7B58"/>
    <w:rsid w:val="002B7CC4"/>
    <w:rsid w:val="002B7D08"/>
    <w:rsid w:val="002B7D93"/>
    <w:rsid w:val="002B7F69"/>
    <w:rsid w:val="002B7FA2"/>
    <w:rsid w:val="002C0086"/>
    <w:rsid w:val="002C00D2"/>
    <w:rsid w:val="002C022E"/>
    <w:rsid w:val="002C0443"/>
    <w:rsid w:val="002C076F"/>
    <w:rsid w:val="002C0784"/>
    <w:rsid w:val="002C0869"/>
    <w:rsid w:val="002C0A53"/>
    <w:rsid w:val="002C0C56"/>
    <w:rsid w:val="002C1093"/>
    <w:rsid w:val="002C1132"/>
    <w:rsid w:val="002C134F"/>
    <w:rsid w:val="002C13E8"/>
    <w:rsid w:val="002C157A"/>
    <w:rsid w:val="002C160A"/>
    <w:rsid w:val="002C179A"/>
    <w:rsid w:val="002C17DC"/>
    <w:rsid w:val="002C18FC"/>
    <w:rsid w:val="002C197E"/>
    <w:rsid w:val="002C1ADA"/>
    <w:rsid w:val="002C1E4C"/>
    <w:rsid w:val="002C1E7B"/>
    <w:rsid w:val="002C2045"/>
    <w:rsid w:val="002C212C"/>
    <w:rsid w:val="002C2510"/>
    <w:rsid w:val="002C2775"/>
    <w:rsid w:val="002C27C1"/>
    <w:rsid w:val="002C29C5"/>
    <w:rsid w:val="002C2A0B"/>
    <w:rsid w:val="002C2B8F"/>
    <w:rsid w:val="002C2D21"/>
    <w:rsid w:val="002C3013"/>
    <w:rsid w:val="002C314A"/>
    <w:rsid w:val="002C3351"/>
    <w:rsid w:val="002C353C"/>
    <w:rsid w:val="002C36B8"/>
    <w:rsid w:val="002C36E3"/>
    <w:rsid w:val="002C39AD"/>
    <w:rsid w:val="002C3ED9"/>
    <w:rsid w:val="002C43A3"/>
    <w:rsid w:val="002C4598"/>
    <w:rsid w:val="002C4846"/>
    <w:rsid w:val="002C4954"/>
    <w:rsid w:val="002C4CEF"/>
    <w:rsid w:val="002C4F09"/>
    <w:rsid w:val="002C5099"/>
    <w:rsid w:val="002C5266"/>
    <w:rsid w:val="002C544B"/>
    <w:rsid w:val="002C54FB"/>
    <w:rsid w:val="002C5889"/>
    <w:rsid w:val="002C5AF9"/>
    <w:rsid w:val="002C5B5E"/>
    <w:rsid w:val="002C5B8E"/>
    <w:rsid w:val="002C5CE5"/>
    <w:rsid w:val="002C5E0D"/>
    <w:rsid w:val="002C5EFA"/>
    <w:rsid w:val="002C5F01"/>
    <w:rsid w:val="002C6182"/>
    <w:rsid w:val="002C6234"/>
    <w:rsid w:val="002C6296"/>
    <w:rsid w:val="002C6301"/>
    <w:rsid w:val="002C669F"/>
    <w:rsid w:val="002C6704"/>
    <w:rsid w:val="002C6719"/>
    <w:rsid w:val="002C68D7"/>
    <w:rsid w:val="002C6C3D"/>
    <w:rsid w:val="002C6FD8"/>
    <w:rsid w:val="002C70F8"/>
    <w:rsid w:val="002C71CE"/>
    <w:rsid w:val="002C71FA"/>
    <w:rsid w:val="002C7522"/>
    <w:rsid w:val="002C75FC"/>
    <w:rsid w:val="002C790F"/>
    <w:rsid w:val="002C7C90"/>
    <w:rsid w:val="002C7D61"/>
    <w:rsid w:val="002D0236"/>
    <w:rsid w:val="002D03E4"/>
    <w:rsid w:val="002D0491"/>
    <w:rsid w:val="002D08F2"/>
    <w:rsid w:val="002D08F8"/>
    <w:rsid w:val="002D0B0A"/>
    <w:rsid w:val="002D0C4F"/>
    <w:rsid w:val="002D13BD"/>
    <w:rsid w:val="002D15A3"/>
    <w:rsid w:val="002D1719"/>
    <w:rsid w:val="002D1A4A"/>
    <w:rsid w:val="002D1AD5"/>
    <w:rsid w:val="002D1E81"/>
    <w:rsid w:val="002D1EBA"/>
    <w:rsid w:val="002D1FAA"/>
    <w:rsid w:val="002D203F"/>
    <w:rsid w:val="002D205E"/>
    <w:rsid w:val="002D2436"/>
    <w:rsid w:val="002D2827"/>
    <w:rsid w:val="002D2BD5"/>
    <w:rsid w:val="002D2E3F"/>
    <w:rsid w:val="002D30FD"/>
    <w:rsid w:val="002D310A"/>
    <w:rsid w:val="002D32FC"/>
    <w:rsid w:val="002D335A"/>
    <w:rsid w:val="002D33DB"/>
    <w:rsid w:val="002D3631"/>
    <w:rsid w:val="002D36A6"/>
    <w:rsid w:val="002D398E"/>
    <w:rsid w:val="002D3C31"/>
    <w:rsid w:val="002D3C8A"/>
    <w:rsid w:val="002D3CAD"/>
    <w:rsid w:val="002D3CBC"/>
    <w:rsid w:val="002D3CCF"/>
    <w:rsid w:val="002D3CE4"/>
    <w:rsid w:val="002D3D08"/>
    <w:rsid w:val="002D3E89"/>
    <w:rsid w:val="002D405B"/>
    <w:rsid w:val="002D42DB"/>
    <w:rsid w:val="002D4596"/>
    <w:rsid w:val="002D46EF"/>
    <w:rsid w:val="002D4768"/>
    <w:rsid w:val="002D4863"/>
    <w:rsid w:val="002D48BB"/>
    <w:rsid w:val="002D4B1C"/>
    <w:rsid w:val="002D4B84"/>
    <w:rsid w:val="002D4D14"/>
    <w:rsid w:val="002D4DE3"/>
    <w:rsid w:val="002D4E68"/>
    <w:rsid w:val="002D4F29"/>
    <w:rsid w:val="002D5219"/>
    <w:rsid w:val="002D52CD"/>
    <w:rsid w:val="002D5321"/>
    <w:rsid w:val="002D540B"/>
    <w:rsid w:val="002D577C"/>
    <w:rsid w:val="002D58B3"/>
    <w:rsid w:val="002D58E5"/>
    <w:rsid w:val="002D5C6B"/>
    <w:rsid w:val="002D5ECF"/>
    <w:rsid w:val="002D5EF6"/>
    <w:rsid w:val="002D5FEA"/>
    <w:rsid w:val="002D6142"/>
    <w:rsid w:val="002D6320"/>
    <w:rsid w:val="002D63E0"/>
    <w:rsid w:val="002D652B"/>
    <w:rsid w:val="002D6843"/>
    <w:rsid w:val="002D68DF"/>
    <w:rsid w:val="002D6B0B"/>
    <w:rsid w:val="002D6CB4"/>
    <w:rsid w:val="002D6DA4"/>
    <w:rsid w:val="002D7518"/>
    <w:rsid w:val="002D753D"/>
    <w:rsid w:val="002D76BF"/>
    <w:rsid w:val="002D772E"/>
    <w:rsid w:val="002D7832"/>
    <w:rsid w:val="002D7921"/>
    <w:rsid w:val="002D7B2D"/>
    <w:rsid w:val="002D7F27"/>
    <w:rsid w:val="002E0345"/>
    <w:rsid w:val="002E0433"/>
    <w:rsid w:val="002E052F"/>
    <w:rsid w:val="002E059C"/>
    <w:rsid w:val="002E05B5"/>
    <w:rsid w:val="002E05E0"/>
    <w:rsid w:val="002E0907"/>
    <w:rsid w:val="002E0AA3"/>
    <w:rsid w:val="002E0CF3"/>
    <w:rsid w:val="002E0E08"/>
    <w:rsid w:val="002E1030"/>
    <w:rsid w:val="002E1071"/>
    <w:rsid w:val="002E13BF"/>
    <w:rsid w:val="002E1527"/>
    <w:rsid w:val="002E15B9"/>
    <w:rsid w:val="002E16AD"/>
    <w:rsid w:val="002E1CE1"/>
    <w:rsid w:val="002E1DD4"/>
    <w:rsid w:val="002E1E31"/>
    <w:rsid w:val="002E1E65"/>
    <w:rsid w:val="002E1EF0"/>
    <w:rsid w:val="002E1F11"/>
    <w:rsid w:val="002E1F8E"/>
    <w:rsid w:val="002E2158"/>
    <w:rsid w:val="002E23BE"/>
    <w:rsid w:val="002E2678"/>
    <w:rsid w:val="002E2A78"/>
    <w:rsid w:val="002E2C48"/>
    <w:rsid w:val="002E2CCA"/>
    <w:rsid w:val="002E3594"/>
    <w:rsid w:val="002E3903"/>
    <w:rsid w:val="002E3D5E"/>
    <w:rsid w:val="002E4001"/>
    <w:rsid w:val="002E4065"/>
    <w:rsid w:val="002E452C"/>
    <w:rsid w:val="002E46CF"/>
    <w:rsid w:val="002E46EC"/>
    <w:rsid w:val="002E47B0"/>
    <w:rsid w:val="002E489C"/>
    <w:rsid w:val="002E4AE4"/>
    <w:rsid w:val="002E4CAB"/>
    <w:rsid w:val="002E4F02"/>
    <w:rsid w:val="002E5217"/>
    <w:rsid w:val="002E5289"/>
    <w:rsid w:val="002E55AE"/>
    <w:rsid w:val="002E5AE0"/>
    <w:rsid w:val="002E5B9D"/>
    <w:rsid w:val="002E5C4E"/>
    <w:rsid w:val="002E5DAC"/>
    <w:rsid w:val="002E5ED0"/>
    <w:rsid w:val="002E5EE7"/>
    <w:rsid w:val="002E6068"/>
    <w:rsid w:val="002E6C34"/>
    <w:rsid w:val="002E6ED0"/>
    <w:rsid w:val="002E71B0"/>
    <w:rsid w:val="002E7204"/>
    <w:rsid w:val="002E726E"/>
    <w:rsid w:val="002E72A3"/>
    <w:rsid w:val="002E7399"/>
    <w:rsid w:val="002E764A"/>
    <w:rsid w:val="002E7722"/>
    <w:rsid w:val="002E7CF6"/>
    <w:rsid w:val="002E7E0D"/>
    <w:rsid w:val="002E7EC7"/>
    <w:rsid w:val="002E7EDE"/>
    <w:rsid w:val="002F0197"/>
    <w:rsid w:val="002F01CB"/>
    <w:rsid w:val="002F02B6"/>
    <w:rsid w:val="002F0356"/>
    <w:rsid w:val="002F07BA"/>
    <w:rsid w:val="002F08F0"/>
    <w:rsid w:val="002F0DA9"/>
    <w:rsid w:val="002F0E44"/>
    <w:rsid w:val="002F0EAC"/>
    <w:rsid w:val="002F1014"/>
    <w:rsid w:val="002F1212"/>
    <w:rsid w:val="002F1301"/>
    <w:rsid w:val="002F1567"/>
    <w:rsid w:val="002F1606"/>
    <w:rsid w:val="002F16BD"/>
    <w:rsid w:val="002F184D"/>
    <w:rsid w:val="002F196C"/>
    <w:rsid w:val="002F19C8"/>
    <w:rsid w:val="002F1AEA"/>
    <w:rsid w:val="002F1B46"/>
    <w:rsid w:val="002F1BB5"/>
    <w:rsid w:val="002F1E3B"/>
    <w:rsid w:val="002F20AA"/>
    <w:rsid w:val="002F2141"/>
    <w:rsid w:val="002F22A5"/>
    <w:rsid w:val="002F22B5"/>
    <w:rsid w:val="002F24CB"/>
    <w:rsid w:val="002F24FC"/>
    <w:rsid w:val="002F29D5"/>
    <w:rsid w:val="002F2A19"/>
    <w:rsid w:val="002F2B4F"/>
    <w:rsid w:val="002F2DD1"/>
    <w:rsid w:val="002F2DE9"/>
    <w:rsid w:val="002F3021"/>
    <w:rsid w:val="002F32A2"/>
    <w:rsid w:val="002F33B3"/>
    <w:rsid w:val="002F33E4"/>
    <w:rsid w:val="002F341C"/>
    <w:rsid w:val="002F349F"/>
    <w:rsid w:val="002F34E5"/>
    <w:rsid w:val="002F3646"/>
    <w:rsid w:val="002F3AE0"/>
    <w:rsid w:val="002F3C04"/>
    <w:rsid w:val="002F3D55"/>
    <w:rsid w:val="002F3D82"/>
    <w:rsid w:val="002F3D87"/>
    <w:rsid w:val="002F3DAC"/>
    <w:rsid w:val="002F3DB2"/>
    <w:rsid w:val="002F3DB4"/>
    <w:rsid w:val="002F3DF3"/>
    <w:rsid w:val="002F3E92"/>
    <w:rsid w:val="002F3F51"/>
    <w:rsid w:val="002F460E"/>
    <w:rsid w:val="002F47C1"/>
    <w:rsid w:val="002F48B6"/>
    <w:rsid w:val="002F4ABC"/>
    <w:rsid w:val="002F4B0F"/>
    <w:rsid w:val="002F4BC0"/>
    <w:rsid w:val="002F4BEA"/>
    <w:rsid w:val="002F4CFB"/>
    <w:rsid w:val="002F4D6C"/>
    <w:rsid w:val="002F4E95"/>
    <w:rsid w:val="002F5165"/>
    <w:rsid w:val="002F52F1"/>
    <w:rsid w:val="002F543B"/>
    <w:rsid w:val="002F5866"/>
    <w:rsid w:val="002F5A4B"/>
    <w:rsid w:val="002F5B73"/>
    <w:rsid w:val="002F5BB8"/>
    <w:rsid w:val="002F5E39"/>
    <w:rsid w:val="002F608B"/>
    <w:rsid w:val="002F61D1"/>
    <w:rsid w:val="002F623C"/>
    <w:rsid w:val="002F6418"/>
    <w:rsid w:val="002F643C"/>
    <w:rsid w:val="002F65E6"/>
    <w:rsid w:val="002F68ED"/>
    <w:rsid w:val="002F6ABF"/>
    <w:rsid w:val="002F6B95"/>
    <w:rsid w:val="002F6BDE"/>
    <w:rsid w:val="002F6BFE"/>
    <w:rsid w:val="002F6C23"/>
    <w:rsid w:val="002F6FB7"/>
    <w:rsid w:val="002F7070"/>
    <w:rsid w:val="002F71C0"/>
    <w:rsid w:val="002F72D3"/>
    <w:rsid w:val="002F74F1"/>
    <w:rsid w:val="002F74FD"/>
    <w:rsid w:val="002F7694"/>
    <w:rsid w:val="002F7A0A"/>
    <w:rsid w:val="002F7B3D"/>
    <w:rsid w:val="002F7E07"/>
    <w:rsid w:val="002F7E2B"/>
    <w:rsid w:val="002F7E93"/>
    <w:rsid w:val="002F7F34"/>
    <w:rsid w:val="002F7FCF"/>
    <w:rsid w:val="00300179"/>
    <w:rsid w:val="00300305"/>
    <w:rsid w:val="0030090D"/>
    <w:rsid w:val="00301017"/>
    <w:rsid w:val="00301096"/>
    <w:rsid w:val="003012A9"/>
    <w:rsid w:val="0030154E"/>
    <w:rsid w:val="0030155F"/>
    <w:rsid w:val="003015BA"/>
    <w:rsid w:val="003015DA"/>
    <w:rsid w:val="003016A9"/>
    <w:rsid w:val="00301745"/>
    <w:rsid w:val="00301C32"/>
    <w:rsid w:val="00301C46"/>
    <w:rsid w:val="00301DE2"/>
    <w:rsid w:val="003020E0"/>
    <w:rsid w:val="003024AF"/>
    <w:rsid w:val="003025A0"/>
    <w:rsid w:val="0030260F"/>
    <w:rsid w:val="003026D2"/>
    <w:rsid w:val="00302AED"/>
    <w:rsid w:val="00302B58"/>
    <w:rsid w:val="00302C92"/>
    <w:rsid w:val="00302CCE"/>
    <w:rsid w:val="00302D29"/>
    <w:rsid w:val="00302E42"/>
    <w:rsid w:val="0030303C"/>
    <w:rsid w:val="00303879"/>
    <w:rsid w:val="00303A41"/>
    <w:rsid w:val="00303AC3"/>
    <w:rsid w:val="00303B49"/>
    <w:rsid w:val="00303C4F"/>
    <w:rsid w:val="00303C5F"/>
    <w:rsid w:val="00303DF5"/>
    <w:rsid w:val="00303FC5"/>
    <w:rsid w:val="00304270"/>
    <w:rsid w:val="003042D0"/>
    <w:rsid w:val="00304319"/>
    <w:rsid w:val="00304503"/>
    <w:rsid w:val="003046E5"/>
    <w:rsid w:val="003047E7"/>
    <w:rsid w:val="00304964"/>
    <w:rsid w:val="00304A35"/>
    <w:rsid w:val="00304B8F"/>
    <w:rsid w:val="00304E58"/>
    <w:rsid w:val="00304EC0"/>
    <w:rsid w:val="00304EFA"/>
    <w:rsid w:val="00304F46"/>
    <w:rsid w:val="0030532E"/>
    <w:rsid w:val="00305352"/>
    <w:rsid w:val="003054D7"/>
    <w:rsid w:val="00305603"/>
    <w:rsid w:val="00305784"/>
    <w:rsid w:val="003057CD"/>
    <w:rsid w:val="0030587B"/>
    <w:rsid w:val="003058F4"/>
    <w:rsid w:val="00305AB7"/>
    <w:rsid w:val="00305BAE"/>
    <w:rsid w:val="003060DE"/>
    <w:rsid w:val="003060EF"/>
    <w:rsid w:val="003062CB"/>
    <w:rsid w:val="003062E3"/>
    <w:rsid w:val="00306398"/>
    <w:rsid w:val="003067A4"/>
    <w:rsid w:val="00306A62"/>
    <w:rsid w:val="00306AFF"/>
    <w:rsid w:val="00306B44"/>
    <w:rsid w:val="00306D64"/>
    <w:rsid w:val="00306D66"/>
    <w:rsid w:val="00306D74"/>
    <w:rsid w:val="00306D98"/>
    <w:rsid w:val="00306E66"/>
    <w:rsid w:val="00307073"/>
    <w:rsid w:val="00307460"/>
    <w:rsid w:val="003074E1"/>
    <w:rsid w:val="0030778C"/>
    <w:rsid w:val="0030786C"/>
    <w:rsid w:val="003078C5"/>
    <w:rsid w:val="00307D73"/>
    <w:rsid w:val="00307E01"/>
    <w:rsid w:val="00307F1B"/>
    <w:rsid w:val="0031014D"/>
    <w:rsid w:val="003101D9"/>
    <w:rsid w:val="00310204"/>
    <w:rsid w:val="0031031A"/>
    <w:rsid w:val="003105BA"/>
    <w:rsid w:val="003106E1"/>
    <w:rsid w:val="0031073F"/>
    <w:rsid w:val="0031087C"/>
    <w:rsid w:val="00310981"/>
    <w:rsid w:val="00310D14"/>
    <w:rsid w:val="00310DCF"/>
    <w:rsid w:val="00310EF6"/>
    <w:rsid w:val="003112BA"/>
    <w:rsid w:val="00311784"/>
    <w:rsid w:val="0031178B"/>
    <w:rsid w:val="003119D2"/>
    <w:rsid w:val="00311D9B"/>
    <w:rsid w:val="003120E6"/>
    <w:rsid w:val="003120FE"/>
    <w:rsid w:val="00312275"/>
    <w:rsid w:val="003124D3"/>
    <w:rsid w:val="003124D9"/>
    <w:rsid w:val="00312561"/>
    <w:rsid w:val="00312594"/>
    <w:rsid w:val="00312894"/>
    <w:rsid w:val="00312979"/>
    <w:rsid w:val="00312B2D"/>
    <w:rsid w:val="00312C29"/>
    <w:rsid w:val="00312CB0"/>
    <w:rsid w:val="00313000"/>
    <w:rsid w:val="00313191"/>
    <w:rsid w:val="003131CA"/>
    <w:rsid w:val="003132DF"/>
    <w:rsid w:val="0031330E"/>
    <w:rsid w:val="0031343C"/>
    <w:rsid w:val="00313693"/>
    <w:rsid w:val="00313697"/>
    <w:rsid w:val="00313956"/>
    <w:rsid w:val="00314091"/>
    <w:rsid w:val="00314151"/>
    <w:rsid w:val="0031416E"/>
    <w:rsid w:val="00314421"/>
    <w:rsid w:val="00314586"/>
    <w:rsid w:val="003146F8"/>
    <w:rsid w:val="00314847"/>
    <w:rsid w:val="00314A74"/>
    <w:rsid w:val="00314D10"/>
    <w:rsid w:val="00314D9D"/>
    <w:rsid w:val="00314DDA"/>
    <w:rsid w:val="00314E81"/>
    <w:rsid w:val="00314EBB"/>
    <w:rsid w:val="00314EF8"/>
    <w:rsid w:val="003150F2"/>
    <w:rsid w:val="00315117"/>
    <w:rsid w:val="0031517B"/>
    <w:rsid w:val="00315256"/>
    <w:rsid w:val="0031531F"/>
    <w:rsid w:val="0031538B"/>
    <w:rsid w:val="00315498"/>
    <w:rsid w:val="0031567A"/>
    <w:rsid w:val="0031572E"/>
    <w:rsid w:val="003157F7"/>
    <w:rsid w:val="0031589A"/>
    <w:rsid w:val="003158E1"/>
    <w:rsid w:val="00315986"/>
    <w:rsid w:val="003159C3"/>
    <w:rsid w:val="003159E4"/>
    <w:rsid w:val="00315A89"/>
    <w:rsid w:val="00315E91"/>
    <w:rsid w:val="0031639A"/>
    <w:rsid w:val="00316474"/>
    <w:rsid w:val="00316500"/>
    <w:rsid w:val="003165B0"/>
    <w:rsid w:val="003166F4"/>
    <w:rsid w:val="003167FA"/>
    <w:rsid w:val="0031682C"/>
    <w:rsid w:val="00316990"/>
    <w:rsid w:val="00316CA7"/>
    <w:rsid w:val="00316D31"/>
    <w:rsid w:val="00316DA8"/>
    <w:rsid w:val="00316F72"/>
    <w:rsid w:val="00316FE4"/>
    <w:rsid w:val="003172A2"/>
    <w:rsid w:val="00317410"/>
    <w:rsid w:val="00317428"/>
    <w:rsid w:val="0031773C"/>
    <w:rsid w:val="0031774A"/>
    <w:rsid w:val="00317B20"/>
    <w:rsid w:val="00317BFB"/>
    <w:rsid w:val="00317F72"/>
    <w:rsid w:val="00320475"/>
    <w:rsid w:val="00320749"/>
    <w:rsid w:val="00320830"/>
    <w:rsid w:val="00320B72"/>
    <w:rsid w:val="00320DA0"/>
    <w:rsid w:val="00320EC7"/>
    <w:rsid w:val="0032115D"/>
    <w:rsid w:val="003212A6"/>
    <w:rsid w:val="00321483"/>
    <w:rsid w:val="0032153B"/>
    <w:rsid w:val="00321890"/>
    <w:rsid w:val="00321989"/>
    <w:rsid w:val="00321A07"/>
    <w:rsid w:val="00321FAF"/>
    <w:rsid w:val="0032201C"/>
    <w:rsid w:val="00322107"/>
    <w:rsid w:val="00322355"/>
    <w:rsid w:val="0032237E"/>
    <w:rsid w:val="00322424"/>
    <w:rsid w:val="00322473"/>
    <w:rsid w:val="00322846"/>
    <w:rsid w:val="003229B1"/>
    <w:rsid w:val="00322BE8"/>
    <w:rsid w:val="00322CCD"/>
    <w:rsid w:val="00322D70"/>
    <w:rsid w:val="00322DED"/>
    <w:rsid w:val="00322E69"/>
    <w:rsid w:val="00322E76"/>
    <w:rsid w:val="00322ED4"/>
    <w:rsid w:val="00323090"/>
    <w:rsid w:val="0032320B"/>
    <w:rsid w:val="0032329F"/>
    <w:rsid w:val="003236E7"/>
    <w:rsid w:val="00323799"/>
    <w:rsid w:val="00323A1C"/>
    <w:rsid w:val="00323F24"/>
    <w:rsid w:val="00324107"/>
    <w:rsid w:val="003241CC"/>
    <w:rsid w:val="003248C2"/>
    <w:rsid w:val="00324AC0"/>
    <w:rsid w:val="00324D2E"/>
    <w:rsid w:val="00324D65"/>
    <w:rsid w:val="00325197"/>
    <w:rsid w:val="003251B3"/>
    <w:rsid w:val="003252AB"/>
    <w:rsid w:val="003257F8"/>
    <w:rsid w:val="00325AC3"/>
    <w:rsid w:val="00325D25"/>
    <w:rsid w:val="00325DC0"/>
    <w:rsid w:val="00325E39"/>
    <w:rsid w:val="00325FF9"/>
    <w:rsid w:val="00326448"/>
    <w:rsid w:val="003266B2"/>
    <w:rsid w:val="003266F7"/>
    <w:rsid w:val="00326DA7"/>
    <w:rsid w:val="00326E2D"/>
    <w:rsid w:val="00327070"/>
    <w:rsid w:val="00327084"/>
    <w:rsid w:val="003270E4"/>
    <w:rsid w:val="003272B6"/>
    <w:rsid w:val="003276AC"/>
    <w:rsid w:val="00327755"/>
    <w:rsid w:val="00327931"/>
    <w:rsid w:val="00327C48"/>
    <w:rsid w:val="00327CF7"/>
    <w:rsid w:val="00327D6E"/>
    <w:rsid w:val="00327F81"/>
    <w:rsid w:val="00330096"/>
    <w:rsid w:val="0033013D"/>
    <w:rsid w:val="00330359"/>
    <w:rsid w:val="00330407"/>
    <w:rsid w:val="0033046A"/>
    <w:rsid w:val="003306EC"/>
    <w:rsid w:val="00330BD0"/>
    <w:rsid w:val="00330DAA"/>
    <w:rsid w:val="00330F34"/>
    <w:rsid w:val="00330F5C"/>
    <w:rsid w:val="00331148"/>
    <w:rsid w:val="003312F7"/>
    <w:rsid w:val="0033133C"/>
    <w:rsid w:val="003314BE"/>
    <w:rsid w:val="003318D9"/>
    <w:rsid w:val="003318FF"/>
    <w:rsid w:val="00331C91"/>
    <w:rsid w:val="00331D17"/>
    <w:rsid w:val="00331F84"/>
    <w:rsid w:val="00332190"/>
    <w:rsid w:val="00332203"/>
    <w:rsid w:val="0033243B"/>
    <w:rsid w:val="003326CC"/>
    <w:rsid w:val="003326DE"/>
    <w:rsid w:val="00332860"/>
    <w:rsid w:val="00332D14"/>
    <w:rsid w:val="00332F77"/>
    <w:rsid w:val="003330D8"/>
    <w:rsid w:val="00333194"/>
    <w:rsid w:val="003333A6"/>
    <w:rsid w:val="00333445"/>
    <w:rsid w:val="00333564"/>
    <w:rsid w:val="0033376C"/>
    <w:rsid w:val="0033376D"/>
    <w:rsid w:val="00333913"/>
    <w:rsid w:val="0033399B"/>
    <w:rsid w:val="00333A21"/>
    <w:rsid w:val="00333BD8"/>
    <w:rsid w:val="00333CAE"/>
    <w:rsid w:val="00333CB7"/>
    <w:rsid w:val="00333D2D"/>
    <w:rsid w:val="003340EE"/>
    <w:rsid w:val="003341AB"/>
    <w:rsid w:val="00334240"/>
    <w:rsid w:val="00334499"/>
    <w:rsid w:val="00334765"/>
    <w:rsid w:val="00334845"/>
    <w:rsid w:val="003348A3"/>
    <w:rsid w:val="00334A78"/>
    <w:rsid w:val="00334AB9"/>
    <w:rsid w:val="00334ABB"/>
    <w:rsid w:val="00334C04"/>
    <w:rsid w:val="00334DC1"/>
    <w:rsid w:val="00334E59"/>
    <w:rsid w:val="0033516D"/>
    <w:rsid w:val="0033546B"/>
    <w:rsid w:val="003354DE"/>
    <w:rsid w:val="0033568D"/>
    <w:rsid w:val="003356E8"/>
    <w:rsid w:val="00335A9E"/>
    <w:rsid w:val="00335AE8"/>
    <w:rsid w:val="00335B95"/>
    <w:rsid w:val="00335D06"/>
    <w:rsid w:val="003360D0"/>
    <w:rsid w:val="0033631A"/>
    <w:rsid w:val="0033663B"/>
    <w:rsid w:val="00336684"/>
    <w:rsid w:val="003366C9"/>
    <w:rsid w:val="003368A1"/>
    <w:rsid w:val="00336A75"/>
    <w:rsid w:val="00336AEA"/>
    <w:rsid w:val="00336E51"/>
    <w:rsid w:val="00336EC0"/>
    <w:rsid w:val="0033717F"/>
    <w:rsid w:val="003371B0"/>
    <w:rsid w:val="003372EA"/>
    <w:rsid w:val="00337351"/>
    <w:rsid w:val="00337B16"/>
    <w:rsid w:val="00337D69"/>
    <w:rsid w:val="0034009C"/>
    <w:rsid w:val="00340764"/>
    <w:rsid w:val="00340780"/>
    <w:rsid w:val="0034081A"/>
    <w:rsid w:val="00340D6A"/>
    <w:rsid w:val="00340DF1"/>
    <w:rsid w:val="00340E2C"/>
    <w:rsid w:val="00340E84"/>
    <w:rsid w:val="0034122E"/>
    <w:rsid w:val="0034135B"/>
    <w:rsid w:val="00341530"/>
    <w:rsid w:val="00341759"/>
    <w:rsid w:val="0034177D"/>
    <w:rsid w:val="003419AE"/>
    <w:rsid w:val="00341DE2"/>
    <w:rsid w:val="00342009"/>
    <w:rsid w:val="0034212D"/>
    <w:rsid w:val="0034274A"/>
    <w:rsid w:val="00342A7A"/>
    <w:rsid w:val="00342CAC"/>
    <w:rsid w:val="00342CBA"/>
    <w:rsid w:val="00342D0A"/>
    <w:rsid w:val="00342D3C"/>
    <w:rsid w:val="00342EB8"/>
    <w:rsid w:val="00343119"/>
    <w:rsid w:val="003431E6"/>
    <w:rsid w:val="003431FA"/>
    <w:rsid w:val="003435B1"/>
    <w:rsid w:val="00343726"/>
    <w:rsid w:val="00343792"/>
    <w:rsid w:val="00343B83"/>
    <w:rsid w:val="00343DD2"/>
    <w:rsid w:val="00343E71"/>
    <w:rsid w:val="00343EE8"/>
    <w:rsid w:val="00344201"/>
    <w:rsid w:val="003442AF"/>
    <w:rsid w:val="003442B2"/>
    <w:rsid w:val="003442B6"/>
    <w:rsid w:val="00344616"/>
    <w:rsid w:val="00344623"/>
    <w:rsid w:val="003447A7"/>
    <w:rsid w:val="003449FA"/>
    <w:rsid w:val="00345106"/>
    <w:rsid w:val="003453D5"/>
    <w:rsid w:val="0034543C"/>
    <w:rsid w:val="00345517"/>
    <w:rsid w:val="00345555"/>
    <w:rsid w:val="003458A5"/>
    <w:rsid w:val="00345971"/>
    <w:rsid w:val="00345BE6"/>
    <w:rsid w:val="00345CA6"/>
    <w:rsid w:val="00345D82"/>
    <w:rsid w:val="003460C8"/>
    <w:rsid w:val="00346271"/>
    <w:rsid w:val="0034631B"/>
    <w:rsid w:val="003463BB"/>
    <w:rsid w:val="00346649"/>
    <w:rsid w:val="00346822"/>
    <w:rsid w:val="00346838"/>
    <w:rsid w:val="0034691E"/>
    <w:rsid w:val="00346B6D"/>
    <w:rsid w:val="00346C62"/>
    <w:rsid w:val="00346D32"/>
    <w:rsid w:val="003470A9"/>
    <w:rsid w:val="003470FB"/>
    <w:rsid w:val="003471CF"/>
    <w:rsid w:val="00347433"/>
    <w:rsid w:val="003475A7"/>
    <w:rsid w:val="0034764B"/>
    <w:rsid w:val="003477F6"/>
    <w:rsid w:val="00347A9D"/>
    <w:rsid w:val="00347CB4"/>
    <w:rsid w:val="00347D86"/>
    <w:rsid w:val="00347DD0"/>
    <w:rsid w:val="00347EA1"/>
    <w:rsid w:val="00350360"/>
    <w:rsid w:val="00350392"/>
    <w:rsid w:val="00350550"/>
    <w:rsid w:val="003506DB"/>
    <w:rsid w:val="00350DA8"/>
    <w:rsid w:val="00350DC9"/>
    <w:rsid w:val="00350E12"/>
    <w:rsid w:val="00350EE2"/>
    <w:rsid w:val="00350F43"/>
    <w:rsid w:val="00351161"/>
    <w:rsid w:val="00351252"/>
    <w:rsid w:val="00351519"/>
    <w:rsid w:val="00351609"/>
    <w:rsid w:val="003517F9"/>
    <w:rsid w:val="0035198E"/>
    <w:rsid w:val="00351AD9"/>
    <w:rsid w:val="00351BA9"/>
    <w:rsid w:val="00351D07"/>
    <w:rsid w:val="00351D21"/>
    <w:rsid w:val="00351E59"/>
    <w:rsid w:val="00351F8C"/>
    <w:rsid w:val="00351F9F"/>
    <w:rsid w:val="00352202"/>
    <w:rsid w:val="00352642"/>
    <w:rsid w:val="003527B8"/>
    <w:rsid w:val="003527EC"/>
    <w:rsid w:val="00352863"/>
    <w:rsid w:val="00352A98"/>
    <w:rsid w:val="00352AD5"/>
    <w:rsid w:val="00352C39"/>
    <w:rsid w:val="00352C3C"/>
    <w:rsid w:val="00352C75"/>
    <w:rsid w:val="00352D46"/>
    <w:rsid w:val="00352ED0"/>
    <w:rsid w:val="00353215"/>
    <w:rsid w:val="0035330D"/>
    <w:rsid w:val="00353399"/>
    <w:rsid w:val="00353730"/>
    <w:rsid w:val="003539B7"/>
    <w:rsid w:val="00353B1C"/>
    <w:rsid w:val="00353B4C"/>
    <w:rsid w:val="00353EB9"/>
    <w:rsid w:val="003541BD"/>
    <w:rsid w:val="00354337"/>
    <w:rsid w:val="003543E2"/>
    <w:rsid w:val="0035462D"/>
    <w:rsid w:val="00354750"/>
    <w:rsid w:val="003549DA"/>
    <w:rsid w:val="00354BF9"/>
    <w:rsid w:val="00354D73"/>
    <w:rsid w:val="00354E36"/>
    <w:rsid w:val="00354F0F"/>
    <w:rsid w:val="00354F64"/>
    <w:rsid w:val="00354FDF"/>
    <w:rsid w:val="00355038"/>
    <w:rsid w:val="00355104"/>
    <w:rsid w:val="0035516C"/>
    <w:rsid w:val="003552B7"/>
    <w:rsid w:val="003555E5"/>
    <w:rsid w:val="00355AEF"/>
    <w:rsid w:val="00355C51"/>
    <w:rsid w:val="00355CEA"/>
    <w:rsid w:val="00355EAC"/>
    <w:rsid w:val="003560E2"/>
    <w:rsid w:val="00356148"/>
    <w:rsid w:val="0035620E"/>
    <w:rsid w:val="00356227"/>
    <w:rsid w:val="00356401"/>
    <w:rsid w:val="0035649A"/>
    <w:rsid w:val="00356764"/>
    <w:rsid w:val="00356802"/>
    <w:rsid w:val="00356881"/>
    <w:rsid w:val="00356BC6"/>
    <w:rsid w:val="00356CF4"/>
    <w:rsid w:val="00356EBB"/>
    <w:rsid w:val="00356EBD"/>
    <w:rsid w:val="00356ECC"/>
    <w:rsid w:val="003570BF"/>
    <w:rsid w:val="00357430"/>
    <w:rsid w:val="00357598"/>
    <w:rsid w:val="003575BE"/>
    <w:rsid w:val="00357661"/>
    <w:rsid w:val="003576B1"/>
    <w:rsid w:val="003576D6"/>
    <w:rsid w:val="0035774C"/>
    <w:rsid w:val="003577BA"/>
    <w:rsid w:val="003578C8"/>
    <w:rsid w:val="003578F0"/>
    <w:rsid w:val="00357A25"/>
    <w:rsid w:val="00357F1E"/>
    <w:rsid w:val="0036000D"/>
    <w:rsid w:val="003601C5"/>
    <w:rsid w:val="0036028B"/>
    <w:rsid w:val="00360345"/>
    <w:rsid w:val="003606F7"/>
    <w:rsid w:val="00360AF9"/>
    <w:rsid w:val="00360C16"/>
    <w:rsid w:val="00360E7A"/>
    <w:rsid w:val="00360EF3"/>
    <w:rsid w:val="0036113A"/>
    <w:rsid w:val="00361672"/>
    <w:rsid w:val="003618B6"/>
    <w:rsid w:val="00361A05"/>
    <w:rsid w:val="00361BC9"/>
    <w:rsid w:val="00361BF7"/>
    <w:rsid w:val="00361C0B"/>
    <w:rsid w:val="00361C47"/>
    <w:rsid w:val="00361E1F"/>
    <w:rsid w:val="003622AB"/>
    <w:rsid w:val="003623AF"/>
    <w:rsid w:val="003623B2"/>
    <w:rsid w:val="003624C4"/>
    <w:rsid w:val="003624C9"/>
    <w:rsid w:val="003626A1"/>
    <w:rsid w:val="0036271B"/>
    <w:rsid w:val="0036282D"/>
    <w:rsid w:val="00362842"/>
    <w:rsid w:val="003628EB"/>
    <w:rsid w:val="003629C5"/>
    <w:rsid w:val="00362B1D"/>
    <w:rsid w:val="00362B5F"/>
    <w:rsid w:val="00362CC9"/>
    <w:rsid w:val="00362E39"/>
    <w:rsid w:val="00363147"/>
    <w:rsid w:val="00363306"/>
    <w:rsid w:val="003633BD"/>
    <w:rsid w:val="0036358A"/>
    <w:rsid w:val="003637A9"/>
    <w:rsid w:val="003637BE"/>
    <w:rsid w:val="00363820"/>
    <w:rsid w:val="00363A32"/>
    <w:rsid w:val="00363B00"/>
    <w:rsid w:val="00363D67"/>
    <w:rsid w:val="003640CE"/>
    <w:rsid w:val="00364330"/>
    <w:rsid w:val="00364452"/>
    <w:rsid w:val="003647A9"/>
    <w:rsid w:val="00364816"/>
    <w:rsid w:val="003649D3"/>
    <w:rsid w:val="00364C26"/>
    <w:rsid w:val="00364CE0"/>
    <w:rsid w:val="00364DE9"/>
    <w:rsid w:val="00364EB5"/>
    <w:rsid w:val="00364FB6"/>
    <w:rsid w:val="00364FD1"/>
    <w:rsid w:val="0036502A"/>
    <w:rsid w:val="003653C4"/>
    <w:rsid w:val="003654AC"/>
    <w:rsid w:val="003655EA"/>
    <w:rsid w:val="003658C7"/>
    <w:rsid w:val="00365AAA"/>
    <w:rsid w:val="00365D5E"/>
    <w:rsid w:val="0036632A"/>
    <w:rsid w:val="003666F0"/>
    <w:rsid w:val="003668FF"/>
    <w:rsid w:val="0036699A"/>
    <w:rsid w:val="00366B92"/>
    <w:rsid w:val="00366CFA"/>
    <w:rsid w:val="0036720C"/>
    <w:rsid w:val="0036744A"/>
    <w:rsid w:val="0036779C"/>
    <w:rsid w:val="003677C9"/>
    <w:rsid w:val="00367AB9"/>
    <w:rsid w:val="00367BC1"/>
    <w:rsid w:val="00367C33"/>
    <w:rsid w:val="00367EDC"/>
    <w:rsid w:val="00370592"/>
    <w:rsid w:val="00370B6E"/>
    <w:rsid w:val="00370CFA"/>
    <w:rsid w:val="003710CF"/>
    <w:rsid w:val="00371221"/>
    <w:rsid w:val="00371256"/>
    <w:rsid w:val="003716C5"/>
    <w:rsid w:val="00371963"/>
    <w:rsid w:val="00371A97"/>
    <w:rsid w:val="00371C05"/>
    <w:rsid w:val="00372033"/>
    <w:rsid w:val="00372122"/>
    <w:rsid w:val="003723FF"/>
    <w:rsid w:val="00372545"/>
    <w:rsid w:val="00372AE3"/>
    <w:rsid w:val="00372D1B"/>
    <w:rsid w:val="003730D5"/>
    <w:rsid w:val="003732CD"/>
    <w:rsid w:val="00373537"/>
    <w:rsid w:val="0037358A"/>
    <w:rsid w:val="003739C3"/>
    <w:rsid w:val="00373E73"/>
    <w:rsid w:val="00373FE2"/>
    <w:rsid w:val="00374038"/>
    <w:rsid w:val="00374307"/>
    <w:rsid w:val="00374645"/>
    <w:rsid w:val="0037479A"/>
    <w:rsid w:val="00374A68"/>
    <w:rsid w:val="003750E7"/>
    <w:rsid w:val="003750F6"/>
    <w:rsid w:val="003751C9"/>
    <w:rsid w:val="0037537D"/>
    <w:rsid w:val="00375690"/>
    <w:rsid w:val="003756C4"/>
    <w:rsid w:val="003758C0"/>
    <w:rsid w:val="00375BF6"/>
    <w:rsid w:val="00375EE2"/>
    <w:rsid w:val="00375FBA"/>
    <w:rsid w:val="003760FC"/>
    <w:rsid w:val="00376350"/>
    <w:rsid w:val="003765D0"/>
    <w:rsid w:val="0037660D"/>
    <w:rsid w:val="003767F1"/>
    <w:rsid w:val="0037688B"/>
    <w:rsid w:val="0037689D"/>
    <w:rsid w:val="00376AB4"/>
    <w:rsid w:val="00376BD4"/>
    <w:rsid w:val="00376C36"/>
    <w:rsid w:val="00376C6A"/>
    <w:rsid w:val="00376E28"/>
    <w:rsid w:val="00377673"/>
    <w:rsid w:val="003776EC"/>
    <w:rsid w:val="00377744"/>
    <w:rsid w:val="003779E3"/>
    <w:rsid w:val="00377BAC"/>
    <w:rsid w:val="00377C59"/>
    <w:rsid w:val="00377C5E"/>
    <w:rsid w:val="00377D9C"/>
    <w:rsid w:val="0038013A"/>
    <w:rsid w:val="003801E1"/>
    <w:rsid w:val="00380328"/>
    <w:rsid w:val="00380412"/>
    <w:rsid w:val="0038044E"/>
    <w:rsid w:val="00380537"/>
    <w:rsid w:val="003805EE"/>
    <w:rsid w:val="0038074B"/>
    <w:rsid w:val="00380793"/>
    <w:rsid w:val="003807C3"/>
    <w:rsid w:val="00380908"/>
    <w:rsid w:val="00380979"/>
    <w:rsid w:val="00380E2D"/>
    <w:rsid w:val="00381029"/>
    <w:rsid w:val="0038111B"/>
    <w:rsid w:val="003812DC"/>
    <w:rsid w:val="003814E3"/>
    <w:rsid w:val="00381A81"/>
    <w:rsid w:val="00381A9D"/>
    <w:rsid w:val="00381B58"/>
    <w:rsid w:val="00381B83"/>
    <w:rsid w:val="00381DB2"/>
    <w:rsid w:val="00381F7D"/>
    <w:rsid w:val="0038205B"/>
    <w:rsid w:val="003821DE"/>
    <w:rsid w:val="003821EB"/>
    <w:rsid w:val="00382351"/>
    <w:rsid w:val="003823EA"/>
    <w:rsid w:val="003824CE"/>
    <w:rsid w:val="0038256C"/>
    <w:rsid w:val="00382C74"/>
    <w:rsid w:val="00382D5C"/>
    <w:rsid w:val="00383092"/>
    <w:rsid w:val="003830C8"/>
    <w:rsid w:val="003834BA"/>
    <w:rsid w:val="0038365C"/>
    <w:rsid w:val="0038369B"/>
    <w:rsid w:val="003836FA"/>
    <w:rsid w:val="003837B8"/>
    <w:rsid w:val="003837C5"/>
    <w:rsid w:val="00383981"/>
    <w:rsid w:val="00383B78"/>
    <w:rsid w:val="00383BA2"/>
    <w:rsid w:val="00384187"/>
    <w:rsid w:val="0038429B"/>
    <w:rsid w:val="00384303"/>
    <w:rsid w:val="00384337"/>
    <w:rsid w:val="00384542"/>
    <w:rsid w:val="003845DA"/>
    <w:rsid w:val="003846A8"/>
    <w:rsid w:val="003849F0"/>
    <w:rsid w:val="00384A38"/>
    <w:rsid w:val="00384B61"/>
    <w:rsid w:val="00384B8F"/>
    <w:rsid w:val="00384C81"/>
    <w:rsid w:val="00384EE6"/>
    <w:rsid w:val="00384F8E"/>
    <w:rsid w:val="00384FAC"/>
    <w:rsid w:val="00385306"/>
    <w:rsid w:val="00385658"/>
    <w:rsid w:val="00385A42"/>
    <w:rsid w:val="00385A9D"/>
    <w:rsid w:val="00385B23"/>
    <w:rsid w:val="00385CAC"/>
    <w:rsid w:val="00385E4A"/>
    <w:rsid w:val="00386039"/>
    <w:rsid w:val="003860E4"/>
    <w:rsid w:val="0038622A"/>
    <w:rsid w:val="00386326"/>
    <w:rsid w:val="003866BA"/>
    <w:rsid w:val="0038674F"/>
    <w:rsid w:val="0038676D"/>
    <w:rsid w:val="003867C9"/>
    <w:rsid w:val="003869A8"/>
    <w:rsid w:val="00386B54"/>
    <w:rsid w:val="00386B64"/>
    <w:rsid w:val="00386BD5"/>
    <w:rsid w:val="00386BDC"/>
    <w:rsid w:val="00386BF8"/>
    <w:rsid w:val="00386C90"/>
    <w:rsid w:val="00386CD2"/>
    <w:rsid w:val="00386F37"/>
    <w:rsid w:val="00386FC2"/>
    <w:rsid w:val="0038708F"/>
    <w:rsid w:val="00387121"/>
    <w:rsid w:val="003872A0"/>
    <w:rsid w:val="003872B9"/>
    <w:rsid w:val="003877E5"/>
    <w:rsid w:val="00387A2C"/>
    <w:rsid w:val="0039009A"/>
    <w:rsid w:val="003900A4"/>
    <w:rsid w:val="0039019A"/>
    <w:rsid w:val="003902B1"/>
    <w:rsid w:val="003902B2"/>
    <w:rsid w:val="003902C6"/>
    <w:rsid w:val="003902F1"/>
    <w:rsid w:val="00390354"/>
    <w:rsid w:val="003903A3"/>
    <w:rsid w:val="003903D1"/>
    <w:rsid w:val="00390575"/>
    <w:rsid w:val="003905E9"/>
    <w:rsid w:val="003905FE"/>
    <w:rsid w:val="00390626"/>
    <w:rsid w:val="00390685"/>
    <w:rsid w:val="00390C7D"/>
    <w:rsid w:val="00390D72"/>
    <w:rsid w:val="00390D84"/>
    <w:rsid w:val="00390F97"/>
    <w:rsid w:val="0039116E"/>
    <w:rsid w:val="003912C8"/>
    <w:rsid w:val="00391485"/>
    <w:rsid w:val="003914CD"/>
    <w:rsid w:val="0039166A"/>
    <w:rsid w:val="003916F7"/>
    <w:rsid w:val="00391729"/>
    <w:rsid w:val="0039179C"/>
    <w:rsid w:val="00391841"/>
    <w:rsid w:val="0039186F"/>
    <w:rsid w:val="0039199D"/>
    <w:rsid w:val="00391BED"/>
    <w:rsid w:val="00391D18"/>
    <w:rsid w:val="00391D41"/>
    <w:rsid w:val="00391D74"/>
    <w:rsid w:val="00391E5E"/>
    <w:rsid w:val="0039205C"/>
    <w:rsid w:val="003921C5"/>
    <w:rsid w:val="003921EF"/>
    <w:rsid w:val="00392252"/>
    <w:rsid w:val="00392554"/>
    <w:rsid w:val="0039266F"/>
    <w:rsid w:val="0039280E"/>
    <w:rsid w:val="00392826"/>
    <w:rsid w:val="00392A4E"/>
    <w:rsid w:val="00392BD9"/>
    <w:rsid w:val="00392C6F"/>
    <w:rsid w:val="00392D5A"/>
    <w:rsid w:val="00392DA3"/>
    <w:rsid w:val="003930D5"/>
    <w:rsid w:val="00393347"/>
    <w:rsid w:val="00393586"/>
    <w:rsid w:val="00393828"/>
    <w:rsid w:val="003938AE"/>
    <w:rsid w:val="00393CF5"/>
    <w:rsid w:val="00393F48"/>
    <w:rsid w:val="00393F6E"/>
    <w:rsid w:val="00393FF2"/>
    <w:rsid w:val="003941D9"/>
    <w:rsid w:val="003942C8"/>
    <w:rsid w:val="0039438E"/>
    <w:rsid w:val="0039467A"/>
    <w:rsid w:val="0039475F"/>
    <w:rsid w:val="00394AA8"/>
    <w:rsid w:val="00394B75"/>
    <w:rsid w:val="00394C33"/>
    <w:rsid w:val="00394C41"/>
    <w:rsid w:val="00394FC1"/>
    <w:rsid w:val="00394FCA"/>
    <w:rsid w:val="00395025"/>
    <w:rsid w:val="003951BB"/>
    <w:rsid w:val="003956BD"/>
    <w:rsid w:val="00395F1E"/>
    <w:rsid w:val="003960F2"/>
    <w:rsid w:val="003963C8"/>
    <w:rsid w:val="00396722"/>
    <w:rsid w:val="00396896"/>
    <w:rsid w:val="003968DA"/>
    <w:rsid w:val="00396904"/>
    <w:rsid w:val="00396A00"/>
    <w:rsid w:val="00396CDE"/>
    <w:rsid w:val="00396FD0"/>
    <w:rsid w:val="00397048"/>
    <w:rsid w:val="003971DD"/>
    <w:rsid w:val="003977CB"/>
    <w:rsid w:val="003977D5"/>
    <w:rsid w:val="003978BC"/>
    <w:rsid w:val="00397946"/>
    <w:rsid w:val="00397C46"/>
    <w:rsid w:val="00397CA9"/>
    <w:rsid w:val="00397D9A"/>
    <w:rsid w:val="003A007A"/>
    <w:rsid w:val="003A0088"/>
    <w:rsid w:val="003A090D"/>
    <w:rsid w:val="003A0917"/>
    <w:rsid w:val="003A0939"/>
    <w:rsid w:val="003A0A1F"/>
    <w:rsid w:val="003A0C20"/>
    <w:rsid w:val="003A0D21"/>
    <w:rsid w:val="003A0F4B"/>
    <w:rsid w:val="003A0F77"/>
    <w:rsid w:val="003A0F86"/>
    <w:rsid w:val="003A1006"/>
    <w:rsid w:val="003A12BB"/>
    <w:rsid w:val="003A13E9"/>
    <w:rsid w:val="003A140A"/>
    <w:rsid w:val="003A1602"/>
    <w:rsid w:val="003A1775"/>
    <w:rsid w:val="003A1896"/>
    <w:rsid w:val="003A1A7A"/>
    <w:rsid w:val="003A1EF7"/>
    <w:rsid w:val="003A1F01"/>
    <w:rsid w:val="003A1FD9"/>
    <w:rsid w:val="003A20BA"/>
    <w:rsid w:val="003A2302"/>
    <w:rsid w:val="003A2392"/>
    <w:rsid w:val="003A23FB"/>
    <w:rsid w:val="003A24A9"/>
    <w:rsid w:val="003A26AB"/>
    <w:rsid w:val="003A2831"/>
    <w:rsid w:val="003A2856"/>
    <w:rsid w:val="003A2A95"/>
    <w:rsid w:val="003A2B2C"/>
    <w:rsid w:val="003A2B8C"/>
    <w:rsid w:val="003A2F8D"/>
    <w:rsid w:val="003A3063"/>
    <w:rsid w:val="003A30B5"/>
    <w:rsid w:val="003A314E"/>
    <w:rsid w:val="003A322F"/>
    <w:rsid w:val="003A32F3"/>
    <w:rsid w:val="003A338D"/>
    <w:rsid w:val="003A3424"/>
    <w:rsid w:val="003A355B"/>
    <w:rsid w:val="003A35B4"/>
    <w:rsid w:val="003A3690"/>
    <w:rsid w:val="003A36D7"/>
    <w:rsid w:val="003A36E5"/>
    <w:rsid w:val="003A3B3D"/>
    <w:rsid w:val="003A3C5E"/>
    <w:rsid w:val="003A3CB6"/>
    <w:rsid w:val="003A3DCA"/>
    <w:rsid w:val="003A3ED1"/>
    <w:rsid w:val="003A414C"/>
    <w:rsid w:val="003A4153"/>
    <w:rsid w:val="003A4170"/>
    <w:rsid w:val="003A41C7"/>
    <w:rsid w:val="003A42A4"/>
    <w:rsid w:val="003A42A6"/>
    <w:rsid w:val="003A42E9"/>
    <w:rsid w:val="003A44DB"/>
    <w:rsid w:val="003A47EF"/>
    <w:rsid w:val="003A489F"/>
    <w:rsid w:val="003A4B51"/>
    <w:rsid w:val="003A4C14"/>
    <w:rsid w:val="003A4C5F"/>
    <w:rsid w:val="003A5055"/>
    <w:rsid w:val="003A51C7"/>
    <w:rsid w:val="003A5289"/>
    <w:rsid w:val="003A5378"/>
    <w:rsid w:val="003A5651"/>
    <w:rsid w:val="003A5718"/>
    <w:rsid w:val="003A574F"/>
    <w:rsid w:val="003A5779"/>
    <w:rsid w:val="003A57C1"/>
    <w:rsid w:val="003A58F6"/>
    <w:rsid w:val="003A5928"/>
    <w:rsid w:val="003A5A5C"/>
    <w:rsid w:val="003A5C56"/>
    <w:rsid w:val="003A5F0D"/>
    <w:rsid w:val="003A5FC9"/>
    <w:rsid w:val="003A612C"/>
    <w:rsid w:val="003A615B"/>
    <w:rsid w:val="003A6303"/>
    <w:rsid w:val="003A638D"/>
    <w:rsid w:val="003A63DA"/>
    <w:rsid w:val="003A6407"/>
    <w:rsid w:val="003A65FA"/>
    <w:rsid w:val="003A6606"/>
    <w:rsid w:val="003A6793"/>
    <w:rsid w:val="003A6AB0"/>
    <w:rsid w:val="003A6B55"/>
    <w:rsid w:val="003A6D1A"/>
    <w:rsid w:val="003A6D83"/>
    <w:rsid w:val="003A6E0A"/>
    <w:rsid w:val="003A70EE"/>
    <w:rsid w:val="003A75EE"/>
    <w:rsid w:val="003A7649"/>
    <w:rsid w:val="003A766D"/>
    <w:rsid w:val="003A7719"/>
    <w:rsid w:val="003A7896"/>
    <w:rsid w:val="003A7912"/>
    <w:rsid w:val="003A7A5B"/>
    <w:rsid w:val="003A7D35"/>
    <w:rsid w:val="003A7DE5"/>
    <w:rsid w:val="003B033E"/>
    <w:rsid w:val="003B0BD3"/>
    <w:rsid w:val="003B0BE2"/>
    <w:rsid w:val="003B0C35"/>
    <w:rsid w:val="003B0DEE"/>
    <w:rsid w:val="003B0F35"/>
    <w:rsid w:val="003B10D5"/>
    <w:rsid w:val="003B11BE"/>
    <w:rsid w:val="003B123C"/>
    <w:rsid w:val="003B1408"/>
    <w:rsid w:val="003B170D"/>
    <w:rsid w:val="003B1870"/>
    <w:rsid w:val="003B19E0"/>
    <w:rsid w:val="003B1B23"/>
    <w:rsid w:val="003B1BA1"/>
    <w:rsid w:val="003B1F61"/>
    <w:rsid w:val="003B2182"/>
    <w:rsid w:val="003B2299"/>
    <w:rsid w:val="003B23EC"/>
    <w:rsid w:val="003B23FB"/>
    <w:rsid w:val="003B2450"/>
    <w:rsid w:val="003B25C7"/>
    <w:rsid w:val="003B25EA"/>
    <w:rsid w:val="003B2732"/>
    <w:rsid w:val="003B277A"/>
    <w:rsid w:val="003B2920"/>
    <w:rsid w:val="003B29D9"/>
    <w:rsid w:val="003B2B2B"/>
    <w:rsid w:val="003B2DD0"/>
    <w:rsid w:val="003B2EAF"/>
    <w:rsid w:val="003B3023"/>
    <w:rsid w:val="003B30C3"/>
    <w:rsid w:val="003B30C8"/>
    <w:rsid w:val="003B31D3"/>
    <w:rsid w:val="003B3233"/>
    <w:rsid w:val="003B33E6"/>
    <w:rsid w:val="003B3435"/>
    <w:rsid w:val="003B36A9"/>
    <w:rsid w:val="003B37A1"/>
    <w:rsid w:val="003B383F"/>
    <w:rsid w:val="003B3971"/>
    <w:rsid w:val="003B39A5"/>
    <w:rsid w:val="003B3B91"/>
    <w:rsid w:val="003B3BC8"/>
    <w:rsid w:val="003B3EE9"/>
    <w:rsid w:val="003B3FBF"/>
    <w:rsid w:val="003B4152"/>
    <w:rsid w:val="003B4310"/>
    <w:rsid w:val="003B442F"/>
    <w:rsid w:val="003B4477"/>
    <w:rsid w:val="003B46C5"/>
    <w:rsid w:val="003B49C4"/>
    <w:rsid w:val="003B4A7A"/>
    <w:rsid w:val="003B4A9A"/>
    <w:rsid w:val="003B4BAF"/>
    <w:rsid w:val="003B4BF4"/>
    <w:rsid w:val="003B4D54"/>
    <w:rsid w:val="003B4EA9"/>
    <w:rsid w:val="003B4FCD"/>
    <w:rsid w:val="003B4FEE"/>
    <w:rsid w:val="003B5078"/>
    <w:rsid w:val="003B51F5"/>
    <w:rsid w:val="003B520F"/>
    <w:rsid w:val="003B54A9"/>
    <w:rsid w:val="003B54E4"/>
    <w:rsid w:val="003B5566"/>
    <w:rsid w:val="003B55D1"/>
    <w:rsid w:val="003B5A68"/>
    <w:rsid w:val="003B5B61"/>
    <w:rsid w:val="003B5DD7"/>
    <w:rsid w:val="003B6025"/>
    <w:rsid w:val="003B61CF"/>
    <w:rsid w:val="003B625B"/>
    <w:rsid w:val="003B6870"/>
    <w:rsid w:val="003B6E3B"/>
    <w:rsid w:val="003B6EC7"/>
    <w:rsid w:val="003B725D"/>
    <w:rsid w:val="003B72B7"/>
    <w:rsid w:val="003B756C"/>
    <w:rsid w:val="003B7BC2"/>
    <w:rsid w:val="003B7F61"/>
    <w:rsid w:val="003B7F72"/>
    <w:rsid w:val="003C02A8"/>
    <w:rsid w:val="003C0320"/>
    <w:rsid w:val="003C03FE"/>
    <w:rsid w:val="003C041E"/>
    <w:rsid w:val="003C09E0"/>
    <w:rsid w:val="003C0A39"/>
    <w:rsid w:val="003C0B93"/>
    <w:rsid w:val="003C0FFB"/>
    <w:rsid w:val="003C1105"/>
    <w:rsid w:val="003C1413"/>
    <w:rsid w:val="003C150A"/>
    <w:rsid w:val="003C15C3"/>
    <w:rsid w:val="003C1654"/>
    <w:rsid w:val="003C17D9"/>
    <w:rsid w:val="003C195C"/>
    <w:rsid w:val="003C1A02"/>
    <w:rsid w:val="003C1C23"/>
    <w:rsid w:val="003C1D00"/>
    <w:rsid w:val="003C29F7"/>
    <w:rsid w:val="003C2C9C"/>
    <w:rsid w:val="003C2F29"/>
    <w:rsid w:val="003C3319"/>
    <w:rsid w:val="003C3378"/>
    <w:rsid w:val="003C337A"/>
    <w:rsid w:val="003C349B"/>
    <w:rsid w:val="003C363B"/>
    <w:rsid w:val="003C36DD"/>
    <w:rsid w:val="003C379D"/>
    <w:rsid w:val="003C37F1"/>
    <w:rsid w:val="003C37FB"/>
    <w:rsid w:val="003C3CED"/>
    <w:rsid w:val="003C3D43"/>
    <w:rsid w:val="003C3D59"/>
    <w:rsid w:val="003C3E72"/>
    <w:rsid w:val="003C3EB1"/>
    <w:rsid w:val="003C4371"/>
    <w:rsid w:val="003C4461"/>
    <w:rsid w:val="003C44DD"/>
    <w:rsid w:val="003C4590"/>
    <w:rsid w:val="003C46F3"/>
    <w:rsid w:val="003C477B"/>
    <w:rsid w:val="003C47C2"/>
    <w:rsid w:val="003C48FD"/>
    <w:rsid w:val="003C4B91"/>
    <w:rsid w:val="003C4EEC"/>
    <w:rsid w:val="003C51D2"/>
    <w:rsid w:val="003C5542"/>
    <w:rsid w:val="003C55AC"/>
    <w:rsid w:val="003C568B"/>
    <w:rsid w:val="003C59D0"/>
    <w:rsid w:val="003C5A8C"/>
    <w:rsid w:val="003C5B07"/>
    <w:rsid w:val="003C5BF5"/>
    <w:rsid w:val="003C5C6D"/>
    <w:rsid w:val="003C5EB2"/>
    <w:rsid w:val="003C63E2"/>
    <w:rsid w:val="003C649A"/>
    <w:rsid w:val="003C64DB"/>
    <w:rsid w:val="003C657B"/>
    <w:rsid w:val="003C65DE"/>
    <w:rsid w:val="003C67DD"/>
    <w:rsid w:val="003C688A"/>
    <w:rsid w:val="003C69E3"/>
    <w:rsid w:val="003C6A45"/>
    <w:rsid w:val="003C6E00"/>
    <w:rsid w:val="003C6EA5"/>
    <w:rsid w:val="003C71FD"/>
    <w:rsid w:val="003C72A5"/>
    <w:rsid w:val="003C731E"/>
    <w:rsid w:val="003C752C"/>
    <w:rsid w:val="003C7676"/>
    <w:rsid w:val="003C770B"/>
    <w:rsid w:val="003C7715"/>
    <w:rsid w:val="003C77C1"/>
    <w:rsid w:val="003C77CD"/>
    <w:rsid w:val="003C7918"/>
    <w:rsid w:val="003C7A57"/>
    <w:rsid w:val="003C7A88"/>
    <w:rsid w:val="003C7C15"/>
    <w:rsid w:val="003C7D19"/>
    <w:rsid w:val="003C7D2F"/>
    <w:rsid w:val="003C7EAC"/>
    <w:rsid w:val="003D018E"/>
    <w:rsid w:val="003D01A1"/>
    <w:rsid w:val="003D02D3"/>
    <w:rsid w:val="003D049B"/>
    <w:rsid w:val="003D04AD"/>
    <w:rsid w:val="003D04F2"/>
    <w:rsid w:val="003D0553"/>
    <w:rsid w:val="003D0919"/>
    <w:rsid w:val="003D0A81"/>
    <w:rsid w:val="003D0C5A"/>
    <w:rsid w:val="003D0CBE"/>
    <w:rsid w:val="003D0CC9"/>
    <w:rsid w:val="003D0EF7"/>
    <w:rsid w:val="003D0F16"/>
    <w:rsid w:val="003D0FC7"/>
    <w:rsid w:val="003D1165"/>
    <w:rsid w:val="003D13AE"/>
    <w:rsid w:val="003D168D"/>
    <w:rsid w:val="003D1828"/>
    <w:rsid w:val="003D191F"/>
    <w:rsid w:val="003D1A3F"/>
    <w:rsid w:val="003D1C6B"/>
    <w:rsid w:val="003D1DBA"/>
    <w:rsid w:val="003D1DE4"/>
    <w:rsid w:val="003D1E9A"/>
    <w:rsid w:val="003D1F3A"/>
    <w:rsid w:val="003D21DD"/>
    <w:rsid w:val="003D21F5"/>
    <w:rsid w:val="003D2225"/>
    <w:rsid w:val="003D224F"/>
    <w:rsid w:val="003D2422"/>
    <w:rsid w:val="003D2530"/>
    <w:rsid w:val="003D28FB"/>
    <w:rsid w:val="003D2926"/>
    <w:rsid w:val="003D29BD"/>
    <w:rsid w:val="003D34CE"/>
    <w:rsid w:val="003D34E6"/>
    <w:rsid w:val="003D3525"/>
    <w:rsid w:val="003D37CC"/>
    <w:rsid w:val="003D39A1"/>
    <w:rsid w:val="003D3A65"/>
    <w:rsid w:val="003D3AA1"/>
    <w:rsid w:val="003D3B30"/>
    <w:rsid w:val="003D3BAE"/>
    <w:rsid w:val="003D3D03"/>
    <w:rsid w:val="003D3D34"/>
    <w:rsid w:val="003D3FBF"/>
    <w:rsid w:val="003D41C1"/>
    <w:rsid w:val="003D41E1"/>
    <w:rsid w:val="003D44C2"/>
    <w:rsid w:val="003D4524"/>
    <w:rsid w:val="003D462C"/>
    <w:rsid w:val="003D4661"/>
    <w:rsid w:val="003D47F1"/>
    <w:rsid w:val="003D4804"/>
    <w:rsid w:val="003D48F9"/>
    <w:rsid w:val="003D4911"/>
    <w:rsid w:val="003D4A30"/>
    <w:rsid w:val="003D4B2A"/>
    <w:rsid w:val="003D4C5B"/>
    <w:rsid w:val="003D5149"/>
    <w:rsid w:val="003D51BB"/>
    <w:rsid w:val="003D52BF"/>
    <w:rsid w:val="003D5609"/>
    <w:rsid w:val="003D57E3"/>
    <w:rsid w:val="003D58BF"/>
    <w:rsid w:val="003D5B90"/>
    <w:rsid w:val="003D5F50"/>
    <w:rsid w:val="003D5FA2"/>
    <w:rsid w:val="003D6146"/>
    <w:rsid w:val="003D622A"/>
    <w:rsid w:val="003D6341"/>
    <w:rsid w:val="003D63FF"/>
    <w:rsid w:val="003D65A6"/>
    <w:rsid w:val="003D67A2"/>
    <w:rsid w:val="003D681A"/>
    <w:rsid w:val="003D6ACE"/>
    <w:rsid w:val="003D6B00"/>
    <w:rsid w:val="003D6BA9"/>
    <w:rsid w:val="003D6DD0"/>
    <w:rsid w:val="003D6E3F"/>
    <w:rsid w:val="003D6F1C"/>
    <w:rsid w:val="003D704F"/>
    <w:rsid w:val="003D7106"/>
    <w:rsid w:val="003D71E1"/>
    <w:rsid w:val="003D7452"/>
    <w:rsid w:val="003D76CB"/>
    <w:rsid w:val="003D79BB"/>
    <w:rsid w:val="003D79FC"/>
    <w:rsid w:val="003D7A2F"/>
    <w:rsid w:val="003D7B7E"/>
    <w:rsid w:val="003D7BCB"/>
    <w:rsid w:val="003D7C98"/>
    <w:rsid w:val="003D7D9D"/>
    <w:rsid w:val="003D7F82"/>
    <w:rsid w:val="003D7FA4"/>
    <w:rsid w:val="003E027C"/>
    <w:rsid w:val="003E03D3"/>
    <w:rsid w:val="003E0500"/>
    <w:rsid w:val="003E0543"/>
    <w:rsid w:val="003E057E"/>
    <w:rsid w:val="003E0873"/>
    <w:rsid w:val="003E08D3"/>
    <w:rsid w:val="003E0AD1"/>
    <w:rsid w:val="003E0BDB"/>
    <w:rsid w:val="003E0CA5"/>
    <w:rsid w:val="003E0CF5"/>
    <w:rsid w:val="003E0D32"/>
    <w:rsid w:val="003E0F95"/>
    <w:rsid w:val="003E1087"/>
    <w:rsid w:val="003E10E1"/>
    <w:rsid w:val="003E16C5"/>
    <w:rsid w:val="003E16F6"/>
    <w:rsid w:val="003E1A02"/>
    <w:rsid w:val="003E1BF9"/>
    <w:rsid w:val="003E1CB6"/>
    <w:rsid w:val="003E1D8D"/>
    <w:rsid w:val="003E1DCA"/>
    <w:rsid w:val="003E1E27"/>
    <w:rsid w:val="003E1E54"/>
    <w:rsid w:val="003E1FB9"/>
    <w:rsid w:val="003E23D0"/>
    <w:rsid w:val="003E251D"/>
    <w:rsid w:val="003E2B6B"/>
    <w:rsid w:val="003E2BC3"/>
    <w:rsid w:val="003E2EAE"/>
    <w:rsid w:val="003E2F85"/>
    <w:rsid w:val="003E3112"/>
    <w:rsid w:val="003E34A8"/>
    <w:rsid w:val="003E358B"/>
    <w:rsid w:val="003E3656"/>
    <w:rsid w:val="003E3892"/>
    <w:rsid w:val="003E389F"/>
    <w:rsid w:val="003E3D53"/>
    <w:rsid w:val="003E3F1D"/>
    <w:rsid w:val="003E45AC"/>
    <w:rsid w:val="003E45E9"/>
    <w:rsid w:val="003E4638"/>
    <w:rsid w:val="003E4668"/>
    <w:rsid w:val="003E4858"/>
    <w:rsid w:val="003E49D4"/>
    <w:rsid w:val="003E4A3B"/>
    <w:rsid w:val="003E4B58"/>
    <w:rsid w:val="003E4DB6"/>
    <w:rsid w:val="003E4E7D"/>
    <w:rsid w:val="003E501A"/>
    <w:rsid w:val="003E50CE"/>
    <w:rsid w:val="003E54ED"/>
    <w:rsid w:val="003E5570"/>
    <w:rsid w:val="003E5603"/>
    <w:rsid w:val="003E5699"/>
    <w:rsid w:val="003E575B"/>
    <w:rsid w:val="003E58B8"/>
    <w:rsid w:val="003E5993"/>
    <w:rsid w:val="003E5998"/>
    <w:rsid w:val="003E5A9D"/>
    <w:rsid w:val="003E5B87"/>
    <w:rsid w:val="003E5C6C"/>
    <w:rsid w:val="003E6019"/>
    <w:rsid w:val="003E6105"/>
    <w:rsid w:val="003E61E8"/>
    <w:rsid w:val="003E624E"/>
    <w:rsid w:val="003E63EA"/>
    <w:rsid w:val="003E6602"/>
    <w:rsid w:val="003E6609"/>
    <w:rsid w:val="003E69C8"/>
    <w:rsid w:val="003E6AE3"/>
    <w:rsid w:val="003E6C28"/>
    <w:rsid w:val="003E6D5F"/>
    <w:rsid w:val="003E6D76"/>
    <w:rsid w:val="003E6E9D"/>
    <w:rsid w:val="003E714F"/>
    <w:rsid w:val="003E72AF"/>
    <w:rsid w:val="003E732E"/>
    <w:rsid w:val="003E7459"/>
    <w:rsid w:val="003E7466"/>
    <w:rsid w:val="003E749E"/>
    <w:rsid w:val="003E75C4"/>
    <w:rsid w:val="003E7647"/>
    <w:rsid w:val="003E76FC"/>
    <w:rsid w:val="003E77E7"/>
    <w:rsid w:val="003E780B"/>
    <w:rsid w:val="003E7E33"/>
    <w:rsid w:val="003F0032"/>
    <w:rsid w:val="003F030F"/>
    <w:rsid w:val="003F07E2"/>
    <w:rsid w:val="003F08E2"/>
    <w:rsid w:val="003F0BFB"/>
    <w:rsid w:val="003F0D71"/>
    <w:rsid w:val="003F0D73"/>
    <w:rsid w:val="003F0EAA"/>
    <w:rsid w:val="003F0F76"/>
    <w:rsid w:val="003F0FF3"/>
    <w:rsid w:val="003F1867"/>
    <w:rsid w:val="003F1886"/>
    <w:rsid w:val="003F1965"/>
    <w:rsid w:val="003F1E3F"/>
    <w:rsid w:val="003F2183"/>
    <w:rsid w:val="003F224A"/>
    <w:rsid w:val="003F25C4"/>
    <w:rsid w:val="003F270A"/>
    <w:rsid w:val="003F27F1"/>
    <w:rsid w:val="003F2EB6"/>
    <w:rsid w:val="003F32C0"/>
    <w:rsid w:val="003F3606"/>
    <w:rsid w:val="003F3695"/>
    <w:rsid w:val="003F3885"/>
    <w:rsid w:val="003F3920"/>
    <w:rsid w:val="003F3C0B"/>
    <w:rsid w:val="003F4156"/>
    <w:rsid w:val="003F4459"/>
    <w:rsid w:val="003F44B8"/>
    <w:rsid w:val="003F46B5"/>
    <w:rsid w:val="003F470D"/>
    <w:rsid w:val="003F47AA"/>
    <w:rsid w:val="003F4C43"/>
    <w:rsid w:val="003F4E77"/>
    <w:rsid w:val="003F50ED"/>
    <w:rsid w:val="003F53F7"/>
    <w:rsid w:val="003F55B6"/>
    <w:rsid w:val="003F580C"/>
    <w:rsid w:val="003F5888"/>
    <w:rsid w:val="003F5ADF"/>
    <w:rsid w:val="003F5C71"/>
    <w:rsid w:val="003F5CE4"/>
    <w:rsid w:val="003F5D8A"/>
    <w:rsid w:val="003F5E11"/>
    <w:rsid w:val="003F615A"/>
    <w:rsid w:val="003F6322"/>
    <w:rsid w:val="003F647E"/>
    <w:rsid w:val="003F689A"/>
    <w:rsid w:val="003F68AA"/>
    <w:rsid w:val="003F68E3"/>
    <w:rsid w:val="003F6919"/>
    <w:rsid w:val="003F69A6"/>
    <w:rsid w:val="003F6F70"/>
    <w:rsid w:val="003F714E"/>
    <w:rsid w:val="003F7414"/>
    <w:rsid w:val="003F74F8"/>
    <w:rsid w:val="003F75BF"/>
    <w:rsid w:val="003F75D4"/>
    <w:rsid w:val="003F770B"/>
    <w:rsid w:val="003F772F"/>
    <w:rsid w:val="003F7782"/>
    <w:rsid w:val="003F7870"/>
    <w:rsid w:val="003F7876"/>
    <w:rsid w:val="003F78E7"/>
    <w:rsid w:val="003F7962"/>
    <w:rsid w:val="003F7E1E"/>
    <w:rsid w:val="003F7F3B"/>
    <w:rsid w:val="003F7F95"/>
    <w:rsid w:val="0040000E"/>
    <w:rsid w:val="00400061"/>
    <w:rsid w:val="00400226"/>
    <w:rsid w:val="00400251"/>
    <w:rsid w:val="00400381"/>
    <w:rsid w:val="004006BE"/>
    <w:rsid w:val="0040074C"/>
    <w:rsid w:val="0040082F"/>
    <w:rsid w:val="004008CD"/>
    <w:rsid w:val="00400B29"/>
    <w:rsid w:val="00400DBE"/>
    <w:rsid w:val="00400E23"/>
    <w:rsid w:val="00400F30"/>
    <w:rsid w:val="00401015"/>
    <w:rsid w:val="004010F4"/>
    <w:rsid w:val="00401215"/>
    <w:rsid w:val="00401307"/>
    <w:rsid w:val="00401334"/>
    <w:rsid w:val="00401402"/>
    <w:rsid w:val="004014FD"/>
    <w:rsid w:val="00401B1F"/>
    <w:rsid w:val="00401BAB"/>
    <w:rsid w:val="00401BF6"/>
    <w:rsid w:val="0040217F"/>
    <w:rsid w:val="004021A8"/>
    <w:rsid w:val="0040228C"/>
    <w:rsid w:val="004022DC"/>
    <w:rsid w:val="00402377"/>
    <w:rsid w:val="0040249E"/>
    <w:rsid w:val="004024D6"/>
    <w:rsid w:val="004025B4"/>
    <w:rsid w:val="00402641"/>
    <w:rsid w:val="004027BA"/>
    <w:rsid w:val="00402812"/>
    <w:rsid w:val="0040290B"/>
    <w:rsid w:val="00402A7C"/>
    <w:rsid w:val="00402AA4"/>
    <w:rsid w:val="00402ADB"/>
    <w:rsid w:val="00402CB9"/>
    <w:rsid w:val="00402F21"/>
    <w:rsid w:val="00402F92"/>
    <w:rsid w:val="00403080"/>
    <w:rsid w:val="004030FD"/>
    <w:rsid w:val="0040391B"/>
    <w:rsid w:val="00403A3A"/>
    <w:rsid w:val="00403B03"/>
    <w:rsid w:val="00403F07"/>
    <w:rsid w:val="004040FC"/>
    <w:rsid w:val="004041AD"/>
    <w:rsid w:val="004041C7"/>
    <w:rsid w:val="004041F6"/>
    <w:rsid w:val="00404240"/>
    <w:rsid w:val="00404759"/>
    <w:rsid w:val="004048DB"/>
    <w:rsid w:val="00404A7C"/>
    <w:rsid w:val="00404CAE"/>
    <w:rsid w:val="00404E6B"/>
    <w:rsid w:val="00404E6C"/>
    <w:rsid w:val="0040504B"/>
    <w:rsid w:val="00405338"/>
    <w:rsid w:val="00405907"/>
    <w:rsid w:val="004059F4"/>
    <w:rsid w:val="00405A88"/>
    <w:rsid w:val="00405DE3"/>
    <w:rsid w:val="00405F92"/>
    <w:rsid w:val="00406180"/>
    <w:rsid w:val="004062F2"/>
    <w:rsid w:val="0040647F"/>
    <w:rsid w:val="0040656A"/>
    <w:rsid w:val="0040692C"/>
    <w:rsid w:val="00406967"/>
    <w:rsid w:val="00406D7B"/>
    <w:rsid w:val="00406DBC"/>
    <w:rsid w:val="00407019"/>
    <w:rsid w:val="00407094"/>
    <w:rsid w:val="004070A1"/>
    <w:rsid w:val="004070C7"/>
    <w:rsid w:val="004072EC"/>
    <w:rsid w:val="00407644"/>
    <w:rsid w:val="004076E9"/>
    <w:rsid w:val="0040771E"/>
    <w:rsid w:val="00407ACF"/>
    <w:rsid w:val="00407D4A"/>
    <w:rsid w:val="00407E1C"/>
    <w:rsid w:val="00407EDC"/>
    <w:rsid w:val="00407FA6"/>
    <w:rsid w:val="00407FE5"/>
    <w:rsid w:val="004100FB"/>
    <w:rsid w:val="00410194"/>
    <w:rsid w:val="004101B0"/>
    <w:rsid w:val="004101BF"/>
    <w:rsid w:val="004101DF"/>
    <w:rsid w:val="00410326"/>
    <w:rsid w:val="004105C9"/>
    <w:rsid w:val="00410708"/>
    <w:rsid w:val="00410731"/>
    <w:rsid w:val="00410752"/>
    <w:rsid w:val="004107D1"/>
    <w:rsid w:val="00410822"/>
    <w:rsid w:val="00410A57"/>
    <w:rsid w:val="00410C7F"/>
    <w:rsid w:val="00410EC7"/>
    <w:rsid w:val="004110F9"/>
    <w:rsid w:val="00411407"/>
    <w:rsid w:val="00411408"/>
    <w:rsid w:val="004114FB"/>
    <w:rsid w:val="0041162A"/>
    <w:rsid w:val="004116D3"/>
    <w:rsid w:val="0041181A"/>
    <w:rsid w:val="004118F8"/>
    <w:rsid w:val="00411B39"/>
    <w:rsid w:val="00411BDF"/>
    <w:rsid w:val="00411C76"/>
    <w:rsid w:val="004121CD"/>
    <w:rsid w:val="00412221"/>
    <w:rsid w:val="004122D4"/>
    <w:rsid w:val="0041253B"/>
    <w:rsid w:val="00412668"/>
    <w:rsid w:val="004127A7"/>
    <w:rsid w:val="00412982"/>
    <w:rsid w:val="004129B9"/>
    <w:rsid w:val="00413085"/>
    <w:rsid w:val="0041318C"/>
    <w:rsid w:val="0041331B"/>
    <w:rsid w:val="0041333E"/>
    <w:rsid w:val="004133A3"/>
    <w:rsid w:val="004133EA"/>
    <w:rsid w:val="004134D1"/>
    <w:rsid w:val="004134F8"/>
    <w:rsid w:val="00413529"/>
    <w:rsid w:val="00413568"/>
    <w:rsid w:val="004136B2"/>
    <w:rsid w:val="0041379B"/>
    <w:rsid w:val="00413855"/>
    <w:rsid w:val="00413889"/>
    <w:rsid w:val="00413A1E"/>
    <w:rsid w:val="00413CCD"/>
    <w:rsid w:val="00413F88"/>
    <w:rsid w:val="00414082"/>
    <w:rsid w:val="00414095"/>
    <w:rsid w:val="00414476"/>
    <w:rsid w:val="004145A7"/>
    <w:rsid w:val="004146BB"/>
    <w:rsid w:val="00414C2E"/>
    <w:rsid w:val="00414D03"/>
    <w:rsid w:val="00414DEE"/>
    <w:rsid w:val="00414EFF"/>
    <w:rsid w:val="00415053"/>
    <w:rsid w:val="004151CF"/>
    <w:rsid w:val="0041536E"/>
    <w:rsid w:val="0041548F"/>
    <w:rsid w:val="00415539"/>
    <w:rsid w:val="004156AC"/>
    <w:rsid w:val="004156E0"/>
    <w:rsid w:val="00415987"/>
    <w:rsid w:val="00415BAC"/>
    <w:rsid w:val="00415D5F"/>
    <w:rsid w:val="00415FFA"/>
    <w:rsid w:val="004162E5"/>
    <w:rsid w:val="00416364"/>
    <w:rsid w:val="00416420"/>
    <w:rsid w:val="00416674"/>
    <w:rsid w:val="004168F9"/>
    <w:rsid w:val="00416EC1"/>
    <w:rsid w:val="004171F6"/>
    <w:rsid w:val="00417387"/>
    <w:rsid w:val="00417624"/>
    <w:rsid w:val="0041766B"/>
    <w:rsid w:val="004176F7"/>
    <w:rsid w:val="0041780D"/>
    <w:rsid w:val="00417AAF"/>
    <w:rsid w:val="00417D2B"/>
    <w:rsid w:val="00417E43"/>
    <w:rsid w:val="004200FC"/>
    <w:rsid w:val="004203F8"/>
    <w:rsid w:val="0042046E"/>
    <w:rsid w:val="0042047F"/>
    <w:rsid w:val="004205EB"/>
    <w:rsid w:val="00420A84"/>
    <w:rsid w:val="00420AA6"/>
    <w:rsid w:val="00420B9F"/>
    <w:rsid w:val="00420E6F"/>
    <w:rsid w:val="00420E70"/>
    <w:rsid w:val="00420EBC"/>
    <w:rsid w:val="00421067"/>
    <w:rsid w:val="004210C4"/>
    <w:rsid w:val="004216B2"/>
    <w:rsid w:val="004217E2"/>
    <w:rsid w:val="0042192C"/>
    <w:rsid w:val="00421E71"/>
    <w:rsid w:val="00422260"/>
    <w:rsid w:val="004222AE"/>
    <w:rsid w:val="004223DA"/>
    <w:rsid w:val="004224E8"/>
    <w:rsid w:val="004229C6"/>
    <w:rsid w:val="004229D3"/>
    <w:rsid w:val="004229FC"/>
    <w:rsid w:val="00422CC8"/>
    <w:rsid w:val="0042300C"/>
    <w:rsid w:val="004231AD"/>
    <w:rsid w:val="0042325A"/>
    <w:rsid w:val="00423296"/>
    <w:rsid w:val="00423549"/>
    <w:rsid w:val="0042374C"/>
    <w:rsid w:val="0042377E"/>
    <w:rsid w:val="00423965"/>
    <w:rsid w:val="00423A7F"/>
    <w:rsid w:val="00423DDA"/>
    <w:rsid w:val="0042413F"/>
    <w:rsid w:val="00424532"/>
    <w:rsid w:val="00424E24"/>
    <w:rsid w:val="00424ED2"/>
    <w:rsid w:val="0042516C"/>
    <w:rsid w:val="00425415"/>
    <w:rsid w:val="004255FD"/>
    <w:rsid w:val="004256F6"/>
    <w:rsid w:val="00425716"/>
    <w:rsid w:val="00425D08"/>
    <w:rsid w:val="00426290"/>
    <w:rsid w:val="0042629D"/>
    <w:rsid w:val="0042644F"/>
    <w:rsid w:val="004265B1"/>
    <w:rsid w:val="0042666F"/>
    <w:rsid w:val="004268EA"/>
    <w:rsid w:val="00426901"/>
    <w:rsid w:val="00426932"/>
    <w:rsid w:val="00426A57"/>
    <w:rsid w:val="00426C7C"/>
    <w:rsid w:val="004272CC"/>
    <w:rsid w:val="00427388"/>
    <w:rsid w:val="0042770C"/>
    <w:rsid w:val="004277CC"/>
    <w:rsid w:val="00427849"/>
    <w:rsid w:val="004279B1"/>
    <w:rsid w:val="00427A90"/>
    <w:rsid w:val="00427ACB"/>
    <w:rsid w:val="00427AF7"/>
    <w:rsid w:val="00427BC3"/>
    <w:rsid w:val="00427BC7"/>
    <w:rsid w:val="0043023A"/>
    <w:rsid w:val="0043035B"/>
    <w:rsid w:val="00430509"/>
    <w:rsid w:val="00430775"/>
    <w:rsid w:val="00430823"/>
    <w:rsid w:val="00430879"/>
    <w:rsid w:val="004308A0"/>
    <w:rsid w:val="004308BF"/>
    <w:rsid w:val="00430B46"/>
    <w:rsid w:val="00430B4D"/>
    <w:rsid w:val="00430D2C"/>
    <w:rsid w:val="00430F3B"/>
    <w:rsid w:val="004310C7"/>
    <w:rsid w:val="00431245"/>
    <w:rsid w:val="0043147C"/>
    <w:rsid w:val="004315BB"/>
    <w:rsid w:val="004316A5"/>
    <w:rsid w:val="004317BE"/>
    <w:rsid w:val="004319F7"/>
    <w:rsid w:val="004319F8"/>
    <w:rsid w:val="00431A36"/>
    <w:rsid w:val="00431B4E"/>
    <w:rsid w:val="00431BC6"/>
    <w:rsid w:val="00431BE5"/>
    <w:rsid w:val="00431E55"/>
    <w:rsid w:val="00431EA3"/>
    <w:rsid w:val="00431EC7"/>
    <w:rsid w:val="004321F6"/>
    <w:rsid w:val="004323E3"/>
    <w:rsid w:val="004327CC"/>
    <w:rsid w:val="00432A8A"/>
    <w:rsid w:val="00433044"/>
    <w:rsid w:val="00433114"/>
    <w:rsid w:val="00433389"/>
    <w:rsid w:val="004334DB"/>
    <w:rsid w:val="00433601"/>
    <w:rsid w:val="00433619"/>
    <w:rsid w:val="00433764"/>
    <w:rsid w:val="0043389E"/>
    <w:rsid w:val="00433922"/>
    <w:rsid w:val="00433945"/>
    <w:rsid w:val="004339A4"/>
    <w:rsid w:val="00433A90"/>
    <w:rsid w:val="00433BC8"/>
    <w:rsid w:val="00433C62"/>
    <w:rsid w:val="00433CDE"/>
    <w:rsid w:val="00433DB8"/>
    <w:rsid w:val="00433EA1"/>
    <w:rsid w:val="00433ECD"/>
    <w:rsid w:val="00433F79"/>
    <w:rsid w:val="00433FCA"/>
    <w:rsid w:val="00434088"/>
    <w:rsid w:val="0043421B"/>
    <w:rsid w:val="0043438D"/>
    <w:rsid w:val="00434476"/>
    <w:rsid w:val="00434520"/>
    <w:rsid w:val="00434597"/>
    <w:rsid w:val="00434747"/>
    <w:rsid w:val="00434779"/>
    <w:rsid w:val="00434A73"/>
    <w:rsid w:val="00434AC9"/>
    <w:rsid w:val="00434D53"/>
    <w:rsid w:val="00434E88"/>
    <w:rsid w:val="00434ECB"/>
    <w:rsid w:val="00434ECF"/>
    <w:rsid w:val="00434F0C"/>
    <w:rsid w:val="004350B9"/>
    <w:rsid w:val="00435489"/>
    <w:rsid w:val="00435724"/>
    <w:rsid w:val="004357F0"/>
    <w:rsid w:val="0043580F"/>
    <w:rsid w:val="004358EC"/>
    <w:rsid w:val="00435979"/>
    <w:rsid w:val="0043599D"/>
    <w:rsid w:val="00435B4B"/>
    <w:rsid w:val="00435D70"/>
    <w:rsid w:val="00435EB6"/>
    <w:rsid w:val="00435EC2"/>
    <w:rsid w:val="00436157"/>
    <w:rsid w:val="00436233"/>
    <w:rsid w:val="004362D2"/>
    <w:rsid w:val="00436411"/>
    <w:rsid w:val="00436875"/>
    <w:rsid w:val="00436BD7"/>
    <w:rsid w:val="00436EA6"/>
    <w:rsid w:val="0043723A"/>
    <w:rsid w:val="00437297"/>
    <w:rsid w:val="004375B9"/>
    <w:rsid w:val="004378B9"/>
    <w:rsid w:val="004379F3"/>
    <w:rsid w:val="00437F2A"/>
    <w:rsid w:val="00437FD9"/>
    <w:rsid w:val="00440261"/>
    <w:rsid w:val="00440501"/>
    <w:rsid w:val="00440579"/>
    <w:rsid w:val="00440669"/>
    <w:rsid w:val="00440673"/>
    <w:rsid w:val="00440C3A"/>
    <w:rsid w:val="00440D6E"/>
    <w:rsid w:val="004411A5"/>
    <w:rsid w:val="0044162F"/>
    <w:rsid w:val="00441633"/>
    <w:rsid w:val="004416C3"/>
    <w:rsid w:val="00441913"/>
    <w:rsid w:val="00441B95"/>
    <w:rsid w:val="00441D81"/>
    <w:rsid w:val="00441E7D"/>
    <w:rsid w:val="00441FB7"/>
    <w:rsid w:val="00441FD3"/>
    <w:rsid w:val="00442187"/>
    <w:rsid w:val="004421E1"/>
    <w:rsid w:val="0044234E"/>
    <w:rsid w:val="004423D7"/>
    <w:rsid w:val="004423D8"/>
    <w:rsid w:val="004424BB"/>
    <w:rsid w:val="00442679"/>
    <w:rsid w:val="004426EA"/>
    <w:rsid w:val="0044277A"/>
    <w:rsid w:val="004427E3"/>
    <w:rsid w:val="004428D0"/>
    <w:rsid w:val="00442D14"/>
    <w:rsid w:val="00442D2E"/>
    <w:rsid w:val="00442E55"/>
    <w:rsid w:val="00443091"/>
    <w:rsid w:val="004430D5"/>
    <w:rsid w:val="004432BD"/>
    <w:rsid w:val="004433F5"/>
    <w:rsid w:val="00443549"/>
    <w:rsid w:val="00443564"/>
    <w:rsid w:val="0044373B"/>
    <w:rsid w:val="00443941"/>
    <w:rsid w:val="0044395A"/>
    <w:rsid w:val="00443A81"/>
    <w:rsid w:val="00443A97"/>
    <w:rsid w:val="00443E6E"/>
    <w:rsid w:val="004440B9"/>
    <w:rsid w:val="00444185"/>
    <w:rsid w:val="004441F4"/>
    <w:rsid w:val="00444204"/>
    <w:rsid w:val="004443A7"/>
    <w:rsid w:val="004443CC"/>
    <w:rsid w:val="00444400"/>
    <w:rsid w:val="00444411"/>
    <w:rsid w:val="0044442C"/>
    <w:rsid w:val="00444434"/>
    <w:rsid w:val="00444440"/>
    <w:rsid w:val="0044444B"/>
    <w:rsid w:val="004445AC"/>
    <w:rsid w:val="0044493D"/>
    <w:rsid w:val="00444BF9"/>
    <w:rsid w:val="00444BFB"/>
    <w:rsid w:val="00445010"/>
    <w:rsid w:val="00445025"/>
    <w:rsid w:val="0044511E"/>
    <w:rsid w:val="004453FB"/>
    <w:rsid w:val="0044556A"/>
    <w:rsid w:val="00445709"/>
    <w:rsid w:val="00445941"/>
    <w:rsid w:val="004459DF"/>
    <w:rsid w:val="00445ED6"/>
    <w:rsid w:val="004461A8"/>
    <w:rsid w:val="004462E6"/>
    <w:rsid w:val="0044636B"/>
    <w:rsid w:val="00446385"/>
    <w:rsid w:val="00446417"/>
    <w:rsid w:val="0044648D"/>
    <w:rsid w:val="004464EB"/>
    <w:rsid w:val="00446678"/>
    <w:rsid w:val="004468E3"/>
    <w:rsid w:val="00446C00"/>
    <w:rsid w:val="00446CB3"/>
    <w:rsid w:val="00446E81"/>
    <w:rsid w:val="00446EFC"/>
    <w:rsid w:val="00446FC3"/>
    <w:rsid w:val="00446FE6"/>
    <w:rsid w:val="00447020"/>
    <w:rsid w:val="0044735B"/>
    <w:rsid w:val="004475CA"/>
    <w:rsid w:val="0044770C"/>
    <w:rsid w:val="00447AE5"/>
    <w:rsid w:val="00447B24"/>
    <w:rsid w:val="00447C61"/>
    <w:rsid w:val="00447D26"/>
    <w:rsid w:val="00447DFC"/>
    <w:rsid w:val="00447F21"/>
    <w:rsid w:val="00447F79"/>
    <w:rsid w:val="00450316"/>
    <w:rsid w:val="00450513"/>
    <w:rsid w:val="004506D1"/>
    <w:rsid w:val="00450730"/>
    <w:rsid w:val="004507D5"/>
    <w:rsid w:val="0045089F"/>
    <w:rsid w:val="0045090C"/>
    <w:rsid w:val="00450DB8"/>
    <w:rsid w:val="00450DF1"/>
    <w:rsid w:val="0045105B"/>
    <w:rsid w:val="00451098"/>
    <w:rsid w:val="0045127F"/>
    <w:rsid w:val="0045151A"/>
    <w:rsid w:val="00451B84"/>
    <w:rsid w:val="00451BCE"/>
    <w:rsid w:val="00451C26"/>
    <w:rsid w:val="00451CD2"/>
    <w:rsid w:val="00452023"/>
    <w:rsid w:val="0045203D"/>
    <w:rsid w:val="004520F9"/>
    <w:rsid w:val="00452546"/>
    <w:rsid w:val="0045271E"/>
    <w:rsid w:val="004528CC"/>
    <w:rsid w:val="0045295D"/>
    <w:rsid w:val="00452E2A"/>
    <w:rsid w:val="00452E68"/>
    <w:rsid w:val="0045301B"/>
    <w:rsid w:val="00453073"/>
    <w:rsid w:val="00453083"/>
    <w:rsid w:val="0045357C"/>
    <w:rsid w:val="004535BA"/>
    <w:rsid w:val="004537BF"/>
    <w:rsid w:val="00453968"/>
    <w:rsid w:val="00453CCB"/>
    <w:rsid w:val="00453DF1"/>
    <w:rsid w:val="004541EE"/>
    <w:rsid w:val="004542FF"/>
    <w:rsid w:val="0045430A"/>
    <w:rsid w:val="00454401"/>
    <w:rsid w:val="00454555"/>
    <w:rsid w:val="004547ED"/>
    <w:rsid w:val="0045482E"/>
    <w:rsid w:val="00454924"/>
    <w:rsid w:val="0045493E"/>
    <w:rsid w:val="00454BC4"/>
    <w:rsid w:val="00454C98"/>
    <w:rsid w:val="00454CC9"/>
    <w:rsid w:val="00454CE0"/>
    <w:rsid w:val="00454D01"/>
    <w:rsid w:val="00455095"/>
    <w:rsid w:val="00455180"/>
    <w:rsid w:val="00455403"/>
    <w:rsid w:val="0045569A"/>
    <w:rsid w:val="00455937"/>
    <w:rsid w:val="00455C06"/>
    <w:rsid w:val="00455D45"/>
    <w:rsid w:val="0045607D"/>
    <w:rsid w:val="004565D7"/>
    <w:rsid w:val="004567CF"/>
    <w:rsid w:val="0045680B"/>
    <w:rsid w:val="00456A37"/>
    <w:rsid w:val="00456B23"/>
    <w:rsid w:val="00456CA7"/>
    <w:rsid w:val="00456CCD"/>
    <w:rsid w:val="00456F29"/>
    <w:rsid w:val="0045730B"/>
    <w:rsid w:val="004573C6"/>
    <w:rsid w:val="00457457"/>
    <w:rsid w:val="004576E1"/>
    <w:rsid w:val="00457784"/>
    <w:rsid w:val="004578AF"/>
    <w:rsid w:val="00457C63"/>
    <w:rsid w:val="00457DA2"/>
    <w:rsid w:val="00460128"/>
    <w:rsid w:val="004603A4"/>
    <w:rsid w:val="00460430"/>
    <w:rsid w:val="0046062A"/>
    <w:rsid w:val="00460640"/>
    <w:rsid w:val="00460747"/>
    <w:rsid w:val="004607A4"/>
    <w:rsid w:val="00460938"/>
    <w:rsid w:val="00460AB3"/>
    <w:rsid w:val="00460ACA"/>
    <w:rsid w:val="00460B9B"/>
    <w:rsid w:val="00460F2A"/>
    <w:rsid w:val="00460F32"/>
    <w:rsid w:val="00461025"/>
    <w:rsid w:val="004614C7"/>
    <w:rsid w:val="004615B7"/>
    <w:rsid w:val="004615DE"/>
    <w:rsid w:val="00461796"/>
    <w:rsid w:val="00461F35"/>
    <w:rsid w:val="0046221B"/>
    <w:rsid w:val="00462234"/>
    <w:rsid w:val="004622AE"/>
    <w:rsid w:val="0046232B"/>
    <w:rsid w:val="004627BA"/>
    <w:rsid w:val="00462864"/>
    <w:rsid w:val="004629BA"/>
    <w:rsid w:val="00462A95"/>
    <w:rsid w:val="00462D7B"/>
    <w:rsid w:val="0046311E"/>
    <w:rsid w:val="004631B1"/>
    <w:rsid w:val="004634CA"/>
    <w:rsid w:val="00463BB9"/>
    <w:rsid w:val="00463F25"/>
    <w:rsid w:val="004642EE"/>
    <w:rsid w:val="0046431B"/>
    <w:rsid w:val="0046432B"/>
    <w:rsid w:val="00464595"/>
    <w:rsid w:val="004646A2"/>
    <w:rsid w:val="004647D9"/>
    <w:rsid w:val="004648B8"/>
    <w:rsid w:val="00464900"/>
    <w:rsid w:val="00464C72"/>
    <w:rsid w:val="0046585B"/>
    <w:rsid w:val="004658B5"/>
    <w:rsid w:val="00465A8D"/>
    <w:rsid w:val="00465B00"/>
    <w:rsid w:val="00465C86"/>
    <w:rsid w:val="00465CA9"/>
    <w:rsid w:val="00465F0B"/>
    <w:rsid w:val="00466031"/>
    <w:rsid w:val="00466045"/>
    <w:rsid w:val="0046609B"/>
    <w:rsid w:val="0046683E"/>
    <w:rsid w:val="004668BE"/>
    <w:rsid w:val="004669A8"/>
    <w:rsid w:val="00466A32"/>
    <w:rsid w:val="00466B18"/>
    <w:rsid w:val="00466CB2"/>
    <w:rsid w:val="00466E25"/>
    <w:rsid w:val="00466EEB"/>
    <w:rsid w:val="0046701C"/>
    <w:rsid w:val="00467097"/>
    <w:rsid w:val="0046752F"/>
    <w:rsid w:val="004675B8"/>
    <w:rsid w:val="00467916"/>
    <w:rsid w:val="0046793A"/>
    <w:rsid w:val="00467A1A"/>
    <w:rsid w:val="00467BA1"/>
    <w:rsid w:val="00467C2D"/>
    <w:rsid w:val="00467F1A"/>
    <w:rsid w:val="00470017"/>
    <w:rsid w:val="0047007B"/>
    <w:rsid w:val="004700B8"/>
    <w:rsid w:val="00470146"/>
    <w:rsid w:val="004703B3"/>
    <w:rsid w:val="004703BC"/>
    <w:rsid w:val="004703D5"/>
    <w:rsid w:val="0047046F"/>
    <w:rsid w:val="00470C5C"/>
    <w:rsid w:val="00470E61"/>
    <w:rsid w:val="00470F42"/>
    <w:rsid w:val="00471212"/>
    <w:rsid w:val="004712E8"/>
    <w:rsid w:val="004714D4"/>
    <w:rsid w:val="0047150B"/>
    <w:rsid w:val="0047163C"/>
    <w:rsid w:val="004716B7"/>
    <w:rsid w:val="00471744"/>
    <w:rsid w:val="00471848"/>
    <w:rsid w:val="00471928"/>
    <w:rsid w:val="00471EA5"/>
    <w:rsid w:val="00471FC2"/>
    <w:rsid w:val="00472001"/>
    <w:rsid w:val="00472182"/>
    <w:rsid w:val="0047218F"/>
    <w:rsid w:val="004721D3"/>
    <w:rsid w:val="004723ED"/>
    <w:rsid w:val="00472437"/>
    <w:rsid w:val="00472783"/>
    <w:rsid w:val="00472859"/>
    <w:rsid w:val="00472A10"/>
    <w:rsid w:val="00472A3F"/>
    <w:rsid w:val="00472A79"/>
    <w:rsid w:val="00472CD7"/>
    <w:rsid w:val="00472CF3"/>
    <w:rsid w:val="00472D3A"/>
    <w:rsid w:val="00473234"/>
    <w:rsid w:val="00473284"/>
    <w:rsid w:val="0047344E"/>
    <w:rsid w:val="00473498"/>
    <w:rsid w:val="004734A6"/>
    <w:rsid w:val="00473586"/>
    <w:rsid w:val="00473748"/>
    <w:rsid w:val="004737BB"/>
    <w:rsid w:val="0047390D"/>
    <w:rsid w:val="004739BE"/>
    <w:rsid w:val="00473BD9"/>
    <w:rsid w:val="00473E22"/>
    <w:rsid w:val="00473F19"/>
    <w:rsid w:val="00473FDD"/>
    <w:rsid w:val="00474014"/>
    <w:rsid w:val="004740D3"/>
    <w:rsid w:val="00474453"/>
    <w:rsid w:val="00474478"/>
    <w:rsid w:val="00474552"/>
    <w:rsid w:val="00474630"/>
    <w:rsid w:val="00474893"/>
    <w:rsid w:val="0047491D"/>
    <w:rsid w:val="004749E9"/>
    <w:rsid w:val="00474A54"/>
    <w:rsid w:val="00474CF7"/>
    <w:rsid w:val="00474DE3"/>
    <w:rsid w:val="004750DE"/>
    <w:rsid w:val="00475171"/>
    <w:rsid w:val="004752E9"/>
    <w:rsid w:val="004755BD"/>
    <w:rsid w:val="00475725"/>
    <w:rsid w:val="00475E22"/>
    <w:rsid w:val="00475FBC"/>
    <w:rsid w:val="00476158"/>
    <w:rsid w:val="004764A8"/>
    <w:rsid w:val="004764E5"/>
    <w:rsid w:val="0047681E"/>
    <w:rsid w:val="004768AC"/>
    <w:rsid w:val="00476A6F"/>
    <w:rsid w:val="00476B22"/>
    <w:rsid w:val="00476DD4"/>
    <w:rsid w:val="00476ED3"/>
    <w:rsid w:val="0047734E"/>
    <w:rsid w:val="004773C2"/>
    <w:rsid w:val="004774A2"/>
    <w:rsid w:val="004774CA"/>
    <w:rsid w:val="0047754B"/>
    <w:rsid w:val="00477572"/>
    <w:rsid w:val="0047776D"/>
    <w:rsid w:val="00477AAB"/>
    <w:rsid w:val="00477B5A"/>
    <w:rsid w:val="00477BB5"/>
    <w:rsid w:val="00477BEF"/>
    <w:rsid w:val="00477BF1"/>
    <w:rsid w:val="00477DCB"/>
    <w:rsid w:val="00477F70"/>
    <w:rsid w:val="00480233"/>
    <w:rsid w:val="004802EB"/>
    <w:rsid w:val="00480387"/>
    <w:rsid w:val="004803E7"/>
    <w:rsid w:val="004804E6"/>
    <w:rsid w:val="00480504"/>
    <w:rsid w:val="004807F3"/>
    <w:rsid w:val="0048088E"/>
    <w:rsid w:val="004808AA"/>
    <w:rsid w:val="00480B4A"/>
    <w:rsid w:val="00480B51"/>
    <w:rsid w:val="00480BE7"/>
    <w:rsid w:val="00480D21"/>
    <w:rsid w:val="00480E21"/>
    <w:rsid w:val="00480F2B"/>
    <w:rsid w:val="00481007"/>
    <w:rsid w:val="00481297"/>
    <w:rsid w:val="004812DA"/>
    <w:rsid w:val="0048171D"/>
    <w:rsid w:val="00481881"/>
    <w:rsid w:val="004818C2"/>
    <w:rsid w:val="004818FD"/>
    <w:rsid w:val="00481B7F"/>
    <w:rsid w:val="00481B8A"/>
    <w:rsid w:val="00481C97"/>
    <w:rsid w:val="00481E22"/>
    <w:rsid w:val="00482014"/>
    <w:rsid w:val="004822D5"/>
    <w:rsid w:val="00482702"/>
    <w:rsid w:val="00482705"/>
    <w:rsid w:val="00482720"/>
    <w:rsid w:val="00482761"/>
    <w:rsid w:val="004827C5"/>
    <w:rsid w:val="00482A14"/>
    <w:rsid w:val="00482A49"/>
    <w:rsid w:val="00482E5C"/>
    <w:rsid w:val="00482EAB"/>
    <w:rsid w:val="00482ED6"/>
    <w:rsid w:val="00482F33"/>
    <w:rsid w:val="00482FBE"/>
    <w:rsid w:val="0048315F"/>
    <w:rsid w:val="0048317C"/>
    <w:rsid w:val="00483221"/>
    <w:rsid w:val="0048353B"/>
    <w:rsid w:val="004835DC"/>
    <w:rsid w:val="004835E7"/>
    <w:rsid w:val="004836D6"/>
    <w:rsid w:val="004837A8"/>
    <w:rsid w:val="004839A0"/>
    <w:rsid w:val="00483A14"/>
    <w:rsid w:val="00483E84"/>
    <w:rsid w:val="00483FC4"/>
    <w:rsid w:val="004840A7"/>
    <w:rsid w:val="004840E3"/>
    <w:rsid w:val="00484403"/>
    <w:rsid w:val="0048479D"/>
    <w:rsid w:val="004849E4"/>
    <w:rsid w:val="004849F1"/>
    <w:rsid w:val="00484C6F"/>
    <w:rsid w:val="00484CC9"/>
    <w:rsid w:val="00484FC2"/>
    <w:rsid w:val="0048501C"/>
    <w:rsid w:val="0048518B"/>
    <w:rsid w:val="004852BF"/>
    <w:rsid w:val="00485517"/>
    <w:rsid w:val="00485526"/>
    <w:rsid w:val="004856DD"/>
    <w:rsid w:val="004859E1"/>
    <w:rsid w:val="00485EA7"/>
    <w:rsid w:val="00485F7A"/>
    <w:rsid w:val="00486106"/>
    <w:rsid w:val="00486464"/>
    <w:rsid w:val="004864F8"/>
    <w:rsid w:val="004866BD"/>
    <w:rsid w:val="004867B7"/>
    <w:rsid w:val="004867E2"/>
    <w:rsid w:val="00486814"/>
    <w:rsid w:val="0048684B"/>
    <w:rsid w:val="00486A46"/>
    <w:rsid w:val="00486A5F"/>
    <w:rsid w:val="00486AD4"/>
    <w:rsid w:val="00486B3D"/>
    <w:rsid w:val="00486DF3"/>
    <w:rsid w:val="00486ED3"/>
    <w:rsid w:val="00486FA4"/>
    <w:rsid w:val="00487012"/>
    <w:rsid w:val="00487179"/>
    <w:rsid w:val="004871CB"/>
    <w:rsid w:val="004877AF"/>
    <w:rsid w:val="00487A2B"/>
    <w:rsid w:val="00487AA8"/>
    <w:rsid w:val="00487BB8"/>
    <w:rsid w:val="00487D27"/>
    <w:rsid w:val="00487E17"/>
    <w:rsid w:val="004901A1"/>
    <w:rsid w:val="004901CB"/>
    <w:rsid w:val="004904FE"/>
    <w:rsid w:val="0049068E"/>
    <w:rsid w:val="004906C5"/>
    <w:rsid w:val="004909FF"/>
    <w:rsid w:val="00490A10"/>
    <w:rsid w:val="00490B17"/>
    <w:rsid w:val="00490D07"/>
    <w:rsid w:val="00490DBF"/>
    <w:rsid w:val="00490DC1"/>
    <w:rsid w:val="00490E23"/>
    <w:rsid w:val="004910F1"/>
    <w:rsid w:val="0049120E"/>
    <w:rsid w:val="004913AA"/>
    <w:rsid w:val="00491442"/>
    <w:rsid w:val="00491782"/>
    <w:rsid w:val="004917AA"/>
    <w:rsid w:val="00491954"/>
    <w:rsid w:val="00491985"/>
    <w:rsid w:val="00491B3A"/>
    <w:rsid w:val="00491BC0"/>
    <w:rsid w:val="00491ED1"/>
    <w:rsid w:val="00491F83"/>
    <w:rsid w:val="00491FEE"/>
    <w:rsid w:val="0049217C"/>
    <w:rsid w:val="00492252"/>
    <w:rsid w:val="00492359"/>
    <w:rsid w:val="0049245C"/>
    <w:rsid w:val="004926AD"/>
    <w:rsid w:val="004928D4"/>
    <w:rsid w:val="00492906"/>
    <w:rsid w:val="00492BBF"/>
    <w:rsid w:val="00492CAD"/>
    <w:rsid w:val="00492CFD"/>
    <w:rsid w:val="00492EFA"/>
    <w:rsid w:val="004932D8"/>
    <w:rsid w:val="00493673"/>
    <w:rsid w:val="004936D7"/>
    <w:rsid w:val="004939AF"/>
    <w:rsid w:val="00493BCF"/>
    <w:rsid w:val="0049400B"/>
    <w:rsid w:val="00494207"/>
    <w:rsid w:val="00494DD5"/>
    <w:rsid w:val="00494EBA"/>
    <w:rsid w:val="00495184"/>
    <w:rsid w:val="00495254"/>
    <w:rsid w:val="0049542A"/>
    <w:rsid w:val="00495766"/>
    <w:rsid w:val="00495912"/>
    <w:rsid w:val="00495B6E"/>
    <w:rsid w:val="00495E5F"/>
    <w:rsid w:val="00495E90"/>
    <w:rsid w:val="00495FA5"/>
    <w:rsid w:val="00496090"/>
    <w:rsid w:val="004962D2"/>
    <w:rsid w:val="00496402"/>
    <w:rsid w:val="00496460"/>
    <w:rsid w:val="004965D3"/>
    <w:rsid w:val="0049660F"/>
    <w:rsid w:val="00496683"/>
    <w:rsid w:val="004966D3"/>
    <w:rsid w:val="004967E5"/>
    <w:rsid w:val="00496894"/>
    <w:rsid w:val="00496E13"/>
    <w:rsid w:val="00496ECC"/>
    <w:rsid w:val="00497066"/>
    <w:rsid w:val="004970B1"/>
    <w:rsid w:val="004970EF"/>
    <w:rsid w:val="00497421"/>
    <w:rsid w:val="004974B5"/>
    <w:rsid w:val="0049769F"/>
    <w:rsid w:val="004979B3"/>
    <w:rsid w:val="00497BFF"/>
    <w:rsid w:val="00497F60"/>
    <w:rsid w:val="004A017B"/>
    <w:rsid w:val="004A025A"/>
    <w:rsid w:val="004A028F"/>
    <w:rsid w:val="004A02D6"/>
    <w:rsid w:val="004A037E"/>
    <w:rsid w:val="004A0611"/>
    <w:rsid w:val="004A0616"/>
    <w:rsid w:val="004A08F1"/>
    <w:rsid w:val="004A0901"/>
    <w:rsid w:val="004A0A35"/>
    <w:rsid w:val="004A0A75"/>
    <w:rsid w:val="004A0BCF"/>
    <w:rsid w:val="004A0C0D"/>
    <w:rsid w:val="004A0D98"/>
    <w:rsid w:val="004A0DA1"/>
    <w:rsid w:val="004A105C"/>
    <w:rsid w:val="004A10DE"/>
    <w:rsid w:val="004A10E3"/>
    <w:rsid w:val="004A1159"/>
    <w:rsid w:val="004A12EC"/>
    <w:rsid w:val="004A1397"/>
    <w:rsid w:val="004A13D6"/>
    <w:rsid w:val="004A146C"/>
    <w:rsid w:val="004A15DD"/>
    <w:rsid w:val="004A1731"/>
    <w:rsid w:val="004A187F"/>
    <w:rsid w:val="004A1A8B"/>
    <w:rsid w:val="004A1AC3"/>
    <w:rsid w:val="004A1B5B"/>
    <w:rsid w:val="004A1DB4"/>
    <w:rsid w:val="004A1EA1"/>
    <w:rsid w:val="004A20AB"/>
    <w:rsid w:val="004A22C8"/>
    <w:rsid w:val="004A2353"/>
    <w:rsid w:val="004A2467"/>
    <w:rsid w:val="004A250C"/>
    <w:rsid w:val="004A2646"/>
    <w:rsid w:val="004A2836"/>
    <w:rsid w:val="004A283A"/>
    <w:rsid w:val="004A289B"/>
    <w:rsid w:val="004A2BCC"/>
    <w:rsid w:val="004A2C3D"/>
    <w:rsid w:val="004A2C8F"/>
    <w:rsid w:val="004A2D64"/>
    <w:rsid w:val="004A2DC8"/>
    <w:rsid w:val="004A2E4E"/>
    <w:rsid w:val="004A31B9"/>
    <w:rsid w:val="004A35EA"/>
    <w:rsid w:val="004A36E8"/>
    <w:rsid w:val="004A3717"/>
    <w:rsid w:val="004A3866"/>
    <w:rsid w:val="004A38C7"/>
    <w:rsid w:val="004A3F7D"/>
    <w:rsid w:val="004A404B"/>
    <w:rsid w:val="004A4B5D"/>
    <w:rsid w:val="004A4B6F"/>
    <w:rsid w:val="004A4E36"/>
    <w:rsid w:val="004A516E"/>
    <w:rsid w:val="004A52E9"/>
    <w:rsid w:val="004A55D0"/>
    <w:rsid w:val="004A5616"/>
    <w:rsid w:val="004A576E"/>
    <w:rsid w:val="004A59C4"/>
    <w:rsid w:val="004A5A0B"/>
    <w:rsid w:val="004A5AF6"/>
    <w:rsid w:val="004A5C62"/>
    <w:rsid w:val="004A5DD1"/>
    <w:rsid w:val="004A5E74"/>
    <w:rsid w:val="004A6040"/>
    <w:rsid w:val="004A615B"/>
    <w:rsid w:val="004A64E8"/>
    <w:rsid w:val="004A6597"/>
    <w:rsid w:val="004A683B"/>
    <w:rsid w:val="004A68F6"/>
    <w:rsid w:val="004A698F"/>
    <w:rsid w:val="004A6995"/>
    <w:rsid w:val="004A69B8"/>
    <w:rsid w:val="004A6A9D"/>
    <w:rsid w:val="004A6AAF"/>
    <w:rsid w:val="004A6ACE"/>
    <w:rsid w:val="004A6DE2"/>
    <w:rsid w:val="004A7005"/>
    <w:rsid w:val="004A7387"/>
    <w:rsid w:val="004A74C1"/>
    <w:rsid w:val="004A7664"/>
    <w:rsid w:val="004A76B8"/>
    <w:rsid w:val="004A7848"/>
    <w:rsid w:val="004A793B"/>
    <w:rsid w:val="004A79BE"/>
    <w:rsid w:val="004A7BCB"/>
    <w:rsid w:val="004A7BFA"/>
    <w:rsid w:val="004B0198"/>
    <w:rsid w:val="004B02BA"/>
    <w:rsid w:val="004B0306"/>
    <w:rsid w:val="004B048C"/>
    <w:rsid w:val="004B0575"/>
    <w:rsid w:val="004B05B4"/>
    <w:rsid w:val="004B09A5"/>
    <w:rsid w:val="004B0D24"/>
    <w:rsid w:val="004B0E21"/>
    <w:rsid w:val="004B0EF4"/>
    <w:rsid w:val="004B0F8D"/>
    <w:rsid w:val="004B13DF"/>
    <w:rsid w:val="004B151B"/>
    <w:rsid w:val="004B1546"/>
    <w:rsid w:val="004B1922"/>
    <w:rsid w:val="004B1A34"/>
    <w:rsid w:val="004B1A97"/>
    <w:rsid w:val="004B1C6C"/>
    <w:rsid w:val="004B1CB4"/>
    <w:rsid w:val="004B1DBA"/>
    <w:rsid w:val="004B1F75"/>
    <w:rsid w:val="004B20BD"/>
    <w:rsid w:val="004B20F1"/>
    <w:rsid w:val="004B2109"/>
    <w:rsid w:val="004B22D6"/>
    <w:rsid w:val="004B2520"/>
    <w:rsid w:val="004B2880"/>
    <w:rsid w:val="004B292F"/>
    <w:rsid w:val="004B2B06"/>
    <w:rsid w:val="004B2B14"/>
    <w:rsid w:val="004B2C1C"/>
    <w:rsid w:val="004B2C62"/>
    <w:rsid w:val="004B2C8A"/>
    <w:rsid w:val="004B2E31"/>
    <w:rsid w:val="004B2F18"/>
    <w:rsid w:val="004B2F7F"/>
    <w:rsid w:val="004B3093"/>
    <w:rsid w:val="004B32EA"/>
    <w:rsid w:val="004B3483"/>
    <w:rsid w:val="004B34A8"/>
    <w:rsid w:val="004B39E0"/>
    <w:rsid w:val="004B3B8F"/>
    <w:rsid w:val="004B3DCE"/>
    <w:rsid w:val="004B3DDB"/>
    <w:rsid w:val="004B3E4C"/>
    <w:rsid w:val="004B3E79"/>
    <w:rsid w:val="004B3ED0"/>
    <w:rsid w:val="004B3F7C"/>
    <w:rsid w:val="004B4091"/>
    <w:rsid w:val="004B40A5"/>
    <w:rsid w:val="004B40C3"/>
    <w:rsid w:val="004B44FD"/>
    <w:rsid w:val="004B4696"/>
    <w:rsid w:val="004B47E0"/>
    <w:rsid w:val="004B4B26"/>
    <w:rsid w:val="004B4BB0"/>
    <w:rsid w:val="004B4C19"/>
    <w:rsid w:val="004B4DFD"/>
    <w:rsid w:val="004B5039"/>
    <w:rsid w:val="004B5106"/>
    <w:rsid w:val="004B5583"/>
    <w:rsid w:val="004B587E"/>
    <w:rsid w:val="004B5883"/>
    <w:rsid w:val="004B5921"/>
    <w:rsid w:val="004B5AB8"/>
    <w:rsid w:val="004B5ABB"/>
    <w:rsid w:val="004B5C13"/>
    <w:rsid w:val="004B5C7F"/>
    <w:rsid w:val="004B5CFC"/>
    <w:rsid w:val="004B5DD1"/>
    <w:rsid w:val="004B613A"/>
    <w:rsid w:val="004B6381"/>
    <w:rsid w:val="004B64E0"/>
    <w:rsid w:val="004B65E6"/>
    <w:rsid w:val="004B6935"/>
    <w:rsid w:val="004B6D1B"/>
    <w:rsid w:val="004B6F33"/>
    <w:rsid w:val="004B6F79"/>
    <w:rsid w:val="004B6FFD"/>
    <w:rsid w:val="004B70A9"/>
    <w:rsid w:val="004B70C4"/>
    <w:rsid w:val="004B774D"/>
    <w:rsid w:val="004B7B2D"/>
    <w:rsid w:val="004B7BB1"/>
    <w:rsid w:val="004B7D33"/>
    <w:rsid w:val="004B7DFC"/>
    <w:rsid w:val="004B7E79"/>
    <w:rsid w:val="004B7FEE"/>
    <w:rsid w:val="004C004F"/>
    <w:rsid w:val="004C0059"/>
    <w:rsid w:val="004C013B"/>
    <w:rsid w:val="004C02CE"/>
    <w:rsid w:val="004C02DC"/>
    <w:rsid w:val="004C03C3"/>
    <w:rsid w:val="004C0431"/>
    <w:rsid w:val="004C0532"/>
    <w:rsid w:val="004C063B"/>
    <w:rsid w:val="004C07A4"/>
    <w:rsid w:val="004C0840"/>
    <w:rsid w:val="004C08A0"/>
    <w:rsid w:val="004C0ADB"/>
    <w:rsid w:val="004C0B2E"/>
    <w:rsid w:val="004C0BAB"/>
    <w:rsid w:val="004C0DD0"/>
    <w:rsid w:val="004C0ED6"/>
    <w:rsid w:val="004C0F85"/>
    <w:rsid w:val="004C1049"/>
    <w:rsid w:val="004C1340"/>
    <w:rsid w:val="004C139C"/>
    <w:rsid w:val="004C13CA"/>
    <w:rsid w:val="004C143B"/>
    <w:rsid w:val="004C1517"/>
    <w:rsid w:val="004C1778"/>
    <w:rsid w:val="004C17D3"/>
    <w:rsid w:val="004C1878"/>
    <w:rsid w:val="004C1914"/>
    <w:rsid w:val="004C1A19"/>
    <w:rsid w:val="004C1B1B"/>
    <w:rsid w:val="004C1D13"/>
    <w:rsid w:val="004C2086"/>
    <w:rsid w:val="004C24E0"/>
    <w:rsid w:val="004C2517"/>
    <w:rsid w:val="004C2671"/>
    <w:rsid w:val="004C28A9"/>
    <w:rsid w:val="004C2927"/>
    <w:rsid w:val="004C29EA"/>
    <w:rsid w:val="004C2A27"/>
    <w:rsid w:val="004C2AC2"/>
    <w:rsid w:val="004C2D10"/>
    <w:rsid w:val="004C2D9D"/>
    <w:rsid w:val="004C2DA7"/>
    <w:rsid w:val="004C2F1A"/>
    <w:rsid w:val="004C32BE"/>
    <w:rsid w:val="004C3524"/>
    <w:rsid w:val="004C3550"/>
    <w:rsid w:val="004C35AB"/>
    <w:rsid w:val="004C3780"/>
    <w:rsid w:val="004C37D5"/>
    <w:rsid w:val="004C39BB"/>
    <w:rsid w:val="004C3AA7"/>
    <w:rsid w:val="004C3B02"/>
    <w:rsid w:val="004C3B71"/>
    <w:rsid w:val="004C3C5C"/>
    <w:rsid w:val="004C3F13"/>
    <w:rsid w:val="004C3F3F"/>
    <w:rsid w:val="004C4266"/>
    <w:rsid w:val="004C42E0"/>
    <w:rsid w:val="004C4774"/>
    <w:rsid w:val="004C47A4"/>
    <w:rsid w:val="004C4994"/>
    <w:rsid w:val="004C49CE"/>
    <w:rsid w:val="004C4AED"/>
    <w:rsid w:val="004C4B99"/>
    <w:rsid w:val="004C4E11"/>
    <w:rsid w:val="004C51BC"/>
    <w:rsid w:val="004C51E2"/>
    <w:rsid w:val="004C52D2"/>
    <w:rsid w:val="004C5319"/>
    <w:rsid w:val="004C54A7"/>
    <w:rsid w:val="004C56B1"/>
    <w:rsid w:val="004C576C"/>
    <w:rsid w:val="004C5849"/>
    <w:rsid w:val="004C596F"/>
    <w:rsid w:val="004C5A64"/>
    <w:rsid w:val="004C5E8A"/>
    <w:rsid w:val="004C609C"/>
    <w:rsid w:val="004C6106"/>
    <w:rsid w:val="004C62AC"/>
    <w:rsid w:val="004C63A8"/>
    <w:rsid w:val="004C69C1"/>
    <w:rsid w:val="004C6B50"/>
    <w:rsid w:val="004C6CE3"/>
    <w:rsid w:val="004C6E21"/>
    <w:rsid w:val="004C6E5E"/>
    <w:rsid w:val="004C6F44"/>
    <w:rsid w:val="004C6FFC"/>
    <w:rsid w:val="004C700C"/>
    <w:rsid w:val="004C7030"/>
    <w:rsid w:val="004C7131"/>
    <w:rsid w:val="004C7188"/>
    <w:rsid w:val="004C760A"/>
    <w:rsid w:val="004C780F"/>
    <w:rsid w:val="004C78C9"/>
    <w:rsid w:val="004C79E5"/>
    <w:rsid w:val="004C7AFA"/>
    <w:rsid w:val="004C7C94"/>
    <w:rsid w:val="004C7DDF"/>
    <w:rsid w:val="004D011A"/>
    <w:rsid w:val="004D011F"/>
    <w:rsid w:val="004D014B"/>
    <w:rsid w:val="004D033C"/>
    <w:rsid w:val="004D0571"/>
    <w:rsid w:val="004D077D"/>
    <w:rsid w:val="004D0A92"/>
    <w:rsid w:val="004D0B60"/>
    <w:rsid w:val="004D0C38"/>
    <w:rsid w:val="004D0C85"/>
    <w:rsid w:val="004D0F21"/>
    <w:rsid w:val="004D1142"/>
    <w:rsid w:val="004D1190"/>
    <w:rsid w:val="004D11A6"/>
    <w:rsid w:val="004D13D9"/>
    <w:rsid w:val="004D13DB"/>
    <w:rsid w:val="004D143F"/>
    <w:rsid w:val="004D1551"/>
    <w:rsid w:val="004D1692"/>
    <w:rsid w:val="004D1921"/>
    <w:rsid w:val="004D1943"/>
    <w:rsid w:val="004D1A4E"/>
    <w:rsid w:val="004D1A60"/>
    <w:rsid w:val="004D1B58"/>
    <w:rsid w:val="004D1BB3"/>
    <w:rsid w:val="004D1D12"/>
    <w:rsid w:val="004D1D4B"/>
    <w:rsid w:val="004D1DC8"/>
    <w:rsid w:val="004D1EA4"/>
    <w:rsid w:val="004D1EE6"/>
    <w:rsid w:val="004D1EF3"/>
    <w:rsid w:val="004D1F47"/>
    <w:rsid w:val="004D1F7C"/>
    <w:rsid w:val="004D1F9E"/>
    <w:rsid w:val="004D2058"/>
    <w:rsid w:val="004D210E"/>
    <w:rsid w:val="004D2148"/>
    <w:rsid w:val="004D21F3"/>
    <w:rsid w:val="004D22A5"/>
    <w:rsid w:val="004D2328"/>
    <w:rsid w:val="004D23EF"/>
    <w:rsid w:val="004D278E"/>
    <w:rsid w:val="004D27B6"/>
    <w:rsid w:val="004D2A4A"/>
    <w:rsid w:val="004D2C2D"/>
    <w:rsid w:val="004D2C7B"/>
    <w:rsid w:val="004D3088"/>
    <w:rsid w:val="004D30A8"/>
    <w:rsid w:val="004D31F2"/>
    <w:rsid w:val="004D3272"/>
    <w:rsid w:val="004D3368"/>
    <w:rsid w:val="004D3469"/>
    <w:rsid w:val="004D34AE"/>
    <w:rsid w:val="004D34B6"/>
    <w:rsid w:val="004D3513"/>
    <w:rsid w:val="004D3E57"/>
    <w:rsid w:val="004D3EEB"/>
    <w:rsid w:val="004D3FF3"/>
    <w:rsid w:val="004D4361"/>
    <w:rsid w:val="004D46F5"/>
    <w:rsid w:val="004D476D"/>
    <w:rsid w:val="004D4781"/>
    <w:rsid w:val="004D4798"/>
    <w:rsid w:val="004D4851"/>
    <w:rsid w:val="004D4930"/>
    <w:rsid w:val="004D49E3"/>
    <w:rsid w:val="004D4BCB"/>
    <w:rsid w:val="004D4D1D"/>
    <w:rsid w:val="004D4D74"/>
    <w:rsid w:val="004D4F7B"/>
    <w:rsid w:val="004D516B"/>
    <w:rsid w:val="004D5193"/>
    <w:rsid w:val="004D524C"/>
    <w:rsid w:val="004D56CB"/>
    <w:rsid w:val="004D5E0D"/>
    <w:rsid w:val="004D5EC6"/>
    <w:rsid w:val="004D6273"/>
    <w:rsid w:val="004D647B"/>
    <w:rsid w:val="004D64CD"/>
    <w:rsid w:val="004D6592"/>
    <w:rsid w:val="004D6650"/>
    <w:rsid w:val="004D68A0"/>
    <w:rsid w:val="004D68A1"/>
    <w:rsid w:val="004D69B5"/>
    <w:rsid w:val="004D6BDE"/>
    <w:rsid w:val="004D705E"/>
    <w:rsid w:val="004D707C"/>
    <w:rsid w:val="004D7227"/>
    <w:rsid w:val="004D7B5E"/>
    <w:rsid w:val="004D7D8F"/>
    <w:rsid w:val="004E03BD"/>
    <w:rsid w:val="004E0490"/>
    <w:rsid w:val="004E04CF"/>
    <w:rsid w:val="004E054C"/>
    <w:rsid w:val="004E0804"/>
    <w:rsid w:val="004E0BFE"/>
    <w:rsid w:val="004E0E7F"/>
    <w:rsid w:val="004E0EB8"/>
    <w:rsid w:val="004E0EC9"/>
    <w:rsid w:val="004E1126"/>
    <w:rsid w:val="004E115A"/>
    <w:rsid w:val="004E142E"/>
    <w:rsid w:val="004E1493"/>
    <w:rsid w:val="004E15E8"/>
    <w:rsid w:val="004E166F"/>
    <w:rsid w:val="004E16B8"/>
    <w:rsid w:val="004E176D"/>
    <w:rsid w:val="004E1781"/>
    <w:rsid w:val="004E17DB"/>
    <w:rsid w:val="004E18E9"/>
    <w:rsid w:val="004E1A11"/>
    <w:rsid w:val="004E1DC3"/>
    <w:rsid w:val="004E1F12"/>
    <w:rsid w:val="004E2198"/>
    <w:rsid w:val="004E29DA"/>
    <w:rsid w:val="004E2AD5"/>
    <w:rsid w:val="004E2ADC"/>
    <w:rsid w:val="004E2B2A"/>
    <w:rsid w:val="004E2C50"/>
    <w:rsid w:val="004E2D2F"/>
    <w:rsid w:val="004E2EC6"/>
    <w:rsid w:val="004E31C6"/>
    <w:rsid w:val="004E31EE"/>
    <w:rsid w:val="004E32A5"/>
    <w:rsid w:val="004E330B"/>
    <w:rsid w:val="004E352E"/>
    <w:rsid w:val="004E3561"/>
    <w:rsid w:val="004E36BA"/>
    <w:rsid w:val="004E36EE"/>
    <w:rsid w:val="004E3C58"/>
    <w:rsid w:val="004E3D19"/>
    <w:rsid w:val="004E3EC2"/>
    <w:rsid w:val="004E41B7"/>
    <w:rsid w:val="004E42C3"/>
    <w:rsid w:val="004E42EA"/>
    <w:rsid w:val="004E43B2"/>
    <w:rsid w:val="004E4882"/>
    <w:rsid w:val="004E4A71"/>
    <w:rsid w:val="004E4AF5"/>
    <w:rsid w:val="004E4B0E"/>
    <w:rsid w:val="004E535A"/>
    <w:rsid w:val="004E53F5"/>
    <w:rsid w:val="004E5467"/>
    <w:rsid w:val="004E569C"/>
    <w:rsid w:val="004E5BE1"/>
    <w:rsid w:val="004E5C4A"/>
    <w:rsid w:val="004E5CA6"/>
    <w:rsid w:val="004E5CCB"/>
    <w:rsid w:val="004E5E43"/>
    <w:rsid w:val="004E5EF2"/>
    <w:rsid w:val="004E5F38"/>
    <w:rsid w:val="004E60B1"/>
    <w:rsid w:val="004E6602"/>
    <w:rsid w:val="004E66A4"/>
    <w:rsid w:val="004E68EE"/>
    <w:rsid w:val="004E6A5E"/>
    <w:rsid w:val="004E6A64"/>
    <w:rsid w:val="004E6F8B"/>
    <w:rsid w:val="004E6FB6"/>
    <w:rsid w:val="004E73B5"/>
    <w:rsid w:val="004E73BA"/>
    <w:rsid w:val="004E74BB"/>
    <w:rsid w:val="004E7764"/>
    <w:rsid w:val="004E7882"/>
    <w:rsid w:val="004E78E1"/>
    <w:rsid w:val="004E7910"/>
    <w:rsid w:val="004E7A3C"/>
    <w:rsid w:val="004E7C14"/>
    <w:rsid w:val="004E7D99"/>
    <w:rsid w:val="004F0141"/>
    <w:rsid w:val="004F024E"/>
    <w:rsid w:val="004F0367"/>
    <w:rsid w:val="004F0527"/>
    <w:rsid w:val="004F0678"/>
    <w:rsid w:val="004F0C38"/>
    <w:rsid w:val="004F0CE3"/>
    <w:rsid w:val="004F0DA0"/>
    <w:rsid w:val="004F0E5C"/>
    <w:rsid w:val="004F0F21"/>
    <w:rsid w:val="004F1233"/>
    <w:rsid w:val="004F1328"/>
    <w:rsid w:val="004F13A3"/>
    <w:rsid w:val="004F13E2"/>
    <w:rsid w:val="004F16CD"/>
    <w:rsid w:val="004F17A8"/>
    <w:rsid w:val="004F185E"/>
    <w:rsid w:val="004F1AAE"/>
    <w:rsid w:val="004F1B7B"/>
    <w:rsid w:val="004F1D02"/>
    <w:rsid w:val="004F2065"/>
    <w:rsid w:val="004F2066"/>
    <w:rsid w:val="004F2281"/>
    <w:rsid w:val="004F22CA"/>
    <w:rsid w:val="004F2370"/>
    <w:rsid w:val="004F2448"/>
    <w:rsid w:val="004F2679"/>
    <w:rsid w:val="004F271E"/>
    <w:rsid w:val="004F2C0B"/>
    <w:rsid w:val="004F2CAB"/>
    <w:rsid w:val="004F2EB6"/>
    <w:rsid w:val="004F2F21"/>
    <w:rsid w:val="004F3121"/>
    <w:rsid w:val="004F313E"/>
    <w:rsid w:val="004F322D"/>
    <w:rsid w:val="004F32A6"/>
    <w:rsid w:val="004F34A0"/>
    <w:rsid w:val="004F34A4"/>
    <w:rsid w:val="004F3568"/>
    <w:rsid w:val="004F370E"/>
    <w:rsid w:val="004F3845"/>
    <w:rsid w:val="004F3AD6"/>
    <w:rsid w:val="004F3BF4"/>
    <w:rsid w:val="004F3DE5"/>
    <w:rsid w:val="004F43AF"/>
    <w:rsid w:val="004F4605"/>
    <w:rsid w:val="004F4799"/>
    <w:rsid w:val="004F481C"/>
    <w:rsid w:val="004F4AD1"/>
    <w:rsid w:val="004F4B7E"/>
    <w:rsid w:val="004F4E4A"/>
    <w:rsid w:val="004F5001"/>
    <w:rsid w:val="004F50BA"/>
    <w:rsid w:val="004F5118"/>
    <w:rsid w:val="004F5181"/>
    <w:rsid w:val="004F5554"/>
    <w:rsid w:val="004F558A"/>
    <w:rsid w:val="004F55AB"/>
    <w:rsid w:val="004F5632"/>
    <w:rsid w:val="004F5670"/>
    <w:rsid w:val="004F567A"/>
    <w:rsid w:val="004F5797"/>
    <w:rsid w:val="004F57CE"/>
    <w:rsid w:val="004F59C3"/>
    <w:rsid w:val="004F5DD2"/>
    <w:rsid w:val="004F5F92"/>
    <w:rsid w:val="004F60E3"/>
    <w:rsid w:val="004F6120"/>
    <w:rsid w:val="004F64B8"/>
    <w:rsid w:val="004F6913"/>
    <w:rsid w:val="004F6AED"/>
    <w:rsid w:val="004F6B23"/>
    <w:rsid w:val="004F6F9C"/>
    <w:rsid w:val="004F721E"/>
    <w:rsid w:val="004F75A0"/>
    <w:rsid w:val="004F763B"/>
    <w:rsid w:val="004F7829"/>
    <w:rsid w:val="004F7865"/>
    <w:rsid w:val="004F7966"/>
    <w:rsid w:val="004F7C0A"/>
    <w:rsid w:val="004F7D20"/>
    <w:rsid w:val="004F7E6F"/>
    <w:rsid w:val="005003EA"/>
    <w:rsid w:val="005008EF"/>
    <w:rsid w:val="005009C3"/>
    <w:rsid w:val="005009D2"/>
    <w:rsid w:val="00500C2A"/>
    <w:rsid w:val="00500C51"/>
    <w:rsid w:val="00500E2C"/>
    <w:rsid w:val="00500F14"/>
    <w:rsid w:val="00500FCC"/>
    <w:rsid w:val="0050102B"/>
    <w:rsid w:val="00501119"/>
    <w:rsid w:val="005011D0"/>
    <w:rsid w:val="005012D6"/>
    <w:rsid w:val="00501379"/>
    <w:rsid w:val="0050140E"/>
    <w:rsid w:val="0050148E"/>
    <w:rsid w:val="00501705"/>
    <w:rsid w:val="0050174E"/>
    <w:rsid w:val="00501854"/>
    <w:rsid w:val="00501C55"/>
    <w:rsid w:val="00501D42"/>
    <w:rsid w:val="00501D6D"/>
    <w:rsid w:val="00501E19"/>
    <w:rsid w:val="00501E57"/>
    <w:rsid w:val="00501E5C"/>
    <w:rsid w:val="005020D1"/>
    <w:rsid w:val="0050219B"/>
    <w:rsid w:val="005024A4"/>
    <w:rsid w:val="005025D1"/>
    <w:rsid w:val="00502613"/>
    <w:rsid w:val="005026DC"/>
    <w:rsid w:val="005027EA"/>
    <w:rsid w:val="00502B44"/>
    <w:rsid w:val="00502C15"/>
    <w:rsid w:val="00502C21"/>
    <w:rsid w:val="00502C25"/>
    <w:rsid w:val="00502D27"/>
    <w:rsid w:val="00502D70"/>
    <w:rsid w:val="005030FB"/>
    <w:rsid w:val="0050312E"/>
    <w:rsid w:val="0050322E"/>
    <w:rsid w:val="0050336E"/>
    <w:rsid w:val="005034DD"/>
    <w:rsid w:val="005034FC"/>
    <w:rsid w:val="005037EA"/>
    <w:rsid w:val="00503810"/>
    <w:rsid w:val="0050381B"/>
    <w:rsid w:val="00503868"/>
    <w:rsid w:val="005038AB"/>
    <w:rsid w:val="00503B42"/>
    <w:rsid w:val="00503B7E"/>
    <w:rsid w:val="00503C2F"/>
    <w:rsid w:val="00503D06"/>
    <w:rsid w:val="00503F17"/>
    <w:rsid w:val="00503F3A"/>
    <w:rsid w:val="00504009"/>
    <w:rsid w:val="005042CB"/>
    <w:rsid w:val="005045A9"/>
    <w:rsid w:val="0050467D"/>
    <w:rsid w:val="005046C6"/>
    <w:rsid w:val="0050492F"/>
    <w:rsid w:val="00504E1C"/>
    <w:rsid w:val="00504E8A"/>
    <w:rsid w:val="00504F1D"/>
    <w:rsid w:val="00504FB9"/>
    <w:rsid w:val="005052DB"/>
    <w:rsid w:val="0050535E"/>
    <w:rsid w:val="005053C0"/>
    <w:rsid w:val="00505614"/>
    <w:rsid w:val="00505797"/>
    <w:rsid w:val="00505854"/>
    <w:rsid w:val="00505977"/>
    <w:rsid w:val="005059A6"/>
    <w:rsid w:val="00505DAD"/>
    <w:rsid w:val="00505E81"/>
    <w:rsid w:val="005060AD"/>
    <w:rsid w:val="0050625A"/>
    <w:rsid w:val="005063FE"/>
    <w:rsid w:val="0050640A"/>
    <w:rsid w:val="00506478"/>
    <w:rsid w:val="005064C6"/>
    <w:rsid w:val="005066B1"/>
    <w:rsid w:val="0050687F"/>
    <w:rsid w:val="0050689A"/>
    <w:rsid w:val="00506928"/>
    <w:rsid w:val="00506945"/>
    <w:rsid w:val="00506D32"/>
    <w:rsid w:val="00506DA5"/>
    <w:rsid w:val="005070B4"/>
    <w:rsid w:val="00507437"/>
    <w:rsid w:val="005077EF"/>
    <w:rsid w:val="00507C61"/>
    <w:rsid w:val="00507DEB"/>
    <w:rsid w:val="005101A0"/>
    <w:rsid w:val="00510257"/>
    <w:rsid w:val="0051028D"/>
    <w:rsid w:val="005103A7"/>
    <w:rsid w:val="005104CD"/>
    <w:rsid w:val="005109A3"/>
    <w:rsid w:val="00510D23"/>
    <w:rsid w:val="00510F2A"/>
    <w:rsid w:val="00510FAD"/>
    <w:rsid w:val="005111EE"/>
    <w:rsid w:val="005113C4"/>
    <w:rsid w:val="005114E4"/>
    <w:rsid w:val="005115B7"/>
    <w:rsid w:val="0051177F"/>
    <w:rsid w:val="0051194E"/>
    <w:rsid w:val="00511990"/>
    <w:rsid w:val="00511A6C"/>
    <w:rsid w:val="00511AD5"/>
    <w:rsid w:val="00511AD8"/>
    <w:rsid w:val="00511B0D"/>
    <w:rsid w:val="00511C30"/>
    <w:rsid w:val="00511C96"/>
    <w:rsid w:val="00511D7C"/>
    <w:rsid w:val="00511DC7"/>
    <w:rsid w:val="00511FEA"/>
    <w:rsid w:val="00512047"/>
    <w:rsid w:val="005121EA"/>
    <w:rsid w:val="00512420"/>
    <w:rsid w:val="005125E0"/>
    <w:rsid w:val="00512724"/>
    <w:rsid w:val="00512810"/>
    <w:rsid w:val="0051298E"/>
    <w:rsid w:val="00512A96"/>
    <w:rsid w:val="00512D3A"/>
    <w:rsid w:val="00512DBA"/>
    <w:rsid w:val="00512E50"/>
    <w:rsid w:val="00512EEE"/>
    <w:rsid w:val="005130EF"/>
    <w:rsid w:val="0051341A"/>
    <w:rsid w:val="00513604"/>
    <w:rsid w:val="00513737"/>
    <w:rsid w:val="00513871"/>
    <w:rsid w:val="00513AD7"/>
    <w:rsid w:val="00513AEB"/>
    <w:rsid w:val="00513C48"/>
    <w:rsid w:val="00513D04"/>
    <w:rsid w:val="00513EA8"/>
    <w:rsid w:val="00513EEB"/>
    <w:rsid w:val="00513F33"/>
    <w:rsid w:val="00513FB0"/>
    <w:rsid w:val="00514026"/>
    <w:rsid w:val="005141AC"/>
    <w:rsid w:val="0051427F"/>
    <w:rsid w:val="005142C5"/>
    <w:rsid w:val="00514451"/>
    <w:rsid w:val="00514586"/>
    <w:rsid w:val="005146A2"/>
    <w:rsid w:val="005148BD"/>
    <w:rsid w:val="00514B8C"/>
    <w:rsid w:val="00514C4E"/>
    <w:rsid w:val="00514FAB"/>
    <w:rsid w:val="0051501B"/>
    <w:rsid w:val="0051513A"/>
    <w:rsid w:val="00515152"/>
    <w:rsid w:val="005151D2"/>
    <w:rsid w:val="0051524E"/>
    <w:rsid w:val="005152B5"/>
    <w:rsid w:val="00515386"/>
    <w:rsid w:val="0051551A"/>
    <w:rsid w:val="005155AB"/>
    <w:rsid w:val="00515813"/>
    <w:rsid w:val="00515826"/>
    <w:rsid w:val="0051585B"/>
    <w:rsid w:val="00515886"/>
    <w:rsid w:val="00515923"/>
    <w:rsid w:val="00515998"/>
    <w:rsid w:val="00515A37"/>
    <w:rsid w:val="00515B1F"/>
    <w:rsid w:val="00515C67"/>
    <w:rsid w:val="00515CC3"/>
    <w:rsid w:val="005160DA"/>
    <w:rsid w:val="005161A7"/>
    <w:rsid w:val="005162D3"/>
    <w:rsid w:val="00516366"/>
    <w:rsid w:val="00516559"/>
    <w:rsid w:val="005166BD"/>
    <w:rsid w:val="005166D7"/>
    <w:rsid w:val="00516863"/>
    <w:rsid w:val="005169A4"/>
    <w:rsid w:val="00516BA8"/>
    <w:rsid w:val="00516D5A"/>
    <w:rsid w:val="00516DA5"/>
    <w:rsid w:val="00516E0E"/>
    <w:rsid w:val="0051704F"/>
    <w:rsid w:val="00517141"/>
    <w:rsid w:val="00517352"/>
    <w:rsid w:val="005174F0"/>
    <w:rsid w:val="005175FB"/>
    <w:rsid w:val="0051797C"/>
    <w:rsid w:val="00517A2B"/>
    <w:rsid w:val="00517A61"/>
    <w:rsid w:val="00517ACB"/>
    <w:rsid w:val="00517D6F"/>
    <w:rsid w:val="00517DC0"/>
    <w:rsid w:val="00517E17"/>
    <w:rsid w:val="005200D5"/>
    <w:rsid w:val="005202D0"/>
    <w:rsid w:val="0052059E"/>
    <w:rsid w:val="0052062F"/>
    <w:rsid w:val="00520958"/>
    <w:rsid w:val="00520AA7"/>
    <w:rsid w:val="00520B0E"/>
    <w:rsid w:val="00520C37"/>
    <w:rsid w:val="00520CD9"/>
    <w:rsid w:val="00520D7F"/>
    <w:rsid w:val="00521165"/>
    <w:rsid w:val="0052123C"/>
    <w:rsid w:val="0052130E"/>
    <w:rsid w:val="00521319"/>
    <w:rsid w:val="005213A5"/>
    <w:rsid w:val="0052196E"/>
    <w:rsid w:val="00521A2C"/>
    <w:rsid w:val="00521CC6"/>
    <w:rsid w:val="00521CF2"/>
    <w:rsid w:val="00521D6E"/>
    <w:rsid w:val="00521EFD"/>
    <w:rsid w:val="005220C3"/>
    <w:rsid w:val="0052223D"/>
    <w:rsid w:val="005223C3"/>
    <w:rsid w:val="005226C4"/>
    <w:rsid w:val="005227E3"/>
    <w:rsid w:val="0052286E"/>
    <w:rsid w:val="005229C6"/>
    <w:rsid w:val="005229D1"/>
    <w:rsid w:val="00522BC8"/>
    <w:rsid w:val="00522C99"/>
    <w:rsid w:val="00522CB8"/>
    <w:rsid w:val="00522DA3"/>
    <w:rsid w:val="00522FDF"/>
    <w:rsid w:val="0052300D"/>
    <w:rsid w:val="005230BF"/>
    <w:rsid w:val="0052332C"/>
    <w:rsid w:val="00523505"/>
    <w:rsid w:val="00523615"/>
    <w:rsid w:val="00523885"/>
    <w:rsid w:val="005238C3"/>
    <w:rsid w:val="00523C28"/>
    <w:rsid w:val="00523CC3"/>
    <w:rsid w:val="00523EC5"/>
    <w:rsid w:val="00523EE4"/>
    <w:rsid w:val="005248FB"/>
    <w:rsid w:val="0052494E"/>
    <w:rsid w:val="00524B16"/>
    <w:rsid w:val="00524B4D"/>
    <w:rsid w:val="00524D8F"/>
    <w:rsid w:val="00524EB6"/>
    <w:rsid w:val="00525167"/>
    <w:rsid w:val="0052523F"/>
    <w:rsid w:val="0052530B"/>
    <w:rsid w:val="005253CA"/>
    <w:rsid w:val="0052575D"/>
    <w:rsid w:val="00525C01"/>
    <w:rsid w:val="00525E6A"/>
    <w:rsid w:val="00526004"/>
    <w:rsid w:val="00526104"/>
    <w:rsid w:val="00526204"/>
    <w:rsid w:val="0052682A"/>
    <w:rsid w:val="00526879"/>
    <w:rsid w:val="00526A63"/>
    <w:rsid w:val="00526A69"/>
    <w:rsid w:val="00526AB3"/>
    <w:rsid w:val="00526BE2"/>
    <w:rsid w:val="00526BFB"/>
    <w:rsid w:val="00527120"/>
    <w:rsid w:val="0052740A"/>
    <w:rsid w:val="00527451"/>
    <w:rsid w:val="005275A1"/>
    <w:rsid w:val="005277A7"/>
    <w:rsid w:val="005278D0"/>
    <w:rsid w:val="00527AF3"/>
    <w:rsid w:val="00527B0A"/>
    <w:rsid w:val="00527B8C"/>
    <w:rsid w:val="0053009A"/>
    <w:rsid w:val="005300CA"/>
    <w:rsid w:val="005302FE"/>
    <w:rsid w:val="005304C2"/>
    <w:rsid w:val="005304D8"/>
    <w:rsid w:val="0053062F"/>
    <w:rsid w:val="0053067A"/>
    <w:rsid w:val="005307A6"/>
    <w:rsid w:val="005307D9"/>
    <w:rsid w:val="005307F2"/>
    <w:rsid w:val="00530979"/>
    <w:rsid w:val="00530AE4"/>
    <w:rsid w:val="00530AF1"/>
    <w:rsid w:val="00530D9D"/>
    <w:rsid w:val="00530E2A"/>
    <w:rsid w:val="00530EFF"/>
    <w:rsid w:val="00530F1C"/>
    <w:rsid w:val="00530FD4"/>
    <w:rsid w:val="005310A9"/>
    <w:rsid w:val="0053154C"/>
    <w:rsid w:val="0053161C"/>
    <w:rsid w:val="0053176B"/>
    <w:rsid w:val="0053198D"/>
    <w:rsid w:val="00531CAD"/>
    <w:rsid w:val="00531D7A"/>
    <w:rsid w:val="00531DCA"/>
    <w:rsid w:val="00531F20"/>
    <w:rsid w:val="00531F48"/>
    <w:rsid w:val="00532033"/>
    <w:rsid w:val="005321D5"/>
    <w:rsid w:val="0053265A"/>
    <w:rsid w:val="005326DF"/>
    <w:rsid w:val="00532857"/>
    <w:rsid w:val="00532F17"/>
    <w:rsid w:val="00533001"/>
    <w:rsid w:val="00533027"/>
    <w:rsid w:val="005331CC"/>
    <w:rsid w:val="005336C1"/>
    <w:rsid w:val="005337A1"/>
    <w:rsid w:val="005338B1"/>
    <w:rsid w:val="0053395D"/>
    <w:rsid w:val="00533D73"/>
    <w:rsid w:val="00533DC0"/>
    <w:rsid w:val="00533ECE"/>
    <w:rsid w:val="00533F44"/>
    <w:rsid w:val="00534097"/>
    <w:rsid w:val="005341B3"/>
    <w:rsid w:val="00534314"/>
    <w:rsid w:val="005345C5"/>
    <w:rsid w:val="0053461C"/>
    <w:rsid w:val="00534752"/>
    <w:rsid w:val="005348C4"/>
    <w:rsid w:val="005349EB"/>
    <w:rsid w:val="00534C98"/>
    <w:rsid w:val="00534DC1"/>
    <w:rsid w:val="00534FB2"/>
    <w:rsid w:val="0053502A"/>
    <w:rsid w:val="0053539D"/>
    <w:rsid w:val="00535489"/>
    <w:rsid w:val="00535598"/>
    <w:rsid w:val="00535621"/>
    <w:rsid w:val="005356C5"/>
    <w:rsid w:val="00535AC6"/>
    <w:rsid w:val="00535B09"/>
    <w:rsid w:val="00535CD9"/>
    <w:rsid w:val="00535F0C"/>
    <w:rsid w:val="005360BA"/>
    <w:rsid w:val="005360D9"/>
    <w:rsid w:val="005361D9"/>
    <w:rsid w:val="00536365"/>
    <w:rsid w:val="00536597"/>
    <w:rsid w:val="005367C2"/>
    <w:rsid w:val="00536A68"/>
    <w:rsid w:val="00536B26"/>
    <w:rsid w:val="00536DAD"/>
    <w:rsid w:val="00536E04"/>
    <w:rsid w:val="00536E6B"/>
    <w:rsid w:val="00536F42"/>
    <w:rsid w:val="00537182"/>
    <w:rsid w:val="00537191"/>
    <w:rsid w:val="0053722F"/>
    <w:rsid w:val="0053725F"/>
    <w:rsid w:val="00537279"/>
    <w:rsid w:val="0053746F"/>
    <w:rsid w:val="0053747F"/>
    <w:rsid w:val="00537674"/>
    <w:rsid w:val="00537858"/>
    <w:rsid w:val="005379B1"/>
    <w:rsid w:val="00537ADD"/>
    <w:rsid w:val="00537DA5"/>
    <w:rsid w:val="00537F1C"/>
    <w:rsid w:val="00540133"/>
    <w:rsid w:val="00540310"/>
    <w:rsid w:val="00540C05"/>
    <w:rsid w:val="00540CB4"/>
    <w:rsid w:val="00540D14"/>
    <w:rsid w:val="00540D76"/>
    <w:rsid w:val="00541121"/>
    <w:rsid w:val="00541316"/>
    <w:rsid w:val="00541454"/>
    <w:rsid w:val="00541505"/>
    <w:rsid w:val="00541510"/>
    <w:rsid w:val="0054159A"/>
    <w:rsid w:val="005416A4"/>
    <w:rsid w:val="00541857"/>
    <w:rsid w:val="00541935"/>
    <w:rsid w:val="005419B0"/>
    <w:rsid w:val="00541A1D"/>
    <w:rsid w:val="00541CEE"/>
    <w:rsid w:val="00541EDD"/>
    <w:rsid w:val="0054210C"/>
    <w:rsid w:val="00542116"/>
    <w:rsid w:val="0054220C"/>
    <w:rsid w:val="0054229C"/>
    <w:rsid w:val="005424A7"/>
    <w:rsid w:val="0054253E"/>
    <w:rsid w:val="00542743"/>
    <w:rsid w:val="005427B4"/>
    <w:rsid w:val="00542C2D"/>
    <w:rsid w:val="00542E8E"/>
    <w:rsid w:val="005430F9"/>
    <w:rsid w:val="005432CC"/>
    <w:rsid w:val="005432F3"/>
    <w:rsid w:val="00543387"/>
    <w:rsid w:val="005433AF"/>
    <w:rsid w:val="0054345D"/>
    <w:rsid w:val="005436D6"/>
    <w:rsid w:val="00543962"/>
    <w:rsid w:val="00543C78"/>
    <w:rsid w:val="00543C8C"/>
    <w:rsid w:val="00543D0F"/>
    <w:rsid w:val="00543F60"/>
    <w:rsid w:val="00543FAA"/>
    <w:rsid w:val="00544167"/>
    <w:rsid w:val="00544177"/>
    <w:rsid w:val="005442E3"/>
    <w:rsid w:val="005442EE"/>
    <w:rsid w:val="00544980"/>
    <w:rsid w:val="00544A2A"/>
    <w:rsid w:val="00544B63"/>
    <w:rsid w:val="00545577"/>
    <w:rsid w:val="0054566C"/>
    <w:rsid w:val="005456D1"/>
    <w:rsid w:val="00545CC5"/>
    <w:rsid w:val="00546052"/>
    <w:rsid w:val="005460C1"/>
    <w:rsid w:val="005460CB"/>
    <w:rsid w:val="005460F4"/>
    <w:rsid w:val="005460F9"/>
    <w:rsid w:val="0054636D"/>
    <w:rsid w:val="005464B9"/>
    <w:rsid w:val="00546867"/>
    <w:rsid w:val="00546B12"/>
    <w:rsid w:val="00546DAD"/>
    <w:rsid w:val="00546ED0"/>
    <w:rsid w:val="00547021"/>
    <w:rsid w:val="005471B5"/>
    <w:rsid w:val="00547229"/>
    <w:rsid w:val="005473C3"/>
    <w:rsid w:val="0054744A"/>
    <w:rsid w:val="00547454"/>
    <w:rsid w:val="0054774A"/>
    <w:rsid w:val="0054779C"/>
    <w:rsid w:val="005477BA"/>
    <w:rsid w:val="00547805"/>
    <w:rsid w:val="00547847"/>
    <w:rsid w:val="005478BD"/>
    <w:rsid w:val="0054792A"/>
    <w:rsid w:val="005479E3"/>
    <w:rsid w:val="00547CBE"/>
    <w:rsid w:val="00547DBE"/>
    <w:rsid w:val="00547E11"/>
    <w:rsid w:val="005501CC"/>
    <w:rsid w:val="00550471"/>
    <w:rsid w:val="00550926"/>
    <w:rsid w:val="00550A5B"/>
    <w:rsid w:val="00551007"/>
    <w:rsid w:val="0055164F"/>
    <w:rsid w:val="005517A6"/>
    <w:rsid w:val="00551985"/>
    <w:rsid w:val="00551A2F"/>
    <w:rsid w:val="00551A88"/>
    <w:rsid w:val="00551C8A"/>
    <w:rsid w:val="005520B4"/>
    <w:rsid w:val="005520B8"/>
    <w:rsid w:val="005520BD"/>
    <w:rsid w:val="005523E4"/>
    <w:rsid w:val="00552528"/>
    <w:rsid w:val="00552652"/>
    <w:rsid w:val="00552BD3"/>
    <w:rsid w:val="00552C0B"/>
    <w:rsid w:val="00552DD9"/>
    <w:rsid w:val="005532A0"/>
    <w:rsid w:val="005533E2"/>
    <w:rsid w:val="00553479"/>
    <w:rsid w:val="0055347F"/>
    <w:rsid w:val="0055348C"/>
    <w:rsid w:val="0055361D"/>
    <w:rsid w:val="00553BA8"/>
    <w:rsid w:val="0055402A"/>
    <w:rsid w:val="005540AE"/>
    <w:rsid w:val="00554447"/>
    <w:rsid w:val="00554732"/>
    <w:rsid w:val="00554750"/>
    <w:rsid w:val="00554881"/>
    <w:rsid w:val="005548DE"/>
    <w:rsid w:val="00554906"/>
    <w:rsid w:val="00554A00"/>
    <w:rsid w:val="00554BA5"/>
    <w:rsid w:val="00554E18"/>
    <w:rsid w:val="00554EDF"/>
    <w:rsid w:val="0055505E"/>
    <w:rsid w:val="00555109"/>
    <w:rsid w:val="005553EA"/>
    <w:rsid w:val="00555745"/>
    <w:rsid w:val="005557A2"/>
    <w:rsid w:val="005558E9"/>
    <w:rsid w:val="00555910"/>
    <w:rsid w:val="00555976"/>
    <w:rsid w:val="00555F61"/>
    <w:rsid w:val="00555FA1"/>
    <w:rsid w:val="00556016"/>
    <w:rsid w:val="0055609B"/>
    <w:rsid w:val="005561EC"/>
    <w:rsid w:val="005562F7"/>
    <w:rsid w:val="00556343"/>
    <w:rsid w:val="005564B3"/>
    <w:rsid w:val="00556513"/>
    <w:rsid w:val="0055681A"/>
    <w:rsid w:val="005568AF"/>
    <w:rsid w:val="005569FF"/>
    <w:rsid w:val="00556B35"/>
    <w:rsid w:val="00556DA1"/>
    <w:rsid w:val="00557092"/>
    <w:rsid w:val="005571C3"/>
    <w:rsid w:val="00557247"/>
    <w:rsid w:val="0055741A"/>
    <w:rsid w:val="0055751C"/>
    <w:rsid w:val="0055775E"/>
    <w:rsid w:val="005578E8"/>
    <w:rsid w:val="0055797B"/>
    <w:rsid w:val="00557D23"/>
    <w:rsid w:val="005605DB"/>
    <w:rsid w:val="005607DE"/>
    <w:rsid w:val="00560852"/>
    <w:rsid w:val="00560891"/>
    <w:rsid w:val="005608D3"/>
    <w:rsid w:val="00560A21"/>
    <w:rsid w:val="005611B7"/>
    <w:rsid w:val="005611C4"/>
    <w:rsid w:val="0056140C"/>
    <w:rsid w:val="0056161D"/>
    <w:rsid w:val="005618D4"/>
    <w:rsid w:val="00561978"/>
    <w:rsid w:val="00561A2A"/>
    <w:rsid w:val="00561A83"/>
    <w:rsid w:val="00561B2B"/>
    <w:rsid w:val="00561C14"/>
    <w:rsid w:val="00561D7C"/>
    <w:rsid w:val="005624F3"/>
    <w:rsid w:val="005627BF"/>
    <w:rsid w:val="00562872"/>
    <w:rsid w:val="005628D6"/>
    <w:rsid w:val="005629D9"/>
    <w:rsid w:val="00562B27"/>
    <w:rsid w:val="00562BFA"/>
    <w:rsid w:val="00562E19"/>
    <w:rsid w:val="00562E97"/>
    <w:rsid w:val="005630EE"/>
    <w:rsid w:val="005631FB"/>
    <w:rsid w:val="005635F9"/>
    <w:rsid w:val="00563638"/>
    <w:rsid w:val="00563677"/>
    <w:rsid w:val="0056375B"/>
    <w:rsid w:val="00563A9E"/>
    <w:rsid w:val="00563BA6"/>
    <w:rsid w:val="00563FEF"/>
    <w:rsid w:val="00564017"/>
    <w:rsid w:val="005641FB"/>
    <w:rsid w:val="00564279"/>
    <w:rsid w:val="00564311"/>
    <w:rsid w:val="00564438"/>
    <w:rsid w:val="0056460B"/>
    <w:rsid w:val="00564788"/>
    <w:rsid w:val="00564867"/>
    <w:rsid w:val="00565011"/>
    <w:rsid w:val="00565153"/>
    <w:rsid w:val="0056530E"/>
    <w:rsid w:val="00565432"/>
    <w:rsid w:val="0056556B"/>
    <w:rsid w:val="0056565A"/>
    <w:rsid w:val="0056587E"/>
    <w:rsid w:val="005658D4"/>
    <w:rsid w:val="00565C79"/>
    <w:rsid w:val="00565C8E"/>
    <w:rsid w:val="00565DF0"/>
    <w:rsid w:val="00565F48"/>
    <w:rsid w:val="00566375"/>
    <w:rsid w:val="0056657C"/>
    <w:rsid w:val="00566670"/>
    <w:rsid w:val="00566829"/>
    <w:rsid w:val="0056696F"/>
    <w:rsid w:val="00566A23"/>
    <w:rsid w:val="00566EE3"/>
    <w:rsid w:val="00566FFB"/>
    <w:rsid w:val="00567057"/>
    <w:rsid w:val="005670E8"/>
    <w:rsid w:val="005676C0"/>
    <w:rsid w:val="005676FF"/>
    <w:rsid w:val="005678F9"/>
    <w:rsid w:val="00567986"/>
    <w:rsid w:val="00567A2C"/>
    <w:rsid w:val="00567EB1"/>
    <w:rsid w:val="0057002C"/>
    <w:rsid w:val="00570085"/>
    <w:rsid w:val="0057023C"/>
    <w:rsid w:val="005704F6"/>
    <w:rsid w:val="005708D8"/>
    <w:rsid w:val="005709E5"/>
    <w:rsid w:val="00570A56"/>
    <w:rsid w:val="00570AAF"/>
    <w:rsid w:val="00570BFD"/>
    <w:rsid w:val="00570D1A"/>
    <w:rsid w:val="00570D68"/>
    <w:rsid w:val="00570E08"/>
    <w:rsid w:val="00570F70"/>
    <w:rsid w:val="00570FDC"/>
    <w:rsid w:val="0057105E"/>
    <w:rsid w:val="00571065"/>
    <w:rsid w:val="00571461"/>
    <w:rsid w:val="00571AF5"/>
    <w:rsid w:val="00571CF7"/>
    <w:rsid w:val="00572269"/>
    <w:rsid w:val="005723F0"/>
    <w:rsid w:val="00572435"/>
    <w:rsid w:val="0057244A"/>
    <w:rsid w:val="00572495"/>
    <w:rsid w:val="005726AF"/>
    <w:rsid w:val="005728A0"/>
    <w:rsid w:val="00572EC3"/>
    <w:rsid w:val="00572F26"/>
    <w:rsid w:val="00572FFC"/>
    <w:rsid w:val="00573177"/>
    <w:rsid w:val="00573255"/>
    <w:rsid w:val="005735B3"/>
    <w:rsid w:val="005735C6"/>
    <w:rsid w:val="005736AE"/>
    <w:rsid w:val="005736D2"/>
    <w:rsid w:val="00573E2A"/>
    <w:rsid w:val="00574008"/>
    <w:rsid w:val="005740DA"/>
    <w:rsid w:val="00574333"/>
    <w:rsid w:val="00574466"/>
    <w:rsid w:val="005744A1"/>
    <w:rsid w:val="00574592"/>
    <w:rsid w:val="005746C3"/>
    <w:rsid w:val="0057477A"/>
    <w:rsid w:val="005747F8"/>
    <w:rsid w:val="00574800"/>
    <w:rsid w:val="0057497A"/>
    <w:rsid w:val="00574C20"/>
    <w:rsid w:val="00574E31"/>
    <w:rsid w:val="00574F6F"/>
    <w:rsid w:val="005750C5"/>
    <w:rsid w:val="005750E5"/>
    <w:rsid w:val="005751B6"/>
    <w:rsid w:val="005751BC"/>
    <w:rsid w:val="005752DE"/>
    <w:rsid w:val="0057534E"/>
    <w:rsid w:val="00575375"/>
    <w:rsid w:val="0057539A"/>
    <w:rsid w:val="00575443"/>
    <w:rsid w:val="0057554D"/>
    <w:rsid w:val="0057564E"/>
    <w:rsid w:val="00575785"/>
    <w:rsid w:val="00575C40"/>
    <w:rsid w:val="00575C67"/>
    <w:rsid w:val="00575D60"/>
    <w:rsid w:val="00575D8D"/>
    <w:rsid w:val="005760DF"/>
    <w:rsid w:val="0057617F"/>
    <w:rsid w:val="005761C7"/>
    <w:rsid w:val="0057635C"/>
    <w:rsid w:val="0057667F"/>
    <w:rsid w:val="005767A1"/>
    <w:rsid w:val="005767EA"/>
    <w:rsid w:val="00576972"/>
    <w:rsid w:val="00576A30"/>
    <w:rsid w:val="00576B2E"/>
    <w:rsid w:val="00576D0A"/>
    <w:rsid w:val="00576D95"/>
    <w:rsid w:val="00576F4E"/>
    <w:rsid w:val="005770A8"/>
    <w:rsid w:val="0057716E"/>
    <w:rsid w:val="00577248"/>
    <w:rsid w:val="005772B0"/>
    <w:rsid w:val="005774B7"/>
    <w:rsid w:val="0057767F"/>
    <w:rsid w:val="005776A7"/>
    <w:rsid w:val="005776D8"/>
    <w:rsid w:val="00577916"/>
    <w:rsid w:val="00577B06"/>
    <w:rsid w:val="00577B77"/>
    <w:rsid w:val="00577C05"/>
    <w:rsid w:val="00577C13"/>
    <w:rsid w:val="00577C66"/>
    <w:rsid w:val="00577CB4"/>
    <w:rsid w:val="00577D38"/>
    <w:rsid w:val="00577D3F"/>
    <w:rsid w:val="00580147"/>
    <w:rsid w:val="00580225"/>
    <w:rsid w:val="00580293"/>
    <w:rsid w:val="005803DA"/>
    <w:rsid w:val="00580568"/>
    <w:rsid w:val="005806C6"/>
    <w:rsid w:val="00580790"/>
    <w:rsid w:val="005808D3"/>
    <w:rsid w:val="0058091A"/>
    <w:rsid w:val="00580A65"/>
    <w:rsid w:val="00580A72"/>
    <w:rsid w:val="00580C8E"/>
    <w:rsid w:val="0058114C"/>
    <w:rsid w:val="00581197"/>
    <w:rsid w:val="00581288"/>
    <w:rsid w:val="005812A4"/>
    <w:rsid w:val="005813FC"/>
    <w:rsid w:val="005814F9"/>
    <w:rsid w:val="00581513"/>
    <w:rsid w:val="0058176A"/>
    <w:rsid w:val="005817EE"/>
    <w:rsid w:val="005819A2"/>
    <w:rsid w:val="00581A85"/>
    <w:rsid w:val="00581CBE"/>
    <w:rsid w:val="0058210F"/>
    <w:rsid w:val="005821C0"/>
    <w:rsid w:val="005823FB"/>
    <w:rsid w:val="005825C7"/>
    <w:rsid w:val="005829FF"/>
    <w:rsid w:val="00582D8A"/>
    <w:rsid w:val="00582E0B"/>
    <w:rsid w:val="00582E67"/>
    <w:rsid w:val="005830DA"/>
    <w:rsid w:val="00583361"/>
    <w:rsid w:val="0058352B"/>
    <w:rsid w:val="005835EC"/>
    <w:rsid w:val="00583699"/>
    <w:rsid w:val="005836D1"/>
    <w:rsid w:val="005838B2"/>
    <w:rsid w:val="005838C0"/>
    <w:rsid w:val="00583B7E"/>
    <w:rsid w:val="00583D5E"/>
    <w:rsid w:val="00583DE9"/>
    <w:rsid w:val="00583E09"/>
    <w:rsid w:val="00583F7E"/>
    <w:rsid w:val="00584043"/>
    <w:rsid w:val="005841CE"/>
    <w:rsid w:val="00584220"/>
    <w:rsid w:val="0058441A"/>
    <w:rsid w:val="0058443F"/>
    <w:rsid w:val="00584454"/>
    <w:rsid w:val="00584636"/>
    <w:rsid w:val="0058471A"/>
    <w:rsid w:val="0058492E"/>
    <w:rsid w:val="00584A2C"/>
    <w:rsid w:val="00584C9C"/>
    <w:rsid w:val="00584EDC"/>
    <w:rsid w:val="00584FDD"/>
    <w:rsid w:val="00584FF3"/>
    <w:rsid w:val="0058512B"/>
    <w:rsid w:val="005851A1"/>
    <w:rsid w:val="005852A1"/>
    <w:rsid w:val="005854A4"/>
    <w:rsid w:val="005855BF"/>
    <w:rsid w:val="0058579C"/>
    <w:rsid w:val="00585B76"/>
    <w:rsid w:val="00585C58"/>
    <w:rsid w:val="00585CDD"/>
    <w:rsid w:val="00585D63"/>
    <w:rsid w:val="00585D96"/>
    <w:rsid w:val="005860C6"/>
    <w:rsid w:val="0058624B"/>
    <w:rsid w:val="0058628E"/>
    <w:rsid w:val="005863C2"/>
    <w:rsid w:val="00586415"/>
    <w:rsid w:val="00586480"/>
    <w:rsid w:val="00586628"/>
    <w:rsid w:val="00586755"/>
    <w:rsid w:val="005868AC"/>
    <w:rsid w:val="00586AB1"/>
    <w:rsid w:val="00586BAE"/>
    <w:rsid w:val="00586C4B"/>
    <w:rsid w:val="00586C5E"/>
    <w:rsid w:val="00586EC9"/>
    <w:rsid w:val="00587058"/>
    <w:rsid w:val="005870C9"/>
    <w:rsid w:val="005870E6"/>
    <w:rsid w:val="005874C9"/>
    <w:rsid w:val="00587A9C"/>
    <w:rsid w:val="00587BD7"/>
    <w:rsid w:val="00587F9C"/>
    <w:rsid w:val="00587FC1"/>
    <w:rsid w:val="005900E5"/>
    <w:rsid w:val="005901E2"/>
    <w:rsid w:val="00590304"/>
    <w:rsid w:val="00590378"/>
    <w:rsid w:val="0059040C"/>
    <w:rsid w:val="00590422"/>
    <w:rsid w:val="005905BA"/>
    <w:rsid w:val="005907BE"/>
    <w:rsid w:val="005908E6"/>
    <w:rsid w:val="00590FB2"/>
    <w:rsid w:val="0059100E"/>
    <w:rsid w:val="005910AA"/>
    <w:rsid w:val="005910B7"/>
    <w:rsid w:val="00591126"/>
    <w:rsid w:val="005911D0"/>
    <w:rsid w:val="00591431"/>
    <w:rsid w:val="0059144B"/>
    <w:rsid w:val="00591470"/>
    <w:rsid w:val="0059177A"/>
    <w:rsid w:val="005917DC"/>
    <w:rsid w:val="005917F2"/>
    <w:rsid w:val="00591814"/>
    <w:rsid w:val="00591957"/>
    <w:rsid w:val="00591A98"/>
    <w:rsid w:val="00591B26"/>
    <w:rsid w:val="0059284A"/>
    <w:rsid w:val="0059294F"/>
    <w:rsid w:val="00592A13"/>
    <w:rsid w:val="00592A25"/>
    <w:rsid w:val="00592C75"/>
    <w:rsid w:val="00592E98"/>
    <w:rsid w:val="005930B6"/>
    <w:rsid w:val="00593123"/>
    <w:rsid w:val="0059314F"/>
    <w:rsid w:val="005933D4"/>
    <w:rsid w:val="005933F9"/>
    <w:rsid w:val="005935C0"/>
    <w:rsid w:val="00593AE8"/>
    <w:rsid w:val="00593C5D"/>
    <w:rsid w:val="00593EC6"/>
    <w:rsid w:val="005942D4"/>
    <w:rsid w:val="00594372"/>
    <w:rsid w:val="005945C6"/>
    <w:rsid w:val="00594692"/>
    <w:rsid w:val="00594992"/>
    <w:rsid w:val="00594B1E"/>
    <w:rsid w:val="00594B7D"/>
    <w:rsid w:val="00594E0D"/>
    <w:rsid w:val="00594F57"/>
    <w:rsid w:val="00594FA6"/>
    <w:rsid w:val="005951EC"/>
    <w:rsid w:val="00595564"/>
    <w:rsid w:val="00595587"/>
    <w:rsid w:val="005956E3"/>
    <w:rsid w:val="0059575A"/>
    <w:rsid w:val="00595836"/>
    <w:rsid w:val="005959C6"/>
    <w:rsid w:val="00595A0F"/>
    <w:rsid w:val="00595B4C"/>
    <w:rsid w:val="00595BD2"/>
    <w:rsid w:val="00595BFB"/>
    <w:rsid w:val="00595C4A"/>
    <w:rsid w:val="00595CC3"/>
    <w:rsid w:val="00595CC4"/>
    <w:rsid w:val="00595D27"/>
    <w:rsid w:val="00595E67"/>
    <w:rsid w:val="005961A8"/>
    <w:rsid w:val="00596312"/>
    <w:rsid w:val="0059631B"/>
    <w:rsid w:val="0059641D"/>
    <w:rsid w:val="00596444"/>
    <w:rsid w:val="00596491"/>
    <w:rsid w:val="005964A8"/>
    <w:rsid w:val="00596586"/>
    <w:rsid w:val="00596602"/>
    <w:rsid w:val="00596D73"/>
    <w:rsid w:val="00596ECA"/>
    <w:rsid w:val="00597289"/>
    <w:rsid w:val="005974A2"/>
    <w:rsid w:val="00597649"/>
    <w:rsid w:val="00597682"/>
    <w:rsid w:val="00597B7C"/>
    <w:rsid w:val="00597BC0"/>
    <w:rsid w:val="00597BF9"/>
    <w:rsid w:val="00597C98"/>
    <w:rsid w:val="00597CA4"/>
    <w:rsid w:val="00597CE1"/>
    <w:rsid w:val="00597CEB"/>
    <w:rsid w:val="005A00E9"/>
    <w:rsid w:val="005A052C"/>
    <w:rsid w:val="005A075E"/>
    <w:rsid w:val="005A09E5"/>
    <w:rsid w:val="005A0C11"/>
    <w:rsid w:val="005A0E55"/>
    <w:rsid w:val="005A0E69"/>
    <w:rsid w:val="005A1176"/>
    <w:rsid w:val="005A11EB"/>
    <w:rsid w:val="005A12DC"/>
    <w:rsid w:val="005A1370"/>
    <w:rsid w:val="005A13AB"/>
    <w:rsid w:val="005A144B"/>
    <w:rsid w:val="005A1492"/>
    <w:rsid w:val="005A1508"/>
    <w:rsid w:val="005A1621"/>
    <w:rsid w:val="005A18B0"/>
    <w:rsid w:val="005A19BC"/>
    <w:rsid w:val="005A1FF2"/>
    <w:rsid w:val="005A206F"/>
    <w:rsid w:val="005A2216"/>
    <w:rsid w:val="005A26BC"/>
    <w:rsid w:val="005A27E6"/>
    <w:rsid w:val="005A27F1"/>
    <w:rsid w:val="005A2979"/>
    <w:rsid w:val="005A29C5"/>
    <w:rsid w:val="005A2AD4"/>
    <w:rsid w:val="005A2BD0"/>
    <w:rsid w:val="005A2C5D"/>
    <w:rsid w:val="005A2D06"/>
    <w:rsid w:val="005A2E87"/>
    <w:rsid w:val="005A2EC0"/>
    <w:rsid w:val="005A2FC7"/>
    <w:rsid w:val="005A309A"/>
    <w:rsid w:val="005A31DC"/>
    <w:rsid w:val="005A32D7"/>
    <w:rsid w:val="005A3661"/>
    <w:rsid w:val="005A373D"/>
    <w:rsid w:val="005A37C0"/>
    <w:rsid w:val="005A3B18"/>
    <w:rsid w:val="005A3D4F"/>
    <w:rsid w:val="005A3EA5"/>
    <w:rsid w:val="005A41A4"/>
    <w:rsid w:val="005A43E8"/>
    <w:rsid w:val="005A44E6"/>
    <w:rsid w:val="005A44F6"/>
    <w:rsid w:val="005A4874"/>
    <w:rsid w:val="005A48BE"/>
    <w:rsid w:val="005A4A0E"/>
    <w:rsid w:val="005A4A15"/>
    <w:rsid w:val="005A4B18"/>
    <w:rsid w:val="005A4C86"/>
    <w:rsid w:val="005A4D54"/>
    <w:rsid w:val="005A4D58"/>
    <w:rsid w:val="005A4EFD"/>
    <w:rsid w:val="005A4F49"/>
    <w:rsid w:val="005A5057"/>
    <w:rsid w:val="005A5206"/>
    <w:rsid w:val="005A52CB"/>
    <w:rsid w:val="005A55D7"/>
    <w:rsid w:val="005A62CF"/>
    <w:rsid w:val="005A6560"/>
    <w:rsid w:val="005A675A"/>
    <w:rsid w:val="005A6928"/>
    <w:rsid w:val="005A697D"/>
    <w:rsid w:val="005A6AF2"/>
    <w:rsid w:val="005A6CB3"/>
    <w:rsid w:val="005A6D37"/>
    <w:rsid w:val="005A6E17"/>
    <w:rsid w:val="005A71CC"/>
    <w:rsid w:val="005A7656"/>
    <w:rsid w:val="005A788B"/>
    <w:rsid w:val="005A78CC"/>
    <w:rsid w:val="005A79BC"/>
    <w:rsid w:val="005A7A59"/>
    <w:rsid w:val="005A7AD4"/>
    <w:rsid w:val="005A7B2F"/>
    <w:rsid w:val="005A7D28"/>
    <w:rsid w:val="005A7F9C"/>
    <w:rsid w:val="005B0025"/>
    <w:rsid w:val="005B0182"/>
    <w:rsid w:val="005B022E"/>
    <w:rsid w:val="005B02D7"/>
    <w:rsid w:val="005B0341"/>
    <w:rsid w:val="005B0347"/>
    <w:rsid w:val="005B0533"/>
    <w:rsid w:val="005B0554"/>
    <w:rsid w:val="005B05D2"/>
    <w:rsid w:val="005B07DC"/>
    <w:rsid w:val="005B0879"/>
    <w:rsid w:val="005B08F7"/>
    <w:rsid w:val="005B09D4"/>
    <w:rsid w:val="005B0B06"/>
    <w:rsid w:val="005B0B58"/>
    <w:rsid w:val="005B0B78"/>
    <w:rsid w:val="005B0DFC"/>
    <w:rsid w:val="005B0E27"/>
    <w:rsid w:val="005B0F48"/>
    <w:rsid w:val="005B1350"/>
    <w:rsid w:val="005B1434"/>
    <w:rsid w:val="005B1633"/>
    <w:rsid w:val="005B17AA"/>
    <w:rsid w:val="005B1BB8"/>
    <w:rsid w:val="005B1CBB"/>
    <w:rsid w:val="005B1FA0"/>
    <w:rsid w:val="005B1FEC"/>
    <w:rsid w:val="005B20E9"/>
    <w:rsid w:val="005B23C3"/>
    <w:rsid w:val="005B277D"/>
    <w:rsid w:val="005B295E"/>
    <w:rsid w:val="005B2AFD"/>
    <w:rsid w:val="005B2B24"/>
    <w:rsid w:val="005B2B70"/>
    <w:rsid w:val="005B310A"/>
    <w:rsid w:val="005B31AA"/>
    <w:rsid w:val="005B32BD"/>
    <w:rsid w:val="005B335A"/>
    <w:rsid w:val="005B351D"/>
    <w:rsid w:val="005B3570"/>
    <w:rsid w:val="005B4308"/>
    <w:rsid w:val="005B45C9"/>
    <w:rsid w:val="005B46D5"/>
    <w:rsid w:val="005B48B2"/>
    <w:rsid w:val="005B49DA"/>
    <w:rsid w:val="005B4A4A"/>
    <w:rsid w:val="005B4B92"/>
    <w:rsid w:val="005B4C78"/>
    <w:rsid w:val="005B4D81"/>
    <w:rsid w:val="005B4E53"/>
    <w:rsid w:val="005B4E92"/>
    <w:rsid w:val="005B4E9C"/>
    <w:rsid w:val="005B4EAA"/>
    <w:rsid w:val="005B4FD7"/>
    <w:rsid w:val="005B5045"/>
    <w:rsid w:val="005B50CB"/>
    <w:rsid w:val="005B57DD"/>
    <w:rsid w:val="005B5857"/>
    <w:rsid w:val="005B5941"/>
    <w:rsid w:val="005B5B2D"/>
    <w:rsid w:val="005B5BD4"/>
    <w:rsid w:val="005B5D2F"/>
    <w:rsid w:val="005B617C"/>
    <w:rsid w:val="005B6435"/>
    <w:rsid w:val="005B6887"/>
    <w:rsid w:val="005B692B"/>
    <w:rsid w:val="005B6CDF"/>
    <w:rsid w:val="005B6E37"/>
    <w:rsid w:val="005B6E88"/>
    <w:rsid w:val="005B6F5B"/>
    <w:rsid w:val="005B7067"/>
    <w:rsid w:val="005B7107"/>
    <w:rsid w:val="005B72C4"/>
    <w:rsid w:val="005B75CA"/>
    <w:rsid w:val="005B7776"/>
    <w:rsid w:val="005B7AEC"/>
    <w:rsid w:val="005B7B95"/>
    <w:rsid w:val="005B7DEC"/>
    <w:rsid w:val="005B7F03"/>
    <w:rsid w:val="005B7F46"/>
    <w:rsid w:val="005C048E"/>
    <w:rsid w:val="005C07FE"/>
    <w:rsid w:val="005C0A1A"/>
    <w:rsid w:val="005C0C19"/>
    <w:rsid w:val="005C1120"/>
    <w:rsid w:val="005C11B6"/>
    <w:rsid w:val="005C138F"/>
    <w:rsid w:val="005C14BC"/>
    <w:rsid w:val="005C1510"/>
    <w:rsid w:val="005C162B"/>
    <w:rsid w:val="005C1644"/>
    <w:rsid w:val="005C1705"/>
    <w:rsid w:val="005C1774"/>
    <w:rsid w:val="005C178E"/>
    <w:rsid w:val="005C1797"/>
    <w:rsid w:val="005C180C"/>
    <w:rsid w:val="005C193A"/>
    <w:rsid w:val="005C19C4"/>
    <w:rsid w:val="005C1B83"/>
    <w:rsid w:val="005C1C8E"/>
    <w:rsid w:val="005C2276"/>
    <w:rsid w:val="005C2468"/>
    <w:rsid w:val="005C2475"/>
    <w:rsid w:val="005C251E"/>
    <w:rsid w:val="005C25FF"/>
    <w:rsid w:val="005C28CC"/>
    <w:rsid w:val="005C2AAA"/>
    <w:rsid w:val="005C2D55"/>
    <w:rsid w:val="005C2E97"/>
    <w:rsid w:val="005C346B"/>
    <w:rsid w:val="005C3B5D"/>
    <w:rsid w:val="005C3D5D"/>
    <w:rsid w:val="005C3E48"/>
    <w:rsid w:val="005C407B"/>
    <w:rsid w:val="005C40ED"/>
    <w:rsid w:val="005C4125"/>
    <w:rsid w:val="005C4395"/>
    <w:rsid w:val="005C4753"/>
    <w:rsid w:val="005C4939"/>
    <w:rsid w:val="005C4C93"/>
    <w:rsid w:val="005C4DDD"/>
    <w:rsid w:val="005C4E5B"/>
    <w:rsid w:val="005C51C2"/>
    <w:rsid w:val="005C52CA"/>
    <w:rsid w:val="005C52FE"/>
    <w:rsid w:val="005C54BC"/>
    <w:rsid w:val="005C54DB"/>
    <w:rsid w:val="005C57D5"/>
    <w:rsid w:val="005C58AB"/>
    <w:rsid w:val="005C594E"/>
    <w:rsid w:val="005C597F"/>
    <w:rsid w:val="005C5ABC"/>
    <w:rsid w:val="005C5C8F"/>
    <w:rsid w:val="005C5EE9"/>
    <w:rsid w:val="005C61A7"/>
    <w:rsid w:val="005C6339"/>
    <w:rsid w:val="005C63CE"/>
    <w:rsid w:val="005C63F7"/>
    <w:rsid w:val="005C6436"/>
    <w:rsid w:val="005C675F"/>
    <w:rsid w:val="005C68DC"/>
    <w:rsid w:val="005C6940"/>
    <w:rsid w:val="005C6AB6"/>
    <w:rsid w:val="005C6B36"/>
    <w:rsid w:val="005C6BAE"/>
    <w:rsid w:val="005C6F7F"/>
    <w:rsid w:val="005C70FA"/>
    <w:rsid w:val="005C7390"/>
    <w:rsid w:val="005C73BE"/>
    <w:rsid w:val="005C7595"/>
    <w:rsid w:val="005C76A7"/>
    <w:rsid w:val="005C76D3"/>
    <w:rsid w:val="005C7901"/>
    <w:rsid w:val="005C7B7E"/>
    <w:rsid w:val="005C7BA8"/>
    <w:rsid w:val="005C7DFE"/>
    <w:rsid w:val="005D007A"/>
    <w:rsid w:val="005D0128"/>
    <w:rsid w:val="005D0280"/>
    <w:rsid w:val="005D02CB"/>
    <w:rsid w:val="005D044D"/>
    <w:rsid w:val="005D0609"/>
    <w:rsid w:val="005D067C"/>
    <w:rsid w:val="005D090A"/>
    <w:rsid w:val="005D09B8"/>
    <w:rsid w:val="005D0ABD"/>
    <w:rsid w:val="005D0D85"/>
    <w:rsid w:val="005D0DE7"/>
    <w:rsid w:val="005D0E45"/>
    <w:rsid w:val="005D0E54"/>
    <w:rsid w:val="005D0FF6"/>
    <w:rsid w:val="005D10F1"/>
    <w:rsid w:val="005D110E"/>
    <w:rsid w:val="005D132B"/>
    <w:rsid w:val="005D14E2"/>
    <w:rsid w:val="005D1527"/>
    <w:rsid w:val="005D16A5"/>
    <w:rsid w:val="005D1855"/>
    <w:rsid w:val="005D18AD"/>
    <w:rsid w:val="005D1E27"/>
    <w:rsid w:val="005D1E46"/>
    <w:rsid w:val="005D2138"/>
    <w:rsid w:val="005D2307"/>
    <w:rsid w:val="005D26B4"/>
    <w:rsid w:val="005D278B"/>
    <w:rsid w:val="005D27D1"/>
    <w:rsid w:val="005D2A3B"/>
    <w:rsid w:val="005D2BA3"/>
    <w:rsid w:val="005D2CB0"/>
    <w:rsid w:val="005D2D84"/>
    <w:rsid w:val="005D2E72"/>
    <w:rsid w:val="005D2EF1"/>
    <w:rsid w:val="005D2F04"/>
    <w:rsid w:val="005D2FFE"/>
    <w:rsid w:val="005D30C4"/>
    <w:rsid w:val="005D310B"/>
    <w:rsid w:val="005D3603"/>
    <w:rsid w:val="005D397C"/>
    <w:rsid w:val="005D39A5"/>
    <w:rsid w:val="005D39D5"/>
    <w:rsid w:val="005D3AEC"/>
    <w:rsid w:val="005D3BAA"/>
    <w:rsid w:val="005D3BBF"/>
    <w:rsid w:val="005D3D25"/>
    <w:rsid w:val="005D3EF9"/>
    <w:rsid w:val="005D4068"/>
    <w:rsid w:val="005D4538"/>
    <w:rsid w:val="005D46DE"/>
    <w:rsid w:val="005D4844"/>
    <w:rsid w:val="005D4984"/>
    <w:rsid w:val="005D49D0"/>
    <w:rsid w:val="005D4A25"/>
    <w:rsid w:val="005D4C84"/>
    <w:rsid w:val="005D52FB"/>
    <w:rsid w:val="005D5379"/>
    <w:rsid w:val="005D550C"/>
    <w:rsid w:val="005D5548"/>
    <w:rsid w:val="005D5883"/>
    <w:rsid w:val="005D5A25"/>
    <w:rsid w:val="005D5AD0"/>
    <w:rsid w:val="005D5AF9"/>
    <w:rsid w:val="005D5B5B"/>
    <w:rsid w:val="005D5D9C"/>
    <w:rsid w:val="005D5E7D"/>
    <w:rsid w:val="005D5FA3"/>
    <w:rsid w:val="005D60B9"/>
    <w:rsid w:val="005D61A0"/>
    <w:rsid w:val="005D622D"/>
    <w:rsid w:val="005D63D4"/>
    <w:rsid w:val="005D6536"/>
    <w:rsid w:val="005D688E"/>
    <w:rsid w:val="005D68CC"/>
    <w:rsid w:val="005D6E8A"/>
    <w:rsid w:val="005D6F6E"/>
    <w:rsid w:val="005D6FBB"/>
    <w:rsid w:val="005D70D4"/>
    <w:rsid w:val="005D72BA"/>
    <w:rsid w:val="005D77E7"/>
    <w:rsid w:val="005D7A16"/>
    <w:rsid w:val="005D7ADC"/>
    <w:rsid w:val="005D7CB5"/>
    <w:rsid w:val="005D7CC2"/>
    <w:rsid w:val="005E0175"/>
    <w:rsid w:val="005E0353"/>
    <w:rsid w:val="005E0BB2"/>
    <w:rsid w:val="005E0F58"/>
    <w:rsid w:val="005E147F"/>
    <w:rsid w:val="005E1489"/>
    <w:rsid w:val="005E14FE"/>
    <w:rsid w:val="005E1995"/>
    <w:rsid w:val="005E1A54"/>
    <w:rsid w:val="005E1DD8"/>
    <w:rsid w:val="005E1E8D"/>
    <w:rsid w:val="005E1EEB"/>
    <w:rsid w:val="005E1F08"/>
    <w:rsid w:val="005E2046"/>
    <w:rsid w:val="005E2264"/>
    <w:rsid w:val="005E22F4"/>
    <w:rsid w:val="005E232A"/>
    <w:rsid w:val="005E23C2"/>
    <w:rsid w:val="005E258E"/>
    <w:rsid w:val="005E26A6"/>
    <w:rsid w:val="005E270C"/>
    <w:rsid w:val="005E27D7"/>
    <w:rsid w:val="005E27F0"/>
    <w:rsid w:val="005E2AD4"/>
    <w:rsid w:val="005E2D62"/>
    <w:rsid w:val="005E2E40"/>
    <w:rsid w:val="005E2E56"/>
    <w:rsid w:val="005E30E1"/>
    <w:rsid w:val="005E32F3"/>
    <w:rsid w:val="005E341C"/>
    <w:rsid w:val="005E3530"/>
    <w:rsid w:val="005E3596"/>
    <w:rsid w:val="005E382F"/>
    <w:rsid w:val="005E39AF"/>
    <w:rsid w:val="005E3D93"/>
    <w:rsid w:val="005E3DB9"/>
    <w:rsid w:val="005E3E4F"/>
    <w:rsid w:val="005E40F0"/>
    <w:rsid w:val="005E422F"/>
    <w:rsid w:val="005E4288"/>
    <w:rsid w:val="005E438A"/>
    <w:rsid w:val="005E45FD"/>
    <w:rsid w:val="005E4879"/>
    <w:rsid w:val="005E49AD"/>
    <w:rsid w:val="005E4A13"/>
    <w:rsid w:val="005E51A5"/>
    <w:rsid w:val="005E56A7"/>
    <w:rsid w:val="005E593D"/>
    <w:rsid w:val="005E5AAB"/>
    <w:rsid w:val="005E5B72"/>
    <w:rsid w:val="005E5CB1"/>
    <w:rsid w:val="005E5F49"/>
    <w:rsid w:val="005E60DF"/>
    <w:rsid w:val="005E691A"/>
    <w:rsid w:val="005E6CA6"/>
    <w:rsid w:val="005E6CBC"/>
    <w:rsid w:val="005E6D0D"/>
    <w:rsid w:val="005E70B1"/>
    <w:rsid w:val="005E70F9"/>
    <w:rsid w:val="005E70FD"/>
    <w:rsid w:val="005E72FF"/>
    <w:rsid w:val="005E7395"/>
    <w:rsid w:val="005E73C0"/>
    <w:rsid w:val="005E7651"/>
    <w:rsid w:val="005E76F0"/>
    <w:rsid w:val="005E7762"/>
    <w:rsid w:val="005E7A84"/>
    <w:rsid w:val="005E7ABD"/>
    <w:rsid w:val="005E7E7A"/>
    <w:rsid w:val="005E7FC8"/>
    <w:rsid w:val="005F0037"/>
    <w:rsid w:val="005F03BE"/>
    <w:rsid w:val="005F0598"/>
    <w:rsid w:val="005F07C8"/>
    <w:rsid w:val="005F07D8"/>
    <w:rsid w:val="005F07ED"/>
    <w:rsid w:val="005F088B"/>
    <w:rsid w:val="005F08B0"/>
    <w:rsid w:val="005F09CA"/>
    <w:rsid w:val="005F0C98"/>
    <w:rsid w:val="005F0D2F"/>
    <w:rsid w:val="005F13B7"/>
    <w:rsid w:val="005F1433"/>
    <w:rsid w:val="005F172D"/>
    <w:rsid w:val="005F19F0"/>
    <w:rsid w:val="005F1A81"/>
    <w:rsid w:val="005F1ABB"/>
    <w:rsid w:val="005F1AD7"/>
    <w:rsid w:val="005F1C5A"/>
    <w:rsid w:val="005F1DE2"/>
    <w:rsid w:val="005F1EB9"/>
    <w:rsid w:val="005F1F27"/>
    <w:rsid w:val="005F2102"/>
    <w:rsid w:val="005F2262"/>
    <w:rsid w:val="005F2706"/>
    <w:rsid w:val="005F2AFA"/>
    <w:rsid w:val="005F2D72"/>
    <w:rsid w:val="005F2E97"/>
    <w:rsid w:val="005F2FB0"/>
    <w:rsid w:val="005F33CD"/>
    <w:rsid w:val="005F33DD"/>
    <w:rsid w:val="005F3555"/>
    <w:rsid w:val="005F3815"/>
    <w:rsid w:val="005F3D4D"/>
    <w:rsid w:val="005F3F33"/>
    <w:rsid w:val="005F40A2"/>
    <w:rsid w:val="005F44F0"/>
    <w:rsid w:val="005F4583"/>
    <w:rsid w:val="005F45BB"/>
    <w:rsid w:val="005F4638"/>
    <w:rsid w:val="005F466B"/>
    <w:rsid w:val="005F476F"/>
    <w:rsid w:val="005F4C7B"/>
    <w:rsid w:val="005F4E0F"/>
    <w:rsid w:val="005F4E50"/>
    <w:rsid w:val="005F4E6F"/>
    <w:rsid w:val="005F4FE6"/>
    <w:rsid w:val="005F505C"/>
    <w:rsid w:val="005F519A"/>
    <w:rsid w:val="005F532D"/>
    <w:rsid w:val="005F54F3"/>
    <w:rsid w:val="005F55A9"/>
    <w:rsid w:val="005F5944"/>
    <w:rsid w:val="005F59C0"/>
    <w:rsid w:val="005F5E5C"/>
    <w:rsid w:val="005F5E87"/>
    <w:rsid w:val="005F60E9"/>
    <w:rsid w:val="005F65F4"/>
    <w:rsid w:val="005F6755"/>
    <w:rsid w:val="005F6822"/>
    <w:rsid w:val="005F6A8F"/>
    <w:rsid w:val="005F6B93"/>
    <w:rsid w:val="005F6BB7"/>
    <w:rsid w:val="005F7005"/>
    <w:rsid w:val="005F74E7"/>
    <w:rsid w:val="005F7523"/>
    <w:rsid w:val="005F7588"/>
    <w:rsid w:val="005F79BE"/>
    <w:rsid w:val="005F7B7A"/>
    <w:rsid w:val="0060017B"/>
    <w:rsid w:val="006009C2"/>
    <w:rsid w:val="00600D94"/>
    <w:rsid w:val="00600DF9"/>
    <w:rsid w:val="00600E43"/>
    <w:rsid w:val="00600E99"/>
    <w:rsid w:val="00600F57"/>
    <w:rsid w:val="00601300"/>
    <w:rsid w:val="006013B3"/>
    <w:rsid w:val="00601E37"/>
    <w:rsid w:val="00601FDF"/>
    <w:rsid w:val="00602263"/>
    <w:rsid w:val="006023BD"/>
    <w:rsid w:val="006024DF"/>
    <w:rsid w:val="006025F2"/>
    <w:rsid w:val="0060266D"/>
    <w:rsid w:val="006028D3"/>
    <w:rsid w:val="00602B50"/>
    <w:rsid w:val="00602CAB"/>
    <w:rsid w:val="00602DF4"/>
    <w:rsid w:val="00602E49"/>
    <w:rsid w:val="00602F5F"/>
    <w:rsid w:val="00602F8F"/>
    <w:rsid w:val="00603030"/>
    <w:rsid w:val="006030B5"/>
    <w:rsid w:val="00603171"/>
    <w:rsid w:val="006032B7"/>
    <w:rsid w:val="006034A8"/>
    <w:rsid w:val="00603531"/>
    <w:rsid w:val="006035CE"/>
    <w:rsid w:val="00603634"/>
    <w:rsid w:val="00603888"/>
    <w:rsid w:val="00603919"/>
    <w:rsid w:val="00603B3C"/>
    <w:rsid w:val="00603B59"/>
    <w:rsid w:val="00603DA9"/>
    <w:rsid w:val="00603DB9"/>
    <w:rsid w:val="00603E29"/>
    <w:rsid w:val="006040F0"/>
    <w:rsid w:val="00604237"/>
    <w:rsid w:val="006042E4"/>
    <w:rsid w:val="006047BF"/>
    <w:rsid w:val="0060482D"/>
    <w:rsid w:val="00604938"/>
    <w:rsid w:val="00604A34"/>
    <w:rsid w:val="00604A8E"/>
    <w:rsid w:val="00604C47"/>
    <w:rsid w:val="00604EF7"/>
    <w:rsid w:val="006053EF"/>
    <w:rsid w:val="006056C7"/>
    <w:rsid w:val="006056FA"/>
    <w:rsid w:val="00605703"/>
    <w:rsid w:val="00605805"/>
    <w:rsid w:val="00605888"/>
    <w:rsid w:val="006059F8"/>
    <w:rsid w:val="00605B45"/>
    <w:rsid w:val="00605BE1"/>
    <w:rsid w:val="00605BFF"/>
    <w:rsid w:val="00605D8B"/>
    <w:rsid w:val="00605E9F"/>
    <w:rsid w:val="006061DE"/>
    <w:rsid w:val="006061E9"/>
    <w:rsid w:val="006063BC"/>
    <w:rsid w:val="0060643C"/>
    <w:rsid w:val="006065AD"/>
    <w:rsid w:val="0060662D"/>
    <w:rsid w:val="00606685"/>
    <w:rsid w:val="006066BA"/>
    <w:rsid w:val="00606FBA"/>
    <w:rsid w:val="00607215"/>
    <w:rsid w:val="00607329"/>
    <w:rsid w:val="00607523"/>
    <w:rsid w:val="00607632"/>
    <w:rsid w:val="00607669"/>
    <w:rsid w:val="0060767B"/>
    <w:rsid w:val="006076F4"/>
    <w:rsid w:val="006078CC"/>
    <w:rsid w:val="00607AFD"/>
    <w:rsid w:val="00607EB2"/>
    <w:rsid w:val="006101D3"/>
    <w:rsid w:val="0061027C"/>
    <w:rsid w:val="0061046F"/>
    <w:rsid w:val="00610516"/>
    <w:rsid w:val="006106A8"/>
    <w:rsid w:val="006106D9"/>
    <w:rsid w:val="0061073A"/>
    <w:rsid w:val="0061086C"/>
    <w:rsid w:val="00610B70"/>
    <w:rsid w:val="00610CEB"/>
    <w:rsid w:val="00610DC4"/>
    <w:rsid w:val="00611138"/>
    <w:rsid w:val="0061115B"/>
    <w:rsid w:val="00611432"/>
    <w:rsid w:val="006114E4"/>
    <w:rsid w:val="006114F7"/>
    <w:rsid w:val="0061153B"/>
    <w:rsid w:val="00611A03"/>
    <w:rsid w:val="00611A83"/>
    <w:rsid w:val="00611B12"/>
    <w:rsid w:val="00611B8D"/>
    <w:rsid w:val="00611C0F"/>
    <w:rsid w:val="00611EF3"/>
    <w:rsid w:val="00611F62"/>
    <w:rsid w:val="00611F75"/>
    <w:rsid w:val="00611F9A"/>
    <w:rsid w:val="0061203B"/>
    <w:rsid w:val="00612379"/>
    <w:rsid w:val="006125BF"/>
    <w:rsid w:val="00612617"/>
    <w:rsid w:val="00612666"/>
    <w:rsid w:val="006126D5"/>
    <w:rsid w:val="00612755"/>
    <w:rsid w:val="006127F8"/>
    <w:rsid w:val="00612943"/>
    <w:rsid w:val="00612AC7"/>
    <w:rsid w:val="00612B55"/>
    <w:rsid w:val="00612F90"/>
    <w:rsid w:val="00612F97"/>
    <w:rsid w:val="00613074"/>
    <w:rsid w:val="006131AD"/>
    <w:rsid w:val="0061339E"/>
    <w:rsid w:val="0061345D"/>
    <w:rsid w:val="00613555"/>
    <w:rsid w:val="006135C1"/>
    <w:rsid w:val="0061363F"/>
    <w:rsid w:val="00613690"/>
    <w:rsid w:val="006137FA"/>
    <w:rsid w:val="00613DB2"/>
    <w:rsid w:val="00613ECD"/>
    <w:rsid w:val="00614033"/>
    <w:rsid w:val="00614311"/>
    <w:rsid w:val="006143FF"/>
    <w:rsid w:val="0061467D"/>
    <w:rsid w:val="00614823"/>
    <w:rsid w:val="00614E61"/>
    <w:rsid w:val="00615099"/>
    <w:rsid w:val="006150C5"/>
    <w:rsid w:val="00615101"/>
    <w:rsid w:val="006151C0"/>
    <w:rsid w:val="0061549A"/>
    <w:rsid w:val="0061549B"/>
    <w:rsid w:val="0061553D"/>
    <w:rsid w:val="006156F3"/>
    <w:rsid w:val="00615C09"/>
    <w:rsid w:val="00615D65"/>
    <w:rsid w:val="00615D7B"/>
    <w:rsid w:val="00615D82"/>
    <w:rsid w:val="00616148"/>
    <w:rsid w:val="006163EB"/>
    <w:rsid w:val="0061646F"/>
    <w:rsid w:val="0061678A"/>
    <w:rsid w:val="00616802"/>
    <w:rsid w:val="00616CEA"/>
    <w:rsid w:val="00616EEE"/>
    <w:rsid w:val="00617128"/>
    <w:rsid w:val="00617190"/>
    <w:rsid w:val="006172CF"/>
    <w:rsid w:val="00617403"/>
    <w:rsid w:val="006174FA"/>
    <w:rsid w:val="006176BC"/>
    <w:rsid w:val="00617943"/>
    <w:rsid w:val="00617B36"/>
    <w:rsid w:val="00617B3A"/>
    <w:rsid w:val="00617B58"/>
    <w:rsid w:val="00617BDA"/>
    <w:rsid w:val="00617BFC"/>
    <w:rsid w:val="00617E12"/>
    <w:rsid w:val="00617E35"/>
    <w:rsid w:val="00617EB0"/>
    <w:rsid w:val="00617F61"/>
    <w:rsid w:val="00620245"/>
    <w:rsid w:val="00620335"/>
    <w:rsid w:val="006205A9"/>
    <w:rsid w:val="00620770"/>
    <w:rsid w:val="006208D6"/>
    <w:rsid w:val="00620C25"/>
    <w:rsid w:val="00620E65"/>
    <w:rsid w:val="00620E75"/>
    <w:rsid w:val="00620FA5"/>
    <w:rsid w:val="00621204"/>
    <w:rsid w:val="00621477"/>
    <w:rsid w:val="0062151D"/>
    <w:rsid w:val="00621824"/>
    <w:rsid w:val="00621942"/>
    <w:rsid w:val="00621985"/>
    <w:rsid w:val="00621A05"/>
    <w:rsid w:val="00621ADA"/>
    <w:rsid w:val="00621C50"/>
    <w:rsid w:val="00621E39"/>
    <w:rsid w:val="00621E9E"/>
    <w:rsid w:val="00621F17"/>
    <w:rsid w:val="00622378"/>
    <w:rsid w:val="00622482"/>
    <w:rsid w:val="00622526"/>
    <w:rsid w:val="006228A5"/>
    <w:rsid w:val="00622A91"/>
    <w:rsid w:val="00622B1F"/>
    <w:rsid w:val="00622B90"/>
    <w:rsid w:val="00622C43"/>
    <w:rsid w:val="00622C54"/>
    <w:rsid w:val="00622D8B"/>
    <w:rsid w:val="00622E56"/>
    <w:rsid w:val="00622EF5"/>
    <w:rsid w:val="00622F9F"/>
    <w:rsid w:val="006230E7"/>
    <w:rsid w:val="00623141"/>
    <w:rsid w:val="00623656"/>
    <w:rsid w:val="0062394E"/>
    <w:rsid w:val="00623A0F"/>
    <w:rsid w:val="00623AC4"/>
    <w:rsid w:val="00623D0D"/>
    <w:rsid w:val="00623EA3"/>
    <w:rsid w:val="00623EE0"/>
    <w:rsid w:val="00623F22"/>
    <w:rsid w:val="00623F77"/>
    <w:rsid w:val="00623F7B"/>
    <w:rsid w:val="006242F9"/>
    <w:rsid w:val="006243EF"/>
    <w:rsid w:val="00624616"/>
    <w:rsid w:val="00624641"/>
    <w:rsid w:val="00624839"/>
    <w:rsid w:val="00624BB0"/>
    <w:rsid w:val="00624BD4"/>
    <w:rsid w:val="00624E71"/>
    <w:rsid w:val="00625211"/>
    <w:rsid w:val="0062529A"/>
    <w:rsid w:val="00625388"/>
    <w:rsid w:val="00625644"/>
    <w:rsid w:val="006259D3"/>
    <w:rsid w:val="00625A25"/>
    <w:rsid w:val="00625AC6"/>
    <w:rsid w:val="00625E94"/>
    <w:rsid w:val="0062610A"/>
    <w:rsid w:val="00626202"/>
    <w:rsid w:val="006264C8"/>
    <w:rsid w:val="006265A6"/>
    <w:rsid w:val="006265C1"/>
    <w:rsid w:val="0062667B"/>
    <w:rsid w:val="00626EBA"/>
    <w:rsid w:val="00626ED5"/>
    <w:rsid w:val="00627190"/>
    <w:rsid w:val="00627312"/>
    <w:rsid w:val="00627389"/>
    <w:rsid w:val="0062760A"/>
    <w:rsid w:val="00627663"/>
    <w:rsid w:val="00627688"/>
    <w:rsid w:val="006276F7"/>
    <w:rsid w:val="006278C5"/>
    <w:rsid w:val="00627A85"/>
    <w:rsid w:val="00627BA2"/>
    <w:rsid w:val="00627CA2"/>
    <w:rsid w:val="00627CF4"/>
    <w:rsid w:val="00627DA1"/>
    <w:rsid w:val="00627E6C"/>
    <w:rsid w:val="00627F78"/>
    <w:rsid w:val="00630172"/>
    <w:rsid w:val="006301B1"/>
    <w:rsid w:val="00630268"/>
    <w:rsid w:val="0063027B"/>
    <w:rsid w:val="0063039E"/>
    <w:rsid w:val="006303DB"/>
    <w:rsid w:val="006305BD"/>
    <w:rsid w:val="00630772"/>
    <w:rsid w:val="00630856"/>
    <w:rsid w:val="0063088F"/>
    <w:rsid w:val="00630F10"/>
    <w:rsid w:val="00630FB4"/>
    <w:rsid w:val="00630FBE"/>
    <w:rsid w:val="0063158F"/>
    <w:rsid w:val="006317AA"/>
    <w:rsid w:val="006318DC"/>
    <w:rsid w:val="006319A8"/>
    <w:rsid w:val="00631AFA"/>
    <w:rsid w:val="00631D6B"/>
    <w:rsid w:val="00631E07"/>
    <w:rsid w:val="0063216B"/>
    <w:rsid w:val="0063216D"/>
    <w:rsid w:val="00632183"/>
    <w:rsid w:val="00632222"/>
    <w:rsid w:val="00632247"/>
    <w:rsid w:val="00632480"/>
    <w:rsid w:val="006327B5"/>
    <w:rsid w:val="00632820"/>
    <w:rsid w:val="006328DA"/>
    <w:rsid w:val="0063293E"/>
    <w:rsid w:val="00632A1C"/>
    <w:rsid w:val="00632BBE"/>
    <w:rsid w:val="00632C16"/>
    <w:rsid w:val="00632C71"/>
    <w:rsid w:val="00632D1E"/>
    <w:rsid w:val="006330A1"/>
    <w:rsid w:val="00633126"/>
    <w:rsid w:val="00633177"/>
    <w:rsid w:val="006333E6"/>
    <w:rsid w:val="00633433"/>
    <w:rsid w:val="00633537"/>
    <w:rsid w:val="006337B0"/>
    <w:rsid w:val="00633C9B"/>
    <w:rsid w:val="006341DB"/>
    <w:rsid w:val="006345D9"/>
    <w:rsid w:val="0063479F"/>
    <w:rsid w:val="0063487F"/>
    <w:rsid w:val="00634D4A"/>
    <w:rsid w:val="00634DB7"/>
    <w:rsid w:val="00634E33"/>
    <w:rsid w:val="00634E6F"/>
    <w:rsid w:val="006350B8"/>
    <w:rsid w:val="00635333"/>
    <w:rsid w:val="006353F0"/>
    <w:rsid w:val="006354B7"/>
    <w:rsid w:val="00635695"/>
    <w:rsid w:val="0063569F"/>
    <w:rsid w:val="006356BF"/>
    <w:rsid w:val="006357A5"/>
    <w:rsid w:val="006357B5"/>
    <w:rsid w:val="0063582E"/>
    <w:rsid w:val="0063584B"/>
    <w:rsid w:val="00635BCB"/>
    <w:rsid w:val="00635FB6"/>
    <w:rsid w:val="00636023"/>
    <w:rsid w:val="006360B2"/>
    <w:rsid w:val="00636130"/>
    <w:rsid w:val="006364A1"/>
    <w:rsid w:val="006365AD"/>
    <w:rsid w:val="0063678E"/>
    <w:rsid w:val="00636920"/>
    <w:rsid w:val="006369B5"/>
    <w:rsid w:val="00636A4A"/>
    <w:rsid w:val="00636E3A"/>
    <w:rsid w:val="00636FBB"/>
    <w:rsid w:val="00636FD8"/>
    <w:rsid w:val="006370FE"/>
    <w:rsid w:val="006372D7"/>
    <w:rsid w:val="00637333"/>
    <w:rsid w:val="00637792"/>
    <w:rsid w:val="00637860"/>
    <w:rsid w:val="00637884"/>
    <w:rsid w:val="00637BA1"/>
    <w:rsid w:val="00637BFD"/>
    <w:rsid w:val="00637C5C"/>
    <w:rsid w:val="00637D44"/>
    <w:rsid w:val="00637DD5"/>
    <w:rsid w:val="00640135"/>
    <w:rsid w:val="006403E1"/>
    <w:rsid w:val="00640514"/>
    <w:rsid w:val="00640C53"/>
    <w:rsid w:val="00640D3C"/>
    <w:rsid w:val="00640FE1"/>
    <w:rsid w:val="00641246"/>
    <w:rsid w:val="00641554"/>
    <w:rsid w:val="00641667"/>
    <w:rsid w:val="006416D7"/>
    <w:rsid w:val="006417B1"/>
    <w:rsid w:val="00641A39"/>
    <w:rsid w:val="00641C22"/>
    <w:rsid w:val="00641C4E"/>
    <w:rsid w:val="00641C59"/>
    <w:rsid w:val="00641FB3"/>
    <w:rsid w:val="0064209A"/>
    <w:rsid w:val="006423F8"/>
    <w:rsid w:val="0064243D"/>
    <w:rsid w:val="006426EC"/>
    <w:rsid w:val="006428E9"/>
    <w:rsid w:val="0064299F"/>
    <w:rsid w:val="00642AAB"/>
    <w:rsid w:val="00643252"/>
    <w:rsid w:val="00643486"/>
    <w:rsid w:val="006435F6"/>
    <w:rsid w:val="00643946"/>
    <w:rsid w:val="00643AC2"/>
    <w:rsid w:val="00643B53"/>
    <w:rsid w:val="00643CE1"/>
    <w:rsid w:val="00643D1A"/>
    <w:rsid w:val="00643E7A"/>
    <w:rsid w:val="00643EE4"/>
    <w:rsid w:val="00643FBD"/>
    <w:rsid w:val="00643FCE"/>
    <w:rsid w:val="006440B0"/>
    <w:rsid w:val="0064434C"/>
    <w:rsid w:val="00644914"/>
    <w:rsid w:val="0064492A"/>
    <w:rsid w:val="006449F0"/>
    <w:rsid w:val="00644BEF"/>
    <w:rsid w:val="00644C3B"/>
    <w:rsid w:val="00644E06"/>
    <w:rsid w:val="00644EB0"/>
    <w:rsid w:val="00644F23"/>
    <w:rsid w:val="00644FFA"/>
    <w:rsid w:val="006450BF"/>
    <w:rsid w:val="00645124"/>
    <w:rsid w:val="006451C3"/>
    <w:rsid w:val="0064534C"/>
    <w:rsid w:val="006453AA"/>
    <w:rsid w:val="006453B7"/>
    <w:rsid w:val="006453D5"/>
    <w:rsid w:val="0064543B"/>
    <w:rsid w:val="00645494"/>
    <w:rsid w:val="00645592"/>
    <w:rsid w:val="006455C1"/>
    <w:rsid w:val="0064568D"/>
    <w:rsid w:val="006456A3"/>
    <w:rsid w:val="006457BD"/>
    <w:rsid w:val="00645879"/>
    <w:rsid w:val="00645CA8"/>
    <w:rsid w:val="006461C1"/>
    <w:rsid w:val="00646400"/>
    <w:rsid w:val="006464C1"/>
    <w:rsid w:val="006468CA"/>
    <w:rsid w:val="00646919"/>
    <w:rsid w:val="00647100"/>
    <w:rsid w:val="006471CC"/>
    <w:rsid w:val="006472FE"/>
    <w:rsid w:val="00647300"/>
    <w:rsid w:val="0064737F"/>
    <w:rsid w:val="006473CD"/>
    <w:rsid w:val="0064786E"/>
    <w:rsid w:val="0064795A"/>
    <w:rsid w:val="00647A29"/>
    <w:rsid w:val="00647A6E"/>
    <w:rsid w:val="00647BAA"/>
    <w:rsid w:val="00647BEB"/>
    <w:rsid w:val="00647F6C"/>
    <w:rsid w:val="006503AA"/>
    <w:rsid w:val="0065079F"/>
    <w:rsid w:val="006509A1"/>
    <w:rsid w:val="00650A2D"/>
    <w:rsid w:val="00650BAD"/>
    <w:rsid w:val="00650D0D"/>
    <w:rsid w:val="00650F9D"/>
    <w:rsid w:val="00650FD6"/>
    <w:rsid w:val="0065109B"/>
    <w:rsid w:val="00651189"/>
    <w:rsid w:val="00651231"/>
    <w:rsid w:val="006512FF"/>
    <w:rsid w:val="00651504"/>
    <w:rsid w:val="006515B5"/>
    <w:rsid w:val="0065176C"/>
    <w:rsid w:val="006518F6"/>
    <w:rsid w:val="00651A9D"/>
    <w:rsid w:val="00651AC9"/>
    <w:rsid w:val="00651B94"/>
    <w:rsid w:val="00651D97"/>
    <w:rsid w:val="00651E57"/>
    <w:rsid w:val="00652354"/>
    <w:rsid w:val="0065281E"/>
    <w:rsid w:val="00652A28"/>
    <w:rsid w:val="00652AFC"/>
    <w:rsid w:val="00652C20"/>
    <w:rsid w:val="00652C8D"/>
    <w:rsid w:val="00652D1B"/>
    <w:rsid w:val="00652E29"/>
    <w:rsid w:val="00652F69"/>
    <w:rsid w:val="0065306E"/>
    <w:rsid w:val="00653214"/>
    <w:rsid w:val="0065325B"/>
    <w:rsid w:val="00653293"/>
    <w:rsid w:val="00653562"/>
    <w:rsid w:val="006535BF"/>
    <w:rsid w:val="0065378F"/>
    <w:rsid w:val="0065379F"/>
    <w:rsid w:val="0065389A"/>
    <w:rsid w:val="006538B9"/>
    <w:rsid w:val="0065399E"/>
    <w:rsid w:val="00653A24"/>
    <w:rsid w:val="00653A82"/>
    <w:rsid w:val="00653BA1"/>
    <w:rsid w:val="00653E36"/>
    <w:rsid w:val="00653F37"/>
    <w:rsid w:val="006541C3"/>
    <w:rsid w:val="006541F5"/>
    <w:rsid w:val="0065420C"/>
    <w:rsid w:val="006542BE"/>
    <w:rsid w:val="006542FE"/>
    <w:rsid w:val="00654429"/>
    <w:rsid w:val="00654555"/>
    <w:rsid w:val="0065458C"/>
    <w:rsid w:val="006545A8"/>
    <w:rsid w:val="006548E8"/>
    <w:rsid w:val="00654C99"/>
    <w:rsid w:val="006550CC"/>
    <w:rsid w:val="00655560"/>
    <w:rsid w:val="00655762"/>
    <w:rsid w:val="0065576D"/>
    <w:rsid w:val="00655900"/>
    <w:rsid w:val="00655A41"/>
    <w:rsid w:val="00655A7F"/>
    <w:rsid w:val="00655F55"/>
    <w:rsid w:val="00655F8F"/>
    <w:rsid w:val="00656188"/>
    <w:rsid w:val="006564D9"/>
    <w:rsid w:val="00656970"/>
    <w:rsid w:val="006569FF"/>
    <w:rsid w:val="00656A1F"/>
    <w:rsid w:val="00656ADF"/>
    <w:rsid w:val="00656C67"/>
    <w:rsid w:val="006570FB"/>
    <w:rsid w:val="0065715A"/>
    <w:rsid w:val="00657259"/>
    <w:rsid w:val="0065727C"/>
    <w:rsid w:val="00657334"/>
    <w:rsid w:val="00657585"/>
    <w:rsid w:val="00657788"/>
    <w:rsid w:val="0065797D"/>
    <w:rsid w:val="006579DB"/>
    <w:rsid w:val="00657B10"/>
    <w:rsid w:val="00657C6D"/>
    <w:rsid w:val="00657DD8"/>
    <w:rsid w:val="00657EED"/>
    <w:rsid w:val="00657FFC"/>
    <w:rsid w:val="0066010B"/>
    <w:rsid w:val="0066019A"/>
    <w:rsid w:val="006601FB"/>
    <w:rsid w:val="006605C9"/>
    <w:rsid w:val="00660650"/>
    <w:rsid w:val="00660889"/>
    <w:rsid w:val="006608AE"/>
    <w:rsid w:val="006608B6"/>
    <w:rsid w:val="00660B6F"/>
    <w:rsid w:val="00660CA3"/>
    <w:rsid w:val="00660E23"/>
    <w:rsid w:val="00660E30"/>
    <w:rsid w:val="00660F09"/>
    <w:rsid w:val="00660F13"/>
    <w:rsid w:val="006610F1"/>
    <w:rsid w:val="00661343"/>
    <w:rsid w:val="006615DB"/>
    <w:rsid w:val="0066174F"/>
    <w:rsid w:val="006618B6"/>
    <w:rsid w:val="0066194D"/>
    <w:rsid w:val="00661B23"/>
    <w:rsid w:val="00661BFB"/>
    <w:rsid w:val="00661C6B"/>
    <w:rsid w:val="00661C73"/>
    <w:rsid w:val="00661E07"/>
    <w:rsid w:val="006621F4"/>
    <w:rsid w:val="006622F1"/>
    <w:rsid w:val="006624C4"/>
    <w:rsid w:val="00662708"/>
    <w:rsid w:val="00662746"/>
    <w:rsid w:val="00662AB5"/>
    <w:rsid w:val="00662D3E"/>
    <w:rsid w:val="00662ED5"/>
    <w:rsid w:val="00662F89"/>
    <w:rsid w:val="006631F5"/>
    <w:rsid w:val="00663215"/>
    <w:rsid w:val="00663295"/>
    <w:rsid w:val="00663463"/>
    <w:rsid w:val="0066356F"/>
    <w:rsid w:val="006636CD"/>
    <w:rsid w:val="006636E5"/>
    <w:rsid w:val="00663793"/>
    <w:rsid w:val="0066389D"/>
    <w:rsid w:val="00663975"/>
    <w:rsid w:val="00663AB4"/>
    <w:rsid w:val="006640D2"/>
    <w:rsid w:val="006643E9"/>
    <w:rsid w:val="00664463"/>
    <w:rsid w:val="0066472C"/>
    <w:rsid w:val="00664855"/>
    <w:rsid w:val="0066491E"/>
    <w:rsid w:val="00664E9C"/>
    <w:rsid w:val="0066510E"/>
    <w:rsid w:val="00665135"/>
    <w:rsid w:val="006652AA"/>
    <w:rsid w:val="0066544A"/>
    <w:rsid w:val="00665559"/>
    <w:rsid w:val="00665585"/>
    <w:rsid w:val="006656DD"/>
    <w:rsid w:val="00665AAE"/>
    <w:rsid w:val="00665AB7"/>
    <w:rsid w:val="00665BA0"/>
    <w:rsid w:val="00665C0D"/>
    <w:rsid w:val="00665E8D"/>
    <w:rsid w:val="00666123"/>
    <w:rsid w:val="00666174"/>
    <w:rsid w:val="006661DB"/>
    <w:rsid w:val="006662E6"/>
    <w:rsid w:val="00666418"/>
    <w:rsid w:val="00666755"/>
    <w:rsid w:val="00666D25"/>
    <w:rsid w:val="00666E79"/>
    <w:rsid w:val="00666E84"/>
    <w:rsid w:val="00666F62"/>
    <w:rsid w:val="00667234"/>
    <w:rsid w:val="006673C0"/>
    <w:rsid w:val="006673DB"/>
    <w:rsid w:val="0066741D"/>
    <w:rsid w:val="006674B7"/>
    <w:rsid w:val="006674EA"/>
    <w:rsid w:val="00667559"/>
    <w:rsid w:val="00667616"/>
    <w:rsid w:val="0066796E"/>
    <w:rsid w:val="00667BE3"/>
    <w:rsid w:val="00667C3A"/>
    <w:rsid w:val="00667CDD"/>
    <w:rsid w:val="00667E62"/>
    <w:rsid w:val="00667F22"/>
    <w:rsid w:val="00670183"/>
    <w:rsid w:val="00670564"/>
    <w:rsid w:val="006705BA"/>
    <w:rsid w:val="00670656"/>
    <w:rsid w:val="00670683"/>
    <w:rsid w:val="006706E9"/>
    <w:rsid w:val="00670846"/>
    <w:rsid w:val="006708C0"/>
    <w:rsid w:val="0067091B"/>
    <w:rsid w:val="006709A1"/>
    <w:rsid w:val="00670AA3"/>
    <w:rsid w:val="00670AAC"/>
    <w:rsid w:val="00670BFE"/>
    <w:rsid w:val="00670C5F"/>
    <w:rsid w:val="00670CB8"/>
    <w:rsid w:val="00670CD8"/>
    <w:rsid w:val="00670F52"/>
    <w:rsid w:val="00671004"/>
    <w:rsid w:val="00671158"/>
    <w:rsid w:val="006713CC"/>
    <w:rsid w:val="006713DE"/>
    <w:rsid w:val="006718BA"/>
    <w:rsid w:val="006719E7"/>
    <w:rsid w:val="00671C7B"/>
    <w:rsid w:val="00671CAE"/>
    <w:rsid w:val="00671CB9"/>
    <w:rsid w:val="00671F6E"/>
    <w:rsid w:val="00672055"/>
    <w:rsid w:val="006721AB"/>
    <w:rsid w:val="00672222"/>
    <w:rsid w:val="00672370"/>
    <w:rsid w:val="0067238B"/>
    <w:rsid w:val="00672451"/>
    <w:rsid w:val="006725AB"/>
    <w:rsid w:val="00672646"/>
    <w:rsid w:val="006729E2"/>
    <w:rsid w:val="00672BB7"/>
    <w:rsid w:val="00673155"/>
    <w:rsid w:val="00673496"/>
    <w:rsid w:val="006735A6"/>
    <w:rsid w:val="006735D3"/>
    <w:rsid w:val="00673970"/>
    <w:rsid w:val="00673B4D"/>
    <w:rsid w:val="00673E33"/>
    <w:rsid w:val="00673F6C"/>
    <w:rsid w:val="00674094"/>
    <w:rsid w:val="006741C2"/>
    <w:rsid w:val="00674505"/>
    <w:rsid w:val="00674E42"/>
    <w:rsid w:val="00675039"/>
    <w:rsid w:val="006750B6"/>
    <w:rsid w:val="006753D4"/>
    <w:rsid w:val="006755F7"/>
    <w:rsid w:val="00675680"/>
    <w:rsid w:val="006756D0"/>
    <w:rsid w:val="0067571B"/>
    <w:rsid w:val="00675876"/>
    <w:rsid w:val="00675953"/>
    <w:rsid w:val="00675A11"/>
    <w:rsid w:val="00675A35"/>
    <w:rsid w:val="00675EA9"/>
    <w:rsid w:val="00675EF5"/>
    <w:rsid w:val="006763E2"/>
    <w:rsid w:val="00676461"/>
    <w:rsid w:val="00676563"/>
    <w:rsid w:val="006766CF"/>
    <w:rsid w:val="006767FF"/>
    <w:rsid w:val="00676BC9"/>
    <w:rsid w:val="00676BDB"/>
    <w:rsid w:val="00676BF1"/>
    <w:rsid w:val="00676C44"/>
    <w:rsid w:val="00676D1A"/>
    <w:rsid w:val="00676E09"/>
    <w:rsid w:val="00677047"/>
    <w:rsid w:val="0067726F"/>
    <w:rsid w:val="00677559"/>
    <w:rsid w:val="006775F8"/>
    <w:rsid w:val="00677733"/>
    <w:rsid w:val="00677767"/>
    <w:rsid w:val="0067783F"/>
    <w:rsid w:val="00677852"/>
    <w:rsid w:val="0067788B"/>
    <w:rsid w:val="0067792F"/>
    <w:rsid w:val="0067795E"/>
    <w:rsid w:val="00677F85"/>
    <w:rsid w:val="00680076"/>
    <w:rsid w:val="00680117"/>
    <w:rsid w:val="00680302"/>
    <w:rsid w:val="00680491"/>
    <w:rsid w:val="0068063F"/>
    <w:rsid w:val="006808C5"/>
    <w:rsid w:val="006808D8"/>
    <w:rsid w:val="00680A84"/>
    <w:rsid w:val="006811B9"/>
    <w:rsid w:val="0068126A"/>
    <w:rsid w:val="006813F8"/>
    <w:rsid w:val="006815B5"/>
    <w:rsid w:val="0068182E"/>
    <w:rsid w:val="00681AA7"/>
    <w:rsid w:val="00681BFC"/>
    <w:rsid w:val="0068206C"/>
    <w:rsid w:val="00682112"/>
    <w:rsid w:val="006822D9"/>
    <w:rsid w:val="006822FE"/>
    <w:rsid w:val="006823F9"/>
    <w:rsid w:val="006824CB"/>
    <w:rsid w:val="0068268D"/>
    <w:rsid w:val="00682BA6"/>
    <w:rsid w:val="00682C26"/>
    <w:rsid w:val="00682CF8"/>
    <w:rsid w:val="00682D0D"/>
    <w:rsid w:val="00682D99"/>
    <w:rsid w:val="00682DE1"/>
    <w:rsid w:val="00682F6B"/>
    <w:rsid w:val="0068309F"/>
    <w:rsid w:val="0068312E"/>
    <w:rsid w:val="0068319A"/>
    <w:rsid w:val="0068337E"/>
    <w:rsid w:val="006833AD"/>
    <w:rsid w:val="006834CB"/>
    <w:rsid w:val="0068367F"/>
    <w:rsid w:val="006836D8"/>
    <w:rsid w:val="00683740"/>
    <w:rsid w:val="0068387C"/>
    <w:rsid w:val="006838F3"/>
    <w:rsid w:val="00683BA9"/>
    <w:rsid w:val="00683C54"/>
    <w:rsid w:val="00683C92"/>
    <w:rsid w:val="00683CE0"/>
    <w:rsid w:val="00683F02"/>
    <w:rsid w:val="0068406A"/>
    <w:rsid w:val="00684517"/>
    <w:rsid w:val="00684ABC"/>
    <w:rsid w:val="00684C2E"/>
    <w:rsid w:val="00684D9D"/>
    <w:rsid w:val="00684DC6"/>
    <w:rsid w:val="00684F17"/>
    <w:rsid w:val="00684F73"/>
    <w:rsid w:val="00684FAB"/>
    <w:rsid w:val="006852BB"/>
    <w:rsid w:val="00685425"/>
    <w:rsid w:val="0068587C"/>
    <w:rsid w:val="00685A23"/>
    <w:rsid w:val="00685CE8"/>
    <w:rsid w:val="00685EFD"/>
    <w:rsid w:val="006860EB"/>
    <w:rsid w:val="006861FD"/>
    <w:rsid w:val="006864B8"/>
    <w:rsid w:val="00686527"/>
    <w:rsid w:val="00686561"/>
    <w:rsid w:val="006868C0"/>
    <w:rsid w:val="006868FA"/>
    <w:rsid w:val="00686957"/>
    <w:rsid w:val="00686AD9"/>
    <w:rsid w:val="00686BA7"/>
    <w:rsid w:val="00686C1A"/>
    <w:rsid w:val="00686C82"/>
    <w:rsid w:val="00686CF9"/>
    <w:rsid w:val="00686D3C"/>
    <w:rsid w:val="00686DCB"/>
    <w:rsid w:val="00687046"/>
    <w:rsid w:val="006872BA"/>
    <w:rsid w:val="0068748A"/>
    <w:rsid w:val="00687722"/>
    <w:rsid w:val="006877BC"/>
    <w:rsid w:val="0068780B"/>
    <w:rsid w:val="006878DA"/>
    <w:rsid w:val="006878EF"/>
    <w:rsid w:val="00687AB2"/>
    <w:rsid w:val="00687B41"/>
    <w:rsid w:val="00687BC8"/>
    <w:rsid w:val="00687C88"/>
    <w:rsid w:val="00687CD4"/>
    <w:rsid w:val="00687D1E"/>
    <w:rsid w:val="00687E27"/>
    <w:rsid w:val="00687EA0"/>
    <w:rsid w:val="006904E5"/>
    <w:rsid w:val="00690731"/>
    <w:rsid w:val="00690795"/>
    <w:rsid w:val="00690A0C"/>
    <w:rsid w:val="00690E10"/>
    <w:rsid w:val="00690EC3"/>
    <w:rsid w:val="00690FA3"/>
    <w:rsid w:val="00691197"/>
    <w:rsid w:val="006911D7"/>
    <w:rsid w:val="00691279"/>
    <w:rsid w:val="00691362"/>
    <w:rsid w:val="00691648"/>
    <w:rsid w:val="00691657"/>
    <w:rsid w:val="006917D7"/>
    <w:rsid w:val="00691B8E"/>
    <w:rsid w:val="00691BD9"/>
    <w:rsid w:val="00691C30"/>
    <w:rsid w:val="00691D96"/>
    <w:rsid w:val="00691E25"/>
    <w:rsid w:val="00692245"/>
    <w:rsid w:val="00692363"/>
    <w:rsid w:val="00692449"/>
    <w:rsid w:val="006924EB"/>
    <w:rsid w:val="00692657"/>
    <w:rsid w:val="00692BD0"/>
    <w:rsid w:val="00692E07"/>
    <w:rsid w:val="006933B5"/>
    <w:rsid w:val="00693558"/>
    <w:rsid w:val="00693842"/>
    <w:rsid w:val="00693D0B"/>
    <w:rsid w:val="00693FFD"/>
    <w:rsid w:val="00694135"/>
    <w:rsid w:val="0069421B"/>
    <w:rsid w:val="0069434C"/>
    <w:rsid w:val="00694611"/>
    <w:rsid w:val="00694805"/>
    <w:rsid w:val="00694B94"/>
    <w:rsid w:val="00694D17"/>
    <w:rsid w:val="00694F44"/>
    <w:rsid w:val="00695174"/>
    <w:rsid w:val="00695322"/>
    <w:rsid w:val="006953A6"/>
    <w:rsid w:val="006956C0"/>
    <w:rsid w:val="00695E53"/>
    <w:rsid w:val="00695EFF"/>
    <w:rsid w:val="0069628F"/>
    <w:rsid w:val="006963FC"/>
    <w:rsid w:val="006966FB"/>
    <w:rsid w:val="006968F8"/>
    <w:rsid w:val="00696A5D"/>
    <w:rsid w:val="00696B20"/>
    <w:rsid w:val="00696C50"/>
    <w:rsid w:val="00696E70"/>
    <w:rsid w:val="00696E9A"/>
    <w:rsid w:val="00696ED6"/>
    <w:rsid w:val="00696EF9"/>
    <w:rsid w:val="00696F51"/>
    <w:rsid w:val="006970D8"/>
    <w:rsid w:val="006971AB"/>
    <w:rsid w:val="00697218"/>
    <w:rsid w:val="006975A7"/>
    <w:rsid w:val="00697767"/>
    <w:rsid w:val="006978C3"/>
    <w:rsid w:val="006979A5"/>
    <w:rsid w:val="00697C50"/>
    <w:rsid w:val="00697D29"/>
    <w:rsid w:val="00697D3C"/>
    <w:rsid w:val="00697D65"/>
    <w:rsid w:val="006A016F"/>
    <w:rsid w:val="006A0245"/>
    <w:rsid w:val="006A03BB"/>
    <w:rsid w:val="006A0572"/>
    <w:rsid w:val="006A05F5"/>
    <w:rsid w:val="006A076C"/>
    <w:rsid w:val="006A077F"/>
    <w:rsid w:val="006A07F8"/>
    <w:rsid w:val="006A0CCA"/>
    <w:rsid w:val="006A0D7C"/>
    <w:rsid w:val="006A0DC1"/>
    <w:rsid w:val="006A0DF7"/>
    <w:rsid w:val="006A10D5"/>
    <w:rsid w:val="006A113C"/>
    <w:rsid w:val="006A118B"/>
    <w:rsid w:val="006A11F5"/>
    <w:rsid w:val="006A1543"/>
    <w:rsid w:val="006A180F"/>
    <w:rsid w:val="006A1ABC"/>
    <w:rsid w:val="006A1E13"/>
    <w:rsid w:val="006A1F95"/>
    <w:rsid w:val="006A21EC"/>
    <w:rsid w:val="006A2532"/>
    <w:rsid w:val="006A2608"/>
    <w:rsid w:val="006A2B52"/>
    <w:rsid w:val="006A2C6B"/>
    <w:rsid w:val="006A2EA1"/>
    <w:rsid w:val="006A30E4"/>
    <w:rsid w:val="006A3463"/>
    <w:rsid w:val="006A3672"/>
    <w:rsid w:val="006A375A"/>
    <w:rsid w:val="006A394F"/>
    <w:rsid w:val="006A3C44"/>
    <w:rsid w:val="006A3D9F"/>
    <w:rsid w:val="006A3DD7"/>
    <w:rsid w:val="006A3E6E"/>
    <w:rsid w:val="006A40EF"/>
    <w:rsid w:val="006A4321"/>
    <w:rsid w:val="006A43D9"/>
    <w:rsid w:val="006A4458"/>
    <w:rsid w:val="006A45D1"/>
    <w:rsid w:val="006A4741"/>
    <w:rsid w:val="006A48E9"/>
    <w:rsid w:val="006A4EE9"/>
    <w:rsid w:val="006A5176"/>
    <w:rsid w:val="006A53AD"/>
    <w:rsid w:val="006A57C1"/>
    <w:rsid w:val="006A5846"/>
    <w:rsid w:val="006A58CC"/>
    <w:rsid w:val="006A58F4"/>
    <w:rsid w:val="006A5B40"/>
    <w:rsid w:val="006A6141"/>
    <w:rsid w:val="006A63FA"/>
    <w:rsid w:val="006A6683"/>
    <w:rsid w:val="006A6B99"/>
    <w:rsid w:val="006A6C70"/>
    <w:rsid w:val="006A6CE3"/>
    <w:rsid w:val="006A6DCD"/>
    <w:rsid w:val="006A7566"/>
    <w:rsid w:val="006A7576"/>
    <w:rsid w:val="006A7599"/>
    <w:rsid w:val="006A763D"/>
    <w:rsid w:val="006A778F"/>
    <w:rsid w:val="006A7803"/>
    <w:rsid w:val="006A78EE"/>
    <w:rsid w:val="006A793F"/>
    <w:rsid w:val="006A79A4"/>
    <w:rsid w:val="006A7A7F"/>
    <w:rsid w:val="006A7B00"/>
    <w:rsid w:val="006A7BEE"/>
    <w:rsid w:val="006A7DE8"/>
    <w:rsid w:val="006A7E5F"/>
    <w:rsid w:val="006A7E87"/>
    <w:rsid w:val="006B04EB"/>
    <w:rsid w:val="006B075E"/>
    <w:rsid w:val="006B085D"/>
    <w:rsid w:val="006B09D6"/>
    <w:rsid w:val="006B0A98"/>
    <w:rsid w:val="006B0B95"/>
    <w:rsid w:val="006B0D7D"/>
    <w:rsid w:val="006B0FBD"/>
    <w:rsid w:val="006B1046"/>
    <w:rsid w:val="006B1367"/>
    <w:rsid w:val="006B146E"/>
    <w:rsid w:val="006B1584"/>
    <w:rsid w:val="006B15DE"/>
    <w:rsid w:val="006B19A3"/>
    <w:rsid w:val="006B1A0D"/>
    <w:rsid w:val="006B1A49"/>
    <w:rsid w:val="006B1B6C"/>
    <w:rsid w:val="006B1C22"/>
    <w:rsid w:val="006B2156"/>
    <w:rsid w:val="006B22A1"/>
    <w:rsid w:val="006B261B"/>
    <w:rsid w:val="006B264C"/>
    <w:rsid w:val="006B29CF"/>
    <w:rsid w:val="006B2C90"/>
    <w:rsid w:val="006B2D91"/>
    <w:rsid w:val="006B2F27"/>
    <w:rsid w:val="006B2FA1"/>
    <w:rsid w:val="006B2FCE"/>
    <w:rsid w:val="006B305E"/>
    <w:rsid w:val="006B30F2"/>
    <w:rsid w:val="006B3176"/>
    <w:rsid w:val="006B337E"/>
    <w:rsid w:val="006B34C7"/>
    <w:rsid w:val="006B35E6"/>
    <w:rsid w:val="006B36AA"/>
    <w:rsid w:val="006B36FA"/>
    <w:rsid w:val="006B36FB"/>
    <w:rsid w:val="006B3776"/>
    <w:rsid w:val="006B3850"/>
    <w:rsid w:val="006B3A40"/>
    <w:rsid w:val="006B3E45"/>
    <w:rsid w:val="006B41EB"/>
    <w:rsid w:val="006B41FA"/>
    <w:rsid w:val="006B4491"/>
    <w:rsid w:val="006B4512"/>
    <w:rsid w:val="006B454B"/>
    <w:rsid w:val="006B45AA"/>
    <w:rsid w:val="006B465A"/>
    <w:rsid w:val="006B48C8"/>
    <w:rsid w:val="006B4B3F"/>
    <w:rsid w:val="006B4B69"/>
    <w:rsid w:val="006B4BA4"/>
    <w:rsid w:val="006B4C96"/>
    <w:rsid w:val="006B4E6F"/>
    <w:rsid w:val="006B4EFE"/>
    <w:rsid w:val="006B4FA5"/>
    <w:rsid w:val="006B5112"/>
    <w:rsid w:val="006B54C4"/>
    <w:rsid w:val="006B558B"/>
    <w:rsid w:val="006B56CD"/>
    <w:rsid w:val="006B574B"/>
    <w:rsid w:val="006B5AA3"/>
    <w:rsid w:val="006B5AC5"/>
    <w:rsid w:val="006B5D90"/>
    <w:rsid w:val="006B5E13"/>
    <w:rsid w:val="006B5F51"/>
    <w:rsid w:val="006B60E2"/>
    <w:rsid w:val="006B65AF"/>
    <w:rsid w:val="006B6918"/>
    <w:rsid w:val="006B6A16"/>
    <w:rsid w:val="006B6BE3"/>
    <w:rsid w:val="006B6DD0"/>
    <w:rsid w:val="006B6F5E"/>
    <w:rsid w:val="006B71F6"/>
    <w:rsid w:val="006B732E"/>
    <w:rsid w:val="006B74FC"/>
    <w:rsid w:val="006B7553"/>
    <w:rsid w:val="006B77E8"/>
    <w:rsid w:val="006B7A73"/>
    <w:rsid w:val="006B7B8A"/>
    <w:rsid w:val="006C01F0"/>
    <w:rsid w:val="006C0296"/>
    <w:rsid w:val="006C0399"/>
    <w:rsid w:val="006C03B7"/>
    <w:rsid w:val="006C0436"/>
    <w:rsid w:val="006C068D"/>
    <w:rsid w:val="006C0887"/>
    <w:rsid w:val="006C0C15"/>
    <w:rsid w:val="006C0EE5"/>
    <w:rsid w:val="006C1122"/>
    <w:rsid w:val="006C1303"/>
    <w:rsid w:val="006C136F"/>
    <w:rsid w:val="006C137B"/>
    <w:rsid w:val="006C14FD"/>
    <w:rsid w:val="006C1798"/>
    <w:rsid w:val="006C1812"/>
    <w:rsid w:val="006C1911"/>
    <w:rsid w:val="006C1928"/>
    <w:rsid w:val="006C1A90"/>
    <w:rsid w:val="006C1BC7"/>
    <w:rsid w:val="006C1D11"/>
    <w:rsid w:val="006C1E31"/>
    <w:rsid w:val="006C1E51"/>
    <w:rsid w:val="006C2020"/>
    <w:rsid w:val="006C2109"/>
    <w:rsid w:val="006C22EA"/>
    <w:rsid w:val="006C2684"/>
    <w:rsid w:val="006C27E2"/>
    <w:rsid w:val="006C29BB"/>
    <w:rsid w:val="006C2A1F"/>
    <w:rsid w:val="006C2A8E"/>
    <w:rsid w:val="006C2E0C"/>
    <w:rsid w:val="006C31FF"/>
    <w:rsid w:val="006C3204"/>
    <w:rsid w:val="006C3255"/>
    <w:rsid w:val="006C340B"/>
    <w:rsid w:val="006C34E4"/>
    <w:rsid w:val="006C3942"/>
    <w:rsid w:val="006C3AB1"/>
    <w:rsid w:val="006C3D43"/>
    <w:rsid w:val="006C3E51"/>
    <w:rsid w:val="006C3F26"/>
    <w:rsid w:val="006C3F7A"/>
    <w:rsid w:val="006C423D"/>
    <w:rsid w:val="006C4301"/>
    <w:rsid w:val="006C430C"/>
    <w:rsid w:val="006C4327"/>
    <w:rsid w:val="006C4404"/>
    <w:rsid w:val="006C4463"/>
    <w:rsid w:val="006C4804"/>
    <w:rsid w:val="006C4806"/>
    <w:rsid w:val="006C4971"/>
    <w:rsid w:val="006C4B61"/>
    <w:rsid w:val="006C4C3A"/>
    <w:rsid w:val="006C4C76"/>
    <w:rsid w:val="006C4E91"/>
    <w:rsid w:val="006C4EB1"/>
    <w:rsid w:val="006C4F1B"/>
    <w:rsid w:val="006C4FC3"/>
    <w:rsid w:val="006C5034"/>
    <w:rsid w:val="006C5056"/>
    <w:rsid w:val="006C53A0"/>
    <w:rsid w:val="006C5405"/>
    <w:rsid w:val="006C5411"/>
    <w:rsid w:val="006C5516"/>
    <w:rsid w:val="006C56A4"/>
    <w:rsid w:val="006C56D5"/>
    <w:rsid w:val="006C5924"/>
    <w:rsid w:val="006C5BE5"/>
    <w:rsid w:val="006C5EC5"/>
    <w:rsid w:val="006C61EE"/>
    <w:rsid w:val="006C6215"/>
    <w:rsid w:val="006C64AD"/>
    <w:rsid w:val="006C64FF"/>
    <w:rsid w:val="006C68B4"/>
    <w:rsid w:val="006C6BD9"/>
    <w:rsid w:val="006C6C3E"/>
    <w:rsid w:val="006C6E31"/>
    <w:rsid w:val="006C702B"/>
    <w:rsid w:val="006C71B9"/>
    <w:rsid w:val="006C729A"/>
    <w:rsid w:val="006C72D0"/>
    <w:rsid w:val="006C73A1"/>
    <w:rsid w:val="006C7C93"/>
    <w:rsid w:val="006C7D6C"/>
    <w:rsid w:val="006C7E1A"/>
    <w:rsid w:val="006C7EC8"/>
    <w:rsid w:val="006D00F3"/>
    <w:rsid w:val="006D0159"/>
    <w:rsid w:val="006D01AE"/>
    <w:rsid w:val="006D020A"/>
    <w:rsid w:val="006D0268"/>
    <w:rsid w:val="006D0344"/>
    <w:rsid w:val="006D0365"/>
    <w:rsid w:val="006D0366"/>
    <w:rsid w:val="006D0404"/>
    <w:rsid w:val="006D0A20"/>
    <w:rsid w:val="006D0A5C"/>
    <w:rsid w:val="006D0ABF"/>
    <w:rsid w:val="006D0B91"/>
    <w:rsid w:val="006D0D17"/>
    <w:rsid w:val="006D0F08"/>
    <w:rsid w:val="006D112A"/>
    <w:rsid w:val="006D128F"/>
    <w:rsid w:val="006D13AB"/>
    <w:rsid w:val="006D141F"/>
    <w:rsid w:val="006D14C2"/>
    <w:rsid w:val="006D14EB"/>
    <w:rsid w:val="006D14F6"/>
    <w:rsid w:val="006D1556"/>
    <w:rsid w:val="006D1561"/>
    <w:rsid w:val="006D1616"/>
    <w:rsid w:val="006D1655"/>
    <w:rsid w:val="006D1676"/>
    <w:rsid w:val="006D2309"/>
    <w:rsid w:val="006D2567"/>
    <w:rsid w:val="006D2602"/>
    <w:rsid w:val="006D286F"/>
    <w:rsid w:val="006D287D"/>
    <w:rsid w:val="006D28DF"/>
    <w:rsid w:val="006D29BE"/>
    <w:rsid w:val="006D2A55"/>
    <w:rsid w:val="006D2B65"/>
    <w:rsid w:val="006D2BA1"/>
    <w:rsid w:val="006D308B"/>
    <w:rsid w:val="006D3458"/>
    <w:rsid w:val="006D3569"/>
    <w:rsid w:val="006D3592"/>
    <w:rsid w:val="006D3614"/>
    <w:rsid w:val="006D3794"/>
    <w:rsid w:val="006D3870"/>
    <w:rsid w:val="006D3A46"/>
    <w:rsid w:val="006D3C63"/>
    <w:rsid w:val="006D3C7D"/>
    <w:rsid w:val="006D3ED8"/>
    <w:rsid w:val="006D3F71"/>
    <w:rsid w:val="006D405A"/>
    <w:rsid w:val="006D4223"/>
    <w:rsid w:val="006D43AF"/>
    <w:rsid w:val="006D4659"/>
    <w:rsid w:val="006D4671"/>
    <w:rsid w:val="006D4834"/>
    <w:rsid w:val="006D49B5"/>
    <w:rsid w:val="006D4E31"/>
    <w:rsid w:val="006D4F6E"/>
    <w:rsid w:val="006D523D"/>
    <w:rsid w:val="006D54A7"/>
    <w:rsid w:val="006D5512"/>
    <w:rsid w:val="006D5AF1"/>
    <w:rsid w:val="006D5B98"/>
    <w:rsid w:val="006D5D5F"/>
    <w:rsid w:val="006D6007"/>
    <w:rsid w:val="006D611A"/>
    <w:rsid w:val="006D6147"/>
    <w:rsid w:val="006D6299"/>
    <w:rsid w:val="006D62B1"/>
    <w:rsid w:val="006D6633"/>
    <w:rsid w:val="006D68FB"/>
    <w:rsid w:val="006D6B1C"/>
    <w:rsid w:val="006D6DBF"/>
    <w:rsid w:val="006D6E5C"/>
    <w:rsid w:val="006D6E87"/>
    <w:rsid w:val="006D76F1"/>
    <w:rsid w:val="006D778D"/>
    <w:rsid w:val="006D788A"/>
    <w:rsid w:val="006D7A52"/>
    <w:rsid w:val="006D7E4E"/>
    <w:rsid w:val="006D7F43"/>
    <w:rsid w:val="006E00C2"/>
    <w:rsid w:val="006E0162"/>
    <w:rsid w:val="006E01A1"/>
    <w:rsid w:val="006E01BD"/>
    <w:rsid w:val="006E02D5"/>
    <w:rsid w:val="006E0443"/>
    <w:rsid w:val="006E0615"/>
    <w:rsid w:val="006E0721"/>
    <w:rsid w:val="006E0966"/>
    <w:rsid w:val="006E09B7"/>
    <w:rsid w:val="006E0B55"/>
    <w:rsid w:val="006E0BB4"/>
    <w:rsid w:val="006E0C3F"/>
    <w:rsid w:val="006E0DE6"/>
    <w:rsid w:val="006E10B9"/>
    <w:rsid w:val="006E1180"/>
    <w:rsid w:val="006E142F"/>
    <w:rsid w:val="006E164B"/>
    <w:rsid w:val="006E1743"/>
    <w:rsid w:val="006E175A"/>
    <w:rsid w:val="006E184F"/>
    <w:rsid w:val="006E1947"/>
    <w:rsid w:val="006E1A8D"/>
    <w:rsid w:val="006E1B03"/>
    <w:rsid w:val="006E1F05"/>
    <w:rsid w:val="006E2201"/>
    <w:rsid w:val="006E27C5"/>
    <w:rsid w:val="006E2842"/>
    <w:rsid w:val="006E2868"/>
    <w:rsid w:val="006E2DC4"/>
    <w:rsid w:val="006E2F5E"/>
    <w:rsid w:val="006E2FB7"/>
    <w:rsid w:val="006E325A"/>
    <w:rsid w:val="006E3526"/>
    <w:rsid w:val="006E365B"/>
    <w:rsid w:val="006E379D"/>
    <w:rsid w:val="006E3813"/>
    <w:rsid w:val="006E38D2"/>
    <w:rsid w:val="006E3941"/>
    <w:rsid w:val="006E39DD"/>
    <w:rsid w:val="006E3BF7"/>
    <w:rsid w:val="006E3D37"/>
    <w:rsid w:val="006E41A5"/>
    <w:rsid w:val="006E439C"/>
    <w:rsid w:val="006E46D9"/>
    <w:rsid w:val="006E4748"/>
    <w:rsid w:val="006E4B69"/>
    <w:rsid w:val="006E4F14"/>
    <w:rsid w:val="006E507F"/>
    <w:rsid w:val="006E52F8"/>
    <w:rsid w:val="006E5529"/>
    <w:rsid w:val="006E5792"/>
    <w:rsid w:val="006E58C9"/>
    <w:rsid w:val="006E5BA4"/>
    <w:rsid w:val="006E5FC3"/>
    <w:rsid w:val="006E6104"/>
    <w:rsid w:val="006E64C1"/>
    <w:rsid w:val="006E6602"/>
    <w:rsid w:val="006E6700"/>
    <w:rsid w:val="006E6788"/>
    <w:rsid w:val="006E68F5"/>
    <w:rsid w:val="006E6918"/>
    <w:rsid w:val="006E6964"/>
    <w:rsid w:val="006E6B49"/>
    <w:rsid w:val="006E6C33"/>
    <w:rsid w:val="006E6DB9"/>
    <w:rsid w:val="006E6F0A"/>
    <w:rsid w:val="006E704D"/>
    <w:rsid w:val="006E73B8"/>
    <w:rsid w:val="006E73DF"/>
    <w:rsid w:val="006E7403"/>
    <w:rsid w:val="006E74C2"/>
    <w:rsid w:val="006E7630"/>
    <w:rsid w:val="006E7675"/>
    <w:rsid w:val="006E7944"/>
    <w:rsid w:val="006E799D"/>
    <w:rsid w:val="006E7D49"/>
    <w:rsid w:val="006E7F47"/>
    <w:rsid w:val="006F0056"/>
    <w:rsid w:val="006F0066"/>
    <w:rsid w:val="006F00A4"/>
    <w:rsid w:val="006F0426"/>
    <w:rsid w:val="006F04D9"/>
    <w:rsid w:val="006F05D8"/>
    <w:rsid w:val="006F08FC"/>
    <w:rsid w:val="006F0923"/>
    <w:rsid w:val="006F0CB9"/>
    <w:rsid w:val="006F0D8C"/>
    <w:rsid w:val="006F0DF5"/>
    <w:rsid w:val="006F0F25"/>
    <w:rsid w:val="006F1274"/>
    <w:rsid w:val="006F149D"/>
    <w:rsid w:val="006F166B"/>
    <w:rsid w:val="006F18DF"/>
    <w:rsid w:val="006F1B5B"/>
    <w:rsid w:val="006F1B5E"/>
    <w:rsid w:val="006F1C4A"/>
    <w:rsid w:val="006F208C"/>
    <w:rsid w:val="006F21CA"/>
    <w:rsid w:val="006F2331"/>
    <w:rsid w:val="006F23AA"/>
    <w:rsid w:val="006F2421"/>
    <w:rsid w:val="006F2475"/>
    <w:rsid w:val="006F26E4"/>
    <w:rsid w:val="006F2EFD"/>
    <w:rsid w:val="006F2FD0"/>
    <w:rsid w:val="006F306C"/>
    <w:rsid w:val="006F3221"/>
    <w:rsid w:val="006F34DF"/>
    <w:rsid w:val="006F34EB"/>
    <w:rsid w:val="006F35B4"/>
    <w:rsid w:val="006F37C7"/>
    <w:rsid w:val="006F3A10"/>
    <w:rsid w:val="006F3AF3"/>
    <w:rsid w:val="006F3E2B"/>
    <w:rsid w:val="006F40D2"/>
    <w:rsid w:val="006F41BA"/>
    <w:rsid w:val="006F448F"/>
    <w:rsid w:val="006F47E4"/>
    <w:rsid w:val="006F4BB0"/>
    <w:rsid w:val="006F4CC1"/>
    <w:rsid w:val="006F4F7B"/>
    <w:rsid w:val="006F504F"/>
    <w:rsid w:val="006F5691"/>
    <w:rsid w:val="006F57C7"/>
    <w:rsid w:val="006F5979"/>
    <w:rsid w:val="006F5A7C"/>
    <w:rsid w:val="006F5D81"/>
    <w:rsid w:val="006F5F40"/>
    <w:rsid w:val="006F6290"/>
    <w:rsid w:val="006F63A5"/>
    <w:rsid w:val="006F6514"/>
    <w:rsid w:val="006F6871"/>
    <w:rsid w:val="006F6EC2"/>
    <w:rsid w:val="006F6EFF"/>
    <w:rsid w:val="006F6F35"/>
    <w:rsid w:val="006F6F90"/>
    <w:rsid w:val="006F6FCB"/>
    <w:rsid w:val="006F70D7"/>
    <w:rsid w:val="006F7239"/>
    <w:rsid w:val="006F7380"/>
    <w:rsid w:val="006F746D"/>
    <w:rsid w:val="006F75C0"/>
    <w:rsid w:val="006F75F9"/>
    <w:rsid w:val="006F7728"/>
    <w:rsid w:val="006F7B67"/>
    <w:rsid w:val="006F7E50"/>
    <w:rsid w:val="006F7FD9"/>
    <w:rsid w:val="006F7FDF"/>
    <w:rsid w:val="007005A3"/>
    <w:rsid w:val="00700616"/>
    <w:rsid w:val="007008D1"/>
    <w:rsid w:val="00700B3D"/>
    <w:rsid w:val="00700B42"/>
    <w:rsid w:val="00700BAC"/>
    <w:rsid w:val="00700C78"/>
    <w:rsid w:val="00700CEA"/>
    <w:rsid w:val="00700EFD"/>
    <w:rsid w:val="0070105B"/>
    <w:rsid w:val="00701248"/>
    <w:rsid w:val="0070142B"/>
    <w:rsid w:val="0070172B"/>
    <w:rsid w:val="00701835"/>
    <w:rsid w:val="007019A3"/>
    <w:rsid w:val="00701B10"/>
    <w:rsid w:val="00701E45"/>
    <w:rsid w:val="007021C7"/>
    <w:rsid w:val="0070276E"/>
    <w:rsid w:val="0070277B"/>
    <w:rsid w:val="0070281F"/>
    <w:rsid w:val="00702D83"/>
    <w:rsid w:val="00702F60"/>
    <w:rsid w:val="00702F8F"/>
    <w:rsid w:val="0070321C"/>
    <w:rsid w:val="007032A9"/>
    <w:rsid w:val="0070340A"/>
    <w:rsid w:val="00703736"/>
    <w:rsid w:val="007038D4"/>
    <w:rsid w:val="00703972"/>
    <w:rsid w:val="00703A98"/>
    <w:rsid w:val="00703AE6"/>
    <w:rsid w:val="00703CF9"/>
    <w:rsid w:val="00703DBE"/>
    <w:rsid w:val="00703E79"/>
    <w:rsid w:val="00703F32"/>
    <w:rsid w:val="00704136"/>
    <w:rsid w:val="0070416B"/>
    <w:rsid w:val="007048E8"/>
    <w:rsid w:val="00704CFD"/>
    <w:rsid w:val="00704E98"/>
    <w:rsid w:val="00704ED6"/>
    <w:rsid w:val="00705029"/>
    <w:rsid w:val="007050CA"/>
    <w:rsid w:val="00705189"/>
    <w:rsid w:val="0070536A"/>
    <w:rsid w:val="007053DD"/>
    <w:rsid w:val="00705513"/>
    <w:rsid w:val="00705702"/>
    <w:rsid w:val="007057A0"/>
    <w:rsid w:val="007059CD"/>
    <w:rsid w:val="00705CDD"/>
    <w:rsid w:val="007060C2"/>
    <w:rsid w:val="007061B8"/>
    <w:rsid w:val="007061E4"/>
    <w:rsid w:val="00706502"/>
    <w:rsid w:val="0070676D"/>
    <w:rsid w:val="00706B7D"/>
    <w:rsid w:val="00706BF9"/>
    <w:rsid w:val="00706C1D"/>
    <w:rsid w:val="00707194"/>
    <w:rsid w:val="007071D2"/>
    <w:rsid w:val="0070739D"/>
    <w:rsid w:val="007074BE"/>
    <w:rsid w:val="007074E3"/>
    <w:rsid w:val="007074EE"/>
    <w:rsid w:val="00707550"/>
    <w:rsid w:val="0070767E"/>
    <w:rsid w:val="007079BE"/>
    <w:rsid w:val="007079FC"/>
    <w:rsid w:val="00707A7D"/>
    <w:rsid w:val="00710052"/>
    <w:rsid w:val="007102AA"/>
    <w:rsid w:val="007102DC"/>
    <w:rsid w:val="00710360"/>
    <w:rsid w:val="00710877"/>
    <w:rsid w:val="00710B69"/>
    <w:rsid w:val="00710DC2"/>
    <w:rsid w:val="00710F32"/>
    <w:rsid w:val="00710F68"/>
    <w:rsid w:val="007110B0"/>
    <w:rsid w:val="00711161"/>
    <w:rsid w:val="0071142B"/>
    <w:rsid w:val="007114E0"/>
    <w:rsid w:val="0071160B"/>
    <w:rsid w:val="00711757"/>
    <w:rsid w:val="00711A36"/>
    <w:rsid w:val="00711A98"/>
    <w:rsid w:val="00711B18"/>
    <w:rsid w:val="00711CB3"/>
    <w:rsid w:val="00711E59"/>
    <w:rsid w:val="00712032"/>
    <w:rsid w:val="00712039"/>
    <w:rsid w:val="007121C8"/>
    <w:rsid w:val="00712525"/>
    <w:rsid w:val="007125D3"/>
    <w:rsid w:val="00712812"/>
    <w:rsid w:val="00712836"/>
    <w:rsid w:val="007128B8"/>
    <w:rsid w:val="00712AC9"/>
    <w:rsid w:val="00712B81"/>
    <w:rsid w:val="00712C3B"/>
    <w:rsid w:val="00712D48"/>
    <w:rsid w:val="00712DF3"/>
    <w:rsid w:val="00712EAB"/>
    <w:rsid w:val="00713292"/>
    <w:rsid w:val="007135DB"/>
    <w:rsid w:val="0071388C"/>
    <w:rsid w:val="00713B67"/>
    <w:rsid w:val="00713BC3"/>
    <w:rsid w:val="00713D07"/>
    <w:rsid w:val="00713DA6"/>
    <w:rsid w:val="00714133"/>
    <w:rsid w:val="0071446D"/>
    <w:rsid w:val="007146FD"/>
    <w:rsid w:val="00714994"/>
    <w:rsid w:val="007149BE"/>
    <w:rsid w:val="00714C26"/>
    <w:rsid w:val="00714E0B"/>
    <w:rsid w:val="0071529C"/>
    <w:rsid w:val="0071544A"/>
    <w:rsid w:val="0071548F"/>
    <w:rsid w:val="00715849"/>
    <w:rsid w:val="0071588D"/>
    <w:rsid w:val="007158F4"/>
    <w:rsid w:val="00715946"/>
    <w:rsid w:val="00716004"/>
    <w:rsid w:val="00716137"/>
    <w:rsid w:val="007163D9"/>
    <w:rsid w:val="00716755"/>
    <w:rsid w:val="00716D28"/>
    <w:rsid w:val="00716FBB"/>
    <w:rsid w:val="00717002"/>
    <w:rsid w:val="0071700E"/>
    <w:rsid w:val="0071706B"/>
    <w:rsid w:val="007170DA"/>
    <w:rsid w:val="00717139"/>
    <w:rsid w:val="007172AD"/>
    <w:rsid w:val="00717546"/>
    <w:rsid w:val="007176FF"/>
    <w:rsid w:val="0071788A"/>
    <w:rsid w:val="007178A1"/>
    <w:rsid w:val="00717E4A"/>
    <w:rsid w:val="00717EE0"/>
    <w:rsid w:val="00717FF3"/>
    <w:rsid w:val="00720058"/>
    <w:rsid w:val="007202F3"/>
    <w:rsid w:val="00720327"/>
    <w:rsid w:val="007203C7"/>
    <w:rsid w:val="0072046C"/>
    <w:rsid w:val="0072063B"/>
    <w:rsid w:val="0072068F"/>
    <w:rsid w:val="00720801"/>
    <w:rsid w:val="00720AE5"/>
    <w:rsid w:val="00720B37"/>
    <w:rsid w:val="00720BB5"/>
    <w:rsid w:val="00720D4A"/>
    <w:rsid w:val="00720D57"/>
    <w:rsid w:val="00720D74"/>
    <w:rsid w:val="00720E89"/>
    <w:rsid w:val="00720FE4"/>
    <w:rsid w:val="007211D0"/>
    <w:rsid w:val="007212FD"/>
    <w:rsid w:val="0072136C"/>
    <w:rsid w:val="007214D7"/>
    <w:rsid w:val="00721850"/>
    <w:rsid w:val="00721851"/>
    <w:rsid w:val="00721BCE"/>
    <w:rsid w:val="00721C63"/>
    <w:rsid w:val="00721DCA"/>
    <w:rsid w:val="00721ED2"/>
    <w:rsid w:val="00721FA1"/>
    <w:rsid w:val="007221F3"/>
    <w:rsid w:val="00722358"/>
    <w:rsid w:val="0072255B"/>
    <w:rsid w:val="00722805"/>
    <w:rsid w:val="007228B9"/>
    <w:rsid w:val="00722B1B"/>
    <w:rsid w:val="00722B70"/>
    <w:rsid w:val="00722B93"/>
    <w:rsid w:val="0072303A"/>
    <w:rsid w:val="00723184"/>
    <w:rsid w:val="007237AF"/>
    <w:rsid w:val="00723813"/>
    <w:rsid w:val="0072388A"/>
    <w:rsid w:val="007238C4"/>
    <w:rsid w:val="00723948"/>
    <w:rsid w:val="00723975"/>
    <w:rsid w:val="007239CC"/>
    <w:rsid w:val="00723B45"/>
    <w:rsid w:val="00723B68"/>
    <w:rsid w:val="00723C35"/>
    <w:rsid w:val="00723C4D"/>
    <w:rsid w:val="00723D7C"/>
    <w:rsid w:val="00723E4E"/>
    <w:rsid w:val="00723FE0"/>
    <w:rsid w:val="0072416F"/>
    <w:rsid w:val="00724383"/>
    <w:rsid w:val="00724929"/>
    <w:rsid w:val="007249F6"/>
    <w:rsid w:val="00724CA5"/>
    <w:rsid w:val="00724D3C"/>
    <w:rsid w:val="00724FA2"/>
    <w:rsid w:val="00724FEC"/>
    <w:rsid w:val="007250A2"/>
    <w:rsid w:val="00725323"/>
    <w:rsid w:val="0072536C"/>
    <w:rsid w:val="00725416"/>
    <w:rsid w:val="00725FE7"/>
    <w:rsid w:val="007260DB"/>
    <w:rsid w:val="00726C31"/>
    <w:rsid w:val="00726C62"/>
    <w:rsid w:val="00726CD7"/>
    <w:rsid w:val="00726DA2"/>
    <w:rsid w:val="00726F29"/>
    <w:rsid w:val="00727510"/>
    <w:rsid w:val="00727595"/>
    <w:rsid w:val="0072767B"/>
    <w:rsid w:val="007279E2"/>
    <w:rsid w:val="00727C85"/>
    <w:rsid w:val="00727C94"/>
    <w:rsid w:val="00727F06"/>
    <w:rsid w:val="00727F0E"/>
    <w:rsid w:val="0073017D"/>
    <w:rsid w:val="007302A8"/>
    <w:rsid w:val="007302F0"/>
    <w:rsid w:val="00730349"/>
    <w:rsid w:val="00730377"/>
    <w:rsid w:val="007305A1"/>
    <w:rsid w:val="00730753"/>
    <w:rsid w:val="007308E8"/>
    <w:rsid w:val="00730933"/>
    <w:rsid w:val="00730AA0"/>
    <w:rsid w:val="00730B72"/>
    <w:rsid w:val="00730BBE"/>
    <w:rsid w:val="00730DA1"/>
    <w:rsid w:val="00730ED5"/>
    <w:rsid w:val="00730F55"/>
    <w:rsid w:val="007313A7"/>
    <w:rsid w:val="007313F9"/>
    <w:rsid w:val="00731617"/>
    <w:rsid w:val="00731650"/>
    <w:rsid w:val="0073189E"/>
    <w:rsid w:val="0073195D"/>
    <w:rsid w:val="00731A78"/>
    <w:rsid w:val="00731B0A"/>
    <w:rsid w:val="00731DDD"/>
    <w:rsid w:val="00731EAE"/>
    <w:rsid w:val="00731F13"/>
    <w:rsid w:val="00731FC4"/>
    <w:rsid w:val="0073224F"/>
    <w:rsid w:val="00732800"/>
    <w:rsid w:val="0073280D"/>
    <w:rsid w:val="007329C3"/>
    <w:rsid w:val="00732A30"/>
    <w:rsid w:val="00732A9F"/>
    <w:rsid w:val="00732B49"/>
    <w:rsid w:val="00732F2D"/>
    <w:rsid w:val="00732F8B"/>
    <w:rsid w:val="00733073"/>
    <w:rsid w:val="00733180"/>
    <w:rsid w:val="007333A3"/>
    <w:rsid w:val="007338A9"/>
    <w:rsid w:val="00733945"/>
    <w:rsid w:val="00733A37"/>
    <w:rsid w:val="00733BA4"/>
    <w:rsid w:val="00733C39"/>
    <w:rsid w:val="00733C79"/>
    <w:rsid w:val="00733D1A"/>
    <w:rsid w:val="00733DB9"/>
    <w:rsid w:val="00733E9F"/>
    <w:rsid w:val="00733F29"/>
    <w:rsid w:val="00733FDE"/>
    <w:rsid w:val="00733FEC"/>
    <w:rsid w:val="00734107"/>
    <w:rsid w:val="0073419B"/>
    <w:rsid w:val="007342CE"/>
    <w:rsid w:val="007343CF"/>
    <w:rsid w:val="00734B84"/>
    <w:rsid w:val="00734BE5"/>
    <w:rsid w:val="00734DC8"/>
    <w:rsid w:val="00735033"/>
    <w:rsid w:val="0073517D"/>
    <w:rsid w:val="00735297"/>
    <w:rsid w:val="00735328"/>
    <w:rsid w:val="00735975"/>
    <w:rsid w:val="007359D2"/>
    <w:rsid w:val="00735A72"/>
    <w:rsid w:val="00735AC1"/>
    <w:rsid w:val="00735BDB"/>
    <w:rsid w:val="00735BFD"/>
    <w:rsid w:val="00735DF9"/>
    <w:rsid w:val="00735E8E"/>
    <w:rsid w:val="0073685B"/>
    <w:rsid w:val="00736AAB"/>
    <w:rsid w:val="00736AF2"/>
    <w:rsid w:val="00736B6D"/>
    <w:rsid w:val="00736E49"/>
    <w:rsid w:val="007372A8"/>
    <w:rsid w:val="00737386"/>
    <w:rsid w:val="007373F7"/>
    <w:rsid w:val="00737607"/>
    <w:rsid w:val="00737653"/>
    <w:rsid w:val="00737BAE"/>
    <w:rsid w:val="00737BB0"/>
    <w:rsid w:val="00737C3F"/>
    <w:rsid w:val="00737DF2"/>
    <w:rsid w:val="00737E73"/>
    <w:rsid w:val="00740047"/>
    <w:rsid w:val="0074041D"/>
    <w:rsid w:val="007404FC"/>
    <w:rsid w:val="007407C6"/>
    <w:rsid w:val="00740978"/>
    <w:rsid w:val="00740E88"/>
    <w:rsid w:val="00740EA3"/>
    <w:rsid w:val="007410A0"/>
    <w:rsid w:val="0074127E"/>
    <w:rsid w:val="007412DB"/>
    <w:rsid w:val="00741353"/>
    <w:rsid w:val="0074151C"/>
    <w:rsid w:val="00741685"/>
    <w:rsid w:val="00741C1F"/>
    <w:rsid w:val="00741E65"/>
    <w:rsid w:val="00741FCD"/>
    <w:rsid w:val="0074204B"/>
    <w:rsid w:val="007422D4"/>
    <w:rsid w:val="00742348"/>
    <w:rsid w:val="007426F0"/>
    <w:rsid w:val="007428BF"/>
    <w:rsid w:val="007429A0"/>
    <w:rsid w:val="00742B83"/>
    <w:rsid w:val="00742BAE"/>
    <w:rsid w:val="00742C56"/>
    <w:rsid w:val="00742E23"/>
    <w:rsid w:val="00742E6E"/>
    <w:rsid w:val="00742E8E"/>
    <w:rsid w:val="007430B4"/>
    <w:rsid w:val="00743449"/>
    <w:rsid w:val="007436E9"/>
    <w:rsid w:val="0074376B"/>
    <w:rsid w:val="00743870"/>
    <w:rsid w:val="00743EED"/>
    <w:rsid w:val="00744166"/>
    <w:rsid w:val="007442BD"/>
    <w:rsid w:val="00744441"/>
    <w:rsid w:val="007449BF"/>
    <w:rsid w:val="00744B94"/>
    <w:rsid w:val="00744D13"/>
    <w:rsid w:val="00744D8E"/>
    <w:rsid w:val="00745126"/>
    <w:rsid w:val="00745289"/>
    <w:rsid w:val="007455AB"/>
    <w:rsid w:val="007455BB"/>
    <w:rsid w:val="0074563A"/>
    <w:rsid w:val="00745774"/>
    <w:rsid w:val="00745832"/>
    <w:rsid w:val="00745CF8"/>
    <w:rsid w:val="00745D31"/>
    <w:rsid w:val="00745D83"/>
    <w:rsid w:val="00745E2A"/>
    <w:rsid w:val="00745F15"/>
    <w:rsid w:val="00745F88"/>
    <w:rsid w:val="00746062"/>
    <w:rsid w:val="0074623C"/>
    <w:rsid w:val="007463FE"/>
    <w:rsid w:val="007465FE"/>
    <w:rsid w:val="00746752"/>
    <w:rsid w:val="00746917"/>
    <w:rsid w:val="007469F8"/>
    <w:rsid w:val="00746A0E"/>
    <w:rsid w:val="00746A44"/>
    <w:rsid w:val="00746B50"/>
    <w:rsid w:val="00746B6A"/>
    <w:rsid w:val="00746BA9"/>
    <w:rsid w:val="00746BC0"/>
    <w:rsid w:val="00746C6F"/>
    <w:rsid w:val="00746CE4"/>
    <w:rsid w:val="00746DE8"/>
    <w:rsid w:val="007472BD"/>
    <w:rsid w:val="007472E1"/>
    <w:rsid w:val="0074760F"/>
    <w:rsid w:val="00747672"/>
    <w:rsid w:val="007476B0"/>
    <w:rsid w:val="0074799A"/>
    <w:rsid w:val="00747D6A"/>
    <w:rsid w:val="00750447"/>
    <w:rsid w:val="007504A5"/>
    <w:rsid w:val="007504D4"/>
    <w:rsid w:val="0075068C"/>
    <w:rsid w:val="007506B1"/>
    <w:rsid w:val="00750786"/>
    <w:rsid w:val="0075085F"/>
    <w:rsid w:val="007509C2"/>
    <w:rsid w:val="00750A4A"/>
    <w:rsid w:val="00750BE0"/>
    <w:rsid w:val="00750BED"/>
    <w:rsid w:val="00750D6C"/>
    <w:rsid w:val="00750E95"/>
    <w:rsid w:val="00750EEC"/>
    <w:rsid w:val="007510B4"/>
    <w:rsid w:val="0075113C"/>
    <w:rsid w:val="007511A5"/>
    <w:rsid w:val="00751385"/>
    <w:rsid w:val="00751815"/>
    <w:rsid w:val="00751943"/>
    <w:rsid w:val="00751D18"/>
    <w:rsid w:val="00751D2A"/>
    <w:rsid w:val="00752142"/>
    <w:rsid w:val="00752291"/>
    <w:rsid w:val="007523F9"/>
    <w:rsid w:val="007524AE"/>
    <w:rsid w:val="007524F3"/>
    <w:rsid w:val="0075261B"/>
    <w:rsid w:val="00752704"/>
    <w:rsid w:val="007527EC"/>
    <w:rsid w:val="00752BF5"/>
    <w:rsid w:val="00752CD9"/>
    <w:rsid w:val="00752DD6"/>
    <w:rsid w:val="0075302E"/>
    <w:rsid w:val="00753221"/>
    <w:rsid w:val="007533C7"/>
    <w:rsid w:val="0075349C"/>
    <w:rsid w:val="0075357E"/>
    <w:rsid w:val="00753776"/>
    <w:rsid w:val="00753B16"/>
    <w:rsid w:val="00753B29"/>
    <w:rsid w:val="00753B30"/>
    <w:rsid w:val="00753D4E"/>
    <w:rsid w:val="00753DBB"/>
    <w:rsid w:val="007542A0"/>
    <w:rsid w:val="007542F1"/>
    <w:rsid w:val="007544D4"/>
    <w:rsid w:val="00754705"/>
    <w:rsid w:val="007547E9"/>
    <w:rsid w:val="0075481B"/>
    <w:rsid w:val="00754979"/>
    <w:rsid w:val="0075497D"/>
    <w:rsid w:val="007549FC"/>
    <w:rsid w:val="00755123"/>
    <w:rsid w:val="00755219"/>
    <w:rsid w:val="007552C9"/>
    <w:rsid w:val="00755365"/>
    <w:rsid w:val="00755409"/>
    <w:rsid w:val="007554A6"/>
    <w:rsid w:val="007554F0"/>
    <w:rsid w:val="0075566E"/>
    <w:rsid w:val="007557C9"/>
    <w:rsid w:val="0075582B"/>
    <w:rsid w:val="00755B1B"/>
    <w:rsid w:val="00755BB2"/>
    <w:rsid w:val="00755EA4"/>
    <w:rsid w:val="00756026"/>
    <w:rsid w:val="00756490"/>
    <w:rsid w:val="0075678B"/>
    <w:rsid w:val="00756BD3"/>
    <w:rsid w:val="00756CB9"/>
    <w:rsid w:val="007573E8"/>
    <w:rsid w:val="007574AC"/>
    <w:rsid w:val="007574BB"/>
    <w:rsid w:val="00757788"/>
    <w:rsid w:val="0075779C"/>
    <w:rsid w:val="00757A99"/>
    <w:rsid w:val="00757E60"/>
    <w:rsid w:val="00757F95"/>
    <w:rsid w:val="0076005F"/>
    <w:rsid w:val="007602DF"/>
    <w:rsid w:val="007605CF"/>
    <w:rsid w:val="00760C4E"/>
    <w:rsid w:val="00760CB5"/>
    <w:rsid w:val="00760D69"/>
    <w:rsid w:val="00760F9E"/>
    <w:rsid w:val="00760FAB"/>
    <w:rsid w:val="00761397"/>
    <w:rsid w:val="00761519"/>
    <w:rsid w:val="007616CC"/>
    <w:rsid w:val="007616E6"/>
    <w:rsid w:val="007617AC"/>
    <w:rsid w:val="007619EA"/>
    <w:rsid w:val="00761CC2"/>
    <w:rsid w:val="00761D01"/>
    <w:rsid w:val="00761DF8"/>
    <w:rsid w:val="00761F13"/>
    <w:rsid w:val="007620BD"/>
    <w:rsid w:val="00762183"/>
    <w:rsid w:val="007625C1"/>
    <w:rsid w:val="007625F5"/>
    <w:rsid w:val="007626B7"/>
    <w:rsid w:val="00762700"/>
    <w:rsid w:val="007627BE"/>
    <w:rsid w:val="007628D2"/>
    <w:rsid w:val="007628F7"/>
    <w:rsid w:val="00762A7A"/>
    <w:rsid w:val="00762AB4"/>
    <w:rsid w:val="00762B04"/>
    <w:rsid w:val="00762D05"/>
    <w:rsid w:val="00762F24"/>
    <w:rsid w:val="00763055"/>
    <w:rsid w:val="007636F1"/>
    <w:rsid w:val="007637BB"/>
    <w:rsid w:val="0076390C"/>
    <w:rsid w:val="00763966"/>
    <w:rsid w:val="00763E90"/>
    <w:rsid w:val="00764044"/>
    <w:rsid w:val="00764093"/>
    <w:rsid w:val="007641EE"/>
    <w:rsid w:val="007642D5"/>
    <w:rsid w:val="00764560"/>
    <w:rsid w:val="00764884"/>
    <w:rsid w:val="00764AD7"/>
    <w:rsid w:val="00764CB4"/>
    <w:rsid w:val="00764D42"/>
    <w:rsid w:val="00764F00"/>
    <w:rsid w:val="00764F03"/>
    <w:rsid w:val="0076503A"/>
    <w:rsid w:val="007652BD"/>
    <w:rsid w:val="0076535C"/>
    <w:rsid w:val="0076550F"/>
    <w:rsid w:val="0076551A"/>
    <w:rsid w:val="00765529"/>
    <w:rsid w:val="00765711"/>
    <w:rsid w:val="0076580A"/>
    <w:rsid w:val="007658B8"/>
    <w:rsid w:val="00765A5D"/>
    <w:rsid w:val="00765B1A"/>
    <w:rsid w:val="00765DC1"/>
    <w:rsid w:val="00765F31"/>
    <w:rsid w:val="0076603C"/>
    <w:rsid w:val="0076629C"/>
    <w:rsid w:val="00766489"/>
    <w:rsid w:val="007666E3"/>
    <w:rsid w:val="007667C5"/>
    <w:rsid w:val="0076694B"/>
    <w:rsid w:val="00766B04"/>
    <w:rsid w:val="0076742A"/>
    <w:rsid w:val="007674BA"/>
    <w:rsid w:val="0076766C"/>
    <w:rsid w:val="007676C8"/>
    <w:rsid w:val="007678B0"/>
    <w:rsid w:val="007678D5"/>
    <w:rsid w:val="00767CAD"/>
    <w:rsid w:val="00767D7E"/>
    <w:rsid w:val="00767EF2"/>
    <w:rsid w:val="007704F3"/>
    <w:rsid w:val="0077057E"/>
    <w:rsid w:val="007705CE"/>
    <w:rsid w:val="007708B7"/>
    <w:rsid w:val="00770A4E"/>
    <w:rsid w:val="00770AAD"/>
    <w:rsid w:val="00770C21"/>
    <w:rsid w:val="00770D44"/>
    <w:rsid w:val="0077105F"/>
    <w:rsid w:val="00771368"/>
    <w:rsid w:val="007715D9"/>
    <w:rsid w:val="0077163D"/>
    <w:rsid w:val="0077184C"/>
    <w:rsid w:val="007718C1"/>
    <w:rsid w:val="00771D7D"/>
    <w:rsid w:val="00771DD6"/>
    <w:rsid w:val="00771E59"/>
    <w:rsid w:val="0077200E"/>
    <w:rsid w:val="0077203F"/>
    <w:rsid w:val="007722B0"/>
    <w:rsid w:val="007723FC"/>
    <w:rsid w:val="007724EB"/>
    <w:rsid w:val="0077265C"/>
    <w:rsid w:val="00772662"/>
    <w:rsid w:val="00772763"/>
    <w:rsid w:val="00772AAE"/>
    <w:rsid w:val="00772E91"/>
    <w:rsid w:val="00772ED7"/>
    <w:rsid w:val="007731D5"/>
    <w:rsid w:val="0077339B"/>
    <w:rsid w:val="0077345E"/>
    <w:rsid w:val="00773B04"/>
    <w:rsid w:val="00773D02"/>
    <w:rsid w:val="00774085"/>
    <w:rsid w:val="0077409E"/>
    <w:rsid w:val="00774258"/>
    <w:rsid w:val="00774368"/>
    <w:rsid w:val="0077442A"/>
    <w:rsid w:val="0077473E"/>
    <w:rsid w:val="007747DE"/>
    <w:rsid w:val="0077493C"/>
    <w:rsid w:val="00774CA7"/>
    <w:rsid w:val="00774DCC"/>
    <w:rsid w:val="00774E76"/>
    <w:rsid w:val="00774EFE"/>
    <w:rsid w:val="007750E6"/>
    <w:rsid w:val="00775BB7"/>
    <w:rsid w:val="00775C6C"/>
    <w:rsid w:val="00775D71"/>
    <w:rsid w:val="00775F7E"/>
    <w:rsid w:val="00776291"/>
    <w:rsid w:val="007764B3"/>
    <w:rsid w:val="007764C7"/>
    <w:rsid w:val="00776641"/>
    <w:rsid w:val="00776756"/>
    <w:rsid w:val="00776963"/>
    <w:rsid w:val="00776A29"/>
    <w:rsid w:val="00776B2A"/>
    <w:rsid w:val="00776C8F"/>
    <w:rsid w:val="00776D67"/>
    <w:rsid w:val="00777096"/>
    <w:rsid w:val="0077713F"/>
    <w:rsid w:val="00777335"/>
    <w:rsid w:val="007773B9"/>
    <w:rsid w:val="00777C46"/>
    <w:rsid w:val="00777EB5"/>
    <w:rsid w:val="00780230"/>
    <w:rsid w:val="00780237"/>
    <w:rsid w:val="00780253"/>
    <w:rsid w:val="007804EA"/>
    <w:rsid w:val="007805AA"/>
    <w:rsid w:val="00780766"/>
    <w:rsid w:val="0078094E"/>
    <w:rsid w:val="00780EE0"/>
    <w:rsid w:val="00781042"/>
    <w:rsid w:val="00781052"/>
    <w:rsid w:val="007810D0"/>
    <w:rsid w:val="007811A8"/>
    <w:rsid w:val="0078133A"/>
    <w:rsid w:val="007813E4"/>
    <w:rsid w:val="00781759"/>
    <w:rsid w:val="00781E40"/>
    <w:rsid w:val="00781E7C"/>
    <w:rsid w:val="007821EB"/>
    <w:rsid w:val="007821F4"/>
    <w:rsid w:val="007825E7"/>
    <w:rsid w:val="0078276F"/>
    <w:rsid w:val="00782AEE"/>
    <w:rsid w:val="00782D4C"/>
    <w:rsid w:val="00782E10"/>
    <w:rsid w:val="00782EAD"/>
    <w:rsid w:val="007830A7"/>
    <w:rsid w:val="007833AF"/>
    <w:rsid w:val="00783445"/>
    <w:rsid w:val="00783536"/>
    <w:rsid w:val="0078354F"/>
    <w:rsid w:val="007836D3"/>
    <w:rsid w:val="0078381A"/>
    <w:rsid w:val="0078385D"/>
    <w:rsid w:val="0078387E"/>
    <w:rsid w:val="00783A16"/>
    <w:rsid w:val="00783A90"/>
    <w:rsid w:val="00783BB3"/>
    <w:rsid w:val="00783CDC"/>
    <w:rsid w:val="00783E73"/>
    <w:rsid w:val="0078404D"/>
    <w:rsid w:val="0078408E"/>
    <w:rsid w:val="00784247"/>
    <w:rsid w:val="007843D0"/>
    <w:rsid w:val="007843F2"/>
    <w:rsid w:val="007846FA"/>
    <w:rsid w:val="007848ED"/>
    <w:rsid w:val="007849E0"/>
    <w:rsid w:val="00784AC6"/>
    <w:rsid w:val="00784C86"/>
    <w:rsid w:val="00784D27"/>
    <w:rsid w:val="00784F95"/>
    <w:rsid w:val="007852D1"/>
    <w:rsid w:val="00785319"/>
    <w:rsid w:val="007855E6"/>
    <w:rsid w:val="00785A9F"/>
    <w:rsid w:val="00785E7D"/>
    <w:rsid w:val="00785F63"/>
    <w:rsid w:val="007861B2"/>
    <w:rsid w:val="007864CF"/>
    <w:rsid w:val="0078668B"/>
    <w:rsid w:val="00786847"/>
    <w:rsid w:val="007868E5"/>
    <w:rsid w:val="007869F1"/>
    <w:rsid w:val="007870A9"/>
    <w:rsid w:val="0078732A"/>
    <w:rsid w:val="0078751C"/>
    <w:rsid w:val="007875E5"/>
    <w:rsid w:val="0078767A"/>
    <w:rsid w:val="007877D1"/>
    <w:rsid w:val="007878A2"/>
    <w:rsid w:val="00787C18"/>
    <w:rsid w:val="0079037D"/>
    <w:rsid w:val="00790464"/>
    <w:rsid w:val="0079054D"/>
    <w:rsid w:val="00790651"/>
    <w:rsid w:val="00790694"/>
    <w:rsid w:val="007907BB"/>
    <w:rsid w:val="007907D6"/>
    <w:rsid w:val="00790DCF"/>
    <w:rsid w:val="00791245"/>
    <w:rsid w:val="00791301"/>
    <w:rsid w:val="0079142C"/>
    <w:rsid w:val="00791454"/>
    <w:rsid w:val="00791551"/>
    <w:rsid w:val="00791575"/>
    <w:rsid w:val="007916EC"/>
    <w:rsid w:val="00791772"/>
    <w:rsid w:val="00791A18"/>
    <w:rsid w:val="00791B0E"/>
    <w:rsid w:val="00791F4F"/>
    <w:rsid w:val="00792050"/>
    <w:rsid w:val="007920D7"/>
    <w:rsid w:val="007925DF"/>
    <w:rsid w:val="00792702"/>
    <w:rsid w:val="007929DC"/>
    <w:rsid w:val="00792A0D"/>
    <w:rsid w:val="00792FD5"/>
    <w:rsid w:val="007933D2"/>
    <w:rsid w:val="007933D3"/>
    <w:rsid w:val="00793502"/>
    <w:rsid w:val="00793536"/>
    <w:rsid w:val="00793EBC"/>
    <w:rsid w:val="00794003"/>
    <w:rsid w:val="00794173"/>
    <w:rsid w:val="007941EE"/>
    <w:rsid w:val="00794236"/>
    <w:rsid w:val="0079423B"/>
    <w:rsid w:val="007942EA"/>
    <w:rsid w:val="007949C7"/>
    <w:rsid w:val="00794A27"/>
    <w:rsid w:val="00794AB8"/>
    <w:rsid w:val="00794B26"/>
    <w:rsid w:val="00794CE2"/>
    <w:rsid w:val="00794CE9"/>
    <w:rsid w:val="00794D7D"/>
    <w:rsid w:val="00794D9D"/>
    <w:rsid w:val="00795475"/>
    <w:rsid w:val="007954B1"/>
    <w:rsid w:val="007956D7"/>
    <w:rsid w:val="007956E3"/>
    <w:rsid w:val="00795787"/>
    <w:rsid w:val="007958AC"/>
    <w:rsid w:val="0079594B"/>
    <w:rsid w:val="00795BF3"/>
    <w:rsid w:val="00795C80"/>
    <w:rsid w:val="00795D1E"/>
    <w:rsid w:val="00795D33"/>
    <w:rsid w:val="00795E59"/>
    <w:rsid w:val="00796304"/>
    <w:rsid w:val="007964F0"/>
    <w:rsid w:val="007965A7"/>
    <w:rsid w:val="007966DA"/>
    <w:rsid w:val="0079699B"/>
    <w:rsid w:val="00796ACD"/>
    <w:rsid w:val="00796DF9"/>
    <w:rsid w:val="00796E17"/>
    <w:rsid w:val="00796ED1"/>
    <w:rsid w:val="00796F32"/>
    <w:rsid w:val="00796FB4"/>
    <w:rsid w:val="0079702D"/>
    <w:rsid w:val="00797206"/>
    <w:rsid w:val="007975C0"/>
    <w:rsid w:val="007976AB"/>
    <w:rsid w:val="007978D0"/>
    <w:rsid w:val="00797948"/>
    <w:rsid w:val="00797980"/>
    <w:rsid w:val="007979A6"/>
    <w:rsid w:val="00797A42"/>
    <w:rsid w:val="007A01C0"/>
    <w:rsid w:val="007A04F1"/>
    <w:rsid w:val="007A0612"/>
    <w:rsid w:val="007A07EB"/>
    <w:rsid w:val="007A08A7"/>
    <w:rsid w:val="007A08AA"/>
    <w:rsid w:val="007A096D"/>
    <w:rsid w:val="007A0A12"/>
    <w:rsid w:val="007A0AB6"/>
    <w:rsid w:val="007A0CAF"/>
    <w:rsid w:val="007A0CD2"/>
    <w:rsid w:val="007A0CFD"/>
    <w:rsid w:val="007A0D6B"/>
    <w:rsid w:val="007A0DCB"/>
    <w:rsid w:val="007A132D"/>
    <w:rsid w:val="007A1345"/>
    <w:rsid w:val="007A15C6"/>
    <w:rsid w:val="007A177C"/>
    <w:rsid w:val="007A182F"/>
    <w:rsid w:val="007A1C0A"/>
    <w:rsid w:val="007A1C6B"/>
    <w:rsid w:val="007A1CDD"/>
    <w:rsid w:val="007A2078"/>
    <w:rsid w:val="007A215C"/>
    <w:rsid w:val="007A257F"/>
    <w:rsid w:val="007A26A0"/>
    <w:rsid w:val="007A2742"/>
    <w:rsid w:val="007A288A"/>
    <w:rsid w:val="007A2928"/>
    <w:rsid w:val="007A2C84"/>
    <w:rsid w:val="007A2D0F"/>
    <w:rsid w:val="007A2DDB"/>
    <w:rsid w:val="007A31A8"/>
    <w:rsid w:val="007A3302"/>
    <w:rsid w:val="007A3400"/>
    <w:rsid w:val="007A36F4"/>
    <w:rsid w:val="007A38C3"/>
    <w:rsid w:val="007A38E2"/>
    <w:rsid w:val="007A395A"/>
    <w:rsid w:val="007A3974"/>
    <w:rsid w:val="007A39C1"/>
    <w:rsid w:val="007A3C04"/>
    <w:rsid w:val="007A3D58"/>
    <w:rsid w:val="007A3DAE"/>
    <w:rsid w:val="007A3E6C"/>
    <w:rsid w:val="007A3EF6"/>
    <w:rsid w:val="007A3FE3"/>
    <w:rsid w:val="007A40B4"/>
    <w:rsid w:val="007A411A"/>
    <w:rsid w:val="007A42DB"/>
    <w:rsid w:val="007A4520"/>
    <w:rsid w:val="007A4618"/>
    <w:rsid w:val="007A46FF"/>
    <w:rsid w:val="007A47C3"/>
    <w:rsid w:val="007A48F9"/>
    <w:rsid w:val="007A4B5F"/>
    <w:rsid w:val="007A4D13"/>
    <w:rsid w:val="007A4E3D"/>
    <w:rsid w:val="007A4F76"/>
    <w:rsid w:val="007A5104"/>
    <w:rsid w:val="007A525E"/>
    <w:rsid w:val="007A52AB"/>
    <w:rsid w:val="007A5333"/>
    <w:rsid w:val="007A53E4"/>
    <w:rsid w:val="007A562F"/>
    <w:rsid w:val="007A5761"/>
    <w:rsid w:val="007A57CE"/>
    <w:rsid w:val="007A589D"/>
    <w:rsid w:val="007A59DE"/>
    <w:rsid w:val="007A5BD3"/>
    <w:rsid w:val="007A5C03"/>
    <w:rsid w:val="007A6005"/>
    <w:rsid w:val="007A603B"/>
    <w:rsid w:val="007A6099"/>
    <w:rsid w:val="007A60AE"/>
    <w:rsid w:val="007A61A3"/>
    <w:rsid w:val="007A61B6"/>
    <w:rsid w:val="007A61EB"/>
    <w:rsid w:val="007A6594"/>
    <w:rsid w:val="007A65C4"/>
    <w:rsid w:val="007A676E"/>
    <w:rsid w:val="007A696E"/>
    <w:rsid w:val="007A6A72"/>
    <w:rsid w:val="007A6BFA"/>
    <w:rsid w:val="007A70BA"/>
    <w:rsid w:val="007A7101"/>
    <w:rsid w:val="007A7113"/>
    <w:rsid w:val="007A7122"/>
    <w:rsid w:val="007A7333"/>
    <w:rsid w:val="007A7338"/>
    <w:rsid w:val="007A7491"/>
    <w:rsid w:val="007A7642"/>
    <w:rsid w:val="007A7B06"/>
    <w:rsid w:val="007A7B11"/>
    <w:rsid w:val="007B0103"/>
    <w:rsid w:val="007B01ED"/>
    <w:rsid w:val="007B038A"/>
    <w:rsid w:val="007B047E"/>
    <w:rsid w:val="007B0579"/>
    <w:rsid w:val="007B060D"/>
    <w:rsid w:val="007B0612"/>
    <w:rsid w:val="007B0894"/>
    <w:rsid w:val="007B0979"/>
    <w:rsid w:val="007B09D8"/>
    <w:rsid w:val="007B0C1C"/>
    <w:rsid w:val="007B0D68"/>
    <w:rsid w:val="007B0E2C"/>
    <w:rsid w:val="007B0EA1"/>
    <w:rsid w:val="007B1171"/>
    <w:rsid w:val="007B11E3"/>
    <w:rsid w:val="007B1212"/>
    <w:rsid w:val="007B13B0"/>
    <w:rsid w:val="007B13C8"/>
    <w:rsid w:val="007B1623"/>
    <w:rsid w:val="007B175C"/>
    <w:rsid w:val="007B18BB"/>
    <w:rsid w:val="007B22BD"/>
    <w:rsid w:val="007B2326"/>
    <w:rsid w:val="007B2334"/>
    <w:rsid w:val="007B23E5"/>
    <w:rsid w:val="007B24BB"/>
    <w:rsid w:val="007B251D"/>
    <w:rsid w:val="007B2572"/>
    <w:rsid w:val="007B25E0"/>
    <w:rsid w:val="007B26FC"/>
    <w:rsid w:val="007B278B"/>
    <w:rsid w:val="007B2930"/>
    <w:rsid w:val="007B2962"/>
    <w:rsid w:val="007B2A4F"/>
    <w:rsid w:val="007B2B66"/>
    <w:rsid w:val="007B2DE6"/>
    <w:rsid w:val="007B31B7"/>
    <w:rsid w:val="007B3523"/>
    <w:rsid w:val="007B3533"/>
    <w:rsid w:val="007B3662"/>
    <w:rsid w:val="007B399D"/>
    <w:rsid w:val="007B3BEC"/>
    <w:rsid w:val="007B3D18"/>
    <w:rsid w:val="007B43D2"/>
    <w:rsid w:val="007B4655"/>
    <w:rsid w:val="007B4906"/>
    <w:rsid w:val="007B4DDA"/>
    <w:rsid w:val="007B4F58"/>
    <w:rsid w:val="007B503C"/>
    <w:rsid w:val="007B50AA"/>
    <w:rsid w:val="007B51EB"/>
    <w:rsid w:val="007B528D"/>
    <w:rsid w:val="007B52A3"/>
    <w:rsid w:val="007B5452"/>
    <w:rsid w:val="007B5617"/>
    <w:rsid w:val="007B5A55"/>
    <w:rsid w:val="007B608D"/>
    <w:rsid w:val="007B6090"/>
    <w:rsid w:val="007B63CA"/>
    <w:rsid w:val="007B6634"/>
    <w:rsid w:val="007B6780"/>
    <w:rsid w:val="007B690D"/>
    <w:rsid w:val="007B6942"/>
    <w:rsid w:val="007B6971"/>
    <w:rsid w:val="007B6D46"/>
    <w:rsid w:val="007B6F11"/>
    <w:rsid w:val="007B714A"/>
    <w:rsid w:val="007B715A"/>
    <w:rsid w:val="007B719D"/>
    <w:rsid w:val="007B74A2"/>
    <w:rsid w:val="007B75CA"/>
    <w:rsid w:val="007B7684"/>
    <w:rsid w:val="007B77D1"/>
    <w:rsid w:val="007C03BD"/>
    <w:rsid w:val="007C03D0"/>
    <w:rsid w:val="007C06E9"/>
    <w:rsid w:val="007C07C7"/>
    <w:rsid w:val="007C0D2D"/>
    <w:rsid w:val="007C0D3C"/>
    <w:rsid w:val="007C0F7E"/>
    <w:rsid w:val="007C0FF9"/>
    <w:rsid w:val="007C1036"/>
    <w:rsid w:val="007C11CF"/>
    <w:rsid w:val="007C15E6"/>
    <w:rsid w:val="007C15F6"/>
    <w:rsid w:val="007C1774"/>
    <w:rsid w:val="007C18FD"/>
    <w:rsid w:val="007C1900"/>
    <w:rsid w:val="007C1CD9"/>
    <w:rsid w:val="007C1D91"/>
    <w:rsid w:val="007C1E37"/>
    <w:rsid w:val="007C202E"/>
    <w:rsid w:val="007C20E2"/>
    <w:rsid w:val="007C2116"/>
    <w:rsid w:val="007C220F"/>
    <w:rsid w:val="007C25C5"/>
    <w:rsid w:val="007C262E"/>
    <w:rsid w:val="007C28BF"/>
    <w:rsid w:val="007C295D"/>
    <w:rsid w:val="007C2E00"/>
    <w:rsid w:val="007C2E66"/>
    <w:rsid w:val="007C2F5E"/>
    <w:rsid w:val="007C2F9A"/>
    <w:rsid w:val="007C2FFC"/>
    <w:rsid w:val="007C32EF"/>
    <w:rsid w:val="007C3365"/>
    <w:rsid w:val="007C3370"/>
    <w:rsid w:val="007C3596"/>
    <w:rsid w:val="007C35AE"/>
    <w:rsid w:val="007C361D"/>
    <w:rsid w:val="007C36C9"/>
    <w:rsid w:val="007C37D8"/>
    <w:rsid w:val="007C3871"/>
    <w:rsid w:val="007C387D"/>
    <w:rsid w:val="007C38A8"/>
    <w:rsid w:val="007C38AD"/>
    <w:rsid w:val="007C3EB4"/>
    <w:rsid w:val="007C3EBA"/>
    <w:rsid w:val="007C3EE5"/>
    <w:rsid w:val="007C40D4"/>
    <w:rsid w:val="007C41D1"/>
    <w:rsid w:val="007C4266"/>
    <w:rsid w:val="007C428E"/>
    <w:rsid w:val="007C4834"/>
    <w:rsid w:val="007C4B84"/>
    <w:rsid w:val="007C5046"/>
    <w:rsid w:val="007C507E"/>
    <w:rsid w:val="007C5510"/>
    <w:rsid w:val="007C5536"/>
    <w:rsid w:val="007C553C"/>
    <w:rsid w:val="007C59AD"/>
    <w:rsid w:val="007C5C3B"/>
    <w:rsid w:val="007C5E87"/>
    <w:rsid w:val="007C5FDB"/>
    <w:rsid w:val="007C6056"/>
    <w:rsid w:val="007C606D"/>
    <w:rsid w:val="007C62C4"/>
    <w:rsid w:val="007C641C"/>
    <w:rsid w:val="007C6491"/>
    <w:rsid w:val="007C670F"/>
    <w:rsid w:val="007C6720"/>
    <w:rsid w:val="007C69DB"/>
    <w:rsid w:val="007C6A31"/>
    <w:rsid w:val="007C6AE9"/>
    <w:rsid w:val="007C6B53"/>
    <w:rsid w:val="007C6B89"/>
    <w:rsid w:val="007C6B97"/>
    <w:rsid w:val="007C6DB8"/>
    <w:rsid w:val="007C6EB0"/>
    <w:rsid w:val="007C70FF"/>
    <w:rsid w:val="007C7328"/>
    <w:rsid w:val="007C7595"/>
    <w:rsid w:val="007C77BE"/>
    <w:rsid w:val="007C7854"/>
    <w:rsid w:val="007C7BF9"/>
    <w:rsid w:val="007C7C25"/>
    <w:rsid w:val="007C7C70"/>
    <w:rsid w:val="007C7D26"/>
    <w:rsid w:val="007C7D69"/>
    <w:rsid w:val="007C7ECF"/>
    <w:rsid w:val="007D004F"/>
    <w:rsid w:val="007D01E2"/>
    <w:rsid w:val="007D035F"/>
    <w:rsid w:val="007D04C0"/>
    <w:rsid w:val="007D05AD"/>
    <w:rsid w:val="007D06B2"/>
    <w:rsid w:val="007D06B6"/>
    <w:rsid w:val="007D089B"/>
    <w:rsid w:val="007D0968"/>
    <w:rsid w:val="007D0A29"/>
    <w:rsid w:val="007D0A69"/>
    <w:rsid w:val="007D0AAA"/>
    <w:rsid w:val="007D0B0B"/>
    <w:rsid w:val="007D0B38"/>
    <w:rsid w:val="007D0CD6"/>
    <w:rsid w:val="007D0D2C"/>
    <w:rsid w:val="007D0EE6"/>
    <w:rsid w:val="007D0FD1"/>
    <w:rsid w:val="007D12C1"/>
    <w:rsid w:val="007D14B4"/>
    <w:rsid w:val="007D1869"/>
    <w:rsid w:val="007D1AED"/>
    <w:rsid w:val="007D1D2F"/>
    <w:rsid w:val="007D2188"/>
    <w:rsid w:val="007D23EC"/>
    <w:rsid w:val="007D242D"/>
    <w:rsid w:val="007D247B"/>
    <w:rsid w:val="007D2593"/>
    <w:rsid w:val="007D2864"/>
    <w:rsid w:val="007D2BD8"/>
    <w:rsid w:val="007D2CF2"/>
    <w:rsid w:val="007D2E54"/>
    <w:rsid w:val="007D2F4E"/>
    <w:rsid w:val="007D3081"/>
    <w:rsid w:val="007D31B5"/>
    <w:rsid w:val="007D33CF"/>
    <w:rsid w:val="007D34E3"/>
    <w:rsid w:val="007D363D"/>
    <w:rsid w:val="007D36A7"/>
    <w:rsid w:val="007D3727"/>
    <w:rsid w:val="007D391B"/>
    <w:rsid w:val="007D3C67"/>
    <w:rsid w:val="007D3CBD"/>
    <w:rsid w:val="007D3D49"/>
    <w:rsid w:val="007D3DFC"/>
    <w:rsid w:val="007D3F5E"/>
    <w:rsid w:val="007D456C"/>
    <w:rsid w:val="007D4A59"/>
    <w:rsid w:val="007D4B82"/>
    <w:rsid w:val="007D4D03"/>
    <w:rsid w:val="007D4D1B"/>
    <w:rsid w:val="007D4EF7"/>
    <w:rsid w:val="007D50AB"/>
    <w:rsid w:val="007D5440"/>
    <w:rsid w:val="007D5454"/>
    <w:rsid w:val="007D55F8"/>
    <w:rsid w:val="007D5636"/>
    <w:rsid w:val="007D582F"/>
    <w:rsid w:val="007D586A"/>
    <w:rsid w:val="007D5ACA"/>
    <w:rsid w:val="007D5AEB"/>
    <w:rsid w:val="007D5B05"/>
    <w:rsid w:val="007D5C39"/>
    <w:rsid w:val="007D603D"/>
    <w:rsid w:val="007D619B"/>
    <w:rsid w:val="007D623B"/>
    <w:rsid w:val="007D6491"/>
    <w:rsid w:val="007D649B"/>
    <w:rsid w:val="007D654F"/>
    <w:rsid w:val="007D6566"/>
    <w:rsid w:val="007D69EB"/>
    <w:rsid w:val="007D6AD0"/>
    <w:rsid w:val="007D7258"/>
    <w:rsid w:val="007D75B5"/>
    <w:rsid w:val="007D7752"/>
    <w:rsid w:val="007D781E"/>
    <w:rsid w:val="007D791D"/>
    <w:rsid w:val="007D7A0F"/>
    <w:rsid w:val="007D7C57"/>
    <w:rsid w:val="007D7C8E"/>
    <w:rsid w:val="007D7EFA"/>
    <w:rsid w:val="007E01D9"/>
    <w:rsid w:val="007E01EF"/>
    <w:rsid w:val="007E0387"/>
    <w:rsid w:val="007E049F"/>
    <w:rsid w:val="007E04E5"/>
    <w:rsid w:val="007E0516"/>
    <w:rsid w:val="007E05CE"/>
    <w:rsid w:val="007E08D9"/>
    <w:rsid w:val="007E09D9"/>
    <w:rsid w:val="007E0BD4"/>
    <w:rsid w:val="007E0BE5"/>
    <w:rsid w:val="007E0C46"/>
    <w:rsid w:val="007E0D01"/>
    <w:rsid w:val="007E0D5D"/>
    <w:rsid w:val="007E0EAB"/>
    <w:rsid w:val="007E0ED1"/>
    <w:rsid w:val="007E0FA6"/>
    <w:rsid w:val="007E0FE1"/>
    <w:rsid w:val="007E1245"/>
    <w:rsid w:val="007E128F"/>
    <w:rsid w:val="007E129F"/>
    <w:rsid w:val="007E13AD"/>
    <w:rsid w:val="007E1570"/>
    <w:rsid w:val="007E1626"/>
    <w:rsid w:val="007E175C"/>
    <w:rsid w:val="007E19D5"/>
    <w:rsid w:val="007E1F0A"/>
    <w:rsid w:val="007E1FB0"/>
    <w:rsid w:val="007E219C"/>
    <w:rsid w:val="007E21A2"/>
    <w:rsid w:val="007E2248"/>
    <w:rsid w:val="007E2316"/>
    <w:rsid w:val="007E2599"/>
    <w:rsid w:val="007E2607"/>
    <w:rsid w:val="007E2B11"/>
    <w:rsid w:val="007E2B1C"/>
    <w:rsid w:val="007E2CA1"/>
    <w:rsid w:val="007E2DD7"/>
    <w:rsid w:val="007E2EB6"/>
    <w:rsid w:val="007E2EF4"/>
    <w:rsid w:val="007E31D6"/>
    <w:rsid w:val="007E33DE"/>
    <w:rsid w:val="007E35C4"/>
    <w:rsid w:val="007E379D"/>
    <w:rsid w:val="007E3AF6"/>
    <w:rsid w:val="007E3DCC"/>
    <w:rsid w:val="007E3FB5"/>
    <w:rsid w:val="007E3FF3"/>
    <w:rsid w:val="007E402D"/>
    <w:rsid w:val="007E4200"/>
    <w:rsid w:val="007E4808"/>
    <w:rsid w:val="007E481D"/>
    <w:rsid w:val="007E4861"/>
    <w:rsid w:val="007E48A8"/>
    <w:rsid w:val="007E48D0"/>
    <w:rsid w:val="007E4977"/>
    <w:rsid w:val="007E4DDC"/>
    <w:rsid w:val="007E4F75"/>
    <w:rsid w:val="007E4FE9"/>
    <w:rsid w:val="007E500B"/>
    <w:rsid w:val="007E51CA"/>
    <w:rsid w:val="007E53FE"/>
    <w:rsid w:val="007E54ED"/>
    <w:rsid w:val="007E5536"/>
    <w:rsid w:val="007E57C2"/>
    <w:rsid w:val="007E5963"/>
    <w:rsid w:val="007E5BE9"/>
    <w:rsid w:val="007E5C92"/>
    <w:rsid w:val="007E5E45"/>
    <w:rsid w:val="007E5EA9"/>
    <w:rsid w:val="007E611B"/>
    <w:rsid w:val="007E6262"/>
    <w:rsid w:val="007E6412"/>
    <w:rsid w:val="007E6419"/>
    <w:rsid w:val="007E64FF"/>
    <w:rsid w:val="007E67B5"/>
    <w:rsid w:val="007E6A14"/>
    <w:rsid w:val="007E6EE6"/>
    <w:rsid w:val="007E6FC8"/>
    <w:rsid w:val="007E729D"/>
    <w:rsid w:val="007E73C6"/>
    <w:rsid w:val="007E73F5"/>
    <w:rsid w:val="007E740D"/>
    <w:rsid w:val="007E75D3"/>
    <w:rsid w:val="007E78C0"/>
    <w:rsid w:val="007E795A"/>
    <w:rsid w:val="007F0080"/>
    <w:rsid w:val="007F00DE"/>
    <w:rsid w:val="007F043F"/>
    <w:rsid w:val="007F05CB"/>
    <w:rsid w:val="007F06D3"/>
    <w:rsid w:val="007F099D"/>
    <w:rsid w:val="007F0C10"/>
    <w:rsid w:val="007F0C14"/>
    <w:rsid w:val="007F0C39"/>
    <w:rsid w:val="007F0E9D"/>
    <w:rsid w:val="007F0ED2"/>
    <w:rsid w:val="007F0F35"/>
    <w:rsid w:val="007F1017"/>
    <w:rsid w:val="007F1366"/>
    <w:rsid w:val="007F1549"/>
    <w:rsid w:val="007F18DE"/>
    <w:rsid w:val="007F1B23"/>
    <w:rsid w:val="007F1BBA"/>
    <w:rsid w:val="007F1EF1"/>
    <w:rsid w:val="007F2248"/>
    <w:rsid w:val="007F24DD"/>
    <w:rsid w:val="007F251C"/>
    <w:rsid w:val="007F258B"/>
    <w:rsid w:val="007F2591"/>
    <w:rsid w:val="007F2835"/>
    <w:rsid w:val="007F2941"/>
    <w:rsid w:val="007F2F53"/>
    <w:rsid w:val="007F2F9A"/>
    <w:rsid w:val="007F302C"/>
    <w:rsid w:val="007F3315"/>
    <w:rsid w:val="007F3316"/>
    <w:rsid w:val="007F3394"/>
    <w:rsid w:val="007F3419"/>
    <w:rsid w:val="007F3910"/>
    <w:rsid w:val="007F397A"/>
    <w:rsid w:val="007F3B43"/>
    <w:rsid w:val="007F3ED4"/>
    <w:rsid w:val="007F3FCE"/>
    <w:rsid w:val="007F412D"/>
    <w:rsid w:val="007F4214"/>
    <w:rsid w:val="007F43EF"/>
    <w:rsid w:val="007F4422"/>
    <w:rsid w:val="007F45F4"/>
    <w:rsid w:val="007F46C6"/>
    <w:rsid w:val="007F4720"/>
    <w:rsid w:val="007F4A3F"/>
    <w:rsid w:val="007F4A61"/>
    <w:rsid w:val="007F4CD0"/>
    <w:rsid w:val="007F4EB0"/>
    <w:rsid w:val="007F5255"/>
    <w:rsid w:val="007F527B"/>
    <w:rsid w:val="007F538D"/>
    <w:rsid w:val="007F53B1"/>
    <w:rsid w:val="007F5499"/>
    <w:rsid w:val="007F5615"/>
    <w:rsid w:val="007F56CC"/>
    <w:rsid w:val="007F5923"/>
    <w:rsid w:val="007F5AFA"/>
    <w:rsid w:val="007F5B70"/>
    <w:rsid w:val="007F5D7A"/>
    <w:rsid w:val="007F5DED"/>
    <w:rsid w:val="007F5E7F"/>
    <w:rsid w:val="007F5EB0"/>
    <w:rsid w:val="007F61C2"/>
    <w:rsid w:val="007F6468"/>
    <w:rsid w:val="007F65AB"/>
    <w:rsid w:val="007F6733"/>
    <w:rsid w:val="007F67A7"/>
    <w:rsid w:val="007F6AFD"/>
    <w:rsid w:val="007F737E"/>
    <w:rsid w:val="007F73A5"/>
    <w:rsid w:val="007F7450"/>
    <w:rsid w:val="007F7640"/>
    <w:rsid w:val="007F799A"/>
    <w:rsid w:val="007F7B25"/>
    <w:rsid w:val="007F7C22"/>
    <w:rsid w:val="007F7D50"/>
    <w:rsid w:val="00800040"/>
    <w:rsid w:val="00800394"/>
    <w:rsid w:val="008003DB"/>
    <w:rsid w:val="008004E1"/>
    <w:rsid w:val="00800704"/>
    <w:rsid w:val="008007C4"/>
    <w:rsid w:val="00800819"/>
    <w:rsid w:val="0080094C"/>
    <w:rsid w:val="00800EF8"/>
    <w:rsid w:val="00801011"/>
    <w:rsid w:val="00801151"/>
    <w:rsid w:val="00801423"/>
    <w:rsid w:val="00801487"/>
    <w:rsid w:val="008016CB"/>
    <w:rsid w:val="0080170B"/>
    <w:rsid w:val="00801898"/>
    <w:rsid w:val="008018DF"/>
    <w:rsid w:val="00801A34"/>
    <w:rsid w:val="00801C5B"/>
    <w:rsid w:val="00801CC1"/>
    <w:rsid w:val="00801EFD"/>
    <w:rsid w:val="00801F0E"/>
    <w:rsid w:val="00801F69"/>
    <w:rsid w:val="00802097"/>
    <w:rsid w:val="008020B0"/>
    <w:rsid w:val="008020D5"/>
    <w:rsid w:val="0080217D"/>
    <w:rsid w:val="00802420"/>
    <w:rsid w:val="00802918"/>
    <w:rsid w:val="00802AE5"/>
    <w:rsid w:val="00802B07"/>
    <w:rsid w:val="00802B74"/>
    <w:rsid w:val="00802E1A"/>
    <w:rsid w:val="00803038"/>
    <w:rsid w:val="00803442"/>
    <w:rsid w:val="008034BD"/>
    <w:rsid w:val="008035D9"/>
    <w:rsid w:val="00803703"/>
    <w:rsid w:val="00803EA2"/>
    <w:rsid w:val="00803FCE"/>
    <w:rsid w:val="00804242"/>
    <w:rsid w:val="008042C6"/>
    <w:rsid w:val="008043AD"/>
    <w:rsid w:val="008043F4"/>
    <w:rsid w:val="008047FD"/>
    <w:rsid w:val="00804823"/>
    <w:rsid w:val="008048E3"/>
    <w:rsid w:val="008049A8"/>
    <w:rsid w:val="00804BE9"/>
    <w:rsid w:val="00804E09"/>
    <w:rsid w:val="00804E1D"/>
    <w:rsid w:val="00804E3F"/>
    <w:rsid w:val="008050C5"/>
    <w:rsid w:val="0080511B"/>
    <w:rsid w:val="00805142"/>
    <w:rsid w:val="008053E3"/>
    <w:rsid w:val="008055BF"/>
    <w:rsid w:val="008055C8"/>
    <w:rsid w:val="0080566B"/>
    <w:rsid w:val="00805979"/>
    <w:rsid w:val="0080597F"/>
    <w:rsid w:val="00805A6E"/>
    <w:rsid w:val="00805C34"/>
    <w:rsid w:val="00805D53"/>
    <w:rsid w:val="00805FCE"/>
    <w:rsid w:val="0080617C"/>
    <w:rsid w:val="0080637C"/>
    <w:rsid w:val="008064A9"/>
    <w:rsid w:val="00806644"/>
    <w:rsid w:val="00806757"/>
    <w:rsid w:val="00806762"/>
    <w:rsid w:val="0080676C"/>
    <w:rsid w:val="00806AE2"/>
    <w:rsid w:val="00806C66"/>
    <w:rsid w:val="00806E99"/>
    <w:rsid w:val="00806EAB"/>
    <w:rsid w:val="0080709C"/>
    <w:rsid w:val="008076DC"/>
    <w:rsid w:val="00807817"/>
    <w:rsid w:val="00807A8B"/>
    <w:rsid w:val="00807C7E"/>
    <w:rsid w:val="00807CBA"/>
    <w:rsid w:val="00807E8D"/>
    <w:rsid w:val="00810161"/>
    <w:rsid w:val="00810625"/>
    <w:rsid w:val="0081075F"/>
    <w:rsid w:val="00810D7E"/>
    <w:rsid w:val="00810E92"/>
    <w:rsid w:val="00810E9F"/>
    <w:rsid w:val="00811373"/>
    <w:rsid w:val="00811383"/>
    <w:rsid w:val="0081156B"/>
    <w:rsid w:val="00811765"/>
    <w:rsid w:val="00811776"/>
    <w:rsid w:val="008117B6"/>
    <w:rsid w:val="008118DA"/>
    <w:rsid w:val="00811A1D"/>
    <w:rsid w:val="00811B8A"/>
    <w:rsid w:val="00811C4E"/>
    <w:rsid w:val="00811CCA"/>
    <w:rsid w:val="00811DC1"/>
    <w:rsid w:val="00812149"/>
    <w:rsid w:val="00812167"/>
    <w:rsid w:val="00812595"/>
    <w:rsid w:val="00812884"/>
    <w:rsid w:val="00812BA3"/>
    <w:rsid w:val="00812C76"/>
    <w:rsid w:val="00812CAC"/>
    <w:rsid w:val="00812ECD"/>
    <w:rsid w:val="00813076"/>
    <w:rsid w:val="0081343B"/>
    <w:rsid w:val="00813540"/>
    <w:rsid w:val="008138A9"/>
    <w:rsid w:val="00813B19"/>
    <w:rsid w:val="00813CC2"/>
    <w:rsid w:val="00813E7F"/>
    <w:rsid w:val="00813ED9"/>
    <w:rsid w:val="008140E0"/>
    <w:rsid w:val="0081427E"/>
    <w:rsid w:val="00814336"/>
    <w:rsid w:val="00814586"/>
    <w:rsid w:val="008145F0"/>
    <w:rsid w:val="0081473A"/>
    <w:rsid w:val="00814818"/>
    <w:rsid w:val="00814B0D"/>
    <w:rsid w:val="00814C27"/>
    <w:rsid w:val="00814CFD"/>
    <w:rsid w:val="00814D4D"/>
    <w:rsid w:val="00814E71"/>
    <w:rsid w:val="00815280"/>
    <w:rsid w:val="00815541"/>
    <w:rsid w:val="0081579A"/>
    <w:rsid w:val="00815BE3"/>
    <w:rsid w:val="00815C26"/>
    <w:rsid w:val="00815C53"/>
    <w:rsid w:val="00815EC8"/>
    <w:rsid w:val="00816233"/>
    <w:rsid w:val="00816361"/>
    <w:rsid w:val="0081667D"/>
    <w:rsid w:val="008166EF"/>
    <w:rsid w:val="008167CB"/>
    <w:rsid w:val="008167FA"/>
    <w:rsid w:val="00816805"/>
    <w:rsid w:val="008168CE"/>
    <w:rsid w:val="0081695B"/>
    <w:rsid w:val="00816976"/>
    <w:rsid w:val="008169DF"/>
    <w:rsid w:val="00816C82"/>
    <w:rsid w:val="00816C88"/>
    <w:rsid w:val="00816F0B"/>
    <w:rsid w:val="00816F75"/>
    <w:rsid w:val="00816FEF"/>
    <w:rsid w:val="0081703C"/>
    <w:rsid w:val="00817054"/>
    <w:rsid w:val="0081713C"/>
    <w:rsid w:val="0081749C"/>
    <w:rsid w:val="008175FC"/>
    <w:rsid w:val="00817837"/>
    <w:rsid w:val="00817917"/>
    <w:rsid w:val="00817A11"/>
    <w:rsid w:val="00817A4E"/>
    <w:rsid w:val="00817B7E"/>
    <w:rsid w:val="00817BBE"/>
    <w:rsid w:val="00817F86"/>
    <w:rsid w:val="0082023B"/>
    <w:rsid w:val="0082033A"/>
    <w:rsid w:val="008204F8"/>
    <w:rsid w:val="00820988"/>
    <w:rsid w:val="008209BD"/>
    <w:rsid w:val="00820A8C"/>
    <w:rsid w:val="00820E8B"/>
    <w:rsid w:val="00821048"/>
    <w:rsid w:val="00821049"/>
    <w:rsid w:val="008212C4"/>
    <w:rsid w:val="0082130F"/>
    <w:rsid w:val="00821486"/>
    <w:rsid w:val="008215FB"/>
    <w:rsid w:val="0082186D"/>
    <w:rsid w:val="008219ED"/>
    <w:rsid w:val="00821A0D"/>
    <w:rsid w:val="00821BC3"/>
    <w:rsid w:val="00821DFE"/>
    <w:rsid w:val="008220CC"/>
    <w:rsid w:val="00822114"/>
    <w:rsid w:val="00822703"/>
    <w:rsid w:val="008228F0"/>
    <w:rsid w:val="00822C7C"/>
    <w:rsid w:val="00822CA0"/>
    <w:rsid w:val="00822CBA"/>
    <w:rsid w:val="00822DA3"/>
    <w:rsid w:val="00823174"/>
    <w:rsid w:val="008234ED"/>
    <w:rsid w:val="008236AE"/>
    <w:rsid w:val="00823826"/>
    <w:rsid w:val="00823A9D"/>
    <w:rsid w:val="00823AEC"/>
    <w:rsid w:val="00823C57"/>
    <w:rsid w:val="00823D65"/>
    <w:rsid w:val="0082429D"/>
    <w:rsid w:val="00824303"/>
    <w:rsid w:val="0082430C"/>
    <w:rsid w:val="00824558"/>
    <w:rsid w:val="008245C3"/>
    <w:rsid w:val="008248B4"/>
    <w:rsid w:val="00824B1B"/>
    <w:rsid w:val="00824B34"/>
    <w:rsid w:val="00824E13"/>
    <w:rsid w:val="00824EB3"/>
    <w:rsid w:val="00825194"/>
    <w:rsid w:val="008253BF"/>
    <w:rsid w:val="0082558D"/>
    <w:rsid w:val="00825751"/>
    <w:rsid w:val="008257E2"/>
    <w:rsid w:val="008259B7"/>
    <w:rsid w:val="00825C02"/>
    <w:rsid w:val="00825C29"/>
    <w:rsid w:val="00825C3F"/>
    <w:rsid w:val="00825EE7"/>
    <w:rsid w:val="00825F3B"/>
    <w:rsid w:val="008260E8"/>
    <w:rsid w:val="008264EB"/>
    <w:rsid w:val="00826646"/>
    <w:rsid w:val="008268CE"/>
    <w:rsid w:val="00826B9A"/>
    <w:rsid w:val="00826FB3"/>
    <w:rsid w:val="0082713C"/>
    <w:rsid w:val="00827247"/>
    <w:rsid w:val="00827421"/>
    <w:rsid w:val="008274B9"/>
    <w:rsid w:val="00827559"/>
    <w:rsid w:val="008277E3"/>
    <w:rsid w:val="008277F5"/>
    <w:rsid w:val="00827900"/>
    <w:rsid w:val="00827948"/>
    <w:rsid w:val="008279C7"/>
    <w:rsid w:val="00827AE2"/>
    <w:rsid w:val="00827B0B"/>
    <w:rsid w:val="00827C23"/>
    <w:rsid w:val="00827D4F"/>
    <w:rsid w:val="00830083"/>
    <w:rsid w:val="00830339"/>
    <w:rsid w:val="008303BA"/>
    <w:rsid w:val="00830499"/>
    <w:rsid w:val="008304FF"/>
    <w:rsid w:val="0083061B"/>
    <w:rsid w:val="00830631"/>
    <w:rsid w:val="008306B6"/>
    <w:rsid w:val="00830C1D"/>
    <w:rsid w:val="00830CE4"/>
    <w:rsid w:val="00830E23"/>
    <w:rsid w:val="00830FCD"/>
    <w:rsid w:val="00831036"/>
    <w:rsid w:val="008310EE"/>
    <w:rsid w:val="00831139"/>
    <w:rsid w:val="00831143"/>
    <w:rsid w:val="008311BF"/>
    <w:rsid w:val="008312A4"/>
    <w:rsid w:val="008312FA"/>
    <w:rsid w:val="008313C9"/>
    <w:rsid w:val="00831677"/>
    <w:rsid w:val="0083179A"/>
    <w:rsid w:val="0083186F"/>
    <w:rsid w:val="0083190C"/>
    <w:rsid w:val="00831A10"/>
    <w:rsid w:val="00831BC2"/>
    <w:rsid w:val="00831C95"/>
    <w:rsid w:val="00831E35"/>
    <w:rsid w:val="00831EE5"/>
    <w:rsid w:val="00832158"/>
    <w:rsid w:val="00832268"/>
    <w:rsid w:val="008324AF"/>
    <w:rsid w:val="00832677"/>
    <w:rsid w:val="00832788"/>
    <w:rsid w:val="0083290B"/>
    <w:rsid w:val="00832974"/>
    <w:rsid w:val="008329DC"/>
    <w:rsid w:val="00832B5D"/>
    <w:rsid w:val="00832C51"/>
    <w:rsid w:val="00832DB4"/>
    <w:rsid w:val="00832E06"/>
    <w:rsid w:val="00832F84"/>
    <w:rsid w:val="00833128"/>
    <w:rsid w:val="008331F3"/>
    <w:rsid w:val="008334F7"/>
    <w:rsid w:val="008336F4"/>
    <w:rsid w:val="0083386F"/>
    <w:rsid w:val="00833AC1"/>
    <w:rsid w:val="00833B05"/>
    <w:rsid w:val="00833B74"/>
    <w:rsid w:val="00833C8F"/>
    <w:rsid w:val="00833CCD"/>
    <w:rsid w:val="00833FB1"/>
    <w:rsid w:val="00834093"/>
    <w:rsid w:val="008342D5"/>
    <w:rsid w:val="0083438E"/>
    <w:rsid w:val="008345D0"/>
    <w:rsid w:val="00834735"/>
    <w:rsid w:val="008349AE"/>
    <w:rsid w:val="00834A30"/>
    <w:rsid w:val="00834A3B"/>
    <w:rsid w:val="00834B0C"/>
    <w:rsid w:val="00834B91"/>
    <w:rsid w:val="00834DA0"/>
    <w:rsid w:val="00834EBB"/>
    <w:rsid w:val="0083520A"/>
    <w:rsid w:val="008352F4"/>
    <w:rsid w:val="00835362"/>
    <w:rsid w:val="00835391"/>
    <w:rsid w:val="008354F5"/>
    <w:rsid w:val="0083560A"/>
    <w:rsid w:val="00835CCF"/>
    <w:rsid w:val="00835E0E"/>
    <w:rsid w:val="0083619D"/>
    <w:rsid w:val="0083627F"/>
    <w:rsid w:val="00836288"/>
    <w:rsid w:val="008362B4"/>
    <w:rsid w:val="00836407"/>
    <w:rsid w:val="00836516"/>
    <w:rsid w:val="0083662E"/>
    <w:rsid w:val="00836A2A"/>
    <w:rsid w:val="00836BCD"/>
    <w:rsid w:val="00836DE9"/>
    <w:rsid w:val="00836EC7"/>
    <w:rsid w:val="00836F2E"/>
    <w:rsid w:val="0083725A"/>
    <w:rsid w:val="00837295"/>
    <w:rsid w:val="008373E3"/>
    <w:rsid w:val="00837B0E"/>
    <w:rsid w:val="00837C4F"/>
    <w:rsid w:val="00837D58"/>
    <w:rsid w:val="00837F2E"/>
    <w:rsid w:val="008401E6"/>
    <w:rsid w:val="008403C7"/>
    <w:rsid w:val="00840488"/>
    <w:rsid w:val="00840895"/>
    <w:rsid w:val="00840B4D"/>
    <w:rsid w:val="00840C3B"/>
    <w:rsid w:val="00840C93"/>
    <w:rsid w:val="00840CA2"/>
    <w:rsid w:val="00840D9D"/>
    <w:rsid w:val="00840E05"/>
    <w:rsid w:val="00840ED0"/>
    <w:rsid w:val="0084107F"/>
    <w:rsid w:val="00841360"/>
    <w:rsid w:val="0084196E"/>
    <w:rsid w:val="00841A76"/>
    <w:rsid w:val="00841E4D"/>
    <w:rsid w:val="0084213C"/>
    <w:rsid w:val="0084233E"/>
    <w:rsid w:val="00842416"/>
    <w:rsid w:val="008424D0"/>
    <w:rsid w:val="008425AE"/>
    <w:rsid w:val="00842740"/>
    <w:rsid w:val="0084278A"/>
    <w:rsid w:val="008427E3"/>
    <w:rsid w:val="0084283C"/>
    <w:rsid w:val="008429DA"/>
    <w:rsid w:val="00842BA5"/>
    <w:rsid w:val="00842D9D"/>
    <w:rsid w:val="00843082"/>
    <w:rsid w:val="0084311D"/>
    <w:rsid w:val="0084318D"/>
    <w:rsid w:val="0084323E"/>
    <w:rsid w:val="008432F1"/>
    <w:rsid w:val="008433E2"/>
    <w:rsid w:val="00843454"/>
    <w:rsid w:val="008434FD"/>
    <w:rsid w:val="00843680"/>
    <w:rsid w:val="0084374F"/>
    <w:rsid w:val="00843892"/>
    <w:rsid w:val="008438A4"/>
    <w:rsid w:val="008438C3"/>
    <w:rsid w:val="00843A55"/>
    <w:rsid w:val="00843DD5"/>
    <w:rsid w:val="00843FFC"/>
    <w:rsid w:val="0084409E"/>
    <w:rsid w:val="00844195"/>
    <w:rsid w:val="00844615"/>
    <w:rsid w:val="008446BC"/>
    <w:rsid w:val="008448E5"/>
    <w:rsid w:val="00844973"/>
    <w:rsid w:val="00844A22"/>
    <w:rsid w:val="00844AAD"/>
    <w:rsid w:val="00844B20"/>
    <w:rsid w:val="00844C96"/>
    <w:rsid w:val="00844D1D"/>
    <w:rsid w:val="00844E51"/>
    <w:rsid w:val="008450A5"/>
    <w:rsid w:val="0084535C"/>
    <w:rsid w:val="008456D2"/>
    <w:rsid w:val="008457DC"/>
    <w:rsid w:val="00845909"/>
    <w:rsid w:val="00845990"/>
    <w:rsid w:val="00845C2F"/>
    <w:rsid w:val="00845D2A"/>
    <w:rsid w:val="00846243"/>
    <w:rsid w:val="00846599"/>
    <w:rsid w:val="00846649"/>
    <w:rsid w:val="008466B5"/>
    <w:rsid w:val="00846ACD"/>
    <w:rsid w:val="00846B93"/>
    <w:rsid w:val="00846D21"/>
    <w:rsid w:val="00846D73"/>
    <w:rsid w:val="00846FB6"/>
    <w:rsid w:val="008471A3"/>
    <w:rsid w:val="0084724E"/>
    <w:rsid w:val="0084742F"/>
    <w:rsid w:val="008475BD"/>
    <w:rsid w:val="00847703"/>
    <w:rsid w:val="00847BAB"/>
    <w:rsid w:val="00847DF5"/>
    <w:rsid w:val="00847F18"/>
    <w:rsid w:val="00850020"/>
    <w:rsid w:val="0085006A"/>
    <w:rsid w:val="0085022C"/>
    <w:rsid w:val="00850448"/>
    <w:rsid w:val="008504EA"/>
    <w:rsid w:val="008507DB"/>
    <w:rsid w:val="00850C44"/>
    <w:rsid w:val="00850CD7"/>
    <w:rsid w:val="00850D96"/>
    <w:rsid w:val="00850E00"/>
    <w:rsid w:val="00850FED"/>
    <w:rsid w:val="00851023"/>
    <w:rsid w:val="008510CF"/>
    <w:rsid w:val="00851263"/>
    <w:rsid w:val="00851471"/>
    <w:rsid w:val="0085148E"/>
    <w:rsid w:val="008519A1"/>
    <w:rsid w:val="00851B2B"/>
    <w:rsid w:val="00851C3B"/>
    <w:rsid w:val="00851DFA"/>
    <w:rsid w:val="00852070"/>
    <w:rsid w:val="008521A7"/>
    <w:rsid w:val="008521B0"/>
    <w:rsid w:val="008522DF"/>
    <w:rsid w:val="008526F2"/>
    <w:rsid w:val="008527F0"/>
    <w:rsid w:val="00852A55"/>
    <w:rsid w:val="00852B7E"/>
    <w:rsid w:val="00852FFF"/>
    <w:rsid w:val="0085309D"/>
    <w:rsid w:val="00853242"/>
    <w:rsid w:val="008535A9"/>
    <w:rsid w:val="0085385F"/>
    <w:rsid w:val="00853889"/>
    <w:rsid w:val="00853994"/>
    <w:rsid w:val="008539D3"/>
    <w:rsid w:val="00853B4D"/>
    <w:rsid w:val="00853B7E"/>
    <w:rsid w:val="00853B84"/>
    <w:rsid w:val="0085402E"/>
    <w:rsid w:val="00854368"/>
    <w:rsid w:val="0085472E"/>
    <w:rsid w:val="0085478C"/>
    <w:rsid w:val="00854BCD"/>
    <w:rsid w:val="00854F3F"/>
    <w:rsid w:val="00855037"/>
    <w:rsid w:val="0085525D"/>
    <w:rsid w:val="00855419"/>
    <w:rsid w:val="008554C5"/>
    <w:rsid w:val="0085558B"/>
    <w:rsid w:val="008555B9"/>
    <w:rsid w:val="00855834"/>
    <w:rsid w:val="00855A1D"/>
    <w:rsid w:val="00855A7A"/>
    <w:rsid w:val="00855B87"/>
    <w:rsid w:val="00855BD5"/>
    <w:rsid w:val="00856042"/>
    <w:rsid w:val="0085671D"/>
    <w:rsid w:val="00856727"/>
    <w:rsid w:val="008567C7"/>
    <w:rsid w:val="00856897"/>
    <w:rsid w:val="008568AD"/>
    <w:rsid w:val="0085698B"/>
    <w:rsid w:val="00856996"/>
    <w:rsid w:val="00856B9B"/>
    <w:rsid w:val="00856C9D"/>
    <w:rsid w:val="00856D76"/>
    <w:rsid w:val="00856E9A"/>
    <w:rsid w:val="00857422"/>
    <w:rsid w:val="00857502"/>
    <w:rsid w:val="00857599"/>
    <w:rsid w:val="00857968"/>
    <w:rsid w:val="00857A33"/>
    <w:rsid w:val="00857BD8"/>
    <w:rsid w:val="00860101"/>
    <w:rsid w:val="008601D5"/>
    <w:rsid w:val="008601F4"/>
    <w:rsid w:val="0086028C"/>
    <w:rsid w:val="00860329"/>
    <w:rsid w:val="0086075D"/>
    <w:rsid w:val="00860870"/>
    <w:rsid w:val="008608AF"/>
    <w:rsid w:val="00860920"/>
    <w:rsid w:val="00860DE5"/>
    <w:rsid w:val="00860EC1"/>
    <w:rsid w:val="00860FAD"/>
    <w:rsid w:val="00861229"/>
    <w:rsid w:val="008613A2"/>
    <w:rsid w:val="008616E5"/>
    <w:rsid w:val="008617AA"/>
    <w:rsid w:val="008617E9"/>
    <w:rsid w:val="0086183E"/>
    <w:rsid w:val="00861D0C"/>
    <w:rsid w:val="00861D58"/>
    <w:rsid w:val="00861E74"/>
    <w:rsid w:val="008620CA"/>
    <w:rsid w:val="00862148"/>
    <w:rsid w:val="008621CE"/>
    <w:rsid w:val="0086236D"/>
    <w:rsid w:val="00862502"/>
    <w:rsid w:val="00862867"/>
    <w:rsid w:val="008628E6"/>
    <w:rsid w:val="00862C51"/>
    <w:rsid w:val="00862C5C"/>
    <w:rsid w:val="00862CC1"/>
    <w:rsid w:val="00862F75"/>
    <w:rsid w:val="00862F93"/>
    <w:rsid w:val="0086306B"/>
    <w:rsid w:val="0086313A"/>
    <w:rsid w:val="0086366B"/>
    <w:rsid w:val="00863865"/>
    <w:rsid w:val="008638F4"/>
    <w:rsid w:val="00863E92"/>
    <w:rsid w:val="00863EC4"/>
    <w:rsid w:val="00863F86"/>
    <w:rsid w:val="00863FB7"/>
    <w:rsid w:val="008642A7"/>
    <w:rsid w:val="0086450A"/>
    <w:rsid w:val="00864540"/>
    <w:rsid w:val="00864684"/>
    <w:rsid w:val="00864BC9"/>
    <w:rsid w:val="00864E74"/>
    <w:rsid w:val="00864EB0"/>
    <w:rsid w:val="00864EFB"/>
    <w:rsid w:val="008650C0"/>
    <w:rsid w:val="008650DE"/>
    <w:rsid w:val="00865271"/>
    <w:rsid w:val="00865294"/>
    <w:rsid w:val="0086543E"/>
    <w:rsid w:val="00865468"/>
    <w:rsid w:val="0086561A"/>
    <w:rsid w:val="00865761"/>
    <w:rsid w:val="0086576C"/>
    <w:rsid w:val="00865773"/>
    <w:rsid w:val="008657FA"/>
    <w:rsid w:val="0086589D"/>
    <w:rsid w:val="008658FD"/>
    <w:rsid w:val="008659D8"/>
    <w:rsid w:val="00865B9F"/>
    <w:rsid w:val="00865BB1"/>
    <w:rsid w:val="008660D4"/>
    <w:rsid w:val="00866179"/>
    <w:rsid w:val="00866344"/>
    <w:rsid w:val="008663FC"/>
    <w:rsid w:val="00866443"/>
    <w:rsid w:val="008664E1"/>
    <w:rsid w:val="008665F0"/>
    <w:rsid w:val="00866682"/>
    <w:rsid w:val="0086688C"/>
    <w:rsid w:val="008668DD"/>
    <w:rsid w:val="00866E0F"/>
    <w:rsid w:val="008670D5"/>
    <w:rsid w:val="00867401"/>
    <w:rsid w:val="008674C8"/>
    <w:rsid w:val="00867682"/>
    <w:rsid w:val="00867CC5"/>
    <w:rsid w:val="00867EA0"/>
    <w:rsid w:val="00867F20"/>
    <w:rsid w:val="0087003B"/>
    <w:rsid w:val="0087003D"/>
    <w:rsid w:val="00870716"/>
    <w:rsid w:val="0087075B"/>
    <w:rsid w:val="008707A7"/>
    <w:rsid w:val="008707D3"/>
    <w:rsid w:val="008707D7"/>
    <w:rsid w:val="0087085C"/>
    <w:rsid w:val="008709D7"/>
    <w:rsid w:val="00870ACA"/>
    <w:rsid w:val="00870B8B"/>
    <w:rsid w:val="00870D10"/>
    <w:rsid w:val="00870DA8"/>
    <w:rsid w:val="00870F07"/>
    <w:rsid w:val="00870FCC"/>
    <w:rsid w:val="008712E4"/>
    <w:rsid w:val="00871365"/>
    <w:rsid w:val="00871430"/>
    <w:rsid w:val="00871540"/>
    <w:rsid w:val="00871681"/>
    <w:rsid w:val="00871B32"/>
    <w:rsid w:val="00871B53"/>
    <w:rsid w:val="00871EB0"/>
    <w:rsid w:val="00871ECD"/>
    <w:rsid w:val="00871FA9"/>
    <w:rsid w:val="008720C0"/>
    <w:rsid w:val="00872221"/>
    <w:rsid w:val="00872488"/>
    <w:rsid w:val="008726B9"/>
    <w:rsid w:val="008728E9"/>
    <w:rsid w:val="00872905"/>
    <w:rsid w:val="0087326B"/>
    <w:rsid w:val="008735FD"/>
    <w:rsid w:val="0087368E"/>
    <w:rsid w:val="00873772"/>
    <w:rsid w:val="008738FA"/>
    <w:rsid w:val="00873C69"/>
    <w:rsid w:val="00873E9A"/>
    <w:rsid w:val="00874479"/>
    <w:rsid w:val="0087464C"/>
    <w:rsid w:val="0087478A"/>
    <w:rsid w:val="0087478B"/>
    <w:rsid w:val="008748CD"/>
    <w:rsid w:val="008749A4"/>
    <w:rsid w:val="008749FB"/>
    <w:rsid w:val="00874A59"/>
    <w:rsid w:val="00874BB0"/>
    <w:rsid w:val="00874CDC"/>
    <w:rsid w:val="00874CFF"/>
    <w:rsid w:val="00874EAE"/>
    <w:rsid w:val="00874F7A"/>
    <w:rsid w:val="00874FF2"/>
    <w:rsid w:val="0087527F"/>
    <w:rsid w:val="008752C9"/>
    <w:rsid w:val="008753B6"/>
    <w:rsid w:val="00875421"/>
    <w:rsid w:val="00875685"/>
    <w:rsid w:val="00875764"/>
    <w:rsid w:val="008757A7"/>
    <w:rsid w:val="008758C0"/>
    <w:rsid w:val="00875AA2"/>
    <w:rsid w:val="00875B36"/>
    <w:rsid w:val="00875B9E"/>
    <w:rsid w:val="00875BA9"/>
    <w:rsid w:val="00875FEC"/>
    <w:rsid w:val="00876068"/>
    <w:rsid w:val="0087612D"/>
    <w:rsid w:val="0087641F"/>
    <w:rsid w:val="00876623"/>
    <w:rsid w:val="00876631"/>
    <w:rsid w:val="008767C4"/>
    <w:rsid w:val="00876895"/>
    <w:rsid w:val="008768BA"/>
    <w:rsid w:val="00876916"/>
    <w:rsid w:val="008769C9"/>
    <w:rsid w:val="00876F6A"/>
    <w:rsid w:val="0087725A"/>
    <w:rsid w:val="00877524"/>
    <w:rsid w:val="0087756D"/>
    <w:rsid w:val="008776E5"/>
    <w:rsid w:val="008778A2"/>
    <w:rsid w:val="008778A5"/>
    <w:rsid w:val="00877B8E"/>
    <w:rsid w:val="00877D85"/>
    <w:rsid w:val="0088020C"/>
    <w:rsid w:val="00880344"/>
    <w:rsid w:val="0088093E"/>
    <w:rsid w:val="00880A5E"/>
    <w:rsid w:val="00880AA6"/>
    <w:rsid w:val="00880BFF"/>
    <w:rsid w:val="00880E5C"/>
    <w:rsid w:val="00880F11"/>
    <w:rsid w:val="00881069"/>
    <w:rsid w:val="0088114F"/>
    <w:rsid w:val="0088159E"/>
    <w:rsid w:val="00881650"/>
    <w:rsid w:val="00881701"/>
    <w:rsid w:val="008818CC"/>
    <w:rsid w:val="008819C3"/>
    <w:rsid w:val="00881A39"/>
    <w:rsid w:val="00881BFD"/>
    <w:rsid w:val="00881CDE"/>
    <w:rsid w:val="00881CE0"/>
    <w:rsid w:val="0088207E"/>
    <w:rsid w:val="008822BE"/>
    <w:rsid w:val="00882323"/>
    <w:rsid w:val="008826F1"/>
    <w:rsid w:val="00882874"/>
    <w:rsid w:val="0088291A"/>
    <w:rsid w:val="00882998"/>
    <w:rsid w:val="00882C2C"/>
    <w:rsid w:val="00882D94"/>
    <w:rsid w:val="00882DD5"/>
    <w:rsid w:val="00882E3C"/>
    <w:rsid w:val="0088307A"/>
    <w:rsid w:val="0088308A"/>
    <w:rsid w:val="008830CD"/>
    <w:rsid w:val="00883108"/>
    <w:rsid w:val="0088311B"/>
    <w:rsid w:val="008834A4"/>
    <w:rsid w:val="0088359E"/>
    <w:rsid w:val="00883673"/>
    <w:rsid w:val="00883787"/>
    <w:rsid w:val="008838D2"/>
    <w:rsid w:val="00883BA7"/>
    <w:rsid w:val="00883D86"/>
    <w:rsid w:val="00883E8D"/>
    <w:rsid w:val="00883FF5"/>
    <w:rsid w:val="008840A5"/>
    <w:rsid w:val="0088410B"/>
    <w:rsid w:val="0088419B"/>
    <w:rsid w:val="008842C2"/>
    <w:rsid w:val="008843DC"/>
    <w:rsid w:val="008843EC"/>
    <w:rsid w:val="00884500"/>
    <w:rsid w:val="008847A8"/>
    <w:rsid w:val="0088493A"/>
    <w:rsid w:val="008849DF"/>
    <w:rsid w:val="00884B44"/>
    <w:rsid w:val="00884BF0"/>
    <w:rsid w:val="00884CFF"/>
    <w:rsid w:val="00884D33"/>
    <w:rsid w:val="00884D40"/>
    <w:rsid w:val="00884DB4"/>
    <w:rsid w:val="00884DC8"/>
    <w:rsid w:val="00884E86"/>
    <w:rsid w:val="0088535E"/>
    <w:rsid w:val="008855E4"/>
    <w:rsid w:val="00885679"/>
    <w:rsid w:val="008856AE"/>
    <w:rsid w:val="0088589E"/>
    <w:rsid w:val="00885A7A"/>
    <w:rsid w:val="00885CB6"/>
    <w:rsid w:val="00885E0E"/>
    <w:rsid w:val="00885F1B"/>
    <w:rsid w:val="0088617B"/>
    <w:rsid w:val="00886193"/>
    <w:rsid w:val="008864EC"/>
    <w:rsid w:val="0088658E"/>
    <w:rsid w:val="008865DB"/>
    <w:rsid w:val="00886839"/>
    <w:rsid w:val="0088686B"/>
    <w:rsid w:val="00886A70"/>
    <w:rsid w:val="00886C59"/>
    <w:rsid w:val="00886CD2"/>
    <w:rsid w:val="00886CD7"/>
    <w:rsid w:val="00886E80"/>
    <w:rsid w:val="00886F05"/>
    <w:rsid w:val="00886F87"/>
    <w:rsid w:val="008870FA"/>
    <w:rsid w:val="0088729C"/>
    <w:rsid w:val="008872C1"/>
    <w:rsid w:val="008872E3"/>
    <w:rsid w:val="008872EE"/>
    <w:rsid w:val="0088733D"/>
    <w:rsid w:val="008874BB"/>
    <w:rsid w:val="00887695"/>
    <w:rsid w:val="008876A2"/>
    <w:rsid w:val="008877C9"/>
    <w:rsid w:val="008877CE"/>
    <w:rsid w:val="00887C07"/>
    <w:rsid w:val="00887F26"/>
    <w:rsid w:val="0089011A"/>
    <w:rsid w:val="00890203"/>
    <w:rsid w:val="008903D1"/>
    <w:rsid w:val="00890462"/>
    <w:rsid w:val="0089059C"/>
    <w:rsid w:val="0089072C"/>
    <w:rsid w:val="008907F6"/>
    <w:rsid w:val="0089096C"/>
    <w:rsid w:val="00890B98"/>
    <w:rsid w:val="00890BE6"/>
    <w:rsid w:val="00890C7B"/>
    <w:rsid w:val="008911EF"/>
    <w:rsid w:val="00891272"/>
    <w:rsid w:val="008915D9"/>
    <w:rsid w:val="00891AC9"/>
    <w:rsid w:val="00891B8F"/>
    <w:rsid w:val="00891D3C"/>
    <w:rsid w:val="00891E6F"/>
    <w:rsid w:val="0089200D"/>
    <w:rsid w:val="00892384"/>
    <w:rsid w:val="008926DB"/>
    <w:rsid w:val="0089275D"/>
    <w:rsid w:val="00892769"/>
    <w:rsid w:val="008927BE"/>
    <w:rsid w:val="008927C1"/>
    <w:rsid w:val="00892823"/>
    <w:rsid w:val="00892A36"/>
    <w:rsid w:val="00892B3D"/>
    <w:rsid w:val="00893239"/>
    <w:rsid w:val="008934D0"/>
    <w:rsid w:val="00893531"/>
    <w:rsid w:val="00893541"/>
    <w:rsid w:val="00893C48"/>
    <w:rsid w:val="00893D36"/>
    <w:rsid w:val="00893D66"/>
    <w:rsid w:val="00893DDF"/>
    <w:rsid w:val="0089420E"/>
    <w:rsid w:val="0089426C"/>
    <w:rsid w:val="00894489"/>
    <w:rsid w:val="008944A8"/>
    <w:rsid w:val="008944B9"/>
    <w:rsid w:val="0089476F"/>
    <w:rsid w:val="00894CD6"/>
    <w:rsid w:val="00894E03"/>
    <w:rsid w:val="00894F36"/>
    <w:rsid w:val="008950B6"/>
    <w:rsid w:val="00895233"/>
    <w:rsid w:val="008952FF"/>
    <w:rsid w:val="00895308"/>
    <w:rsid w:val="0089538A"/>
    <w:rsid w:val="008953C8"/>
    <w:rsid w:val="00895447"/>
    <w:rsid w:val="00895519"/>
    <w:rsid w:val="0089567D"/>
    <w:rsid w:val="008958EB"/>
    <w:rsid w:val="00895A16"/>
    <w:rsid w:val="00895A26"/>
    <w:rsid w:val="00895C83"/>
    <w:rsid w:val="00896093"/>
    <w:rsid w:val="008960C3"/>
    <w:rsid w:val="00896130"/>
    <w:rsid w:val="0089622B"/>
    <w:rsid w:val="00896243"/>
    <w:rsid w:val="00896270"/>
    <w:rsid w:val="008963A5"/>
    <w:rsid w:val="008963EB"/>
    <w:rsid w:val="0089650D"/>
    <w:rsid w:val="00896B2B"/>
    <w:rsid w:val="00896C78"/>
    <w:rsid w:val="00896D5D"/>
    <w:rsid w:val="00896ED3"/>
    <w:rsid w:val="008971EF"/>
    <w:rsid w:val="008972A6"/>
    <w:rsid w:val="0089742C"/>
    <w:rsid w:val="00897474"/>
    <w:rsid w:val="00897607"/>
    <w:rsid w:val="008976EF"/>
    <w:rsid w:val="00897A2D"/>
    <w:rsid w:val="00897CA7"/>
    <w:rsid w:val="008A03EA"/>
    <w:rsid w:val="008A0B8D"/>
    <w:rsid w:val="008A0BC9"/>
    <w:rsid w:val="008A0FBC"/>
    <w:rsid w:val="008A1014"/>
    <w:rsid w:val="008A10AC"/>
    <w:rsid w:val="008A10C3"/>
    <w:rsid w:val="008A1138"/>
    <w:rsid w:val="008A1299"/>
    <w:rsid w:val="008A13DC"/>
    <w:rsid w:val="008A15FB"/>
    <w:rsid w:val="008A161E"/>
    <w:rsid w:val="008A1790"/>
    <w:rsid w:val="008A17C3"/>
    <w:rsid w:val="008A18C8"/>
    <w:rsid w:val="008A18DC"/>
    <w:rsid w:val="008A1A15"/>
    <w:rsid w:val="008A1A86"/>
    <w:rsid w:val="008A1BAC"/>
    <w:rsid w:val="008A2371"/>
    <w:rsid w:val="008A2403"/>
    <w:rsid w:val="008A2486"/>
    <w:rsid w:val="008A25E1"/>
    <w:rsid w:val="008A26AE"/>
    <w:rsid w:val="008A27A9"/>
    <w:rsid w:val="008A28F7"/>
    <w:rsid w:val="008A2A13"/>
    <w:rsid w:val="008A2BBC"/>
    <w:rsid w:val="008A2CB8"/>
    <w:rsid w:val="008A302B"/>
    <w:rsid w:val="008A3100"/>
    <w:rsid w:val="008A3158"/>
    <w:rsid w:val="008A3363"/>
    <w:rsid w:val="008A3371"/>
    <w:rsid w:val="008A3530"/>
    <w:rsid w:val="008A3540"/>
    <w:rsid w:val="008A3568"/>
    <w:rsid w:val="008A35E9"/>
    <w:rsid w:val="008A35F4"/>
    <w:rsid w:val="008A382E"/>
    <w:rsid w:val="008A3884"/>
    <w:rsid w:val="008A3A35"/>
    <w:rsid w:val="008A3BFB"/>
    <w:rsid w:val="008A3C3E"/>
    <w:rsid w:val="008A3DB0"/>
    <w:rsid w:val="008A3E3F"/>
    <w:rsid w:val="008A3E82"/>
    <w:rsid w:val="008A4000"/>
    <w:rsid w:val="008A40D9"/>
    <w:rsid w:val="008A41BB"/>
    <w:rsid w:val="008A438B"/>
    <w:rsid w:val="008A43EF"/>
    <w:rsid w:val="008A44C5"/>
    <w:rsid w:val="008A4809"/>
    <w:rsid w:val="008A480E"/>
    <w:rsid w:val="008A4A42"/>
    <w:rsid w:val="008A4A7B"/>
    <w:rsid w:val="008A4F09"/>
    <w:rsid w:val="008A53D5"/>
    <w:rsid w:val="008A5828"/>
    <w:rsid w:val="008A5866"/>
    <w:rsid w:val="008A5BBA"/>
    <w:rsid w:val="008A5F56"/>
    <w:rsid w:val="008A627E"/>
    <w:rsid w:val="008A64B0"/>
    <w:rsid w:val="008A65F2"/>
    <w:rsid w:val="008A6662"/>
    <w:rsid w:val="008A66EB"/>
    <w:rsid w:val="008A6995"/>
    <w:rsid w:val="008A699C"/>
    <w:rsid w:val="008A6D1C"/>
    <w:rsid w:val="008A6DCA"/>
    <w:rsid w:val="008A6DF9"/>
    <w:rsid w:val="008A6EF7"/>
    <w:rsid w:val="008A6F41"/>
    <w:rsid w:val="008A7061"/>
    <w:rsid w:val="008A7185"/>
    <w:rsid w:val="008A7199"/>
    <w:rsid w:val="008A75E2"/>
    <w:rsid w:val="008A76A6"/>
    <w:rsid w:val="008A789B"/>
    <w:rsid w:val="008A79DE"/>
    <w:rsid w:val="008A7BFC"/>
    <w:rsid w:val="008A7C30"/>
    <w:rsid w:val="008A7C7F"/>
    <w:rsid w:val="008B0984"/>
    <w:rsid w:val="008B0B88"/>
    <w:rsid w:val="008B0D36"/>
    <w:rsid w:val="008B0D72"/>
    <w:rsid w:val="008B10EE"/>
    <w:rsid w:val="008B119D"/>
    <w:rsid w:val="008B11E3"/>
    <w:rsid w:val="008B12E8"/>
    <w:rsid w:val="008B135E"/>
    <w:rsid w:val="008B146A"/>
    <w:rsid w:val="008B1545"/>
    <w:rsid w:val="008B16CA"/>
    <w:rsid w:val="008B1757"/>
    <w:rsid w:val="008B1B6D"/>
    <w:rsid w:val="008B1C33"/>
    <w:rsid w:val="008B1EDF"/>
    <w:rsid w:val="008B1F18"/>
    <w:rsid w:val="008B291A"/>
    <w:rsid w:val="008B2984"/>
    <w:rsid w:val="008B2C11"/>
    <w:rsid w:val="008B2D29"/>
    <w:rsid w:val="008B2FF1"/>
    <w:rsid w:val="008B31B2"/>
    <w:rsid w:val="008B33DE"/>
    <w:rsid w:val="008B3440"/>
    <w:rsid w:val="008B3446"/>
    <w:rsid w:val="008B3597"/>
    <w:rsid w:val="008B386D"/>
    <w:rsid w:val="008B3902"/>
    <w:rsid w:val="008B394D"/>
    <w:rsid w:val="008B3A40"/>
    <w:rsid w:val="008B3DB7"/>
    <w:rsid w:val="008B3DBE"/>
    <w:rsid w:val="008B3FE9"/>
    <w:rsid w:val="008B441A"/>
    <w:rsid w:val="008B4462"/>
    <w:rsid w:val="008B449E"/>
    <w:rsid w:val="008B4550"/>
    <w:rsid w:val="008B4732"/>
    <w:rsid w:val="008B4844"/>
    <w:rsid w:val="008B4873"/>
    <w:rsid w:val="008B4901"/>
    <w:rsid w:val="008B4AD5"/>
    <w:rsid w:val="008B4B6F"/>
    <w:rsid w:val="008B4CAA"/>
    <w:rsid w:val="008B4D2C"/>
    <w:rsid w:val="008B4DBB"/>
    <w:rsid w:val="008B520C"/>
    <w:rsid w:val="008B5319"/>
    <w:rsid w:val="008B56B4"/>
    <w:rsid w:val="008B5A06"/>
    <w:rsid w:val="008B5ABC"/>
    <w:rsid w:val="008B5CD9"/>
    <w:rsid w:val="008B5D65"/>
    <w:rsid w:val="008B5D82"/>
    <w:rsid w:val="008B5F6E"/>
    <w:rsid w:val="008B5F8E"/>
    <w:rsid w:val="008B6091"/>
    <w:rsid w:val="008B615E"/>
    <w:rsid w:val="008B693A"/>
    <w:rsid w:val="008B6983"/>
    <w:rsid w:val="008B6BFA"/>
    <w:rsid w:val="008B6C17"/>
    <w:rsid w:val="008B6D5E"/>
    <w:rsid w:val="008B6E40"/>
    <w:rsid w:val="008B716C"/>
    <w:rsid w:val="008B728F"/>
    <w:rsid w:val="008B729C"/>
    <w:rsid w:val="008B73BC"/>
    <w:rsid w:val="008B758C"/>
    <w:rsid w:val="008B764E"/>
    <w:rsid w:val="008B78A5"/>
    <w:rsid w:val="008B78D0"/>
    <w:rsid w:val="008B78F0"/>
    <w:rsid w:val="008B78FF"/>
    <w:rsid w:val="008B7992"/>
    <w:rsid w:val="008B7A80"/>
    <w:rsid w:val="008B7D18"/>
    <w:rsid w:val="008B7D7E"/>
    <w:rsid w:val="008B7D9E"/>
    <w:rsid w:val="008B7FD5"/>
    <w:rsid w:val="008B7FE4"/>
    <w:rsid w:val="008C010A"/>
    <w:rsid w:val="008C0466"/>
    <w:rsid w:val="008C04DA"/>
    <w:rsid w:val="008C074C"/>
    <w:rsid w:val="008C0B3C"/>
    <w:rsid w:val="008C0CB7"/>
    <w:rsid w:val="008C0F27"/>
    <w:rsid w:val="008C1040"/>
    <w:rsid w:val="008C1112"/>
    <w:rsid w:val="008C1286"/>
    <w:rsid w:val="008C12BC"/>
    <w:rsid w:val="008C12F6"/>
    <w:rsid w:val="008C1305"/>
    <w:rsid w:val="008C13D5"/>
    <w:rsid w:val="008C2084"/>
    <w:rsid w:val="008C209B"/>
    <w:rsid w:val="008C212A"/>
    <w:rsid w:val="008C253F"/>
    <w:rsid w:val="008C2845"/>
    <w:rsid w:val="008C28D4"/>
    <w:rsid w:val="008C28EE"/>
    <w:rsid w:val="008C29E1"/>
    <w:rsid w:val="008C2ECB"/>
    <w:rsid w:val="008C2FF4"/>
    <w:rsid w:val="008C314C"/>
    <w:rsid w:val="008C3152"/>
    <w:rsid w:val="008C31E4"/>
    <w:rsid w:val="008C3492"/>
    <w:rsid w:val="008C354C"/>
    <w:rsid w:val="008C39CE"/>
    <w:rsid w:val="008C3AD0"/>
    <w:rsid w:val="008C3D94"/>
    <w:rsid w:val="008C3F89"/>
    <w:rsid w:val="008C456E"/>
    <w:rsid w:val="008C4806"/>
    <w:rsid w:val="008C4BB4"/>
    <w:rsid w:val="008C4DF6"/>
    <w:rsid w:val="008C5131"/>
    <w:rsid w:val="008C513A"/>
    <w:rsid w:val="008C5410"/>
    <w:rsid w:val="008C5610"/>
    <w:rsid w:val="008C5739"/>
    <w:rsid w:val="008C5B3F"/>
    <w:rsid w:val="008C5BE7"/>
    <w:rsid w:val="008C5DF9"/>
    <w:rsid w:val="008C5EC5"/>
    <w:rsid w:val="008C6153"/>
    <w:rsid w:val="008C6233"/>
    <w:rsid w:val="008C62BA"/>
    <w:rsid w:val="008C665F"/>
    <w:rsid w:val="008C6890"/>
    <w:rsid w:val="008C68EC"/>
    <w:rsid w:val="008C6C0A"/>
    <w:rsid w:val="008C6CEE"/>
    <w:rsid w:val="008C6E52"/>
    <w:rsid w:val="008C6E55"/>
    <w:rsid w:val="008C7010"/>
    <w:rsid w:val="008C727C"/>
    <w:rsid w:val="008C7282"/>
    <w:rsid w:val="008C7414"/>
    <w:rsid w:val="008C74A4"/>
    <w:rsid w:val="008C74CE"/>
    <w:rsid w:val="008C753D"/>
    <w:rsid w:val="008C76FA"/>
    <w:rsid w:val="008C7886"/>
    <w:rsid w:val="008C7915"/>
    <w:rsid w:val="008C79C2"/>
    <w:rsid w:val="008C7B1F"/>
    <w:rsid w:val="008C7D46"/>
    <w:rsid w:val="008C7ECB"/>
    <w:rsid w:val="008C7EDF"/>
    <w:rsid w:val="008D016C"/>
    <w:rsid w:val="008D03E5"/>
    <w:rsid w:val="008D0579"/>
    <w:rsid w:val="008D0765"/>
    <w:rsid w:val="008D0B35"/>
    <w:rsid w:val="008D0D59"/>
    <w:rsid w:val="008D0E62"/>
    <w:rsid w:val="008D0F1C"/>
    <w:rsid w:val="008D1339"/>
    <w:rsid w:val="008D139A"/>
    <w:rsid w:val="008D15A8"/>
    <w:rsid w:val="008D1698"/>
    <w:rsid w:val="008D1764"/>
    <w:rsid w:val="008D1914"/>
    <w:rsid w:val="008D1954"/>
    <w:rsid w:val="008D1DF2"/>
    <w:rsid w:val="008D1F81"/>
    <w:rsid w:val="008D20C4"/>
    <w:rsid w:val="008D2167"/>
    <w:rsid w:val="008D265E"/>
    <w:rsid w:val="008D2678"/>
    <w:rsid w:val="008D2683"/>
    <w:rsid w:val="008D2AD8"/>
    <w:rsid w:val="008D2C0E"/>
    <w:rsid w:val="008D330E"/>
    <w:rsid w:val="008D34B3"/>
    <w:rsid w:val="008D34EA"/>
    <w:rsid w:val="008D35AB"/>
    <w:rsid w:val="008D35B3"/>
    <w:rsid w:val="008D3631"/>
    <w:rsid w:val="008D363A"/>
    <w:rsid w:val="008D3673"/>
    <w:rsid w:val="008D37AF"/>
    <w:rsid w:val="008D38A9"/>
    <w:rsid w:val="008D38BD"/>
    <w:rsid w:val="008D3967"/>
    <w:rsid w:val="008D3AB9"/>
    <w:rsid w:val="008D3B86"/>
    <w:rsid w:val="008D3BB2"/>
    <w:rsid w:val="008D3CC0"/>
    <w:rsid w:val="008D40D2"/>
    <w:rsid w:val="008D4174"/>
    <w:rsid w:val="008D4348"/>
    <w:rsid w:val="008D43FD"/>
    <w:rsid w:val="008D453B"/>
    <w:rsid w:val="008D458B"/>
    <w:rsid w:val="008D4592"/>
    <w:rsid w:val="008D459B"/>
    <w:rsid w:val="008D4755"/>
    <w:rsid w:val="008D4819"/>
    <w:rsid w:val="008D482E"/>
    <w:rsid w:val="008D4C05"/>
    <w:rsid w:val="008D4C3D"/>
    <w:rsid w:val="008D4C69"/>
    <w:rsid w:val="008D4CB4"/>
    <w:rsid w:val="008D4DC4"/>
    <w:rsid w:val="008D4E02"/>
    <w:rsid w:val="008D5033"/>
    <w:rsid w:val="008D5407"/>
    <w:rsid w:val="008D584B"/>
    <w:rsid w:val="008D5A39"/>
    <w:rsid w:val="008D5A88"/>
    <w:rsid w:val="008D6004"/>
    <w:rsid w:val="008D606E"/>
    <w:rsid w:val="008D6808"/>
    <w:rsid w:val="008D68E9"/>
    <w:rsid w:val="008D6BCC"/>
    <w:rsid w:val="008D6CAE"/>
    <w:rsid w:val="008D6D1C"/>
    <w:rsid w:val="008D6D8C"/>
    <w:rsid w:val="008D6DD6"/>
    <w:rsid w:val="008D6E4A"/>
    <w:rsid w:val="008D7032"/>
    <w:rsid w:val="008D7415"/>
    <w:rsid w:val="008D743C"/>
    <w:rsid w:val="008D75DA"/>
    <w:rsid w:val="008D778E"/>
    <w:rsid w:val="008D77B0"/>
    <w:rsid w:val="008D79BF"/>
    <w:rsid w:val="008D7E57"/>
    <w:rsid w:val="008D7EB1"/>
    <w:rsid w:val="008E00CA"/>
    <w:rsid w:val="008E024F"/>
    <w:rsid w:val="008E0312"/>
    <w:rsid w:val="008E092D"/>
    <w:rsid w:val="008E0941"/>
    <w:rsid w:val="008E0948"/>
    <w:rsid w:val="008E099E"/>
    <w:rsid w:val="008E0C02"/>
    <w:rsid w:val="008E0C1D"/>
    <w:rsid w:val="008E0CC4"/>
    <w:rsid w:val="008E0D3C"/>
    <w:rsid w:val="008E0DA5"/>
    <w:rsid w:val="008E0E96"/>
    <w:rsid w:val="008E10A0"/>
    <w:rsid w:val="008E126C"/>
    <w:rsid w:val="008E1484"/>
    <w:rsid w:val="008E16DA"/>
    <w:rsid w:val="008E1A31"/>
    <w:rsid w:val="008E1B9E"/>
    <w:rsid w:val="008E1C4D"/>
    <w:rsid w:val="008E1CF1"/>
    <w:rsid w:val="008E1E4A"/>
    <w:rsid w:val="008E1FA5"/>
    <w:rsid w:val="008E2052"/>
    <w:rsid w:val="008E22BF"/>
    <w:rsid w:val="008E23A2"/>
    <w:rsid w:val="008E24C9"/>
    <w:rsid w:val="008E255A"/>
    <w:rsid w:val="008E28BE"/>
    <w:rsid w:val="008E2B29"/>
    <w:rsid w:val="008E2C5B"/>
    <w:rsid w:val="008E2CCF"/>
    <w:rsid w:val="008E2D84"/>
    <w:rsid w:val="008E2DFC"/>
    <w:rsid w:val="008E2EDE"/>
    <w:rsid w:val="008E31A2"/>
    <w:rsid w:val="008E32B0"/>
    <w:rsid w:val="008E32D8"/>
    <w:rsid w:val="008E33EE"/>
    <w:rsid w:val="008E3515"/>
    <w:rsid w:val="008E3695"/>
    <w:rsid w:val="008E380C"/>
    <w:rsid w:val="008E38E9"/>
    <w:rsid w:val="008E394E"/>
    <w:rsid w:val="008E3984"/>
    <w:rsid w:val="008E39EC"/>
    <w:rsid w:val="008E3AC3"/>
    <w:rsid w:val="008E3D6A"/>
    <w:rsid w:val="008E3EEA"/>
    <w:rsid w:val="008E3F3B"/>
    <w:rsid w:val="008E434F"/>
    <w:rsid w:val="008E462F"/>
    <w:rsid w:val="008E47E4"/>
    <w:rsid w:val="008E48CB"/>
    <w:rsid w:val="008E48F8"/>
    <w:rsid w:val="008E4D68"/>
    <w:rsid w:val="008E4E7F"/>
    <w:rsid w:val="008E5103"/>
    <w:rsid w:val="008E5126"/>
    <w:rsid w:val="008E5150"/>
    <w:rsid w:val="008E524A"/>
    <w:rsid w:val="008E53B7"/>
    <w:rsid w:val="008E54B3"/>
    <w:rsid w:val="008E55AB"/>
    <w:rsid w:val="008E560A"/>
    <w:rsid w:val="008E5860"/>
    <w:rsid w:val="008E5DDD"/>
    <w:rsid w:val="008E5E6D"/>
    <w:rsid w:val="008E609F"/>
    <w:rsid w:val="008E610A"/>
    <w:rsid w:val="008E633A"/>
    <w:rsid w:val="008E6603"/>
    <w:rsid w:val="008E66D3"/>
    <w:rsid w:val="008E689A"/>
    <w:rsid w:val="008E6A80"/>
    <w:rsid w:val="008E6AC1"/>
    <w:rsid w:val="008E6BCA"/>
    <w:rsid w:val="008E6EAC"/>
    <w:rsid w:val="008E6FF6"/>
    <w:rsid w:val="008E716E"/>
    <w:rsid w:val="008E71AF"/>
    <w:rsid w:val="008E7268"/>
    <w:rsid w:val="008E734A"/>
    <w:rsid w:val="008E752D"/>
    <w:rsid w:val="008E7600"/>
    <w:rsid w:val="008E76DB"/>
    <w:rsid w:val="008E7AC9"/>
    <w:rsid w:val="008E7AFE"/>
    <w:rsid w:val="008F06BA"/>
    <w:rsid w:val="008F06C4"/>
    <w:rsid w:val="008F06CD"/>
    <w:rsid w:val="008F07AA"/>
    <w:rsid w:val="008F0AF7"/>
    <w:rsid w:val="008F0CF3"/>
    <w:rsid w:val="008F0D00"/>
    <w:rsid w:val="008F0E1F"/>
    <w:rsid w:val="008F0F36"/>
    <w:rsid w:val="008F1117"/>
    <w:rsid w:val="008F11C4"/>
    <w:rsid w:val="008F120A"/>
    <w:rsid w:val="008F12F7"/>
    <w:rsid w:val="008F16A7"/>
    <w:rsid w:val="008F16AD"/>
    <w:rsid w:val="008F194A"/>
    <w:rsid w:val="008F1CAD"/>
    <w:rsid w:val="008F1CF0"/>
    <w:rsid w:val="008F1D13"/>
    <w:rsid w:val="008F1D8D"/>
    <w:rsid w:val="008F1F1F"/>
    <w:rsid w:val="008F202C"/>
    <w:rsid w:val="008F2185"/>
    <w:rsid w:val="008F2202"/>
    <w:rsid w:val="008F27E0"/>
    <w:rsid w:val="008F2942"/>
    <w:rsid w:val="008F2969"/>
    <w:rsid w:val="008F2CE3"/>
    <w:rsid w:val="008F2D86"/>
    <w:rsid w:val="008F2F6C"/>
    <w:rsid w:val="008F2FD2"/>
    <w:rsid w:val="008F3205"/>
    <w:rsid w:val="008F3439"/>
    <w:rsid w:val="008F34F1"/>
    <w:rsid w:val="008F3BE8"/>
    <w:rsid w:val="008F3DFA"/>
    <w:rsid w:val="008F4091"/>
    <w:rsid w:val="008F4222"/>
    <w:rsid w:val="008F42A3"/>
    <w:rsid w:val="008F42DC"/>
    <w:rsid w:val="008F4432"/>
    <w:rsid w:val="008F4452"/>
    <w:rsid w:val="008F4609"/>
    <w:rsid w:val="008F4634"/>
    <w:rsid w:val="008F4709"/>
    <w:rsid w:val="008F48EB"/>
    <w:rsid w:val="008F4B3A"/>
    <w:rsid w:val="008F4E9C"/>
    <w:rsid w:val="008F4EDF"/>
    <w:rsid w:val="008F4F0B"/>
    <w:rsid w:val="008F4F3D"/>
    <w:rsid w:val="008F5055"/>
    <w:rsid w:val="008F5B5C"/>
    <w:rsid w:val="008F5B98"/>
    <w:rsid w:val="008F5CF0"/>
    <w:rsid w:val="008F5F61"/>
    <w:rsid w:val="008F652B"/>
    <w:rsid w:val="008F6DB1"/>
    <w:rsid w:val="008F6FCD"/>
    <w:rsid w:val="008F7012"/>
    <w:rsid w:val="008F718D"/>
    <w:rsid w:val="008F727E"/>
    <w:rsid w:val="008F780D"/>
    <w:rsid w:val="008F79E2"/>
    <w:rsid w:val="008F7C16"/>
    <w:rsid w:val="008F7D5D"/>
    <w:rsid w:val="008F7EB2"/>
    <w:rsid w:val="00900370"/>
    <w:rsid w:val="0090048D"/>
    <w:rsid w:val="009007BE"/>
    <w:rsid w:val="00900ABD"/>
    <w:rsid w:val="00900B80"/>
    <w:rsid w:val="00900F0E"/>
    <w:rsid w:val="00901065"/>
    <w:rsid w:val="0090144C"/>
    <w:rsid w:val="00901A47"/>
    <w:rsid w:val="00901A7E"/>
    <w:rsid w:val="00901B2C"/>
    <w:rsid w:val="00901BEB"/>
    <w:rsid w:val="00901C02"/>
    <w:rsid w:val="00901CC9"/>
    <w:rsid w:val="00901D1F"/>
    <w:rsid w:val="009020FA"/>
    <w:rsid w:val="0090220F"/>
    <w:rsid w:val="00902435"/>
    <w:rsid w:val="009025F3"/>
    <w:rsid w:val="009028AB"/>
    <w:rsid w:val="00902D1C"/>
    <w:rsid w:val="00902D23"/>
    <w:rsid w:val="00902E08"/>
    <w:rsid w:val="00903129"/>
    <w:rsid w:val="0090313F"/>
    <w:rsid w:val="00903304"/>
    <w:rsid w:val="0090336D"/>
    <w:rsid w:val="0090349E"/>
    <w:rsid w:val="00903540"/>
    <w:rsid w:val="00903953"/>
    <w:rsid w:val="00903999"/>
    <w:rsid w:val="00903AE5"/>
    <w:rsid w:val="00903C0F"/>
    <w:rsid w:val="00903C7C"/>
    <w:rsid w:val="00903CB5"/>
    <w:rsid w:val="00903E4F"/>
    <w:rsid w:val="00903F37"/>
    <w:rsid w:val="00904000"/>
    <w:rsid w:val="00904185"/>
    <w:rsid w:val="009042A3"/>
    <w:rsid w:val="00904697"/>
    <w:rsid w:val="009046C4"/>
    <w:rsid w:val="009049BB"/>
    <w:rsid w:val="009049DD"/>
    <w:rsid w:val="009049F1"/>
    <w:rsid w:val="00904B56"/>
    <w:rsid w:val="00904C4F"/>
    <w:rsid w:val="00904EA9"/>
    <w:rsid w:val="00904FC8"/>
    <w:rsid w:val="00905307"/>
    <w:rsid w:val="00905412"/>
    <w:rsid w:val="00905DEA"/>
    <w:rsid w:val="00905E5C"/>
    <w:rsid w:val="00906081"/>
    <w:rsid w:val="009060F8"/>
    <w:rsid w:val="00906103"/>
    <w:rsid w:val="0090617A"/>
    <w:rsid w:val="009062A5"/>
    <w:rsid w:val="0090644E"/>
    <w:rsid w:val="009066B0"/>
    <w:rsid w:val="009068E3"/>
    <w:rsid w:val="009069E5"/>
    <w:rsid w:val="00906C04"/>
    <w:rsid w:val="00906F0D"/>
    <w:rsid w:val="0090708D"/>
    <w:rsid w:val="00907229"/>
    <w:rsid w:val="009073FC"/>
    <w:rsid w:val="009074B4"/>
    <w:rsid w:val="009075F0"/>
    <w:rsid w:val="0090760F"/>
    <w:rsid w:val="00907699"/>
    <w:rsid w:val="009077A8"/>
    <w:rsid w:val="009078C7"/>
    <w:rsid w:val="00907B1B"/>
    <w:rsid w:val="00907B6D"/>
    <w:rsid w:val="00907E6D"/>
    <w:rsid w:val="009101B9"/>
    <w:rsid w:val="009105FD"/>
    <w:rsid w:val="009108F0"/>
    <w:rsid w:val="009109C4"/>
    <w:rsid w:val="00910C90"/>
    <w:rsid w:val="00910D5B"/>
    <w:rsid w:val="00910FA7"/>
    <w:rsid w:val="00911272"/>
    <w:rsid w:val="009112A2"/>
    <w:rsid w:val="00911339"/>
    <w:rsid w:val="00911357"/>
    <w:rsid w:val="009113DF"/>
    <w:rsid w:val="0091144D"/>
    <w:rsid w:val="00911919"/>
    <w:rsid w:val="0091193F"/>
    <w:rsid w:val="00911BA5"/>
    <w:rsid w:val="00911C50"/>
    <w:rsid w:val="00911CD6"/>
    <w:rsid w:val="00911E72"/>
    <w:rsid w:val="00911EA4"/>
    <w:rsid w:val="00911F47"/>
    <w:rsid w:val="00911FA1"/>
    <w:rsid w:val="009120B8"/>
    <w:rsid w:val="00912172"/>
    <w:rsid w:val="009121FF"/>
    <w:rsid w:val="0091261F"/>
    <w:rsid w:val="00912632"/>
    <w:rsid w:val="00912789"/>
    <w:rsid w:val="00912DB3"/>
    <w:rsid w:val="00912DDD"/>
    <w:rsid w:val="00912ECB"/>
    <w:rsid w:val="00912ECC"/>
    <w:rsid w:val="00913030"/>
    <w:rsid w:val="00913115"/>
    <w:rsid w:val="00913426"/>
    <w:rsid w:val="00913499"/>
    <w:rsid w:val="009134D2"/>
    <w:rsid w:val="009134E9"/>
    <w:rsid w:val="009135D6"/>
    <w:rsid w:val="009136D6"/>
    <w:rsid w:val="00913745"/>
    <w:rsid w:val="009137B3"/>
    <w:rsid w:val="00913A9E"/>
    <w:rsid w:val="00913D3D"/>
    <w:rsid w:val="00913E14"/>
    <w:rsid w:val="00914090"/>
    <w:rsid w:val="009141E3"/>
    <w:rsid w:val="00914445"/>
    <w:rsid w:val="0091464A"/>
    <w:rsid w:val="0091484C"/>
    <w:rsid w:val="00914934"/>
    <w:rsid w:val="0091496D"/>
    <w:rsid w:val="00914AA4"/>
    <w:rsid w:val="00914C77"/>
    <w:rsid w:val="0091501C"/>
    <w:rsid w:val="00915067"/>
    <w:rsid w:val="0091506B"/>
    <w:rsid w:val="00915115"/>
    <w:rsid w:val="0091516A"/>
    <w:rsid w:val="009153B6"/>
    <w:rsid w:val="0091560A"/>
    <w:rsid w:val="009157BA"/>
    <w:rsid w:val="009158BF"/>
    <w:rsid w:val="0091594D"/>
    <w:rsid w:val="00915A50"/>
    <w:rsid w:val="00915E05"/>
    <w:rsid w:val="00915F94"/>
    <w:rsid w:val="009160EA"/>
    <w:rsid w:val="009162BA"/>
    <w:rsid w:val="0091632E"/>
    <w:rsid w:val="009163E0"/>
    <w:rsid w:val="00916680"/>
    <w:rsid w:val="009166B5"/>
    <w:rsid w:val="00916877"/>
    <w:rsid w:val="00916C88"/>
    <w:rsid w:val="00916E8D"/>
    <w:rsid w:val="00916FDD"/>
    <w:rsid w:val="0091707E"/>
    <w:rsid w:val="009170DA"/>
    <w:rsid w:val="009171C7"/>
    <w:rsid w:val="009172F1"/>
    <w:rsid w:val="0091747D"/>
    <w:rsid w:val="00917500"/>
    <w:rsid w:val="009176FC"/>
    <w:rsid w:val="00917772"/>
    <w:rsid w:val="00917988"/>
    <w:rsid w:val="00917EDF"/>
    <w:rsid w:val="00917F67"/>
    <w:rsid w:val="0092012C"/>
    <w:rsid w:val="00920145"/>
    <w:rsid w:val="0092028A"/>
    <w:rsid w:val="009203EF"/>
    <w:rsid w:val="009204D5"/>
    <w:rsid w:val="009206E8"/>
    <w:rsid w:val="009206FC"/>
    <w:rsid w:val="0092087A"/>
    <w:rsid w:val="009208CC"/>
    <w:rsid w:val="009208F6"/>
    <w:rsid w:val="0092099C"/>
    <w:rsid w:val="00920A2B"/>
    <w:rsid w:val="00920D4A"/>
    <w:rsid w:val="00920EEC"/>
    <w:rsid w:val="00920F4D"/>
    <w:rsid w:val="00921326"/>
    <w:rsid w:val="00921379"/>
    <w:rsid w:val="009214D9"/>
    <w:rsid w:val="00921526"/>
    <w:rsid w:val="00921709"/>
    <w:rsid w:val="00921768"/>
    <w:rsid w:val="009217BE"/>
    <w:rsid w:val="00921ACB"/>
    <w:rsid w:val="00921D84"/>
    <w:rsid w:val="00922184"/>
    <w:rsid w:val="0092220B"/>
    <w:rsid w:val="00922881"/>
    <w:rsid w:val="009229BF"/>
    <w:rsid w:val="00922DDB"/>
    <w:rsid w:val="00922E85"/>
    <w:rsid w:val="00922EF8"/>
    <w:rsid w:val="00922F0B"/>
    <w:rsid w:val="00923098"/>
    <w:rsid w:val="009235FD"/>
    <w:rsid w:val="0092363E"/>
    <w:rsid w:val="0092369B"/>
    <w:rsid w:val="00923701"/>
    <w:rsid w:val="0092376E"/>
    <w:rsid w:val="00923BA0"/>
    <w:rsid w:val="00923BC0"/>
    <w:rsid w:val="00923C02"/>
    <w:rsid w:val="00923C27"/>
    <w:rsid w:val="00923C9A"/>
    <w:rsid w:val="00923E0E"/>
    <w:rsid w:val="00923E4B"/>
    <w:rsid w:val="00923E6D"/>
    <w:rsid w:val="00923F7F"/>
    <w:rsid w:val="00924004"/>
    <w:rsid w:val="00924531"/>
    <w:rsid w:val="00924756"/>
    <w:rsid w:val="00924D54"/>
    <w:rsid w:val="00924DD1"/>
    <w:rsid w:val="00924F17"/>
    <w:rsid w:val="00925079"/>
    <w:rsid w:val="009250D8"/>
    <w:rsid w:val="0092519C"/>
    <w:rsid w:val="00925755"/>
    <w:rsid w:val="0092593F"/>
    <w:rsid w:val="009259ED"/>
    <w:rsid w:val="00925C7A"/>
    <w:rsid w:val="00925F5C"/>
    <w:rsid w:val="009261DD"/>
    <w:rsid w:val="009267D4"/>
    <w:rsid w:val="00926B28"/>
    <w:rsid w:val="0092721D"/>
    <w:rsid w:val="009272D0"/>
    <w:rsid w:val="0092737A"/>
    <w:rsid w:val="00927710"/>
    <w:rsid w:val="00927788"/>
    <w:rsid w:val="00927828"/>
    <w:rsid w:val="009279D9"/>
    <w:rsid w:val="00927A9F"/>
    <w:rsid w:val="00927C02"/>
    <w:rsid w:val="00927C13"/>
    <w:rsid w:val="00927CD0"/>
    <w:rsid w:val="00927D1B"/>
    <w:rsid w:val="00927E01"/>
    <w:rsid w:val="00927F93"/>
    <w:rsid w:val="00930001"/>
    <w:rsid w:val="009300A7"/>
    <w:rsid w:val="009306A4"/>
    <w:rsid w:val="009306B0"/>
    <w:rsid w:val="009306E9"/>
    <w:rsid w:val="00930C17"/>
    <w:rsid w:val="00930CE9"/>
    <w:rsid w:val="00930E5A"/>
    <w:rsid w:val="0093109B"/>
    <w:rsid w:val="0093125D"/>
    <w:rsid w:val="00931264"/>
    <w:rsid w:val="00931287"/>
    <w:rsid w:val="009314D5"/>
    <w:rsid w:val="0093159B"/>
    <w:rsid w:val="009315A1"/>
    <w:rsid w:val="00931992"/>
    <w:rsid w:val="00931C8C"/>
    <w:rsid w:val="00931CEB"/>
    <w:rsid w:val="00931EFA"/>
    <w:rsid w:val="00931FEB"/>
    <w:rsid w:val="00932013"/>
    <w:rsid w:val="00932271"/>
    <w:rsid w:val="00932293"/>
    <w:rsid w:val="00932579"/>
    <w:rsid w:val="009328F7"/>
    <w:rsid w:val="00932BF0"/>
    <w:rsid w:val="00932C63"/>
    <w:rsid w:val="00932F5B"/>
    <w:rsid w:val="00932F77"/>
    <w:rsid w:val="00932FA7"/>
    <w:rsid w:val="00932FA9"/>
    <w:rsid w:val="00933333"/>
    <w:rsid w:val="0093359B"/>
    <w:rsid w:val="009335B6"/>
    <w:rsid w:val="009336E5"/>
    <w:rsid w:val="0093383A"/>
    <w:rsid w:val="009338E2"/>
    <w:rsid w:val="00933B5D"/>
    <w:rsid w:val="00933DAE"/>
    <w:rsid w:val="00933E91"/>
    <w:rsid w:val="00933EB5"/>
    <w:rsid w:val="00933FF7"/>
    <w:rsid w:val="009340A5"/>
    <w:rsid w:val="0093452C"/>
    <w:rsid w:val="0093459A"/>
    <w:rsid w:val="00934643"/>
    <w:rsid w:val="00934746"/>
    <w:rsid w:val="0093492E"/>
    <w:rsid w:val="00934988"/>
    <w:rsid w:val="00934A83"/>
    <w:rsid w:val="00934BA0"/>
    <w:rsid w:val="00934BDF"/>
    <w:rsid w:val="00934C79"/>
    <w:rsid w:val="00934E07"/>
    <w:rsid w:val="0093512D"/>
    <w:rsid w:val="00935326"/>
    <w:rsid w:val="00935733"/>
    <w:rsid w:val="00935914"/>
    <w:rsid w:val="00935C24"/>
    <w:rsid w:val="00935DB8"/>
    <w:rsid w:val="00935FEB"/>
    <w:rsid w:val="00936047"/>
    <w:rsid w:val="009361F8"/>
    <w:rsid w:val="009362F4"/>
    <w:rsid w:val="0093630A"/>
    <w:rsid w:val="009366EB"/>
    <w:rsid w:val="0093686A"/>
    <w:rsid w:val="00936890"/>
    <w:rsid w:val="009369C9"/>
    <w:rsid w:val="00936AF7"/>
    <w:rsid w:val="00936C73"/>
    <w:rsid w:val="00936DBC"/>
    <w:rsid w:val="00937089"/>
    <w:rsid w:val="009370E5"/>
    <w:rsid w:val="0093714B"/>
    <w:rsid w:val="0093716F"/>
    <w:rsid w:val="00937194"/>
    <w:rsid w:val="00937237"/>
    <w:rsid w:val="0093724B"/>
    <w:rsid w:val="00937311"/>
    <w:rsid w:val="00937500"/>
    <w:rsid w:val="009376BD"/>
    <w:rsid w:val="009376D1"/>
    <w:rsid w:val="0093774A"/>
    <w:rsid w:val="009377D2"/>
    <w:rsid w:val="0093789D"/>
    <w:rsid w:val="00937B3B"/>
    <w:rsid w:val="00937E14"/>
    <w:rsid w:val="00937E35"/>
    <w:rsid w:val="00937F55"/>
    <w:rsid w:val="00937F63"/>
    <w:rsid w:val="00937FBC"/>
    <w:rsid w:val="009400B4"/>
    <w:rsid w:val="009406F5"/>
    <w:rsid w:val="009407F5"/>
    <w:rsid w:val="0094092D"/>
    <w:rsid w:val="00940B0F"/>
    <w:rsid w:val="00940B13"/>
    <w:rsid w:val="00940B78"/>
    <w:rsid w:val="00940C68"/>
    <w:rsid w:val="00940D03"/>
    <w:rsid w:val="00940E20"/>
    <w:rsid w:val="009412B1"/>
    <w:rsid w:val="009412D6"/>
    <w:rsid w:val="009413EC"/>
    <w:rsid w:val="009413FC"/>
    <w:rsid w:val="009414DD"/>
    <w:rsid w:val="00941778"/>
    <w:rsid w:val="009417B9"/>
    <w:rsid w:val="009417CF"/>
    <w:rsid w:val="0094184A"/>
    <w:rsid w:val="009418DC"/>
    <w:rsid w:val="0094197D"/>
    <w:rsid w:val="0094198A"/>
    <w:rsid w:val="009419B1"/>
    <w:rsid w:val="00941B50"/>
    <w:rsid w:val="00941D5D"/>
    <w:rsid w:val="00941FAC"/>
    <w:rsid w:val="00941FD1"/>
    <w:rsid w:val="00942184"/>
    <w:rsid w:val="009421C6"/>
    <w:rsid w:val="00942357"/>
    <w:rsid w:val="009423F6"/>
    <w:rsid w:val="00942434"/>
    <w:rsid w:val="00942828"/>
    <w:rsid w:val="009428B9"/>
    <w:rsid w:val="00942B34"/>
    <w:rsid w:val="00942CDE"/>
    <w:rsid w:val="00942F1B"/>
    <w:rsid w:val="009437BC"/>
    <w:rsid w:val="00943A9B"/>
    <w:rsid w:val="00943C1B"/>
    <w:rsid w:val="00943E5F"/>
    <w:rsid w:val="00943F3A"/>
    <w:rsid w:val="0094437B"/>
    <w:rsid w:val="009443EB"/>
    <w:rsid w:val="00944677"/>
    <w:rsid w:val="00944B3D"/>
    <w:rsid w:val="00944E9E"/>
    <w:rsid w:val="00944F8A"/>
    <w:rsid w:val="00945050"/>
    <w:rsid w:val="009450B0"/>
    <w:rsid w:val="0094529E"/>
    <w:rsid w:val="0094560A"/>
    <w:rsid w:val="0094578C"/>
    <w:rsid w:val="009458A5"/>
    <w:rsid w:val="009458C2"/>
    <w:rsid w:val="009458F6"/>
    <w:rsid w:val="009459CF"/>
    <w:rsid w:val="00945AA8"/>
    <w:rsid w:val="00945CE9"/>
    <w:rsid w:val="00945D19"/>
    <w:rsid w:val="00945EAA"/>
    <w:rsid w:val="00945F8A"/>
    <w:rsid w:val="009461FF"/>
    <w:rsid w:val="0094629D"/>
    <w:rsid w:val="00946892"/>
    <w:rsid w:val="0094691D"/>
    <w:rsid w:val="00946996"/>
    <w:rsid w:val="00946A71"/>
    <w:rsid w:val="00946A8D"/>
    <w:rsid w:val="00946E39"/>
    <w:rsid w:val="0094733B"/>
    <w:rsid w:val="00947515"/>
    <w:rsid w:val="009476A8"/>
    <w:rsid w:val="00947711"/>
    <w:rsid w:val="00947F0D"/>
    <w:rsid w:val="009500CD"/>
    <w:rsid w:val="00950164"/>
    <w:rsid w:val="009501D2"/>
    <w:rsid w:val="009504F0"/>
    <w:rsid w:val="0095076A"/>
    <w:rsid w:val="009508D7"/>
    <w:rsid w:val="00950B67"/>
    <w:rsid w:val="00950B89"/>
    <w:rsid w:val="00950C27"/>
    <w:rsid w:val="00950DAD"/>
    <w:rsid w:val="00950E02"/>
    <w:rsid w:val="00950E0B"/>
    <w:rsid w:val="00950E11"/>
    <w:rsid w:val="00950E98"/>
    <w:rsid w:val="00950EB4"/>
    <w:rsid w:val="00951090"/>
    <w:rsid w:val="009510A2"/>
    <w:rsid w:val="009512B7"/>
    <w:rsid w:val="0095132A"/>
    <w:rsid w:val="00951387"/>
    <w:rsid w:val="00951759"/>
    <w:rsid w:val="009517B1"/>
    <w:rsid w:val="00951C81"/>
    <w:rsid w:val="00951E4E"/>
    <w:rsid w:val="00951F80"/>
    <w:rsid w:val="00952005"/>
    <w:rsid w:val="009520BF"/>
    <w:rsid w:val="00952276"/>
    <w:rsid w:val="00952471"/>
    <w:rsid w:val="009524BA"/>
    <w:rsid w:val="00952914"/>
    <w:rsid w:val="00952B79"/>
    <w:rsid w:val="00952D1E"/>
    <w:rsid w:val="00953257"/>
    <w:rsid w:val="00953749"/>
    <w:rsid w:val="00953920"/>
    <w:rsid w:val="009539BB"/>
    <w:rsid w:val="00953C69"/>
    <w:rsid w:val="00953EE0"/>
    <w:rsid w:val="00953FF9"/>
    <w:rsid w:val="00954246"/>
    <w:rsid w:val="00954285"/>
    <w:rsid w:val="0095457A"/>
    <w:rsid w:val="0095474C"/>
    <w:rsid w:val="00954775"/>
    <w:rsid w:val="0095496F"/>
    <w:rsid w:val="00954E0C"/>
    <w:rsid w:val="00954E0D"/>
    <w:rsid w:val="00954ED7"/>
    <w:rsid w:val="00955149"/>
    <w:rsid w:val="00955240"/>
    <w:rsid w:val="0095527B"/>
    <w:rsid w:val="009554BD"/>
    <w:rsid w:val="00955578"/>
    <w:rsid w:val="00955913"/>
    <w:rsid w:val="00955EE3"/>
    <w:rsid w:val="00955FB8"/>
    <w:rsid w:val="0095613F"/>
    <w:rsid w:val="00956151"/>
    <w:rsid w:val="009562C7"/>
    <w:rsid w:val="00956550"/>
    <w:rsid w:val="00956A57"/>
    <w:rsid w:val="00956E74"/>
    <w:rsid w:val="0095759C"/>
    <w:rsid w:val="0095764F"/>
    <w:rsid w:val="00957786"/>
    <w:rsid w:val="00957835"/>
    <w:rsid w:val="009579DD"/>
    <w:rsid w:val="009579FF"/>
    <w:rsid w:val="00957AE6"/>
    <w:rsid w:val="00957CBA"/>
    <w:rsid w:val="00957D92"/>
    <w:rsid w:val="00957DD5"/>
    <w:rsid w:val="00957EF2"/>
    <w:rsid w:val="00960079"/>
    <w:rsid w:val="0096011A"/>
    <w:rsid w:val="0096030F"/>
    <w:rsid w:val="009606A3"/>
    <w:rsid w:val="009606FB"/>
    <w:rsid w:val="009607F1"/>
    <w:rsid w:val="00960A8F"/>
    <w:rsid w:val="00960ADF"/>
    <w:rsid w:val="00960B7A"/>
    <w:rsid w:val="00960DA3"/>
    <w:rsid w:val="00961030"/>
    <w:rsid w:val="00961080"/>
    <w:rsid w:val="00961210"/>
    <w:rsid w:val="009613A7"/>
    <w:rsid w:val="009613C8"/>
    <w:rsid w:val="009614E5"/>
    <w:rsid w:val="00961586"/>
    <w:rsid w:val="009616DF"/>
    <w:rsid w:val="00961970"/>
    <w:rsid w:val="00961A05"/>
    <w:rsid w:val="00961D63"/>
    <w:rsid w:val="00961E68"/>
    <w:rsid w:val="00961F01"/>
    <w:rsid w:val="0096210C"/>
    <w:rsid w:val="0096217E"/>
    <w:rsid w:val="009623EB"/>
    <w:rsid w:val="009626F3"/>
    <w:rsid w:val="009627B2"/>
    <w:rsid w:val="009628DF"/>
    <w:rsid w:val="0096295D"/>
    <w:rsid w:val="00962B54"/>
    <w:rsid w:val="00962B5C"/>
    <w:rsid w:val="00962BBE"/>
    <w:rsid w:val="00962C2A"/>
    <w:rsid w:val="00962CB9"/>
    <w:rsid w:val="00962DE1"/>
    <w:rsid w:val="0096305E"/>
    <w:rsid w:val="0096312A"/>
    <w:rsid w:val="009631D3"/>
    <w:rsid w:val="009631E5"/>
    <w:rsid w:val="009631E7"/>
    <w:rsid w:val="009632FA"/>
    <w:rsid w:val="0096361F"/>
    <w:rsid w:val="00963621"/>
    <w:rsid w:val="009638F3"/>
    <w:rsid w:val="00963A8A"/>
    <w:rsid w:val="00963F71"/>
    <w:rsid w:val="00963FE0"/>
    <w:rsid w:val="00964022"/>
    <w:rsid w:val="00964312"/>
    <w:rsid w:val="00964393"/>
    <w:rsid w:val="00964647"/>
    <w:rsid w:val="00964845"/>
    <w:rsid w:val="00964985"/>
    <w:rsid w:val="00964C30"/>
    <w:rsid w:val="00964EA9"/>
    <w:rsid w:val="0096507A"/>
    <w:rsid w:val="0096513D"/>
    <w:rsid w:val="00965154"/>
    <w:rsid w:val="009653C5"/>
    <w:rsid w:val="0096580A"/>
    <w:rsid w:val="009658CF"/>
    <w:rsid w:val="009658E1"/>
    <w:rsid w:val="009659D9"/>
    <w:rsid w:val="00965B8A"/>
    <w:rsid w:val="00965D2F"/>
    <w:rsid w:val="00965D92"/>
    <w:rsid w:val="0096608E"/>
    <w:rsid w:val="0096624F"/>
    <w:rsid w:val="0096654A"/>
    <w:rsid w:val="009666EB"/>
    <w:rsid w:val="00966754"/>
    <w:rsid w:val="00966AB6"/>
    <w:rsid w:val="00966D20"/>
    <w:rsid w:val="00967007"/>
    <w:rsid w:val="00967051"/>
    <w:rsid w:val="0096721C"/>
    <w:rsid w:val="009672C0"/>
    <w:rsid w:val="009672EC"/>
    <w:rsid w:val="009674E9"/>
    <w:rsid w:val="00967575"/>
    <w:rsid w:val="0096772F"/>
    <w:rsid w:val="0096782B"/>
    <w:rsid w:val="00970062"/>
    <w:rsid w:val="00970214"/>
    <w:rsid w:val="0097034C"/>
    <w:rsid w:val="00970447"/>
    <w:rsid w:val="009705EB"/>
    <w:rsid w:val="0097071F"/>
    <w:rsid w:val="00970809"/>
    <w:rsid w:val="00970AAB"/>
    <w:rsid w:val="00970D03"/>
    <w:rsid w:val="00971278"/>
    <w:rsid w:val="00971479"/>
    <w:rsid w:val="009715D5"/>
    <w:rsid w:val="009717AC"/>
    <w:rsid w:val="009718BB"/>
    <w:rsid w:val="00971AA5"/>
    <w:rsid w:val="00971BBA"/>
    <w:rsid w:val="00971FBC"/>
    <w:rsid w:val="00971FF7"/>
    <w:rsid w:val="0097248A"/>
    <w:rsid w:val="009726DF"/>
    <w:rsid w:val="00972A50"/>
    <w:rsid w:val="00972A88"/>
    <w:rsid w:val="00972BB7"/>
    <w:rsid w:val="00972BF4"/>
    <w:rsid w:val="00972C3D"/>
    <w:rsid w:val="00972D0E"/>
    <w:rsid w:val="00972E55"/>
    <w:rsid w:val="00973098"/>
    <w:rsid w:val="0097335E"/>
    <w:rsid w:val="009733C3"/>
    <w:rsid w:val="009733D7"/>
    <w:rsid w:val="0097359F"/>
    <w:rsid w:val="00973782"/>
    <w:rsid w:val="009739AC"/>
    <w:rsid w:val="00973A58"/>
    <w:rsid w:val="009740E6"/>
    <w:rsid w:val="009742E9"/>
    <w:rsid w:val="00974384"/>
    <w:rsid w:val="00974634"/>
    <w:rsid w:val="00974812"/>
    <w:rsid w:val="00974835"/>
    <w:rsid w:val="00974AC3"/>
    <w:rsid w:val="00974DED"/>
    <w:rsid w:val="00974E5D"/>
    <w:rsid w:val="00974EF4"/>
    <w:rsid w:val="00974F99"/>
    <w:rsid w:val="009751C1"/>
    <w:rsid w:val="0097536B"/>
    <w:rsid w:val="009754FA"/>
    <w:rsid w:val="009756B5"/>
    <w:rsid w:val="00975737"/>
    <w:rsid w:val="009757A6"/>
    <w:rsid w:val="00975C10"/>
    <w:rsid w:val="00975CC7"/>
    <w:rsid w:val="00975DD6"/>
    <w:rsid w:val="009761DB"/>
    <w:rsid w:val="009761F7"/>
    <w:rsid w:val="0097622E"/>
    <w:rsid w:val="009765BA"/>
    <w:rsid w:val="009768EE"/>
    <w:rsid w:val="00976E5C"/>
    <w:rsid w:val="009770F5"/>
    <w:rsid w:val="00977326"/>
    <w:rsid w:val="0097747C"/>
    <w:rsid w:val="009775DD"/>
    <w:rsid w:val="009775F7"/>
    <w:rsid w:val="00977776"/>
    <w:rsid w:val="0097796A"/>
    <w:rsid w:val="009779CA"/>
    <w:rsid w:val="00977AEF"/>
    <w:rsid w:val="0098035A"/>
    <w:rsid w:val="009803AC"/>
    <w:rsid w:val="009803C6"/>
    <w:rsid w:val="0098045C"/>
    <w:rsid w:val="0098062B"/>
    <w:rsid w:val="009806E9"/>
    <w:rsid w:val="00980CC5"/>
    <w:rsid w:val="00980D33"/>
    <w:rsid w:val="00980DD3"/>
    <w:rsid w:val="009811F1"/>
    <w:rsid w:val="0098121D"/>
    <w:rsid w:val="0098132D"/>
    <w:rsid w:val="009813D6"/>
    <w:rsid w:val="00981551"/>
    <w:rsid w:val="00981DA9"/>
    <w:rsid w:val="0098203A"/>
    <w:rsid w:val="0098254C"/>
    <w:rsid w:val="00982556"/>
    <w:rsid w:val="009825F4"/>
    <w:rsid w:val="0098262F"/>
    <w:rsid w:val="009826E9"/>
    <w:rsid w:val="00982716"/>
    <w:rsid w:val="00982844"/>
    <w:rsid w:val="009828DA"/>
    <w:rsid w:val="009829D6"/>
    <w:rsid w:val="00982BFB"/>
    <w:rsid w:val="0098304C"/>
    <w:rsid w:val="009830FE"/>
    <w:rsid w:val="009833DF"/>
    <w:rsid w:val="009833EF"/>
    <w:rsid w:val="0098357A"/>
    <w:rsid w:val="00983605"/>
    <w:rsid w:val="00983667"/>
    <w:rsid w:val="009838DA"/>
    <w:rsid w:val="00983DF0"/>
    <w:rsid w:val="00983DFB"/>
    <w:rsid w:val="00983E57"/>
    <w:rsid w:val="0098407B"/>
    <w:rsid w:val="0098442D"/>
    <w:rsid w:val="009847C3"/>
    <w:rsid w:val="00984918"/>
    <w:rsid w:val="00984C1E"/>
    <w:rsid w:val="00984DD3"/>
    <w:rsid w:val="00985055"/>
    <w:rsid w:val="0098533C"/>
    <w:rsid w:val="009853FB"/>
    <w:rsid w:val="0098545E"/>
    <w:rsid w:val="00985671"/>
    <w:rsid w:val="0098568A"/>
    <w:rsid w:val="009856EC"/>
    <w:rsid w:val="00985827"/>
    <w:rsid w:val="00985892"/>
    <w:rsid w:val="00985A24"/>
    <w:rsid w:val="00985BEF"/>
    <w:rsid w:val="00985CE2"/>
    <w:rsid w:val="00985D6A"/>
    <w:rsid w:val="00985DE2"/>
    <w:rsid w:val="0098609B"/>
    <w:rsid w:val="009861BC"/>
    <w:rsid w:val="0098648C"/>
    <w:rsid w:val="009864C4"/>
    <w:rsid w:val="00986541"/>
    <w:rsid w:val="0098666D"/>
    <w:rsid w:val="0098675D"/>
    <w:rsid w:val="009867DA"/>
    <w:rsid w:val="009868A8"/>
    <w:rsid w:val="0098695C"/>
    <w:rsid w:val="00986CB8"/>
    <w:rsid w:val="00986CEB"/>
    <w:rsid w:val="00986D77"/>
    <w:rsid w:val="00986E7B"/>
    <w:rsid w:val="00986F09"/>
    <w:rsid w:val="00986FBF"/>
    <w:rsid w:val="00987060"/>
    <w:rsid w:val="009870C6"/>
    <w:rsid w:val="00987216"/>
    <w:rsid w:val="00987887"/>
    <w:rsid w:val="0098796F"/>
    <w:rsid w:val="00987A26"/>
    <w:rsid w:val="00987A77"/>
    <w:rsid w:val="00987BA4"/>
    <w:rsid w:val="00987F1A"/>
    <w:rsid w:val="00990020"/>
    <w:rsid w:val="009901D7"/>
    <w:rsid w:val="009904F0"/>
    <w:rsid w:val="00990ADF"/>
    <w:rsid w:val="00990BDE"/>
    <w:rsid w:val="00990C2E"/>
    <w:rsid w:val="00990CA1"/>
    <w:rsid w:val="00990D8C"/>
    <w:rsid w:val="00990EC3"/>
    <w:rsid w:val="00990FB7"/>
    <w:rsid w:val="0099105B"/>
    <w:rsid w:val="00991146"/>
    <w:rsid w:val="00991243"/>
    <w:rsid w:val="0099135F"/>
    <w:rsid w:val="0099157A"/>
    <w:rsid w:val="0099158A"/>
    <w:rsid w:val="009916F1"/>
    <w:rsid w:val="00991783"/>
    <w:rsid w:val="00991849"/>
    <w:rsid w:val="0099192F"/>
    <w:rsid w:val="00991A9E"/>
    <w:rsid w:val="00991DC5"/>
    <w:rsid w:val="00991EA8"/>
    <w:rsid w:val="00991FDF"/>
    <w:rsid w:val="009922F6"/>
    <w:rsid w:val="009923B8"/>
    <w:rsid w:val="009924C5"/>
    <w:rsid w:val="009926E0"/>
    <w:rsid w:val="0099270F"/>
    <w:rsid w:val="00992755"/>
    <w:rsid w:val="00992849"/>
    <w:rsid w:val="00992983"/>
    <w:rsid w:val="009929F4"/>
    <w:rsid w:val="00992CA9"/>
    <w:rsid w:val="00992D54"/>
    <w:rsid w:val="009930FE"/>
    <w:rsid w:val="0099327E"/>
    <w:rsid w:val="009934AE"/>
    <w:rsid w:val="009934D1"/>
    <w:rsid w:val="00993565"/>
    <w:rsid w:val="00993572"/>
    <w:rsid w:val="00993974"/>
    <w:rsid w:val="00993D79"/>
    <w:rsid w:val="00993ECA"/>
    <w:rsid w:val="00993EDD"/>
    <w:rsid w:val="00993F75"/>
    <w:rsid w:val="009943D7"/>
    <w:rsid w:val="0099450B"/>
    <w:rsid w:val="0099451E"/>
    <w:rsid w:val="0099463C"/>
    <w:rsid w:val="0099468E"/>
    <w:rsid w:val="009949FE"/>
    <w:rsid w:val="00994D44"/>
    <w:rsid w:val="00994DF7"/>
    <w:rsid w:val="00994F1C"/>
    <w:rsid w:val="009950EC"/>
    <w:rsid w:val="009954C9"/>
    <w:rsid w:val="0099571C"/>
    <w:rsid w:val="009957B0"/>
    <w:rsid w:val="00995814"/>
    <w:rsid w:val="0099588A"/>
    <w:rsid w:val="00995A65"/>
    <w:rsid w:val="00995BC4"/>
    <w:rsid w:val="009960B9"/>
    <w:rsid w:val="009961A9"/>
    <w:rsid w:val="00996237"/>
    <w:rsid w:val="009965B0"/>
    <w:rsid w:val="009966D3"/>
    <w:rsid w:val="00996818"/>
    <w:rsid w:val="0099686A"/>
    <w:rsid w:val="00996B1A"/>
    <w:rsid w:val="00996C50"/>
    <w:rsid w:val="009970A9"/>
    <w:rsid w:val="009973C0"/>
    <w:rsid w:val="00997430"/>
    <w:rsid w:val="00997476"/>
    <w:rsid w:val="00997520"/>
    <w:rsid w:val="009979E4"/>
    <w:rsid w:val="00997CCF"/>
    <w:rsid w:val="00997CDD"/>
    <w:rsid w:val="00997F37"/>
    <w:rsid w:val="00997FB9"/>
    <w:rsid w:val="009A015C"/>
    <w:rsid w:val="009A01E4"/>
    <w:rsid w:val="009A063A"/>
    <w:rsid w:val="009A0683"/>
    <w:rsid w:val="009A0798"/>
    <w:rsid w:val="009A0A6B"/>
    <w:rsid w:val="009A0BA7"/>
    <w:rsid w:val="009A0BD7"/>
    <w:rsid w:val="009A0C6C"/>
    <w:rsid w:val="009A12B9"/>
    <w:rsid w:val="009A1410"/>
    <w:rsid w:val="009A1586"/>
    <w:rsid w:val="009A1604"/>
    <w:rsid w:val="009A18F6"/>
    <w:rsid w:val="009A1947"/>
    <w:rsid w:val="009A194B"/>
    <w:rsid w:val="009A1F33"/>
    <w:rsid w:val="009A1F55"/>
    <w:rsid w:val="009A1FB0"/>
    <w:rsid w:val="009A205E"/>
    <w:rsid w:val="009A223A"/>
    <w:rsid w:val="009A22C7"/>
    <w:rsid w:val="009A2324"/>
    <w:rsid w:val="009A24A9"/>
    <w:rsid w:val="009A2601"/>
    <w:rsid w:val="009A26E7"/>
    <w:rsid w:val="009A2814"/>
    <w:rsid w:val="009A2BF2"/>
    <w:rsid w:val="009A2C26"/>
    <w:rsid w:val="009A2DCC"/>
    <w:rsid w:val="009A2EA4"/>
    <w:rsid w:val="009A2F80"/>
    <w:rsid w:val="009A30B5"/>
    <w:rsid w:val="009A328A"/>
    <w:rsid w:val="009A32AB"/>
    <w:rsid w:val="009A33DA"/>
    <w:rsid w:val="009A343E"/>
    <w:rsid w:val="009A3753"/>
    <w:rsid w:val="009A37B2"/>
    <w:rsid w:val="009A394A"/>
    <w:rsid w:val="009A3AA5"/>
    <w:rsid w:val="009A3FE8"/>
    <w:rsid w:val="009A40B8"/>
    <w:rsid w:val="009A4121"/>
    <w:rsid w:val="009A4445"/>
    <w:rsid w:val="009A4477"/>
    <w:rsid w:val="009A44AA"/>
    <w:rsid w:val="009A44B9"/>
    <w:rsid w:val="009A45F6"/>
    <w:rsid w:val="009A477B"/>
    <w:rsid w:val="009A48CA"/>
    <w:rsid w:val="009A48FE"/>
    <w:rsid w:val="009A491B"/>
    <w:rsid w:val="009A49D2"/>
    <w:rsid w:val="009A4B4D"/>
    <w:rsid w:val="009A4E73"/>
    <w:rsid w:val="009A4EBD"/>
    <w:rsid w:val="009A502A"/>
    <w:rsid w:val="009A5033"/>
    <w:rsid w:val="009A54E7"/>
    <w:rsid w:val="009A555C"/>
    <w:rsid w:val="009A5665"/>
    <w:rsid w:val="009A5989"/>
    <w:rsid w:val="009A5ABC"/>
    <w:rsid w:val="009A5B13"/>
    <w:rsid w:val="009A5E05"/>
    <w:rsid w:val="009A5F21"/>
    <w:rsid w:val="009A6512"/>
    <w:rsid w:val="009A6711"/>
    <w:rsid w:val="009A6BAD"/>
    <w:rsid w:val="009A6BFB"/>
    <w:rsid w:val="009A6D99"/>
    <w:rsid w:val="009A6E9A"/>
    <w:rsid w:val="009A70C4"/>
    <w:rsid w:val="009A7268"/>
    <w:rsid w:val="009A7434"/>
    <w:rsid w:val="009A7569"/>
    <w:rsid w:val="009A7623"/>
    <w:rsid w:val="009A7AE1"/>
    <w:rsid w:val="009A7B93"/>
    <w:rsid w:val="009A7C08"/>
    <w:rsid w:val="009A7C57"/>
    <w:rsid w:val="009A7C98"/>
    <w:rsid w:val="009A7D79"/>
    <w:rsid w:val="009A7E62"/>
    <w:rsid w:val="009A7F10"/>
    <w:rsid w:val="009B00EB"/>
    <w:rsid w:val="009B01EF"/>
    <w:rsid w:val="009B04EC"/>
    <w:rsid w:val="009B0527"/>
    <w:rsid w:val="009B0579"/>
    <w:rsid w:val="009B087B"/>
    <w:rsid w:val="009B098E"/>
    <w:rsid w:val="009B0D0C"/>
    <w:rsid w:val="009B0D27"/>
    <w:rsid w:val="009B0DB3"/>
    <w:rsid w:val="009B1202"/>
    <w:rsid w:val="009B12D0"/>
    <w:rsid w:val="009B16DE"/>
    <w:rsid w:val="009B1A0F"/>
    <w:rsid w:val="009B1E1B"/>
    <w:rsid w:val="009B1EA3"/>
    <w:rsid w:val="009B1F1D"/>
    <w:rsid w:val="009B1F49"/>
    <w:rsid w:val="009B2082"/>
    <w:rsid w:val="009B212C"/>
    <w:rsid w:val="009B2346"/>
    <w:rsid w:val="009B2638"/>
    <w:rsid w:val="009B29C8"/>
    <w:rsid w:val="009B2A0E"/>
    <w:rsid w:val="009B2D2B"/>
    <w:rsid w:val="009B2E5F"/>
    <w:rsid w:val="009B2EE9"/>
    <w:rsid w:val="009B2FC3"/>
    <w:rsid w:val="009B2FCB"/>
    <w:rsid w:val="009B33BD"/>
    <w:rsid w:val="009B35A7"/>
    <w:rsid w:val="009B36AB"/>
    <w:rsid w:val="009B39CF"/>
    <w:rsid w:val="009B3A13"/>
    <w:rsid w:val="009B3B90"/>
    <w:rsid w:val="009B3CFB"/>
    <w:rsid w:val="009B3D21"/>
    <w:rsid w:val="009B3E12"/>
    <w:rsid w:val="009B3E26"/>
    <w:rsid w:val="009B3E66"/>
    <w:rsid w:val="009B4037"/>
    <w:rsid w:val="009B4209"/>
    <w:rsid w:val="009B428A"/>
    <w:rsid w:val="009B4360"/>
    <w:rsid w:val="009B4703"/>
    <w:rsid w:val="009B4A89"/>
    <w:rsid w:val="009B4BE9"/>
    <w:rsid w:val="009B4DB0"/>
    <w:rsid w:val="009B4EA2"/>
    <w:rsid w:val="009B4EF0"/>
    <w:rsid w:val="009B512D"/>
    <w:rsid w:val="009B5239"/>
    <w:rsid w:val="009B527C"/>
    <w:rsid w:val="009B52FD"/>
    <w:rsid w:val="009B5372"/>
    <w:rsid w:val="009B5821"/>
    <w:rsid w:val="009B599F"/>
    <w:rsid w:val="009B5A98"/>
    <w:rsid w:val="009B5C99"/>
    <w:rsid w:val="009B6567"/>
    <w:rsid w:val="009B66AB"/>
    <w:rsid w:val="009B674B"/>
    <w:rsid w:val="009B69E4"/>
    <w:rsid w:val="009B6A95"/>
    <w:rsid w:val="009B6EC8"/>
    <w:rsid w:val="009B6F9F"/>
    <w:rsid w:val="009B7241"/>
    <w:rsid w:val="009B72F8"/>
    <w:rsid w:val="009B776C"/>
    <w:rsid w:val="009B7794"/>
    <w:rsid w:val="009B77FA"/>
    <w:rsid w:val="009B7898"/>
    <w:rsid w:val="009B7A28"/>
    <w:rsid w:val="009B7A2B"/>
    <w:rsid w:val="009B7BAE"/>
    <w:rsid w:val="009B7C59"/>
    <w:rsid w:val="009C016A"/>
    <w:rsid w:val="009C018F"/>
    <w:rsid w:val="009C0794"/>
    <w:rsid w:val="009C07EB"/>
    <w:rsid w:val="009C09E4"/>
    <w:rsid w:val="009C0A89"/>
    <w:rsid w:val="009C0BA4"/>
    <w:rsid w:val="009C1271"/>
    <w:rsid w:val="009C16CC"/>
    <w:rsid w:val="009C17BE"/>
    <w:rsid w:val="009C1B2F"/>
    <w:rsid w:val="009C1D77"/>
    <w:rsid w:val="009C1EA4"/>
    <w:rsid w:val="009C1FA6"/>
    <w:rsid w:val="009C203E"/>
    <w:rsid w:val="009C209A"/>
    <w:rsid w:val="009C214B"/>
    <w:rsid w:val="009C21C0"/>
    <w:rsid w:val="009C228F"/>
    <w:rsid w:val="009C22CD"/>
    <w:rsid w:val="009C24BB"/>
    <w:rsid w:val="009C24BC"/>
    <w:rsid w:val="009C2577"/>
    <w:rsid w:val="009C263D"/>
    <w:rsid w:val="009C2A13"/>
    <w:rsid w:val="009C2A71"/>
    <w:rsid w:val="009C2D83"/>
    <w:rsid w:val="009C2F6F"/>
    <w:rsid w:val="009C3180"/>
    <w:rsid w:val="009C332D"/>
    <w:rsid w:val="009C3497"/>
    <w:rsid w:val="009C3687"/>
    <w:rsid w:val="009C3706"/>
    <w:rsid w:val="009C3721"/>
    <w:rsid w:val="009C3741"/>
    <w:rsid w:val="009C383F"/>
    <w:rsid w:val="009C38AA"/>
    <w:rsid w:val="009C3A3A"/>
    <w:rsid w:val="009C3AD3"/>
    <w:rsid w:val="009C3AFE"/>
    <w:rsid w:val="009C3C40"/>
    <w:rsid w:val="009C3CFF"/>
    <w:rsid w:val="009C3E35"/>
    <w:rsid w:val="009C3E3B"/>
    <w:rsid w:val="009C4104"/>
    <w:rsid w:val="009C426B"/>
    <w:rsid w:val="009C427D"/>
    <w:rsid w:val="009C43DD"/>
    <w:rsid w:val="009C4469"/>
    <w:rsid w:val="009C449D"/>
    <w:rsid w:val="009C46A1"/>
    <w:rsid w:val="009C46A9"/>
    <w:rsid w:val="009C475F"/>
    <w:rsid w:val="009C4849"/>
    <w:rsid w:val="009C4940"/>
    <w:rsid w:val="009C4E0F"/>
    <w:rsid w:val="009C4E13"/>
    <w:rsid w:val="009C4F1A"/>
    <w:rsid w:val="009C4F79"/>
    <w:rsid w:val="009C4FE8"/>
    <w:rsid w:val="009C533D"/>
    <w:rsid w:val="009C556E"/>
    <w:rsid w:val="009C5637"/>
    <w:rsid w:val="009C563C"/>
    <w:rsid w:val="009C5AAD"/>
    <w:rsid w:val="009C5E4E"/>
    <w:rsid w:val="009C5ECC"/>
    <w:rsid w:val="009C646E"/>
    <w:rsid w:val="009C65D3"/>
    <w:rsid w:val="009C65F4"/>
    <w:rsid w:val="009C66AC"/>
    <w:rsid w:val="009C6AAB"/>
    <w:rsid w:val="009C6CC7"/>
    <w:rsid w:val="009C6CEA"/>
    <w:rsid w:val="009C6DCB"/>
    <w:rsid w:val="009C7054"/>
    <w:rsid w:val="009C7296"/>
    <w:rsid w:val="009C7402"/>
    <w:rsid w:val="009C7559"/>
    <w:rsid w:val="009C757D"/>
    <w:rsid w:val="009C76C5"/>
    <w:rsid w:val="009C7A3C"/>
    <w:rsid w:val="009C7AC2"/>
    <w:rsid w:val="009C7B35"/>
    <w:rsid w:val="009C7B85"/>
    <w:rsid w:val="009C7E1E"/>
    <w:rsid w:val="009C7E6B"/>
    <w:rsid w:val="009C7F4D"/>
    <w:rsid w:val="009C7F8D"/>
    <w:rsid w:val="009D0254"/>
    <w:rsid w:val="009D05EC"/>
    <w:rsid w:val="009D0615"/>
    <w:rsid w:val="009D07C6"/>
    <w:rsid w:val="009D09A8"/>
    <w:rsid w:val="009D0A2F"/>
    <w:rsid w:val="009D0B3E"/>
    <w:rsid w:val="009D0BBD"/>
    <w:rsid w:val="009D0CBF"/>
    <w:rsid w:val="009D0CE8"/>
    <w:rsid w:val="009D0EB3"/>
    <w:rsid w:val="009D13AD"/>
    <w:rsid w:val="009D13BC"/>
    <w:rsid w:val="009D13E8"/>
    <w:rsid w:val="009D15B2"/>
    <w:rsid w:val="009D16E7"/>
    <w:rsid w:val="009D1746"/>
    <w:rsid w:val="009D19E0"/>
    <w:rsid w:val="009D1A50"/>
    <w:rsid w:val="009D1A64"/>
    <w:rsid w:val="009D1CB5"/>
    <w:rsid w:val="009D1EA4"/>
    <w:rsid w:val="009D1EE8"/>
    <w:rsid w:val="009D21CA"/>
    <w:rsid w:val="009D22DF"/>
    <w:rsid w:val="009D24A6"/>
    <w:rsid w:val="009D2AF6"/>
    <w:rsid w:val="009D2DAE"/>
    <w:rsid w:val="009D2E72"/>
    <w:rsid w:val="009D2EEF"/>
    <w:rsid w:val="009D2F23"/>
    <w:rsid w:val="009D3081"/>
    <w:rsid w:val="009D3142"/>
    <w:rsid w:val="009D3345"/>
    <w:rsid w:val="009D33C5"/>
    <w:rsid w:val="009D37DB"/>
    <w:rsid w:val="009D3AC1"/>
    <w:rsid w:val="009D3C25"/>
    <w:rsid w:val="009D3DA9"/>
    <w:rsid w:val="009D3DAE"/>
    <w:rsid w:val="009D3DD6"/>
    <w:rsid w:val="009D3EA0"/>
    <w:rsid w:val="009D3F20"/>
    <w:rsid w:val="009D3F88"/>
    <w:rsid w:val="009D40F6"/>
    <w:rsid w:val="009D4244"/>
    <w:rsid w:val="009D4D7A"/>
    <w:rsid w:val="009D4D9C"/>
    <w:rsid w:val="009D4FFF"/>
    <w:rsid w:val="009D50D8"/>
    <w:rsid w:val="009D512D"/>
    <w:rsid w:val="009D514E"/>
    <w:rsid w:val="009D5B19"/>
    <w:rsid w:val="009D5B91"/>
    <w:rsid w:val="009D5D2B"/>
    <w:rsid w:val="009D5E03"/>
    <w:rsid w:val="009D5F9A"/>
    <w:rsid w:val="009D603C"/>
    <w:rsid w:val="009D606F"/>
    <w:rsid w:val="009D60D1"/>
    <w:rsid w:val="009D6286"/>
    <w:rsid w:val="009D64BE"/>
    <w:rsid w:val="009D65CD"/>
    <w:rsid w:val="009D6ADE"/>
    <w:rsid w:val="009D6D8D"/>
    <w:rsid w:val="009D6DA9"/>
    <w:rsid w:val="009D6E1B"/>
    <w:rsid w:val="009D6E80"/>
    <w:rsid w:val="009D6EE8"/>
    <w:rsid w:val="009D71D7"/>
    <w:rsid w:val="009D739B"/>
    <w:rsid w:val="009D7593"/>
    <w:rsid w:val="009D7815"/>
    <w:rsid w:val="009D78E4"/>
    <w:rsid w:val="009D792E"/>
    <w:rsid w:val="009D7BC5"/>
    <w:rsid w:val="009D7C3E"/>
    <w:rsid w:val="009D7D50"/>
    <w:rsid w:val="009D7DAD"/>
    <w:rsid w:val="009E035D"/>
    <w:rsid w:val="009E03D6"/>
    <w:rsid w:val="009E05C8"/>
    <w:rsid w:val="009E062E"/>
    <w:rsid w:val="009E0A96"/>
    <w:rsid w:val="009E0B61"/>
    <w:rsid w:val="009E0C38"/>
    <w:rsid w:val="009E0C39"/>
    <w:rsid w:val="009E0D9E"/>
    <w:rsid w:val="009E0DFE"/>
    <w:rsid w:val="009E0FD0"/>
    <w:rsid w:val="009E0FFB"/>
    <w:rsid w:val="009E105B"/>
    <w:rsid w:val="009E10E3"/>
    <w:rsid w:val="009E116E"/>
    <w:rsid w:val="009E11E0"/>
    <w:rsid w:val="009E140F"/>
    <w:rsid w:val="009E146D"/>
    <w:rsid w:val="009E14BE"/>
    <w:rsid w:val="009E1747"/>
    <w:rsid w:val="009E1876"/>
    <w:rsid w:val="009E1A9B"/>
    <w:rsid w:val="009E1D20"/>
    <w:rsid w:val="009E1DE4"/>
    <w:rsid w:val="009E1E5A"/>
    <w:rsid w:val="009E2003"/>
    <w:rsid w:val="009E217D"/>
    <w:rsid w:val="009E2378"/>
    <w:rsid w:val="009E2933"/>
    <w:rsid w:val="009E2A56"/>
    <w:rsid w:val="009E2BB1"/>
    <w:rsid w:val="009E2BF8"/>
    <w:rsid w:val="009E2C7B"/>
    <w:rsid w:val="009E2F36"/>
    <w:rsid w:val="009E31F6"/>
    <w:rsid w:val="009E33B9"/>
    <w:rsid w:val="009E33C0"/>
    <w:rsid w:val="009E33E8"/>
    <w:rsid w:val="009E3566"/>
    <w:rsid w:val="009E3647"/>
    <w:rsid w:val="009E36AC"/>
    <w:rsid w:val="009E386A"/>
    <w:rsid w:val="009E388E"/>
    <w:rsid w:val="009E3B36"/>
    <w:rsid w:val="009E3B92"/>
    <w:rsid w:val="009E4032"/>
    <w:rsid w:val="009E41A2"/>
    <w:rsid w:val="009E44DA"/>
    <w:rsid w:val="009E4699"/>
    <w:rsid w:val="009E4829"/>
    <w:rsid w:val="009E48D6"/>
    <w:rsid w:val="009E4A6A"/>
    <w:rsid w:val="009E4AD1"/>
    <w:rsid w:val="009E4B2A"/>
    <w:rsid w:val="009E4C07"/>
    <w:rsid w:val="009E50B7"/>
    <w:rsid w:val="009E50DD"/>
    <w:rsid w:val="009E5262"/>
    <w:rsid w:val="009E5278"/>
    <w:rsid w:val="009E52CC"/>
    <w:rsid w:val="009E5346"/>
    <w:rsid w:val="009E534B"/>
    <w:rsid w:val="009E543D"/>
    <w:rsid w:val="009E556E"/>
    <w:rsid w:val="009E562A"/>
    <w:rsid w:val="009E5835"/>
    <w:rsid w:val="009E5B7E"/>
    <w:rsid w:val="009E5B96"/>
    <w:rsid w:val="009E5E04"/>
    <w:rsid w:val="009E6199"/>
    <w:rsid w:val="009E6211"/>
    <w:rsid w:val="009E623D"/>
    <w:rsid w:val="009E6242"/>
    <w:rsid w:val="009E638D"/>
    <w:rsid w:val="009E6510"/>
    <w:rsid w:val="009E65B8"/>
    <w:rsid w:val="009E67BC"/>
    <w:rsid w:val="009E67D4"/>
    <w:rsid w:val="009E67FC"/>
    <w:rsid w:val="009E68D4"/>
    <w:rsid w:val="009E697E"/>
    <w:rsid w:val="009E69B0"/>
    <w:rsid w:val="009E6AD8"/>
    <w:rsid w:val="009E7084"/>
    <w:rsid w:val="009E71A7"/>
    <w:rsid w:val="009E7479"/>
    <w:rsid w:val="009E7500"/>
    <w:rsid w:val="009E7583"/>
    <w:rsid w:val="009E777F"/>
    <w:rsid w:val="009E78EB"/>
    <w:rsid w:val="009E7973"/>
    <w:rsid w:val="009E798A"/>
    <w:rsid w:val="009E7C3E"/>
    <w:rsid w:val="009E7E02"/>
    <w:rsid w:val="009E7E8B"/>
    <w:rsid w:val="009E7F47"/>
    <w:rsid w:val="009F00F2"/>
    <w:rsid w:val="009F010E"/>
    <w:rsid w:val="009F0245"/>
    <w:rsid w:val="009F0525"/>
    <w:rsid w:val="009F06F6"/>
    <w:rsid w:val="009F08F6"/>
    <w:rsid w:val="009F0905"/>
    <w:rsid w:val="009F095E"/>
    <w:rsid w:val="009F0AAB"/>
    <w:rsid w:val="009F0E4F"/>
    <w:rsid w:val="009F119A"/>
    <w:rsid w:val="009F139E"/>
    <w:rsid w:val="009F15A3"/>
    <w:rsid w:val="009F1615"/>
    <w:rsid w:val="009F1727"/>
    <w:rsid w:val="009F1913"/>
    <w:rsid w:val="009F1AFB"/>
    <w:rsid w:val="009F1BBC"/>
    <w:rsid w:val="009F2021"/>
    <w:rsid w:val="009F25FF"/>
    <w:rsid w:val="009F2B73"/>
    <w:rsid w:val="009F2C9B"/>
    <w:rsid w:val="009F2F4B"/>
    <w:rsid w:val="009F2FAA"/>
    <w:rsid w:val="009F2FBE"/>
    <w:rsid w:val="009F34D8"/>
    <w:rsid w:val="009F358C"/>
    <w:rsid w:val="009F37A0"/>
    <w:rsid w:val="009F382F"/>
    <w:rsid w:val="009F392A"/>
    <w:rsid w:val="009F3A00"/>
    <w:rsid w:val="009F3BBE"/>
    <w:rsid w:val="009F3CA2"/>
    <w:rsid w:val="009F3E46"/>
    <w:rsid w:val="009F3EDD"/>
    <w:rsid w:val="009F3EE1"/>
    <w:rsid w:val="009F3F57"/>
    <w:rsid w:val="009F406E"/>
    <w:rsid w:val="009F4225"/>
    <w:rsid w:val="009F43F3"/>
    <w:rsid w:val="009F44BE"/>
    <w:rsid w:val="009F45AE"/>
    <w:rsid w:val="009F46C8"/>
    <w:rsid w:val="009F4778"/>
    <w:rsid w:val="009F4A26"/>
    <w:rsid w:val="009F4A2E"/>
    <w:rsid w:val="009F4A67"/>
    <w:rsid w:val="009F504C"/>
    <w:rsid w:val="009F522E"/>
    <w:rsid w:val="009F539C"/>
    <w:rsid w:val="009F5451"/>
    <w:rsid w:val="009F5501"/>
    <w:rsid w:val="009F55BE"/>
    <w:rsid w:val="009F56BE"/>
    <w:rsid w:val="009F58E7"/>
    <w:rsid w:val="009F59F1"/>
    <w:rsid w:val="009F5A0F"/>
    <w:rsid w:val="009F5A87"/>
    <w:rsid w:val="009F5AB9"/>
    <w:rsid w:val="009F5B6C"/>
    <w:rsid w:val="009F5DE3"/>
    <w:rsid w:val="009F6120"/>
    <w:rsid w:val="009F653C"/>
    <w:rsid w:val="009F6569"/>
    <w:rsid w:val="009F66FE"/>
    <w:rsid w:val="009F67C2"/>
    <w:rsid w:val="009F696C"/>
    <w:rsid w:val="009F69FB"/>
    <w:rsid w:val="009F6A6C"/>
    <w:rsid w:val="009F6D50"/>
    <w:rsid w:val="009F6FCB"/>
    <w:rsid w:val="009F7286"/>
    <w:rsid w:val="009F7344"/>
    <w:rsid w:val="009F74B1"/>
    <w:rsid w:val="009F76E9"/>
    <w:rsid w:val="009F7789"/>
    <w:rsid w:val="009F77EC"/>
    <w:rsid w:val="009F78EA"/>
    <w:rsid w:val="009F7B14"/>
    <w:rsid w:val="009F7DDC"/>
    <w:rsid w:val="009F7EA4"/>
    <w:rsid w:val="009F7F41"/>
    <w:rsid w:val="00A00535"/>
    <w:rsid w:val="00A005E4"/>
    <w:rsid w:val="00A006D9"/>
    <w:rsid w:val="00A00795"/>
    <w:rsid w:val="00A00A76"/>
    <w:rsid w:val="00A00D76"/>
    <w:rsid w:val="00A01184"/>
    <w:rsid w:val="00A011F1"/>
    <w:rsid w:val="00A0123D"/>
    <w:rsid w:val="00A012A7"/>
    <w:rsid w:val="00A0139E"/>
    <w:rsid w:val="00A01449"/>
    <w:rsid w:val="00A015E8"/>
    <w:rsid w:val="00A018A3"/>
    <w:rsid w:val="00A01B65"/>
    <w:rsid w:val="00A0200F"/>
    <w:rsid w:val="00A02015"/>
    <w:rsid w:val="00A02180"/>
    <w:rsid w:val="00A02191"/>
    <w:rsid w:val="00A0227E"/>
    <w:rsid w:val="00A02644"/>
    <w:rsid w:val="00A026D1"/>
    <w:rsid w:val="00A026D5"/>
    <w:rsid w:val="00A0280A"/>
    <w:rsid w:val="00A02E7A"/>
    <w:rsid w:val="00A02F92"/>
    <w:rsid w:val="00A03265"/>
    <w:rsid w:val="00A03300"/>
    <w:rsid w:val="00A034FC"/>
    <w:rsid w:val="00A03513"/>
    <w:rsid w:val="00A036BA"/>
    <w:rsid w:val="00A037C2"/>
    <w:rsid w:val="00A038CB"/>
    <w:rsid w:val="00A03999"/>
    <w:rsid w:val="00A03A14"/>
    <w:rsid w:val="00A03B30"/>
    <w:rsid w:val="00A03B4E"/>
    <w:rsid w:val="00A03B77"/>
    <w:rsid w:val="00A03C11"/>
    <w:rsid w:val="00A03C5C"/>
    <w:rsid w:val="00A03D43"/>
    <w:rsid w:val="00A04068"/>
    <w:rsid w:val="00A041A9"/>
    <w:rsid w:val="00A041E3"/>
    <w:rsid w:val="00A04380"/>
    <w:rsid w:val="00A04786"/>
    <w:rsid w:val="00A04901"/>
    <w:rsid w:val="00A049A0"/>
    <w:rsid w:val="00A04FA7"/>
    <w:rsid w:val="00A05079"/>
    <w:rsid w:val="00A0516F"/>
    <w:rsid w:val="00A05294"/>
    <w:rsid w:val="00A05472"/>
    <w:rsid w:val="00A05865"/>
    <w:rsid w:val="00A05871"/>
    <w:rsid w:val="00A05B6F"/>
    <w:rsid w:val="00A05BA1"/>
    <w:rsid w:val="00A05BE2"/>
    <w:rsid w:val="00A05C32"/>
    <w:rsid w:val="00A05CE8"/>
    <w:rsid w:val="00A05E86"/>
    <w:rsid w:val="00A06025"/>
    <w:rsid w:val="00A060B2"/>
    <w:rsid w:val="00A0610F"/>
    <w:rsid w:val="00A062A5"/>
    <w:rsid w:val="00A0653F"/>
    <w:rsid w:val="00A06569"/>
    <w:rsid w:val="00A065B5"/>
    <w:rsid w:val="00A065FC"/>
    <w:rsid w:val="00A0692C"/>
    <w:rsid w:val="00A06BE7"/>
    <w:rsid w:val="00A06DEE"/>
    <w:rsid w:val="00A072A6"/>
    <w:rsid w:val="00A072E1"/>
    <w:rsid w:val="00A073EB"/>
    <w:rsid w:val="00A07641"/>
    <w:rsid w:val="00A076AB"/>
    <w:rsid w:val="00A07832"/>
    <w:rsid w:val="00A0783B"/>
    <w:rsid w:val="00A0784B"/>
    <w:rsid w:val="00A07A3E"/>
    <w:rsid w:val="00A07B3B"/>
    <w:rsid w:val="00A07F5F"/>
    <w:rsid w:val="00A10129"/>
    <w:rsid w:val="00A10376"/>
    <w:rsid w:val="00A10397"/>
    <w:rsid w:val="00A1054D"/>
    <w:rsid w:val="00A106AE"/>
    <w:rsid w:val="00A107A3"/>
    <w:rsid w:val="00A1086D"/>
    <w:rsid w:val="00A10902"/>
    <w:rsid w:val="00A10CD9"/>
    <w:rsid w:val="00A10DA5"/>
    <w:rsid w:val="00A11275"/>
    <w:rsid w:val="00A11290"/>
    <w:rsid w:val="00A1130C"/>
    <w:rsid w:val="00A11574"/>
    <w:rsid w:val="00A119E5"/>
    <w:rsid w:val="00A11CD0"/>
    <w:rsid w:val="00A11E72"/>
    <w:rsid w:val="00A11F33"/>
    <w:rsid w:val="00A120BD"/>
    <w:rsid w:val="00A1236D"/>
    <w:rsid w:val="00A1247B"/>
    <w:rsid w:val="00A12676"/>
    <w:rsid w:val="00A12717"/>
    <w:rsid w:val="00A128DD"/>
    <w:rsid w:val="00A12997"/>
    <w:rsid w:val="00A12A4F"/>
    <w:rsid w:val="00A12A8D"/>
    <w:rsid w:val="00A12AAC"/>
    <w:rsid w:val="00A12B8D"/>
    <w:rsid w:val="00A12F29"/>
    <w:rsid w:val="00A130F2"/>
    <w:rsid w:val="00A1311B"/>
    <w:rsid w:val="00A1324D"/>
    <w:rsid w:val="00A1335A"/>
    <w:rsid w:val="00A13948"/>
    <w:rsid w:val="00A13A83"/>
    <w:rsid w:val="00A13C05"/>
    <w:rsid w:val="00A13F03"/>
    <w:rsid w:val="00A145C7"/>
    <w:rsid w:val="00A1491A"/>
    <w:rsid w:val="00A14A98"/>
    <w:rsid w:val="00A14BB9"/>
    <w:rsid w:val="00A14C55"/>
    <w:rsid w:val="00A14E38"/>
    <w:rsid w:val="00A14E8B"/>
    <w:rsid w:val="00A151F8"/>
    <w:rsid w:val="00A15251"/>
    <w:rsid w:val="00A15275"/>
    <w:rsid w:val="00A152B2"/>
    <w:rsid w:val="00A154F2"/>
    <w:rsid w:val="00A154FD"/>
    <w:rsid w:val="00A1555B"/>
    <w:rsid w:val="00A155C5"/>
    <w:rsid w:val="00A157B3"/>
    <w:rsid w:val="00A157C3"/>
    <w:rsid w:val="00A15851"/>
    <w:rsid w:val="00A1596A"/>
    <w:rsid w:val="00A159BD"/>
    <w:rsid w:val="00A15B10"/>
    <w:rsid w:val="00A15B89"/>
    <w:rsid w:val="00A15DED"/>
    <w:rsid w:val="00A160CF"/>
    <w:rsid w:val="00A16173"/>
    <w:rsid w:val="00A16451"/>
    <w:rsid w:val="00A16536"/>
    <w:rsid w:val="00A1654F"/>
    <w:rsid w:val="00A1661A"/>
    <w:rsid w:val="00A16679"/>
    <w:rsid w:val="00A16755"/>
    <w:rsid w:val="00A16784"/>
    <w:rsid w:val="00A16AD8"/>
    <w:rsid w:val="00A16C63"/>
    <w:rsid w:val="00A16C87"/>
    <w:rsid w:val="00A1700F"/>
    <w:rsid w:val="00A1709E"/>
    <w:rsid w:val="00A171C7"/>
    <w:rsid w:val="00A173AE"/>
    <w:rsid w:val="00A173B3"/>
    <w:rsid w:val="00A173B6"/>
    <w:rsid w:val="00A1756C"/>
    <w:rsid w:val="00A175BB"/>
    <w:rsid w:val="00A17638"/>
    <w:rsid w:val="00A17681"/>
    <w:rsid w:val="00A17786"/>
    <w:rsid w:val="00A17BB3"/>
    <w:rsid w:val="00A17D1E"/>
    <w:rsid w:val="00A17E18"/>
    <w:rsid w:val="00A17EF9"/>
    <w:rsid w:val="00A20008"/>
    <w:rsid w:val="00A200B3"/>
    <w:rsid w:val="00A20210"/>
    <w:rsid w:val="00A2021E"/>
    <w:rsid w:val="00A202EC"/>
    <w:rsid w:val="00A20398"/>
    <w:rsid w:val="00A2048E"/>
    <w:rsid w:val="00A20634"/>
    <w:rsid w:val="00A20ACF"/>
    <w:rsid w:val="00A20F94"/>
    <w:rsid w:val="00A2115F"/>
    <w:rsid w:val="00A21495"/>
    <w:rsid w:val="00A215EE"/>
    <w:rsid w:val="00A216CD"/>
    <w:rsid w:val="00A217D4"/>
    <w:rsid w:val="00A21B6C"/>
    <w:rsid w:val="00A21BE0"/>
    <w:rsid w:val="00A21C95"/>
    <w:rsid w:val="00A21CB6"/>
    <w:rsid w:val="00A21CF3"/>
    <w:rsid w:val="00A2211C"/>
    <w:rsid w:val="00A228B9"/>
    <w:rsid w:val="00A22988"/>
    <w:rsid w:val="00A229A0"/>
    <w:rsid w:val="00A229B4"/>
    <w:rsid w:val="00A229B9"/>
    <w:rsid w:val="00A22BE0"/>
    <w:rsid w:val="00A22CA0"/>
    <w:rsid w:val="00A22E75"/>
    <w:rsid w:val="00A22FC9"/>
    <w:rsid w:val="00A232E3"/>
    <w:rsid w:val="00A23342"/>
    <w:rsid w:val="00A23575"/>
    <w:rsid w:val="00A235E6"/>
    <w:rsid w:val="00A23964"/>
    <w:rsid w:val="00A239A9"/>
    <w:rsid w:val="00A23EF2"/>
    <w:rsid w:val="00A2408D"/>
    <w:rsid w:val="00A24179"/>
    <w:rsid w:val="00A2422B"/>
    <w:rsid w:val="00A24419"/>
    <w:rsid w:val="00A24443"/>
    <w:rsid w:val="00A24488"/>
    <w:rsid w:val="00A24635"/>
    <w:rsid w:val="00A24813"/>
    <w:rsid w:val="00A2488D"/>
    <w:rsid w:val="00A24BAF"/>
    <w:rsid w:val="00A24BB6"/>
    <w:rsid w:val="00A24BC2"/>
    <w:rsid w:val="00A24C41"/>
    <w:rsid w:val="00A24CF5"/>
    <w:rsid w:val="00A24DA7"/>
    <w:rsid w:val="00A24E2B"/>
    <w:rsid w:val="00A24FF4"/>
    <w:rsid w:val="00A2511E"/>
    <w:rsid w:val="00A2518D"/>
    <w:rsid w:val="00A251AA"/>
    <w:rsid w:val="00A251DE"/>
    <w:rsid w:val="00A25356"/>
    <w:rsid w:val="00A253F0"/>
    <w:rsid w:val="00A255A6"/>
    <w:rsid w:val="00A2560B"/>
    <w:rsid w:val="00A25612"/>
    <w:rsid w:val="00A257B4"/>
    <w:rsid w:val="00A25BE6"/>
    <w:rsid w:val="00A25E84"/>
    <w:rsid w:val="00A25EAE"/>
    <w:rsid w:val="00A25F2C"/>
    <w:rsid w:val="00A25F38"/>
    <w:rsid w:val="00A263A7"/>
    <w:rsid w:val="00A263D3"/>
    <w:rsid w:val="00A26436"/>
    <w:rsid w:val="00A264CA"/>
    <w:rsid w:val="00A2651E"/>
    <w:rsid w:val="00A26600"/>
    <w:rsid w:val="00A267F7"/>
    <w:rsid w:val="00A269D4"/>
    <w:rsid w:val="00A26A8C"/>
    <w:rsid w:val="00A26B82"/>
    <w:rsid w:val="00A26BC8"/>
    <w:rsid w:val="00A26C8D"/>
    <w:rsid w:val="00A26E57"/>
    <w:rsid w:val="00A26F65"/>
    <w:rsid w:val="00A26FD1"/>
    <w:rsid w:val="00A270D7"/>
    <w:rsid w:val="00A27281"/>
    <w:rsid w:val="00A27468"/>
    <w:rsid w:val="00A27583"/>
    <w:rsid w:val="00A2782E"/>
    <w:rsid w:val="00A27AEC"/>
    <w:rsid w:val="00A27C0C"/>
    <w:rsid w:val="00A27D0B"/>
    <w:rsid w:val="00A27E3B"/>
    <w:rsid w:val="00A27E8F"/>
    <w:rsid w:val="00A27FE2"/>
    <w:rsid w:val="00A3063D"/>
    <w:rsid w:val="00A30811"/>
    <w:rsid w:val="00A30866"/>
    <w:rsid w:val="00A30961"/>
    <w:rsid w:val="00A309B2"/>
    <w:rsid w:val="00A30AD4"/>
    <w:rsid w:val="00A30CBB"/>
    <w:rsid w:val="00A30D98"/>
    <w:rsid w:val="00A30F59"/>
    <w:rsid w:val="00A30FB0"/>
    <w:rsid w:val="00A310F0"/>
    <w:rsid w:val="00A31178"/>
    <w:rsid w:val="00A3156F"/>
    <w:rsid w:val="00A31BB4"/>
    <w:rsid w:val="00A31DA8"/>
    <w:rsid w:val="00A31F75"/>
    <w:rsid w:val="00A320DB"/>
    <w:rsid w:val="00A32325"/>
    <w:rsid w:val="00A3256B"/>
    <w:rsid w:val="00A325AF"/>
    <w:rsid w:val="00A32BE0"/>
    <w:rsid w:val="00A32D80"/>
    <w:rsid w:val="00A32DAA"/>
    <w:rsid w:val="00A32E21"/>
    <w:rsid w:val="00A32F1A"/>
    <w:rsid w:val="00A33192"/>
    <w:rsid w:val="00A331A3"/>
    <w:rsid w:val="00A332C0"/>
    <w:rsid w:val="00A332EC"/>
    <w:rsid w:val="00A3366F"/>
    <w:rsid w:val="00A3367F"/>
    <w:rsid w:val="00A33B75"/>
    <w:rsid w:val="00A33C6F"/>
    <w:rsid w:val="00A33CB1"/>
    <w:rsid w:val="00A340CA"/>
    <w:rsid w:val="00A342F2"/>
    <w:rsid w:val="00A345D4"/>
    <w:rsid w:val="00A34874"/>
    <w:rsid w:val="00A34A48"/>
    <w:rsid w:val="00A34B53"/>
    <w:rsid w:val="00A35014"/>
    <w:rsid w:val="00A35371"/>
    <w:rsid w:val="00A359FC"/>
    <w:rsid w:val="00A35B05"/>
    <w:rsid w:val="00A35B3A"/>
    <w:rsid w:val="00A35B55"/>
    <w:rsid w:val="00A35CB2"/>
    <w:rsid w:val="00A35CB8"/>
    <w:rsid w:val="00A35D16"/>
    <w:rsid w:val="00A35E3C"/>
    <w:rsid w:val="00A35F29"/>
    <w:rsid w:val="00A3611C"/>
    <w:rsid w:val="00A362D3"/>
    <w:rsid w:val="00A36426"/>
    <w:rsid w:val="00A3677B"/>
    <w:rsid w:val="00A36984"/>
    <w:rsid w:val="00A369BF"/>
    <w:rsid w:val="00A36A28"/>
    <w:rsid w:val="00A36A8D"/>
    <w:rsid w:val="00A36AC0"/>
    <w:rsid w:val="00A37099"/>
    <w:rsid w:val="00A3714C"/>
    <w:rsid w:val="00A3726F"/>
    <w:rsid w:val="00A37346"/>
    <w:rsid w:val="00A3759F"/>
    <w:rsid w:val="00A3788D"/>
    <w:rsid w:val="00A378E0"/>
    <w:rsid w:val="00A37962"/>
    <w:rsid w:val="00A37B00"/>
    <w:rsid w:val="00A37BCD"/>
    <w:rsid w:val="00A37BFD"/>
    <w:rsid w:val="00A37F6B"/>
    <w:rsid w:val="00A40023"/>
    <w:rsid w:val="00A400D4"/>
    <w:rsid w:val="00A40295"/>
    <w:rsid w:val="00A402B6"/>
    <w:rsid w:val="00A408D4"/>
    <w:rsid w:val="00A40989"/>
    <w:rsid w:val="00A40C5E"/>
    <w:rsid w:val="00A40D0F"/>
    <w:rsid w:val="00A40F10"/>
    <w:rsid w:val="00A40F8F"/>
    <w:rsid w:val="00A410E6"/>
    <w:rsid w:val="00A41286"/>
    <w:rsid w:val="00A41323"/>
    <w:rsid w:val="00A413E2"/>
    <w:rsid w:val="00A41519"/>
    <w:rsid w:val="00A41689"/>
    <w:rsid w:val="00A416CB"/>
    <w:rsid w:val="00A4190E"/>
    <w:rsid w:val="00A41949"/>
    <w:rsid w:val="00A41952"/>
    <w:rsid w:val="00A41CF3"/>
    <w:rsid w:val="00A41E63"/>
    <w:rsid w:val="00A41F2F"/>
    <w:rsid w:val="00A41F55"/>
    <w:rsid w:val="00A41F73"/>
    <w:rsid w:val="00A4212E"/>
    <w:rsid w:val="00A42237"/>
    <w:rsid w:val="00A42370"/>
    <w:rsid w:val="00A42592"/>
    <w:rsid w:val="00A4286E"/>
    <w:rsid w:val="00A428DF"/>
    <w:rsid w:val="00A428FC"/>
    <w:rsid w:val="00A4293F"/>
    <w:rsid w:val="00A429F5"/>
    <w:rsid w:val="00A42B9A"/>
    <w:rsid w:val="00A42C51"/>
    <w:rsid w:val="00A43007"/>
    <w:rsid w:val="00A430BC"/>
    <w:rsid w:val="00A430D1"/>
    <w:rsid w:val="00A431D3"/>
    <w:rsid w:val="00A43262"/>
    <w:rsid w:val="00A43355"/>
    <w:rsid w:val="00A4343B"/>
    <w:rsid w:val="00A4345F"/>
    <w:rsid w:val="00A4354B"/>
    <w:rsid w:val="00A4357A"/>
    <w:rsid w:val="00A435B8"/>
    <w:rsid w:val="00A435F4"/>
    <w:rsid w:val="00A43658"/>
    <w:rsid w:val="00A43703"/>
    <w:rsid w:val="00A43770"/>
    <w:rsid w:val="00A43835"/>
    <w:rsid w:val="00A438A2"/>
    <w:rsid w:val="00A43A5B"/>
    <w:rsid w:val="00A43B14"/>
    <w:rsid w:val="00A43B3B"/>
    <w:rsid w:val="00A43C59"/>
    <w:rsid w:val="00A4424D"/>
    <w:rsid w:val="00A442A0"/>
    <w:rsid w:val="00A44468"/>
    <w:rsid w:val="00A4472E"/>
    <w:rsid w:val="00A448B9"/>
    <w:rsid w:val="00A44D42"/>
    <w:rsid w:val="00A44D4D"/>
    <w:rsid w:val="00A44E2D"/>
    <w:rsid w:val="00A450C2"/>
    <w:rsid w:val="00A452B9"/>
    <w:rsid w:val="00A45304"/>
    <w:rsid w:val="00A45316"/>
    <w:rsid w:val="00A453FF"/>
    <w:rsid w:val="00A45557"/>
    <w:rsid w:val="00A458F5"/>
    <w:rsid w:val="00A45995"/>
    <w:rsid w:val="00A45AA4"/>
    <w:rsid w:val="00A45B3D"/>
    <w:rsid w:val="00A45C46"/>
    <w:rsid w:val="00A461B8"/>
    <w:rsid w:val="00A463FE"/>
    <w:rsid w:val="00A46619"/>
    <w:rsid w:val="00A46661"/>
    <w:rsid w:val="00A4678C"/>
    <w:rsid w:val="00A469C8"/>
    <w:rsid w:val="00A46D1A"/>
    <w:rsid w:val="00A46D61"/>
    <w:rsid w:val="00A46FE7"/>
    <w:rsid w:val="00A47146"/>
    <w:rsid w:val="00A47198"/>
    <w:rsid w:val="00A4780D"/>
    <w:rsid w:val="00A479B6"/>
    <w:rsid w:val="00A47A09"/>
    <w:rsid w:val="00A47BFE"/>
    <w:rsid w:val="00A5002F"/>
    <w:rsid w:val="00A501C8"/>
    <w:rsid w:val="00A50552"/>
    <w:rsid w:val="00A50583"/>
    <w:rsid w:val="00A505B4"/>
    <w:rsid w:val="00A50604"/>
    <w:rsid w:val="00A50908"/>
    <w:rsid w:val="00A50DF1"/>
    <w:rsid w:val="00A50ECD"/>
    <w:rsid w:val="00A51007"/>
    <w:rsid w:val="00A510A0"/>
    <w:rsid w:val="00A510B2"/>
    <w:rsid w:val="00A51197"/>
    <w:rsid w:val="00A51310"/>
    <w:rsid w:val="00A5144A"/>
    <w:rsid w:val="00A51661"/>
    <w:rsid w:val="00A516B7"/>
    <w:rsid w:val="00A51717"/>
    <w:rsid w:val="00A51783"/>
    <w:rsid w:val="00A51811"/>
    <w:rsid w:val="00A518F3"/>
    <w:rsid w:val="00A51B78"/>
    <w:rsid w:val="00A51DEF"/>
    <w:rsid w:val="00A51EFB"/>
    <w:rsid w:val="00A52191"/>
    <w:rsid w:val="00A52232"/>
    <w:rsid w:val="00A5233D"/>
    <w:rsid w:val="00A52528"/>
    <w:rsid w:val="00A526FA"/>
    <w:rsid w:val="00A52729"/>
    <w:rsid w:val="00A5276D"/>
    <w:rsid w:val="00A52771"/>
    <w:rsid w:val="00A52834"/>
    <w:rsid w:val="00A528F6"/>
    <w:rsid w:val="00A52A41"/>
    <w:rsid w:val="00A52B46"/>
    <w:rsid w:val="00A52C00"/>
    <w:rsid w:val="00A531BC"/>
    <w:rsid w:val="00A5335A"/>
    <w:rsid w:val="00A53675"/>
    <w:rsid w:val="00A53B87"/>
    <w:rsid w:val="00A53D41"/>
    <w:rsid w:val="00A54043"/>
    <w:rsid w:val="00A5409C"/>
    <w:rsid w:val="00A540DD"/>
    <w:rsid w:val="00A54378"/>
    <w:rsid w:val="00A5490F"/>
    <w:rsid w:val="00A54A5D"/>
    <w:rsid w:val="00A54E6D"/>
    <w:rsid w:val="00A54FCC"/>
    <w:rsid w:val="00A554B1"/>
    <w:rsid w:val="00A5562B"/>
    <w:rsid w:val="00A55698"/>
    <w:rsid w:val="00A557E5"/>
    <w:rsid w:val="00A55D0A"/>
    <w:rsid w:val="00A55DD2"/>
    <w:rsid w:val="00A55E68"/>
    <w:rsid w:val="00A562D4"/>
    <w:rsid w:val="00A564D7"/>
    <w:rsid w:val="00A565C1"/>
    <w:rsid w:val="00A566C0"/>
    <w:rsid w:val="00A569E6"/>
    <w:rsid w:val="00A56B6A"/>
    <w:rsid w:val="00A56FB5"/>
    <w:rsid w:val="00A570DF"/>
    <w:rsid w:val="00A570F2"/>
    <w:rsid w:val="00A57302"/>
    <w:rsid w:val="00A57304"/>
    <w:rsid w:val="00A573E9"/>
    <w:rsid w:val="00A57463"/>
    <w:rsid w:val="00A5753C"/>
    <w:rsid w:val="00A5760B"/>
    <w:rsid w:val="00A57772"/>
    <w:rsid w:val="00A5778E"/>
    <w:rsid w:val="00A578DC"/>
    <w:rsid w:val="00A57911"/>
    <w:rsid w:val="00A579BC"/>
    <w:rsid w:val="00A57A72"/>
    <w:rsid w:val="00A57BC3"/>
    <w:rsid w:val="00A57C5A"/>
    <w:rsid w:val="00A57C6B"/>
    <w:rsid w:val="00A57EEB"/>
    <w:rsid w:val="00A60071"/>
    <w:rsid w:val="00A600A0"/>
    <w:rsid w:val="00A601F6"/>
    <w:rsid w:val="00A604CA"/>
    <w:rsid w:val="00A6063E"/>
    <w:rsid w:val="00A60676"/>
    <w:rsid w:val="00A60977"/>
    <w:rsid w:val="00A60A1D"/>
    <w:rsid w:val="00A60CF7"/>
    <w:rsid w:val="00A60E2F"/>
    <w:rsid w:val="00A60F3D"/>
    <w:rsid w:val="00A6129F"/>
    <w:rsid w:val="00A61446"/>
    <w:rsid w:val="00A614F8"/>
    <w:rsid w:val="00A61893"/>
    <w:rsid w:val="00A61BC4"/>
    <w:rsid w:val="00A61C90"/>
    <w:rsid w:val="00A62095"/>
    <w:rsid w:val="00A620F4"/>
    <w:rsid w:val="00A6232F"/>
    <w:rsid w:val="00A6271D"/>
    <w:rsid w:val="00A62827"/>
    <w:rsid w:val="00A62B17"/>
    <w:rsid w:val="00A62BC4"/>
    <w:rsid w:val="00A62C9A"/>
    <w:rsid w:val="00A631C2"/>
    <w:rsid w:val="00A632B8"/>
    <w:rsid w:val="00A635C2"/>
    <w:rsid w:val="00A637CB"/>
    <w:rsid w:val="00A637F3"/>
    <w:rsid w:val="00A638AC"/>
    <w:rsid w:val="00A63A59"/>
    <w:rsid w:val="00A63AAE"/>
    <w:rsid w:val="00A63AB4"/>
    <w:rsid w:val="00A63B15"/>
    <w:rsid w:val="00A63CC5"/>
    <w:rsid w:val="00A63E09"/>
    <w:rsid w:val="00A63FA7"/>
    <w:rsid w:val="00A64076"/>
    <w:rsid w:val="00A640E2"/>
    <w:rsid w:val="00A64872"/>
    <w:rsid w:val="00A649DD"/>
    <w:rsid w:val="00A64B73"/>
    <w:rsid w:val="00A64CCA"/>
    <w:rsid w:val="00A64D65"/>
    <w:rsid w:val="00A64DDD"/>
    <w:rsid w:val="00A64EB0"/>
    <w:rsid w:val="00A653B2"/>
    <w:rsid w:val="00A653FC"/>
    <w:rsid w:val="00A6545B"/>
    <w:rsid w:val="00A654BB"/>
    <w:rsid w:val="00A65547"/>
    <w:rsid w:val="00A6555A"/>
    <w:rsid w:val="00A6557B"/>
    <w:rsid w:val="00A656CE"/>
    <w:rsid w:val="00A65B84"/>
    <w:rsid w:val="00A65D30"/>
    <w:rsid w:val="00A65FF6"/>
    <w:rsid w:val="00A66104"/>
    <w:rsid w:val="00A6617F"/>
    <w:rsid w:val="00A66251"/>
    <w:rsid w:val="00A665A7"/>
    <w:rsid w:val="00A665DA"/>
    <w:rsid w:val="00A6668F"/>
    <w:rsid w:val="00A66AD8"/>
    <w:rsid w:val="00A66F3B"/>
    <w:rsid w:val="00A6725B"/>
    <w:rsid w:val="00A673EA"/>
    <w:rsid w:val="00A6752E"/>
    <w:rsid w:val="00A6761B"/>
    <w:rsid w:val="00A67894"/>
    <w:rsid w:val="00A67931"/>
    <w:rsid w:val="00A679C6"/>
    <w:rsid w:val="00A67A31"/>
    <w:rsid w:val="00A67E06"/>
    <w:rsid w:val="00A67E1E"/>
    <w:rsid w:val="00A7001C"/>
    <w:rsid w:val="00A701BA"/>
    <w:rsid w:val="00A7036F"/>
    <w:rsid w:val="00A7044A"/>
    <w:rsid w:val="00A7059A"/>
    <w:rsid w:val="00A705C2"/>
    <w:rsid w:val="00A70605"/>
    <w:rsid w:val="00A70644"/>
    <w:rsid w:val="00A7065A"/>
    <w:rsid w:val="00A707F2"/>
    <w:rsid w:val="00A70998"/>
    <w:rsid w:val="00A70BA1"/>
    <w:rsid w:val="00A70DB2"/>
    <w:rsid w:val="00A70DF7"/>
    <w:rsid w:val="00A70E48"/>
    <w:rsid w:val="00A711B0"/>
    <w:rsid w:val="00A7126A"/>
    <w:rsid w:val="00A71413"/>
    <w:rsid w:val="00A71415"/>
    <w:rsid w:val="00A714CC"/>
    <w:rsid w:val="00A71964"/>
    <w:rsid w:val="00A71B9B"/>
    <w:rsid w:val="00A71BAD"/>
    <w:rsid w:val="00A71D29"/>
    <w:rsid w:val="00A71D4B"/>
    <w:rsid w:val="00A71D4C"/>
    <w:rsid w:val="00A71DDC"/>
    <w:rsid w:val="00A72037"/>
    <w:rsid w:val="00A72160"/>
    <w:rsid w:val="00A72358"/>
    <w:rsid w:val="00A723F7"/>
    <w:rsid w:val="00A72653"/>
    <w:rsid w:val="00A7294F"/>
    <w:rsid w:val="00A729B1"/>
    <w:rsid w:val="00A72BB2"/>
    <w:rsid w:val="00A72BC8"/>
    <w:rsid w:val="00A72F63"/>
    <w:rsid w:val="00A73134"/>
    <w:rsid w:val="00A731CF"/>
    <w:rsid w:val="00A732CC"/>
    <w:rsid w:val="00A7365A"/>
    <w:rsid w:val="00A737AC"/>
    <w:rsid w:val="00A737F1"/>
    <w:rsid w:val="00A7383D"/>
    <w:rsid w:val="00A7394F"/>
    <w:rsid w:val="00A739F5"/>
    <w:rsid w:val="00A73C4D"/>
    <w:rsid w:val="00A73EFD"/>
    <w:rsid w:val="00A73F2C"/>
    <w:rsid w:val="00A73F65"/>
    <w:rsid w:val="00A74037"/>
    <w:rsid w:val="00A740B3"/>
    <w:rsid w:val="00A741C0"/>
    <w:rsid w:val="00A743BD"/>
    <w:rsid w:val="00A74507"/>
    <w:rsid w:val="00A747C6"/>
    <w:rsid w:val="00A747F4"/>
    <w:rsid w:val="00A74826"/>
    <w:rsid w:val="00A74833"/>
    <w:rsid w:val="00A74CBA"/>
    <w:rsid w:val="00A74CD3"/>
    <w:rsid w:val="00A74EAC"/>
    <w:rsid w:val="00A74FC2"/>
    <w:rsid w:val="00A7522F"/>
    <w:rsid w:val="00A754C2"/>
    <w:rsid w:val="00A7555A"/>
    <w:rsid w:val="00A75791"/>
    <w:rsid w:val="00A75A7F"/>
    <w:rsid w:val="00A75C28"/>
    <w:rsid w:val="00A75E2E"/>
    <w:rsid w:val="00A76001"/>
    <w:rsid w:val="00A76310"/>
    <w:rsid w:val="00A764F3"/>
    <w:rsid w:val="00A765DD"/>
    <w:rsid w:val="00A766CA"/>
    <w:rsid w:val="00A766E2"/>
    <w:rsid w:val="00A769B4"/>
    <w:rsid w:val="00A76B4C"/>
    <w:rsid w:val="00A76DFA"/>
    <w:rsid w:val="00A77030"/>
    <w:rsid w:val="00A7717F"/>
    <w:rsid w:val="00A7724E"/>
    <w:rsid w:val="00A772C8"/>
    <w:rsid w:val="00A773C8"/>
    <w:rsid w:val="00A77682"/>
    <w:rsid w:val="00A77777"/>
    <w:rsid w:val="00A777B2"/>
    <w:rsid w:val="00A77846"/>
    <w:rsid w:val="00A77ADB"/>
    <w:rsid w:val="00A77BE0"/>
    <w:rsid w:val="00A77E5C"/>
    <w:rsid w:val="00A8039A"/>
    <w:rsid w:val="00A803B5"/>
    <w:rsid w:val="00A8043D"/>
    <w:rsid w:val="00A80478"/>
    <w:rsid w:val="00A80522"/>
    <w:rsid w:val="00A80666"/>
    <w:rsid w:val="00A80706"/>
    <w:rsid w:val="00A80777"/>
    <w:rsid w:val="00A80B6D"/>
    <w:rsid w:val="00A80F3D"/>
    <w:rsid w:val="00A80F5B"/>
    <w:rsid w:val="00A81025"/>
    <w:rsid w:val="00A811AF"/>
    <w:rsid w:val="00A8162A"/>
    <w:rsid w:val="00A81B40"/>
    <w:rsid w:val="00A81D2E"/>
    <w:rsid w:val="00A81E0F"/>
    <w:rsid w:val="00A81EDC"/>
    <w:rsid w:val="00A822DE"/>
    <w:rsid w:val="00A8256B"/>
    <w:rsid w:val="00A825D4"/>
    <w:rsid w:val="00A82890"/>
    <w:rsid w:val="00A828D2"/>
    <w:rsid w:val="00A828F6"/>
    <w:rsid w:val="00A82A67"/>
    <w:rsid w:val="00A82B0E"/>
    <w:rsid w:val="00A82B73"/>
    <w:rsid w:val="00A82DC6"/>
    <w:rsid w:val="00A82DE3"/>
    <w:rsid w:val="00A82E84"/>
    <w:rsid w:val="00A82F0E"/>
    <w:rsid w:val="00A83111"/>
    <w:rsid w:val="00A831FE"/>
    <w:rsid w:val="00A832D1"/>
    <w:rsid w:val="00A83421"/>
    <w:rsid w:val="00A8378B"/>
    <w:rsid w:val="00A83C4B"/>
    <w:rsid w:val="00A83CB6"/>
    <w:rsid w:val="00A83DFD"/>
    <w:rsid w:val="00A83EEE"/>
    <w:rsid w:val="00A83F1C"/>
    <w:rsid w:val="00A83F49"/>
    <w:rsid w:val="00A84040"/>
    <w:rsid w:val="00A84427"/>
    <w:rsid w:val="00A84525"/>
    <w:rsid w:val="00A84670"/>
    <w:rsid w:val="00A849A4"/>
    <w:rsid w:val="00A84C11"/>
    <w:rsid w:val="00A84CCD"/>
    <w:rsid w:val="00A84D60"/>
    <w:rsid w:val="00A84EAA"/>
    <w:rsid w:val="00A84ED5"/>
    <w:rsid w:val="00A85008"/>
    <w:rsid w:val="00A850BB"/>
    <w:rsid w:val="00A85394"/>
    <w:rsid w:val="00A85643"/>
    <w:rsid w:val="00A85647"/>
    <w:rsid w:val="00A8565D"/>
    <w:rsid w:val="00A85685"/>
    <w:rsid w:val="00A8576B"/>
    <w:rsid w:val="00A85AC4"/>
    <w:rsid w:val="00A85B88"/>
    <w:rsid w:val="00A85C88"/>
    <w:rsid w:val="00A85CDF"/>
    <w:rsid w:val="00A85CE1"/>
    <w:rsid w:val="00A85F34"/>
    <w:rsid w:val="00A8600A"/>
    <w:rsid w:val="00A860F5"/>
    <w:rsid w:val="00A8614E"/>
    <w:rsid w:val="00A86159"/>
    <w:rsid w:val="00A8646A"/>
    <w:rsid w:val="00A8656E"/>
    <w:rsid w:val="00A86723"/>
    <w:rsid w:val="00A86AB4"/>
    <w:rsid w:val="00A86C0A"/>
    <w:rsid w:val="00A86E8B"/>
    <w:rsid w:val="00A86F83"/>
    <w:rsid w:val="00A87164"/>
    <w:rsid w:val="00A871A9"/>
    <w:rsid w:val="00A87228"/>
    <w:rsid w:val="00A873A1"/>
    <w:rsid w:val="00A873D4"/>
    <w:rsid w:val="00A874E9"/>
    <w:rsid w:val="00A876E6"/>
    <w:rsid w:val="00A87999"/>
    <w:rsid w:val="00A87B28"/>
    <w:rsid w:val="00A87BA7"/>
    <w:rsid w:val="00A87BF2"/>
    <w:rsid w:val="00A87DCA"/>
    <w:rsid w:val="00A87FB5"/>
    <w:rsid w:val="00A901EE"/>
    <w:rsid w:val="00A9022A"/>
    <w:rsid w:val="00A902E7"/>
    <w:rsid w:val="00A90376"/>
    <w:rsid w:val="00A9046E"/>
    <w:rsid w:val="00A90605"/>
    <w:rsid w:val="00A908B9"/>
    <w:rsid w:val="00A9091A"/>
    <w:rsid w:val="00A90B2B"/>
    <w:rsid w:val="00A90C74"/>
    <w:rsid w:val="00A910AB"/>
    <w:rsid w:val="00A91310"/>
    <w:rsid w:val="00A915D5"/>
    <w:rsid w:val="00A91694"/>
    <w:rsid w:val="00A91AC5"/>
    <w:rsid w:val="00A91D33"/>
    <w:rsid w:val="00A92128"/>
    <w:rsid w:val="00A92156"/>
    <w:rsid w:val="00A92202"/>
    <w:rsid w:val="00A922E0"/>
    <w:rsid w:val="00A9261F"/>
    <w:rsid w:val="00A926A5"/>
    <w:rsid w:val="00A927DA"/>
    <w:rsid w:val="00A928E4"/>
    <w:rsid w:val="00A92A57"/>
    <w:rsid w:val="00A92B0F"/>
    <w:rsid w:val="00A92BDB"/>
    <w:rsid w:val="00A92DC8"/>
    <w:rsid w:val="00A93072"/>
    <w:rsid w:val="00A9307D"/>
    <w:rsid w:val="00A930AD"/>
    <w:rsid w:val="00A93428"/>
    <w:rsid w:val="00A9345B"/>
    <w:rsid w:val="00A93648"/>
    <w:rsid w:val="00A938BD"/>
    <w:rsid w:val="00A938F4"/>
    <w:rsid w:val="00A93953"/>
    <w:rsid w:val="00A93963"/>
    <w:rsid w:val="00A93966"/>
    <w:rsid w:val="00A93BC0"/>
    <w:rsid w:val="00A93BD8"/>
    <w:rsid w:val="00A93DE8"/>
    <w:rsid w:val="00A940EF"/>
    <w:rsid w:val="00A94113"/>
    <w:rsid w:val="00A941EB"/>
    <w:rsid w:val="00A9436E"/>
    <w:rsid w:val="00A9463C"/>
    <w:rsid w:val="00A9477E"/>
    <w:rsid w:val="00A9480F"/>
    <w:rsid w:val="00A94885"/>
    <w:rsid w:val="00A94C5D"/>
    <w:rsid w:val="00A94C68"/>
    <w:rsid w:val="00A94C6E"/>
    <w:rsid w:val="00A94E18"/>
    <w:rsid w:val="00A94E1B"/>
    <w:rsid w:val="00A95257"/>
    <w:rsid w:val="00A952A2"/>
    <w:rsid w:val="00A957A4"/>
    <w:rsid w:val="00A957D5"/>
    <w:rsid w:val="00A959D8"/>
    <w:rsid w:val="00A95BAF"/>
    <w:rsid w:val="00A95BF6"/>
    <w:rsid w:val="00A95D9D"/>
    <w:rsid w:val="00A95DAD"/>
    <w:rsid w:val="00A96053"/>
    <w:rsid w:val="00A9619C"/>
    <w:rsid w:val="00A96279"/>
    <w:rsid w:val="00A962D6"/>
    <w:rsid w:val="00A9633A"/>
    <w:rsid w:val="00A96435"/>
    <w:rsid w:val="00A9658F"/>
    <w:rsid w:val="00A96659"/>
    <w:rsid w:val="00A9696D"/>
    <w:rsid w:val="00A96A7D"/>
    <w:rsid w:val="00A96AAB"/>
    <w:rsid w:val="00A96B4E"/>
    <w:rsid w:val="00A96BFB"/>
    <w:rsid w:val="00A96CA3"/>
    <w:rsid w:val="00A96EAF"/>
    <w:rsid w:val="00A96F85"/>
    <w:rsid w:val="00A971B5"/>
    <w:rsid w:val="00A97206"/>
    <w:rsid w:val="00A9732E"/>
    <w:rsid w:val="00A9754B"/>
    <w:rsid w:val="00A9759A"/>
    <w:rsid w:val="00A975C8"/>
    <w:rsid w:val="00A9764E"/>
    <w:rsid w:val="00A97923"/>
    <w:rsid w:val="00A97A09"/>
    <w:rsid w:val="00A97A90"/>
    <w:rsid w:val="00A97AC3"/>
    <w:rsid w:val="00A97B1D"/>
    <w:rsid w:val="00A97DC7"/>
    <w:rsid w:val="00A97F48"/>
    <w:rsid w:val="00AA019C"/>
    <w:rsid w:val="00AA02BD"/>
    <w:rsid w:val="00AA05D8"/>
    <w:rsid w:val="00AA07F4"/>
    <w:rsid w:val="00AA0831"/>
    <w:rsid w:val="00AA09D4"/>
    <w:rsid w:val="00AA0A14"/>
    <w:rsid w:val="00AA0BDE"/>
    <w:rsid w:val="00AA0E82"/>
    <w:rsid w:val="00AA0F00"/>
    <w:rsid w:val="00AA113D"/>
    <w:rsid w:val="00AA11D5"/>
    <w:rsid w:val="00AA1543"/>
    <w:rsid w:val="00AA16B0"/>
    <w:rsid w:val="00AA1791"/>
    <w:rsid w:val="00AA19F3"/>
    <w:rsid w:val="00AA1BC9"/>
    <w:rsid w:val="00AA1E53"/>
    <w:rsid w:val="00AA1F43"/>
    <w:rsid w:val="00AA1FB8"/>
    <w:rsid w:val="00AA1FE5"/>
    <w:rsid w:val="00AA2247"/>
    <w:rsid w:val="00AA2277"/>
    <w:rsid w:val="00AA25DF"/>
    <w:rsid w:val="00AA2C49"/>
    <w:rsid w:val="00AA2FA4"/>
    <w:rsid w:val="00AA2FD4"/>
    <w:rsid w:val="00AA3201"/>
    <w:rsid w:val="00AA3229"/>
    <w:rsid w:val="00AA337E"/>
    <w:rsid w:val="00AA3506"/>
    <w:rsid w:val="00AA350C"/>
    <w:rsid w:val="00AA370F"/>
    <w:rsid w:val="00AA3A83"/>
    <w:rsid w:val="00AA3B72"/>
    <w:rsid w:val="00AA3C02"/>
    <w:rsid w:val="00AA3C20"/>
    <w:rsid w:val="00AA3EC4"/>
    <w:rsid w:val="00AA3FF9"/>
    <w:rsid w:val="00AA4089"/>
    <w:rsid w:val="00AA427A"/>
    <w:rsid w:val="00AA4513"/>
    <w:rsid w:val="00AA4817"/>
    <w:rsid w:val="00AA4846"/>
    <w:rsid w:val="00AA4985"/>
    <w:rsid w:val="00AA4CBA"/>
    <w:rsid w:val="00AA4E98"/>
    <w:rsid w:val="00AA4F9F"/>
    <w:rsid w:val="00AA525E"/>
    <w:rsid w:val="00AA5268"/>
    <w:rsid w:val="00AA531D"/>
    <w:rsid w:val="00AA560F"/>
    <w:rsid w:val="00AA57A1"/>
    <w:rsid w:val="00AA57D3"/>
    <w:rsid w:val="00AA5836"/>
    <w:rsid w:val="00AA59E8"/>
    <w:rsid w:val="00AA5C1D"/>
    <w:rsid w:val="00AA6197"/>
    <w:rsid w:val="00AA637D"/>
    <w:rsid w:val="00AA6915"/>
    <w:rsid w:val="00AA69AF"/>
    <w:rsid w:val="00AA6A64"/>
    <w:rsid w:val="00AA6BD5"/>
    <w:rsid w:val="00AA6BD8"/>
    <w:rsid w:val="00AA6C7D"/>
    <w:rsid w:val="00AA6E17"/>
    <w:rsid w:val="00AA7176"/>
    <w:rsid w:val="00AA722E"/>
    <w:rsid w:val="00AA7247"/>
    <w:rsid w:val="00AA74F9"/>
    <w:rsid w:val="00AA7A39"/>
    <w:rsid w:val="00AA7E3B"/>
    <w:rsid w:val="00AA7FD6"/>
    <w:rsid w:val="00AB0079"/>
    <w:rsid w:val="00AB03A1"/>
    <w:rsid w:val="00AB042A"/>
    <w:rsid w:val="00AB08AE"/>
    <w:rsid w:val="00AB0A3C"/>
    <w:rsid w:val="00AB0AF9"/>
    <w:rsid w:val="00AB0BE2"/>
    <w:rsid w:val="00AB0D11"/>
    <w:rsid w:val="00AB0D50"/>
    <w:rsid w:val="00AB0D5A"/>
    <w:rsid w:val="00AB0D9D"/>
    <w:rsid w:val="00AB0FD3"/>
    <w:rsid w:val="00AB1098"/>
    <w:rsid w:val="00AB10FE"/>
    <w:rsid w:val="00AB11AD"/>
    <w:rsid w:val="00AB146D"/>
    <w:rsid w:val="00AB158C"/>
    <w:rsid w:val="00AB15EB"/>
    <w:rsid w:val="00AB1725"/>
    <w:rsid w:val="00AB1783"/>
    <w:rsid w:val="00AB17AA"/>
    <w:rsid w:val="00AB1972"/>
    <w:rsid w:val="00AB19EF"/>
    <w:rsid w:val="00AB1A45"/>
    <w:rsid w:val="00AB1F68"/>
    <w:rsid w:val="00AB2495"/>
    <w:rsid w:val="00AB2548"/>
    <w:rsid w:val="00AB29BF"/>
    <w:rsid w:val="00AB2A1D"/>
    <w:rsid w:val="00AB2C73"/>
    <w:rsid w:val="00AB2D34"/>
    <w:rsid w:val="00AB327E"/>
    <w:rsid w:val="00AB327F"/>
    <w:rsid w:val="00AB334E"/>
    <w:rsid w:val="00AB33AB"/>
    <w:rsid w:val="00AB3430"/>
    <w:rsid w:val="00AB34BF"/>
    <w:rsid w:val="00AB3548"/>
    <w:rsid w:val="00AB3772"/>
    <w:rsid w:val="00AB37B9"/>
    <w:rsid w:val="00AB3A1A"/>
    <w:rsid w:val="00AB3A1B"/>
    <w:rsid w:val="00AB3AFA"/>
    <w:rsid w:val="00AB3C4C"/>
    <w:rsid w:val="00AB3C59"/>
    <w:rsid w:val="00AB3D8D"/>
    <w:rsid w:val="00AB3F83"/>
    <w:rsid w:val="00AB4389"/>
    <w:rsid w:val="00AB44F3"/>
    <w:rsid w:val="00AB47B2"/>
    <w:rsid w:val="00AB4A7B"/>
    <w:rsid w:val="00AB4A9F"/>
    <w:rsid w:val="00AB4AA8"/>
    <w:rsid w:val="00AB4AD1"/>
    <w:rsid w:val="00AB4B3D"/>
    <w:rsid w:val="00AB4D10"/>
    <w:rsid w:val="00AB5168"/>
    <w:rsid w:val="00AB54B2"/>
    <w:rsid w:val="00AB5850"/>
    <w:rsid w:val="00AB599D"/>
    <w:rsid w:val="00AB5B55"/>
    <w:rsid w:val="00AB5C01"/>
    <w:rsid w:val="00AB5E07"/>
    <w:rsid w:val="00AB5EE1"/>
    <w:rsid w:val="00AB62A9"/>
    <w:rsid w:val="00AB62F9"/>
    <w:rsid w:val="00AB6582"/>
    <w:rsid w:val="00AB65A6"/>
    <w:rsid w:val="00AB771A"/>
    <w:rsid w:val="00AB78DA"/>
    <w:rsid w:val="00AB7A51"/>
    <w:rsid w:val="00AB7A58"/>
    <w:rsid w:val="00AB7AE2"/>
    <w:rsid w:val="00AB7CFA"/>
    <w:rsid w:val="00AC052F"/>
    <w:rsid w:val="00AC06C2"/>
    <w:rsid w:val="00AC077D"/>
    <w:rsid w:val="00AC082F"/>
    <w:rsid w:val="00AC08EC"/>
    <w:rsid w:val="00AC0B37"/>
    <w:rsid w:val="00AC0EF6"/>
    <w:rsid w:val="00AC0FC1"/>
    <w:rsid w:val="00AC1076"/>
    <w:rsid w:val="00AC114A"/>
    <w:rsid w:val="00AC11AB"/>
    <w:rsid w:val="00AC11EB"/>
    <w:rsid w:val="00AC142B"/>
    <w:rsid w:val="00AC146F"/>
    <w:rsid w:val="00AC14EC"/>
    <w:rsid w:val="00AC14EE"/>
    <w:rsid w:val="00AC15D1"/>
    <w:rsid w:val="00AC17BE"/>
    <w:rsid w:val="00AC181B"/>
    <w:rsid w:val="00AC184F"/>
    <w:rsid w:val="00AC1A03"/>
    <w:rsid w:val="00AC1B06"/>
    <w:rsid w:val="00AC1B27"/>
    <w:rsid w:val="00AC206B"/>
    <w:rsid w:val="00AC2321"/>
    <w:rsid w:val="00AC24E9"/>
    <w:rsid w:val="00AC2522"/>
    <w:rsid w:val="00AC266C"/>
    <w:rsid w:val="00AC2833"/>
    <w:rsid w:val="00AC292F"/>
    <w:rsid w:val="00AC2BEE"/>
    <w:rsid w:val="00AC2DC9"/>
    <w:rsid w:val="00AC2E3F"/>
    <w:rsid w:val="00AC3109"/>
    <w:rsid w:val="00AC347E"/>
    <w:rsid w:val="00AC3737"/>
    <w:rsid w:val="00AC39AB"/>
    <w:rsid w:val="00AC3ABF"/>
    <w:rsid w:val="00AC3AC8"/>
    <w:rsid w:val="00AC3E05"/>
    <w:rsid w:val="00AC40E8"/>
    <w:rsid w:val="00AC43EA"/>
    <w:rsid w:val="00AC4764"/>
    <w:rsid w:val="00AC4810"/>
    <w:rsid w:val="00AC49CE"/>
    <w:rsid w:val="00AC4A2E"/>
    <w:rsid w:val="00AC4B0C"/>
    <w:rsid w:val="00AC4BB6"/>
    <w:rsid w:val="00AC4D34"/>
    <w:rsid w:val="00AC4D53"/>
    <w:rsid w:val="00AC4F21"/>
    <w:rsid w:val="00AC5017"/>
    <w:rsid w:val="00AC5373"/>
    <w:rsid w:val="00AC53F8"/>
    <w:rsid w:val="00AC53F9"/>
    <w:rsid w:val="00AC5694"/>
    <w:rsid w:val="00AC56DD"/>
    <w:rsid w:val="00AC57E2"/>
    <w:rsid w:val="00AC59AB"/>
    <w:rsid w:val="00AC5A67"/>
    <w:rsid w:val="00AC5B42"/>
    <w:rsid w:val="00AC5B48"/>
    <w:rsid w:val="00AC62A9"/>
    <w:rsid w:val="00AC6512"/>
    <w:rsid w:val="00AC6525"/>
    <w:rsid w:val="00AC654E"/>
    <w:rsid w:val="00AC6994"/>
    <w:rsid w:val="00AC6B9B"/>
    <w:rsid w:val="00AC6C0F"/>
    <w:rsid w:val="00AC6F03"/>
    <w:rsid w:val="00AC7006"/>
    <w:rsid w:val="00AC710D"/>
    <w:rsid w:val="00AC71B3"/>
    <w:rsid w:val="00AC7302"/>
    <w:rsid w:val="00AC7306"/>
    <w:rsid w:val="00AC737E"/>
    <w:rsid w:val="00AC76D8"/>
    <w:rsid w:val="00AC7DBC"/>
    <w:rsid w:val="00AD00DB"/>
    <w:rsid w:val="00AD0335"/>
    <w:rsid w:val="00AD06AD"/>
    <w:rsid w:val="00AD06E8"/>
    <w:rsid w:val="00AD0C25"/>
    <w:rsid w:val="00AD0D18"/>
    <w:rsid w:val="00AD0D85"/>
    <w:rsid w:val="00AD12F3"/>
    <w:rsid w:val="00AD1419"/>
    <w:rsid w:val="00AD141B"/>
    <w:rsid w:val="00AD1450"/>
    <w:rsid w:val="00AD15C1"/>
    <w:rsid w:val="00AD15E8"/>
    <w:rsid w:val="00AD183C"/>
    <w:rsid w:val="00AD197F"/>
    <w:rsid w:val="00AD1A32"/>
    <w:rsid w:val="00AD1A71"/>
    <w:rsid w:val="00AD1B75"/>
    <w:rsid w:val="00AD1E9B"/>
    <w:rsid w:val="00AD1F17"/>
    <w:rsid w:val="00AD1FD4"/>
    <w:rsid w:val="00AD1FF9"/>
    <w:rsid w:val="00AD208E"/>
    <w:rsid w:val="00AD2519"/>
    <w:rsid w:val="00AD2581"/>
    <w:rsid w:val="00AD2624"/>
    <w:rsid w:val="00AD269C"/>
    <w:rsid w:val="00AD275D"/>
    <w:rsid w:val="00AD27C0"/>
    <w:rsid w:val="00AD2998"/>
    <w:rsid w:val="00AD2A3D"/>
    <w:rsid w:val="00AD2B80"/>
    <w:rsid w:val="00AD2D39"/>
    <w:rsid w:val="00AD2E31"/>
    <w:rsid w:val="00AD2E4A"/>
    <w:rsid w:val="00AD2E84"/>
    <w:rsid w:val="00AD3172"/>
    <w:rsid w:val="00AD3219"/>
    <w:rsid w:val="00AD32D1"/>
    <w:rsid w:val="00AD33FB"/>
    <w:rsid w:val="00AD3498"/>
    <w:rsid w:val="00AD356D"/>
    <w:rsid w:val="00AD379D"/>
    <w:rsid w:val="00AD393D"/>
    <w:rsid w:val="00AD3AF2"/>
    <w:rsid w:val="00AD3B6F"/>
    <w:rsid w:val="00AD4085"/>
    <w:rsid w:val="00AD4300"/>
    <w:rsid w:val="00AD455D"/>
    <w:rsid w:val="00AD4631"/>
    <w:rsid w:val="00AD4734"/>
    <w:rsid w:val="00AD47AE"/>
    <w:rsid w:val="00AD4867"/>
    <w:rsid w:val="00AD487D"/>
    <w:rsid w:val="00AD4A66"/>
    <w:rsid w:val="00AD4B3E"/>
    <w:rsid w:val="00AD4C11"/>
    <w:rsid w:val="00AD4CEB"/>
    <w:rsid w:val="00AD4E58"/>
    <w:rsid w:val="00AD50DA"/>
    <w:rsid w:val="00AD5285"/>
    <w:rsid w:val="00AD52A9"/>
    <w:rsid w:val="00AD535F"/>
    <w:rsid w:val="00AD5704"/>
    <w:rsid w:val="00AD584B"/>
    <w:rsid w:val="00AD5947"/>
    <w:rsid w:val="00AD5B22"/>
    <w:rsid w:val="00AD5B6E"/>
    <w:rsid w:val="00AD5C63"/>
    <w:rsid w:val="00AD64CF"/>
    <w:rsid w:val="00AD6502"/>
    <w:rsid w:val="00AD655B"/>
    <w:rsid w:val="00AD685A"/>
    <w:rsid w:val="00AD6DD5"/>
    <w:rsid w:val="00AD6EFA"/>
    <w:rsid w:val="00AD7241"/>
    <w:rsid w:val="00AD7911"/>
    <w:rsid w:val="00AE00B7"/>
    <w:rsid w:val="00AE00C9"/>
    <w:rsid w:val="00AE024A"/>
    <w:rsid w:val="00AE03A5"/>
    <w:rsid w:val="00AE0532"/>
    <w:rsid w:val="00AE0695"/>
    <w:rsid w:val="00AE0723"/>
    <w:rsid w:val="00AE07FF"/>
    <w:rsid w:val="00AE0B63"/>
    <w:rsid w:val="00AE0C85"/>
    <w:rsid w:val="00AE0DC0"/>
    <w:rsid w:val="00AE107E"/>
    <w:rsid w:val="00AE10F3"/>
    <w:rsid w:val="00AE125F"/>
    <w:rsid w:val="00AE1287"/>
    <w:rsid w:val="00AE134E"/>
    <w:rsid w:val="00AE1530"/>
    <w:rsid w:val="00AE1531"/>
    <w:rsid w:val="00AE171F"/>
    <w:rsid w:val="00AE1884"/>
    <w:rsid w:val="00AE1BCA"/>
    <w:rsid w:val="00AE1CB5"/>
    <w:rsid w:val="00AE1E48"/>
    <w:rsid w:val="00AE1EB5"/>
    <w:rsid w:val="00AE1EF2"/>
    <w:rsid w:val="00AE20F2"/>
    <w:rsid w:val="00AE2100"/>
    <w:rsid w:val="00AE22B2"/>
    <w:rsid w:val="00AE23A8"/>
    <w:rsid w:val="00AE243A"/>
    <w:rsid w:val="00AE24D1"/>
    <w:rsid w:val="00AE257D"/>
    <w:rsid w:val="00AE27CC"/>
    <w:rsid w:val="00AE2A07"/>
    <w:rsid w:val="00AE2A0D"/>
    <w:rsid w:val="00AE2AC3"/>
    <w:rsid w:val="00AE2B06"/>
    <w:rsid w:val="00AE2B2D"/>
    <w:rsid w:val="00AE2D45"/>
    <w:rsid w:val="00AE2E08"/>
    <w:rsid w:val="00AE2EBB"/>
    <w:rsid w:val="00AE300A"/>
    <w:rsid w:val="00AE300B"/>
    <w:rsid w:val="00AE31B4"/>
    <w:rsid w:val="00AE323B"/>
    <w:rsid w:val="00AE33A2"/>
    <w:rsid w:val="00AE39C6"/>
    <w:rsid w:val="00AE3A43"/>
    <w:rsid w:val="00AE3E7E"/>
    <w:rsid w:val="00AE3F0A"/>
    <w:rsid w:val="00AE4115"/>
    <w:rsid w:val="00AE41B1"/>
    <w:rsid w:val="00AE4219"/>
    <w:rsid w:val="00AE4702"/>
    <w:rsid w:val="00AE4820"/>
    <w:rsid w:val="00AE4A52"/>
    <w:rsid w:val="00AE4E80"/>
    <w:rsid w:val="00AE4EC4"/>
    <w:rsid w:val="00AE4F6D"/>
    <w:rsid w:val="00AE5145"/>
    <w:rsid w:val="00AE5405"/>
    <w:rsid w:val="00AE56A0"/>
    <w:rsid w:val="00AE56FF"/>
    <w:rsid w:val="00AE5C38"/>
    <w:rsid w:val="00AE5CD1"/>
    <w:rsid w:val="00AE5D6C"/>
    <w:rsid w:val="00AE5E35"/>
    <w:rsid w:val="00AE6215"/>
    <w:rsid w:val="00AE6612"/>
    <w:rsid w:val="00AE6848"/>
    <w:rsid w:val="00AE68D6"/>
    <w:rsid w:val="00AE6B8B"/>
    <w:rsid w:val="00AE6D0D"/>
    <w:rsid w:val="00AE6DE9"/>
    <w:rsid w:val="00AE6EBC"/>
    <w:rsid w:val="00AE7255"/>
    <w:rsid w:val="00AE79B1"/>
    <w:rsid w:val="00AE7C18"/>
    <w:rsid w:val="00AE7E53"/>
    <w:rsid w:val="00AE7E55"/>
    <w:rsid w:val="00AE7FA7"/>
    <w:rsid w:val="00AE7FD8"/>
    <w:rsid w:val="00AF0043"/>
    <w:rsid w:val="00AF0368"/>
    <w:rsid w:val="00AF03B4"/>
    <w:rsid w:val="00AF04F7"/>
    <w:rsid w:val="00AF07AB"/>
    <w:rsid w:val="00AF07F7"/>
    <w:rsid w:val="00AF0C24"/>
    <w:rsid w:val="00AF0CD3"/>
    <w:rsid w:val="00AF0CDB"/>
    <w:rsid w:val="00AF0DE7"/>
    <w:rsid w:val="00AF0E22"/>
    <w:rsid w:val="00AF0EB6"/>
    <w:rsid w:val="00AF0EF0"/>
    <w:rsid w:val="00AF12A8"/>
    <w:rsid w:val="00AF1315"/>
    <w:rsid w:val="00AF138D"/>
    <w:rsid w:val="00AF13BD"/>
    <w:rsid w:val="00AF1418"/>
    <w:rsid w:val="00AF15A2"/>
    <w:rsid w:val="00AF15BB"/>
    <w:rsid w:val="00AF1728"/>
    <w:rsid w:val="00AF1828"/>
    <w:rsid w:val="00AF19BF"/>
    <w:rsid w:val="00AF1A09"/>
    <w:rsid w:val="00AF1A21"/>
    <w:rsid w:val="00AF1B4F"/>
    <w:rsid w:val="00AF1C8F"/>
    <w:rsid w:val="00AF1E70"/>
    <w:rsid w:val="00AF21FA"/>
    <w:rsid w:val="00AF2230"/>
    <w:rsid w:val="00AF2234"/>
    <w:rsid w:val="00AF2241"/>
    <w:rsid w:val="00AF225F"/>
    <w:rsid w:val="00AF226F"/>
    <w:rsid w:val="00AF2662"/>
    <w:rsid w:val="00AF28D9"/>
    <w:rsid w:val="00AF2930"/>
    <w:rsid w:val="00AF2957"/>
    <w:rsid w:val="00AF2A8E"/>
    <w:rsid w:val="00AF2ABD"/>
    <w:rsid w:val="00AF2B6D"/>
    <w:rsid w:val="00AF2D09"/>
    <w:rsid w:val="00AF2DC3"/>
    <w:rsid w:val="00AF3046"/>
    <w:rsid w:val="00AF33A4"/>
    <w:rsid w:val="00AF33B5"/>
    <w:rsid w:val="00AF37D5"/>
    <w:rsid w:val="00AF39A0"/>
    <w:rsid w:val="00AF3BB2"/>
    <w:rsid w:val="00AF3CFD"/>
    <w:rsid w:val="00AF3E7C"/>
    <w:rsid w:val="00AF4647"/>
    <w:rsid w:val="00AF47AB"/>
    <w:rsid w:val="00AF4939"/>
    <w:rsid w:val="00AF4A8D"/>
    <w:rsid w:val="00AF4B88"/>
    <w:rsid w:val="00AF4C38"/>
    <w:rsid w:val="00AF4E07"/>
    <w:rsid w:val="00AF4E59"/>
    <w:rsid w:val="00AF4E88"/>
    <w:rsid w:val="00AF5105"/>
    <w:rsid w:val="00AF54C7"/>
    <w:rsid w:val="00AF55CC"/>
    <w:rsid w:val="00AF5656"/>
    <w:rsid w:val="00AF565A"/>
    <w:rsid w:val="00AF568D"/>
    <w:rsid w:val="00AF580E"/>
    <w:rsid w:val="00AF5A9C"/>
    <w:rsid w:val="00AF5CA1"/>
    <w:rsid w:val="00AF5CF0"/>
    <w:rsid w:val="00AF5E54"/>
    <w:rsid w:val="00AF5E80"/>
    <w:rsid w:val="00AF6315"/>
    <w:rsid w:val="00AF6342"/>
    <w:rsid w:val="00AF634A"/>
    <w:rsid w:val="00AF64C3"/>
    <w:rsid w:val="00AF673C"/>
    <w:rsid w:val="00AF67FE"/>
    <w:rsid w:val="00AF693C"/>
    <w:rsid w:val="00AF6A28"/>
    <w:rsid w:val="00AF6AFE"/>
    <w:rsid w:val="00AF6C6C"/>
    <w:rsid w:val="00AF6DD8"/>
    <w:rsid w:val="00AF70F5"/>
    <w:rsid w:val="00AF7197"/>
    <w:rsid w:val="00AF71D6"/>
    <w:rsid w:val="00AF73FF"/>
    <w:rsid w:val="00AF764C"/>
    <w:rsid w:val="00AF7653"/>
    <w:rsid w:val="00AF76F8"/>
    <w:rsid w:val="00AF76FD"/>
    <w:rsid w:val="00AF787E"/>
    <w:rsid w:val="00AF7AE8"/>
    <w:rsid w:val="00AF7C07"/>
    <w:rsid w:val="00AF7EDA"/>
    <w:rsid w:val="00B00317"/>
    <w:rsid w:val="00B0050F"/>
    <w:rsid w:val="00B006BE"/>
    <w:rsid w:val="00B0084A"/>
    <w:rsid w:val="00B0088C"/>
    <w:rsid w:val="00B00A6E"/>
    <w:rsid w:val="00B00AA3"/>
    <w:rsid w:val="00B00BA1"/>
    <w:rsid w:val="00B00D2E"/>
    <w:rsid w:val="00B00F49"/>
    <w:rsid w:val="00B010D5"/>
    <w:rsid w:val="00B0120D"/>
    <w:rsid w:val="00B013D8"/>
    <w:rsid w:val="00B01405"/>
    <w:rsid w:val="00B01429"/>
    <w:rsid w:val="00B0152B"/>
    <w:rsid w:val="00B01559"/>
    <w:rsid w:val="00B01890"/>
    <w:rsid w:val="00B0197A"/>
    <w:rsid w:val="00B01AE6"/>
    <w:rsid w:val="00B01DBA"/>
    <w:rsid w:val="00B01E92"/>
    <w:rsid w:val="00B01FE6"/>
    <w:rsid w:val="00B02081"/>
    <w:rsid w:val="00B02104"/>
    <w:rsid w:val="00B02306"/>
    <w:rsid w:val="00B02466"/>
    <w:rsid w:val="00B024AA"/>
    <w:rsid w:val="00B02516"/>
    <w:rsid w:val="00B02552"/>
    <w:rsid w:val="00B025F8"/>
    <w:rsid w:val="00B03359"/>
    <w:rsid w:val="00B033E5"/>
    <w:rsid w:val="00B03899"/>
    <w:rsid w:val="00B03A06"/>
    <w:rsid w:val="00B03A63"/>
    <w:rsid w:val="00B03AEA"/>
    <w:rsid w:val="00B03C21"/>
    <w:rsid w:val="00B03C85"/>
    <w:rsid w:val="00B03D88"/>
    <w:rsid w:val="00B03FE6"/>
    <w:rsid w:val="00B042F7"/>
    <w:rsid w:val="00B043E3"/>
    <w:rsid w:val="00B044FB"/>
    <w:rsid w:val="00B045D7"/>
    <w:rsid w:val="00B045DA"/>
    <w:rsid w:val="00B0465D"/>
    <w:rsid w:val="00B047AF"/>
    <w:rsid w:val="00B049C5"/>
    <w:rsid w:val="00B04A8A"/>
    <w:rsid w:val="00B04B80"/>
    <w:rsid w:val="00B04CBF"/>
    <w:rsid w:val="00B04D59"/>
    <w:rsid w:val="00B0505E"/>
    <w:rsid w:val="00B0513D"/>
    <w:rsid w:val="00B051DC"/>
    <w:rsid w:val="00B0528C"/>
    <w:rsid w:val="00B055E7"/>
    <w:rsid w:val="00B05606"/>
    <w:rsid w:val="00B0565B"/>
    <w:rsid w:val="00B0575C"/>
    <w:rsid w:val="00B05A1A"/>
    <w:rsid w:val="00B05A26"/>
    <w:rsid w:val="00B05AB6"/>
    <w:rsid w:val="00B05E04"/>
    <w:rsid w:val="00B0627E"/>
    <w:rsid w:val="00B06357"/>
    <w:rsid w:val="00B063BF"/>
    <w:rsid w:val="00B0645C"/>
    <w:rsid w:val="00B0673A"/>
    <w:rsid w:val="00B067B3"/>
    <w:rsid w:val="00B0681A"/>
    <w:rsid w:val="00B06834"/>
    <w:rsid w:val="00B0698D"/>
    <w:rsid w:val="00B06DCA"/>
    <w:rsid w:val="00B06E1A"/>
    <w:rsid w:val="00B06E83"/>
    <w:rsid w:val="00B076E6"/>
    <w:rsid w:val="00B07731"/>
    <w:rsid w:val="00B07780"/>
    <w:rsid w:val="00B0793F"/>
    <w:rsid w:val="00B079FE"/>
    <w:rsid w:val="00B07A29"/>
    <w:rsid w:val="00B07A81"/>
    <w:rsid w:val="00B07C21"/>
    <w:rsid w:val="00B100E5"/>
    <w:rsid w:val="00B1022E"/>
    <w:rsid w:val="00B102DB"/>
    <w:rsid w:val="00B1030B"/>
    <w:rsid w:val="00B1032E"/>
    <w:rsid w:val="00B10428"/>
    <w:rsid w:val="00B10457"/>
    <w:rsid w:val="00B10550"/>
    <w:rsid w:val="00B105C3"/>
    <w:rsid w:val="00B10852"/>
    <w:rsid w:val="00B10B64"/>
    <w:rsid w:val="00B10D43"/>
    <w:rsid w:val="00B10DAA"/>
    <w:rsid w:val="00B11004"/>
    <w:rsid w:val="00B111E2"/>
    <w:rsid w:val="00B111F6"/>
    <w:rsid w:val="00B11339"/>
    <w:rsid w:val="00B11599"/>
    <w:rsid w:val="00B115C5"/>
    <w:rsid w:val="00B11761"/>
    <w:rsid w:val="00B1187E"/>
    <w:rsid w:val="00B1189A"/>
    <w:rsid w:val="00B121E3"/>
    <w:rsid w:val="00B122F3"/>
    <w:rsid w:val="00B12536"/>
    <w:rsid w:val="00B127E1"/>
    <w:rsid w:val="00B127EB"/>
    <w:rsid w:val="00B1282A"/>
    <w:rsid w:val="00B12924"/>
    <w:rsid w:val="00B129A4"/>
    <w:rsid w:val="00B12C2E"/>
    <w:rsid w:val="00B12D91"/>
    <w:rsid w:val="00B12F07"/>
    <w:rsid w:val="00B132B7"/>
    <w:rsid w:val="00B13507"/>
    <w:rsid w:val="00B13700"/>
    <w:rsid w:val="00B1393C"/>
    <w:rsid w:val="00B13B14"/>
    <w:rsid w:val="00B13B74"/>
    <w:rsid w:val="00B13E71"/>
    <w:rsid w:val="00B140F1"/>
    <w:rsid w:val="00B1423F"/>
    <w:rsid w:val="00B14316"/>
    <w:rsid w:val="00B1447F"/>
    <w:rsid w:val="00B14828"/>
    <w:rsid w:val="00B14839"/>
    <w:rsid w:val="00B14905"/>
    <w:rsid w:val="00B14961"/>
    <w:rsid w:val="00B14ABB"/>
    <w:rsid w:val="00B14E36"/>
    <w:rsid w:val="00B14E40"/>
    <w:rsid w:val="00B156EF"/>
    <w:rsid w:val="00B157EB"/>
    <w:rsid w:val="00B1584F"/>
    <w:rsid w:val="00B15A13"/>
    <w:rsid w:val="00B15AA7"/>
    <w:rsid w:val="00B15AC1"/>
    <w:rsid w:val="00B15B92"/>
    <w:rsid w:val="00B15D4C"/>
    <w:rsid w:val="00B160C2"/>
    <w:rsid w:val="00B1617C"/>
    <w:rsid w:val="00B161E4"/>
    <w:rsid w:val="00B162CE"/>
    <w:rsid w:val="00B16387"/>
    <w:rsid w:val="00B163C0"/>
    <w:rsid w:val="00B1641E"/>
    <w:rsid w:val="00B164DA"/>
    <w:rsid w:val="00B16875"/>
    <w:rsid w:val="00B168C1"/>
    <w:rsid w:val="00B168F3"/>
    <w:rsid w:val="00B16974"/>
    <w:rsid w:val="00B16AB9"/>
    <w:rsid w:val="00B16AD1"/>
    <w:rsid w:val="00B16C8B"/>
    <w:rsid w:val="00B16DFF"/>
    <w:rsid w:val="00B16E96"/>
    <w:rsid w:val="00B16FBA"/>
    <w:rsid w:val="00B170D8"/>
    <w:rsid w:val="00B172E3"/>
    <w:rsid w:val="00B173A4"/>
    <w:rsid w:val="00B1758F"/>
    <w:rsid w:val="00B175DD"/>
    <w:rsid w:val="00B17647"/>
    <w:rsid w:val="00B17D42"/>
    <w:rsid w:val="00B17E06"/>
    <w:rsid w:val="00B17E33"/>
    <w:rsid w:val="00B17E9D"/>
    <w:rsid w:val="00B20055"/>
    <w:rsid w:val="00B201A4"/>
    <w:rsid w:val="00B201D1"/>
    <w:rsid w:val="00B2032F"/>
    <w:rsid w:val="00B20438"/>
    <w:rsid w:val="00B204D6"/>
    <w:rsid w:val="00B20551"/>
    <w:rsid w:val="00B209D8"/>
    <w:rsid w:val="00B20B36"/>
    <w:rsid w:val="00B20C41"/>
    <w:rsid w:val="00B20EAA"/>
    <w:rsid w:val="00B20EE7"/>
    <w:rsid w:val="00B21221"/>
    <w:rsid w:val="00B213A6"/>
    <w:rsid w:val="00B213D5"/>
    <w:rsid w:val="00B2143A"/>
    <w:rsid w:val="00B21D3C"/>
    <w:rsid w:val="00B21D77"/>
    <w:rsid w:val="00B21D8B"/>
    <w:rsid w:val="00B21F37"/>
    <w:rsid w:val="00B21F46"/>
    <w:rsid w:val="00B222BB"/>
    <w:rsid w:val="00B2232C"/>
    <w:rsid w:val="00B22335"/>
    <w:rsid w:val="00B2237D"/>
    <w:rsid w:val="00B2276E"/>
    <w:rsid w:val="00B22779"/>
    <w:rsid w:val="00B227C5"/>
    <w:rsid w:val="00B227E4"/>
    <w:rsid w:val="00B2296A"/>
    <w:rsid w:val="00B229A1"/>
    <w:rsid w:val="00B22A2B"/>
    <w:rsid w:val="00B22BD3"/>
    <w:rsid w:val="00B22C68"/>
    <w:rsid w:val="00B22D39"/>
    <w:rsid w:val="00B22DE2"/>
    <w:rsid w:val="00B22E1E"/>
    <w:rsid w:val="00B22E2E"/>
    <w:rsid w:val="00B22E71"/>
    <w:rsid w:val="00B233AB"/>
    <w:rsid w:val="00B234BD"/>
    <w:rsid w:val="00B235B0"/>
    <w:rsid w:val="00B235FE"/>
    <w:rsid w:val="00B23981"/>
    <w:rsid w:val="00B239AB"/>
    <w:rsid w:val="00B23B5D"/>
    <w:rsid w:val="00B2418D"/>
    <w:rsid w:val="00B24306"/>
    <w:rsid w:val="00B24669"/>
    <w:rsid w:val="00B24906"/>
    <w:rsid w:val="00B24BF3"/>
    <w:rsid w:val="00B24D29"/>
    <w:rsid w:val="00B24D80"/>
    <w:rsid w:val="00B24D99"/>
    <w:rsid w:val="00B24DA9"/>
    <w:rsid w:val="00B24DCF"/>
    <w:rsid w:val="00B24DF6"/>
    <w:rsid w:val="00B24E67"/>
    <w:rsid w:val="00B25126"/>
    <w:rsid w:val="00B2517D"/>
    <w:rsid w:val="00B253E5"/>
    <w:rsid w:val="00B25674"/>
    <w:rsid w:val="00B2592A"/>
    <w:rsid w:val="00B25A2F"/>
    <w:rsid w:val="00B25AAD"/>
    <w:rsid w:val="00B25AE4"/>
    <w:rsid w:val="00B25D20"/>
    <w:rsid w:val="00B25F63"/>
    <w:rsid w:val="00B25F97"/>
    <w:rsid w:val="00B26070"/>
    <w:rsid w:val="00B26286"/>
    <w:rsid w:val="00B2632C"/>
    <w:rsid w:val="00B26448"/>
    <w:rsid w:val="00B267D2"/>
    <w:rsid w:val="00B26849"/>
    <w:rsid w:val="00B26855"/>
    <w:rsid w:val="00B2690F"/>
    <w:rsid w:val="00B26BCA"/>
    <w:rsid w:val="00B26EBE"/>
    <w:rsid w:val="00B26F11"/>
    <w:rsid w:val="00B26F66"/>
    <w:rsid w:val="00B270CF"/>
    <w:rsid w:val="00B27400"/>
    <w:rsid w:val="00B274A4"/>
    <w:rsid w:val="00B2759B"/>
    <w:rsid w:val="00B275C7"/>
    <w:rsid w:val="00B278C9"/>
    <w:rsid w:val="00B278D5"/>
    <w:rsid w:val="00B27A25"/>
    <w:rsid w:val="00B27A61"/>
    <w:rsid w:val="00B27C4A"/>
    <w:rsid w:val="00B27CA5"/>
    <w:rsid w:val="00B27CB1"/>
    <w:rsid w:val="00B3001B"/>
    <w:rsid w:val="00B3042B"/>
    <w:rsid w:val="00B3049A"/>
    <w:rsid w:val="00B306AB"/>
    <w:rsid w:val="00B30735"/>
    <w:rsid w:val="00B30890"/>
    <w:rsid w:val="00B309F2"/>
    <w:rsid w:val="00B30A14"/>
    <w:rsid w:val="00B30B14"/>
    <w:rsid w:val="00B30E48"/>
    <w:rsid w:val="00B30EA8"/>
    <w:rsid w:val="00B313AE"/>
    <w:rsid w:val="00B313CD"/>
    <w:rsid w:val="00B3149B"/>
    <w:rsid w:val="00B31516"/>
    <w:rsid w:val="00B3160E"/>
    <w:rsid w:val="00B31754"/>
    <w:rsid w:val="00B31CDB"/>
    <w:rsid w:val="00B31EEA"/>
    <w:rsid w:val="00B320DF"/>
    <w:rsid w:val="00B32150"/>
    <w:rsid w:val="00B322AE"/>
    <w:rsid w:val="00B32487"/>
    <w:rsid w:val="00B324D5"/>
    <w:rsid w:val="00B32AEA"/>
    <w:rsid w:val="00B32C01"/>
    <w:rsid w:val="00B32D98"/>
    <w:rsid w:val="00B33798"/>
    <w:rsid w:val="00B33864"/>
    <w:rsid w:val="00B33D9D"/>
    <w:rsid w:val="00B33E81"/>
    <w:rsid w:val="00B33EA6"/>
    <w:rsid w:val="00B34A5D"/>
    <w:rsid w:val="00B34FE2"/>
    <w:rsid w:val="00B35166"/>
    <w:rsid w:val="00B351B9"/>
    <w:rsid w:val="00B35297"/>
    <w:rsid w:val="00B352F8"/>
    <w:rsid w:val="00B35369"/>
    <w:rsid w:val="00B3550F"/>
    <w:rsid w:val="00B3576E"/>
    <w:rsid w:val="00B357B9"/>
    <w:rsid w:val="00B357D8"/>
    <w:rsid w:val="00B358B0"/>
    <w:rsid w:val="00B35A8A"/>
    <w:rsid w:val="00B35B17"/>
    <w:rsid w:val="00B35C18"/>
    <w:rsid w:val="00B35D61"/>
    <w:rsid w:val="00B35F0F"/>
    <w:rsid w:val="00B360B4"/>
    <w:rsid w:val="00B360F4"/>
    <w:rsid w:val="00B36114"/>
    <w:rsid w:val="00B36148"/>
    <w:rsid w:val="00B36220"/>
    <w:rsid w:val="00B36273"/>
    <w:rsid w:val="00B3661E"/>
    <w:rsid w:val="00B369FD"/>
    <w:rsid w:val="00B36A00"/>
    <w:rsid w:val="00B36A0C"/>
    <w:rsid w:val="00B36EAD"/>
    <w:rsid w:val="00B36F68"/>
    <w:rsid w:val="00B36FC2"/>
    <w:rsid w:val="00B370C3"/>
    <w:rsid w:val="00B37152"/>
    <w:rsid w:val="00B372DD"/>
    <w:rsid w:val="00B373D9"/>
    <w:rsid w:val="00B3792B"/>
    <w:rsid w:val="00B37A14"/>
    <w:rsid w:val="00B37A7D"/>
    <w:rsid w:val="00B37BFC"/>
    <w:rsid w:val="00B37E71"/>
    <w:rsid w:val="00B4009B"/>
    <w:rsid w:val="00B40119"/>
    <w:rsid w:val="00B40199"/>
    <w:rsid w:val="00B401EA"/>
    <w:rsid w:val="00B40358"/>
    <w:rsid w:val="00B40396"/>
    <w:rsid w:val="00B405EA"/>
    <w:rsid w:val="00B40604"/>
    <w:rsid w:val="00B40668"/>
    <w:rsid w:val="00B40683"/>
    <w:rsid w:val="00B407E4"/>
    <w:rsid w:val="00B40806"/>
    <w:rsid w:val="00B40DFC"/>
    <w:rsid w:val="00B40EC8"/>
    <w:rsid w:val="00B40F02"/>
    <w:rsid w:val="00B412B0"/>
    <w:rsid w:val="00B41538"/>
    <w:rsid w:val="00B41612"/>
    <w:rsid w:val="00B41614"/>
    <w:rsid w:val="00B41779"/>
    <w:rsid w:val="00B41827"/>
    <w:rsid w:val="00B418AF"/>
    <w:rsid w:val="00B41BB3"/>
    <w:rsid w:val="00B41BCC"/>
    <w:rsid w:val="00B41EAD"/>
    <w:rsid w:val="00B42030"/>
    <w:rsid w:val="00B4210E"/>
    <w:rsid w:val="00B42136"/>
    <w:rsid w:val="00B42388"/>
    <w:rsid w:val="00B4248B"/>
    <w:rsid w:val="00B42503"/>
    <w:rsid w:val="00B4269F"/>
    <w:rsid w:val="00B42851"/>
    <w:rsid w:val="00B428D5"/>
    <w:rsid w:val="00B42A3D"/>
    <w:rsid w:val="00B42AA4"/>
    <w:rsid w:val="00B42D22"/>
    <w:rsid w:val="00B42E24"/>
    <w:rsid w:val="00B42E3C"/>
    <w:rsid w:val="00B42E62"/>
    <w:rsid w:val="00B42F80"/>
    <w:rsid w:val="00B4300C"/>
    <w:rsid w:val="00B43054"/>
    <w:rsid w:val="00B4308C"/>
    <w:rsid w:val="00B43132"/>
    <w:rsid w:val="00B43149"/>
    <w:rsid w:val="00B43390"/>
    <w:rsid w:val="00B43556"/>
    <w:rsid w:val="00B435CB"/>
    <w:rsid w:val="00B43844"/>
    <w:rsid w:val="00B4395A"/>
    <w:rsid w:val="00B43A94"/>
    <w:rsid w:val="00B43B6C"/>
    <w:rsid w:val="00B44198"/>
    <w:rsid w:val="00B4422D"/>
    <w:rsid w:val="00B44404"/>
    <w:rsid w:val="00B44898"/>
    <w:rsid w:val="00B45180"/>
    <w:rsid w:val="00B452DC"/>
    <w:rsid w:val="00B4576F"/>
    <w:rsid w:val="00B45811"/>
    <w:rsid w:val="00B4586D"/>
    <w:rsid w:val="00B46090"/>
    <w:rsid w:val="00B46223"/>
    <w:rsid w:val="00B46415"/>
    <w:rsid w:val="00B46555"/>
    <w:rsid w:val="00B465EC"/>
    <w:rsid w:val="00B46ABC"/>
    <w:rsid w:val="00B46CF1"/>
    <w:rsid w:val="00B46D11"/>
    <w:rsid w:val="00B46D63"/>
    <w:rsid w:val="00B46F01"/>
    <w:rsid w:val="00B46F29"/>
    <w:rsid w:val="00B470D2"/>
    <w:rsid w:val="00B47254"/>
    <w:rsid w:val="00B47418"/>
    <w:rsid w:val="00B47477"/>
    <w:rsid w:val="00B47493"/>
    <w:rsid w:val="00B47678"/>
    <w:rsid w:val="00B47AA7"/>
    <w:rsid w:val="00B50098"/>
    <w:rsid w:val="00B50139"/>
    <w:rsid w:val="00B50172"/>
    <w:rsid w:val="00B504FE"/>
    <w:rsid w:val="00B505C8"/>
    <w:rsid w:val="00B50759"/>
    <w:rsid w:val="00B50879"/>
    <w:rsid w:val="00B5090A"/>
    <w:rsid w:val="00B50922"/>
    <w:rsid w:val="00B50B10"/>
    <w:rsid w:val="00B50B45"/>
    <w:rsid w:val="00B50C48"/>
    <w:rsid w:val="00B50C74"/>
    <w:rsid w:val="00B50DB8"/>
    <w:rsid w:val="00B50E40"/>
    <w:rsid w:val="00B50EA3"/>
    <w:rsid w:val="00B50F72"/>
    <w:rsid w:val="00B5150F"/>
    <w:rsid w:val="00B516C6"/>
    <w:rsid w:val="00B51995"/>
    <w:rsid w:val="00B51B22"/>
    <w:rsid w:val="00B51D35"/>
    <w:rsid w:val="00B521F9"/>
    <w:rsid w:val="00B524D4"/>
    <w:rsid w:val="00B5257F"/>
    <w:rsid w:val="00B5258E"/>
    <w:rsid w:val="00B52735"/>
    <w:rsid w:val="00B52804"/>
    <w:rsid w:val="00B52875"/>
    <w:rsid w:val="00B52A64"/>
    <w:rsid w:val="00B52E50"/>
    <w:rsid w:val="00B52EA2"/>
    <w:rsid w:val="00B52ECD"/>
    <w:rsid w:val="00B53025"/>
    <w:rsid w:val="00B530BA"/>
    <w:rsid w:val="00B531EC"/>
    <w:rsid w:val="00B53203"/>
    <w:rsid w:val="00B5342B"/>
    <w:rsid w:val="00B5360F"/>
    <w:rsid w:val="00B53654"/>
    <w:rsid w:val="00B53905"/>
    <w:rsid w:val="00B53A03"/>
    <w:rsid w:val="00B53A45"/>
    <w:rsid w:val="00B53BFE"/>
    <w:rsid w:val="00B53CF1"/>
    <w:rsid w:val="00B53D30"/>
    <w:rsid w:val="00B53D8E"/>
    <w:rsid w:val="00B541FD"/>
    <w:rsid w:val="00B54238"/>
    <w:rsid w:val="00B54248"/>
    <w:rsid w:val="00B5427D"/>
    <w:rsid w:val="00B546B0"/>
    <w:rsid w:val="00B546DB"/>
    <w:rsid w:val="00B54917"/>
    <w:rsid w:val="00B54B23"/>
    <w:rsid w:val="00B54B5B"/>
    <w:rsid w:val="00B54C0D"/>
    <w:rsid w:val="00B54D45"/>
    <w:rsid w:val="00B54F3B"/>
    <w:rsid w:val="00B54FAD"/>
    <w:rsid w:val="00B552A7"/>
    <w:rsid w:val="00B552AD"/>
    <w:rsid w:val="00B5562E"/>
    <w:rsid w:val="00B55862"/>
    <w:rsid w:val="00B5594C"/>
    <w:rsid w:val="00B55A9E"/>
    <w:rsid w:val="00B55BED"/>
    <w:rsid w:val="00B55D63"/>
    <w:rsid w:val="00B55D65"/>
    <w:rsid w:val="00B55D8C"/>
    <w:rsid w:val="00B55DF1"/>
    <w:rsid w:val="00B55EA5"/>
    <w:rsid w:val="00B55F60"/>
    <w:rsid w:val="00B56080"/>
    <w:rsid w:val="00B56305"/>
    <w:rsid w:val="00B564E1"/>
    <w:rsid w:val="00B56566"/>
    <w:rsid w:val="00B567A0"/>
    <w:rsid w:val="00B569A0"/>
    <w:rsid w:val="00B56B14"/>
    <w:rsid w:val="00B56C44"/>
    <w:rsid w:val="00B56D6B"/>
    <w:rsid w:val="00B56D80"/>
    <w:rsid w:val="00B57000"/>
    <w:rsid w:val="00B571C9"/>
    <w:rsid w:val="00B572D9"/>
    <w:rsid w:val="00B575CE"/>
    <w:rsid w:val="00B577D3"/>
    <w:rsid w:val="00B578B0"/>
    <w:rsid w:val="00B57AD0"/>
    <w:rsid w:val="00B57FCB"/>
    <w:rsid w:val="00B600A4"/>
    <w:rsid w:val="00B60319"/>
    <w:rsid w:val="00B60477"/>
    <w:rsid w:val="00B604F4"/>
    <w:rsid w:val="00B607A9"/>
    <w:rsid w:val="00B607B7"/>
    <w:rsid w:val="00B60939"/>
    <w:rsid w:val="00B609F3"/>
    <w:rsid w:val="00B60AFD"/>
    <w:rsid w:val="00B60B52"/>
    <w:rsid w:val="00B60E4C"/>
    <w:rsid w:val="00B6105D"/>
    <w:rsid w:val="00B6109D"/>
    <w:rsid w:val="00B6116D"/>
    <w:rsid w:val="00B611BE"/>
    <w:rsid w:val="00B611E5"/>
    <w:rsid w:val="00B61366"/>
    <w:rsid w:val="00B61467"/>
    <w:rsid w:val="00B61750"/>
    <w:rsid w:val="00B61A63"/>
    <w:rsid w:val="00B61CE1"/>
    <w:rsid w:val="00B61E2C"/>
    <w:rsid w:val="00B622A6"/>
    <w:rsid w:val="00B62362"/>
    <w:rsid w:val="00B6241F"/>
    <w:rsid w:val="00B625C3"/>
    <w:rsid w:val="00B62715"/>
    <w:rsid w:val="00B62820"/>
    <w:rsid w:val="00B629D0"/>
    <w:rsid w:val="00B629F5"/>
    <w:rsid w:val="00B62AA3"/>
    <w:rsid w:val="00B62BD6"/>
    <w:rsid w:val="00B62EB2"/>
    <w:rsid w:val="00B62F16"/>
    <w:rsid w:val="00B62F77"/>
    <w:rsid w:val="00B62FAA"/>
    <w:rsid w:val="00B63279"/>
    <w:rsid w:val="00B63301"/>
    <w:rsid w:val="00B6362E"/>
    <w:rsid w:val="00B6375D"/>
    <w:rsid w:val="00B638BF"/>
    <w:rsid w:val="00B63AD6"/>
    <w:rsid w:val="00B63C2D"/>
    <w:rsid w:val="00B63CD8"/>
    <w:rsid w:val="00B63EE4"/>
    <w:rsid w:val="00B63EFE"/>
    <w:rsid w:val="00B64199"/>
    <w:rsid w:val="00B644D1"/>
    <w:rsid w:val="00B644FB"/>
    <w:rsid w:val="00B64560"/>
    <w:rsid w:val="00B649C5"/>
    <w:rsid w:val="00B64BB0"/>
    <w:rsid w:val="00B64C64"/>
    <w:rsid w:val="00B65285"/>
    <w:rsid w:val="00B652D2"/>
    <w:rsid w:val="00B65611"/>
    <w:rsid w:val="00B65929"/>
    <w:rsid w:val="00B65C79"/>
    <w:rsid w:val="00B661FA"/>
    <w:rsid w:val="00B662D5"/>
    <w:rsid w:val="00B665E4"/>
    <w:rsid w:val="00B66757"/>
    <w:rsid w:val="00B667A6"/>
    <w:rsid w:val="00B66C4A"/>
    <w:rsid w:val="00B66F13"/>
    <w:rsid w:val="00B67405"/>
    <w:rsid w:val="00B67443"/>
    <w:rsid w:val="00B6759C"/>
    <w:rsid w:val="00B675B8"/>
    <w:rsid w:val="00B67B24"/>
    <w:rsid w:val="00B67BE7"/>
    <w:rsid w:val="00B67C1C"/>
    <w:rsid w:val="00B67C55"/>
    <w:rsid w:val="00B700C3"/>
    <w:rsid w:val="00B70151"/>
    <w:rsid w:val="00B702CB"/>
    <w:rsid w:val="00B704A5"/>
    <w:rsid w:val="00B7056A"/>
    <w:rsid w:val="00B705DE"/>
    <w:rsid w:val="00B70A8C"/>
    <w:rsid w:val="00B70AF5"/>
    <w:rsid w:val="00B70B0D"/>
    <w:rsid w:val="00B70B7B"/>
    <w:rsid w:val="00B70BB5"/>
    <w:rsid w:val="00B70C14"/>
    <w:rsid w:val="00B70E8E"/>
    <w:rsid w:val="00B70FF6"/>
    <w:rsid w:val="00B7127A"/>
    <w:rsid w:val="00B71327"/>
    <w:rsid w:val="00B7141A"/>
    <w:rsid w:val="00B7152F"/>
    <w:rsid w:val="00B71744"/>
    <w:rsid w:val="00B7188B"/>
    <w:rsid w:val="00B718D6"/>
    <w:rsid w:val="00B71CE3"/>
    <w:rsid w:val="00B71EEA"/>
    <w:rsid w:val="00B720D1"/>
    <w:rsid w:val="00B72425"/>
    <w:rsid w:val="00B72470"/>
    <w:rsid w:val="00B7276C"/>
    <w:rsid w:val="00B727B1"/>
    <w:rsid w:val="00B727B2"/>
    <w:rsid w:val="00B72992"/>
    <w:rsid w:val="00B72ADF"/>
    <w:rsid w:val="00B72B68"/>
    <w:rsid w:val="00B72C57"/>
    <w:rsid w:val="00B72F15"/>
    <w:rsid w:val="00B72F74"/>
    <w:rsid w:val="00B731C1"/>
    <w:rsid w:val="00B731C3"/>
    <w:rsid w:val="00B73281"/>
    <w:rsid w:val="00B73482"/>
    <w:rsid w:val="00B73761"/>
    <w:rsid w:val="00B73911"/>
    <w:rsid w:val="00B73959"/>
    <w:rsid w:val="00B73B3E"/>
    <w:rsid w:val="00B73B99"/>
    <w:rsid w:val="00B73C21"/>
    <w:rsid w:val="00B73CEE"/>
    <w:rsid w:val="00B73D15"/>
    <w:rsid w:val="00B73ED2"/>
    <w:rsid w:val="00B7467E"/>
    <w:rsid w:val="00B74696"/>
    <w:rsid w:val="00B746F0"/>
    <w:rsid w:val="00B748B1"/>
    <w:rsid w:val="00B74B23"/>
    <w:rsid w:val="00B74EE8"/>
    <w:rsid w:val="00B7520C"/>
    <w:rsid w:val="00B75673"/>
    <w:rsid w:val="00B756C7"/>
    <w:rsid w:val="00B75884"/>
    <w:rsid w:val="00B7591E"/>
    <w:rsid w:val="00B75DCF"/>
    <w:rsid w:val="00B75FCE"/>
    <w:rsid w:val="00B7632B"/>
    <w:rsid w:val="00B763C6"/>
    <w:rsid w:val="00B76417"/>
    <w:rsid w:val="00B76833"/>
    <w:rsid w:val="00B76C7B"/>
    <w:rsid w:val="00B76C92"/>
    <w:rsid w:val="00B76E50"/>
    <w:rsid w:val="00B76F54"/>
    <w:rsid w:val="00B77197"/>
    <w:rsid w:val="00B77473"/>
    <w:rsid w:val="00B774FE"/>
    <w:rsid w:val="00B77A83"/>
    <w:rsid w:val="00B77E1F"/>
    <w:rsid w:val="00B77F00"/>
    <w:rsid w:val="00B80009"/>
    <w:rsid w:val="00B801B8"/>
    <w:rsid w:val="00B80376"/>
    <w:rsid w:val="00B80576"/>
    <w:rsid w:val="00B805AD"/>
    <w:rsid w:val="00B8064B"/>
    <w:rsid w:val="00B8081B"/>
    <w:rsid w:val="00B80A53"/>
    <w:rsid w:val="00B80AA2"/>
    <w:rsid w:val="00B80AB3"/>
    <w:rsid w:val="00B80B1E"/>
    <w:rsid w:val="00B80C4F"/>
    <w:rsid w:val="00B80E52"/>
    <w:rsid w:val="00B80EFD"/>
    <w:rsid w:val="00B80FC5"/>
    <w:rsid w:val="00B814FB"/>
    <w:rsid w:val="00B81822"/>
    <w:rsid w:val="00B81878"/>
    <w:rsid w:val="00B818A4"/>
    <w:rsid w:val="00B81AA5"/>
    <w:rsid w:val="00B81B22"/>
    <w:rsid w:val="00B81C94"/>
    <w:rsid w:val="00B820A1"/>
    <w:rsid w:val="00B820EA"/>
    <w:rsid w:val="00B820EE"/>
    <w:rsid w:val="00B821BB"/>
    <w:rsid w:val="00B8228C"/>
    <w:rsid w:val="00B822F9"/>
    <w:rsid w:val="00B826E9"/>
    <w:rsid w:val="00B82826"/>
    <w:rsid w:val="00B829D0"/>
    <w:rsid w:val="00B82A42"/>
    <w:rsid w:val="00B82ACF"/>
    <w:rsid w:val="00B82FDA"/>
    <w:rsid w:val="00B832BF"/>
    <w:rsid w:val="00B832D4"/>
    <w:rsid w:val="00B8350E"/>
    <w:rsid w:val="00B83739"/>
    <w:rsid w:val="00B83744"/>
    <w:rsid w:val="00B8399A"/>
    <w:rsid w:val="00B83B1A"/>
    <w:rsid w:val="00B83B24"/>
    <w:rsid w:val="00B83BC1"/>
    <w:rsid w:val="00B83D7C"/>
    <w:rsid w:val="00B83DFD"/>
    <w:rsid w:val="00B83EE2"/>
    <w:rsid w:val="00B83F41"/>
    <w:rsid w:val="00B84117"/>
    <w:rsid w:val="00B84349"/>
    <w:rsid w:val="00B843B8"/>
    <w:rsid w:val="00B845BB"/>
    <w:rsid w:val="00B84634"/>
    <w:rsid w:val="00B84880"/>
    <w:rsid w:val="00B849F5"/>
    <w:rsid w:val="00B84AFD"/>
    <w:rsid w:val="00B84C45"/>
    <w:rsid w:val="00B84CBE"/>
    <w:rsid w:val="00B854DA"/>
    <w:rsid w:val="00B855B2"/>
    <w:rsid w:val="00B857FC"/>
    <w:rsid w:val="00B858C7"/>
    <w:rsid w:val="00B858F0"/>
    <w:rsid w:val="00B85905"/>
    <w:rsid w:val="00B85AA2"/>
    <w:rsid w:val="00B85B18"/>
    <w:rsid w:val="00B85C33"/>
    <w:rsid w:val="00B85F0D"/>
    <w:rsid w:val="00B8649C"/>
    <w:rsid w:val="00B86536"/>
    <w:rsid w:val="00B86581"/>
    <w:rsid w:val="00B865FE"/>
    <w:rsid w:val="00B86700"/>
    <w:rsid w:val="00B86768"/>
    <w:rsid w:val="00B867C0"/>
    <w:rsid w:val="00B867E1"/>
    <w:rsid w:val="00B8695D"/>
    <w:rsid w:val="00B86A19"/>
    <w:rsid w:val="00B86D2A"/>
    <w:rsid w:val="00B86D33"/>
    <w:rsid w:val="00B871E8"/>
    <w:rsid w:val="00B876C2"/>
    <w:rsid w:val="00B87808"/>
    <w:rsid w:val="00B87CC3"/>
    <w:rsid w:val="00B87F0A"/>
    <w:rsid w:val="00B900AE"/>
    <w:rsid w:val="00B9020A"/>
    <w:rsid w:val="00B90345"/>
    <w:rsid w:val="00B90BEF"/>
    <w:rsid w:val="00B90E27"/>
    <w:rsid w:val="00B90FEC"/>
    <w:rsid w:val="00B910B4"/>
    <w:rsid w:val="00B9124E"/>
    <w:rsid w:val="00B912C9"/>
    <w:rsid w:val="00B912DF"/>
    <w:rsid w:val="00B91450"/>
    <w:rsid w:val="00B915D2"/>
    <w:rsid w:val="00B915FF"/>
    <w:rsid w:val="00B91931"/>
    <w:rsid w:val="00B91B2F"/>
    <w:rsid w:val="00B91BA4"/>
    <w:rsid w:val="00B91C5C"/>
    <w:rsid w:val="00B91DD3"/>
    <w:rsid w:val="00B92142"/>
    <w:rsid w:val="00B92251"/>
    <w:rsid w:val="00B923BA"/>
    <w:rsid w:val="00B92432"/>
    <w:rsid w:val="00B9245A"/>
    <w:rsid w:val="00B927AC"/>
    <w:rsid w:val="00B92C59"/>
    <w:rsid w:val="00B92C6C"/>
    <w:rsid w:val="00B92D0B"/>
    <w:rsid w:val="00B93125"/>
    <w:rsid w:val="00B93223"/>
    <w:rsid w:val="00B93297"/>
    <w:rsid w:val="00B933AA"/>
    <w:rsid w:val="00B93603"/>
    <w:rsid w:val="00B9361E"/>
    <w:rsid w:val="00B938D4"/>
    <w:rsid w:val="00B93B15"/>
    <w:rsid w:val="00B93C7E"/>
    <w:rsid w:val="00B93FC6"/>
    <w:rsid w:val="00B94095"/>
    <w:rsid w:val="00B940B9"/>
    <w:rsid w:val="00B94278"/>
    <w:rsid w:val="00B94365"/>
    <w:rsid w:val="00B94631"/>
    <w:rsid w:val="00B94672"/>
    <w:rsid w:val="00B94762"/>
    <w:rsid w:val="00B94820"/>
    <w:rsid w:val="00B9486B"/>
    <w:rsid w:val="00B9492B"/>
    <w:rsid w:val="00B94945"/>
    <w:rsid w:val="00B94B2F"/>
    <w:rsid w:val="00B94DA6"/>
    <w:rsid w:val="00B94DD6"/>
    <w:rsid w:val="00B94F7E"/>
    <w:rsid w:val="00B94FCB"/>
    <w:rsid w:val="00B952A6"/>
    <w:rsid w:val="00B952DC"/>
    <w:rsid w:val="00B952F5"/>
    <w:rsid w:val="00B9535F"/>
    <w:rsid w:val="00B95372"/>
    <w:rsid w:val="00B95379"/>
    <w:rsid w:val="00B9570D"/>
    <w:rsid w:val="00B95977"/>
    <w:rsid w:val="00B95B0A"/>
    <w:rsid w:val="00B9601A"/>
    <w:rsid w:val="00B96090"/>
    <w:rsid w:val="00B961C0"/>
    <w:rsid w:val="00B9624B"/>
    <w:rsid w:val="00B96626"/>
    <w:rsid w:val="00B96991"/>
    <w:rsid w:val="00B96AA9"/>
    <w:rsid w:val="00B96D27"/>
    <w:rsid w:val="00B96E1E"/>
    <w:rsid w:val="00B97216"/>
    <w:rsid w:val="00B9736C"/>
    <w:rsid w:val="00B97402"/>
    <w:rsid w:val="00B975DF"/>
    <w:rsid w:val="00B9794A"/>
    <w:rsid w:val="00B97974"/>
    <w:rsid w:val="00B97A6E"/>
    <w:rsid w:val="00B97CEE"/>
    <w:rsid w:val="00B97DFE"/>
    <w:rsid w:val="00B97F86"/>
    <w:rsid w:val="00B97FA9"/>
    <w:rsid w:val="00B97FDD"/>
    <w:rsid w:val="00BA014E"/>
    <w:rsid w:val="00BA0277"/>
    <w:rsid w:val="00BA030A"/>
    <w:rsid w:val="00BA0432"/>
    <w:rsid w:val="00BA0A38"/>
    <w:rsid w:val="00BA0B69"/>
    <w:rsid w:val="00BA0CD9"/>
    <w:rsid w:val="00BA0D85"/>
    <w:rsid w:val="00BA0EC2"/>
    <w:rsid w:val="00BA1CB5"/>
    <w:rsid w:val="00BA1E20"/>
    <w:rsid w:val="00BA1E9F"/>
    <w:rsid w:val="00BA2161"/>
    <w:rsid w:val="00BA24E8"/>
    <w:rsid w:val="00BA2596"/>
    <w:rsid w:val="00BA2696"/>
    <w:rsid w:val="00BA2806"/>
    <w:rsid w:val="00BA2859"/>
    <w:rsid w:val="00BA2B04"/>
    <w:rsid w:val="00BA2BDD"/>
    <w:rsid w:val="00BA2CCE"/>
    <w:rsid w:val="00BA2F12"/>
    <w:rsid w:val="00BA322D"/>
    <w:rsid w:val="00BA33E6"/>
    <w:rsid w:val="00BA342D"/>
    <w:rsid w:val="00BA344C"/>
    <w:rsid w:val="00BA3489"/>
    <w:rsid w:val="00BA34E5"/>
    <w:rsid w:val="00BA37DA"/>
    <w:rsid w:val="00BA3948"/>
    <w:rsid w:val="00BA3C27"/>
    <w:rsid w:val="00BA3C5A"/>
    <w:rsid w:val="00BA3D35"/>
    <w:rsid w:val="00BA3E7A"/>
    <w:rsid w:val="00BA4116"/>
    <w:rsid w:val="00BA42D2"/>
    <w:rsid w:val="00BA42D7"/>
    <w:rsid w:val="00BA4384"/>
    <w:rsid w:val="00BA4386"/>
    <w:rsid w:val="00BA438C"/>
    <w:rsid w:val="00BA48F3"/>
    <w:rsid w:val="00BA4917"/>
    <w:rsid w:val="00BA49CB"/>
    <w:rsid w:val="00BA4BBA"/>
    <w:rsid w:val="00BA4C98"/>
    <w:rsid w:val="00BA4CAC"/>
    <w:rsid w:val="00BA4CEC"/>
    <w:rsid w:val="00BA4F15"/>
    <w:rsid w:val="00BA51C8"/>
    <w:rsid w:val="00BA5323"/>
    <w:rsid w:val="00BA5569"/>
    <w:rsid w:val="00BA55D8"/>
    <w:rsid w:val="00BA56E1"/>
    <w:rsid w:val="00BA59F0"/>
    <w:rsid w:val="00BA5BDE"/>
    <w:rsid w:val="00BA5C06"/>
    <w:rsid w:val="00BA5C54"/>
    <w:rsid w:val="00BA5CEB"/>
    <w:rsid w:val="00BA5D10"/>
    <w:rsid w:val="00BA5D58"/>
    <w:rsid w:val="00BA5DD3"/>
    <w:rsid w:val="00BA5E10"/>
    <w:rsid w:val="00BA5E85"/>
    <w:rsid w:val="00BA5FBA"/>
    <w:rsid w:val="00BA631B"/>
    <w:rsid w:val="00BA63CD"/>
    <w:rsid w:val="00BA63FA"/>
    <w:rsid w:val="00BA6414"/>
    <w:rsid w:val="00BA6745"/>
    <w:rsid w:val="00BA68DC"/>
    <w:rsid w:val="00BA68EE"/>
    <w:rsid w:val="00BA6AEF"/>
    <w:rsid w:val="00BA6C16"/>
    <w:rsid w:val="00BA6CD0"/>
    <w:rsid w:val="00BA6FEA"/>
    <w:rsid w:val="00BA733A"/>
    <w:rsid w:val="00BA74A6"/>
    <w:rsid w:val="00BA74C2"/>
    <w:rsid w:val="00BA767F"/>
    <w:rsid w:val="00BA776D"/>
    <w:rsid w:val="00BA7B68"/>
    <w:rsid w:val="00BA7E53"/>
    <w:rsid w:val="00BA7EA4"/>
    <w:rsid w:val="00BA7F52"/>
    <w:rsid w:val="00BA7FEF"/>
    <w:rsid w:val="00BB00B3"/>
    <w:rsid w:val="00BB00C3"/>
    <w:rsid w:val="00BB0137"/>
    <w:rsid w:val="00BB019E"/>
    <w:rsid w:val="00BB01EA"/>
    <w:rsid w:val="00BB023C"/>
    <w:rsid w:val="00BB0320"/>
    <w:rsid w:val="00BB046C"/>
    <w:rsid w:val="00BB06CF"/>
    <w:rsid w:val="00BB0867"/>
    <w:rsid w:val="00BB09DC"/>
    <w:rsid w:val="00BB0AC0"/>
    <w:rsid w:val="00BB0BD4"/>
    <w:rsid w:val="00BB0BDD"/>
    <w:rsid w:val="00BB0CB5"/>
    <w:rsid w:val="00BB0D15"/>
    <w:rsid w:val="00BB106F"/>
    <w:rsid w:val="00BB10CC"/>
    <w:rsid w:val="00BB13F1"/>
    <w:rsid w:val="00BB1437"/>
    <w:rsid w:val="00BB15DF"/>
    <w:rsid w:val="00BB16CF"/>
    <w:rsid w:val="00BB1733"/>
    <w:rsid w:val="00BB176C"/>
    <w:rsid w:val="00BB19E1"/>
    <w:rsid w:val="00BB1B1F"/>
    <w:rsid w:val="00BB1CF8"/>
    <w:rsid w:val="00BB1E37"/>
    <w:rsid w:val="00BB1EEC"/>
    <w:rsid w:val="00BB1EED"/>
    <w:rsid w:val="00BB1F6A"/>
    <w:rsid w:val="00BB2334"/>
    <w:rsid w:val="00BB2768"/>
    <w:rsid w:val="00BB2A73"/>
    <w:rsid w:val="00BB31BB"/>
    <w:rsid w:val="00BB32DD"/>
    <w:rsid w:val="00BB35BD"/>
    <w:rsid w:val="00BB3684"/>
    <w:rsid w:val="00BB377E"/>
    <w:rsid w:val="00BB3828"/>
    <w:rsid w:val="00BB3A45"/>
    <w:rsid w:val="00BB3AF6"/>
    <w:rsid w:val="00BB3B30"/>
    <w:rsid w:val="00BB3B80"/>
    <w:rsid w:val="00BB3BAC"/>
    <w:rsid w:val="00BB3D68"/>
    <w:rsid w:val="00BB3FD4"/>
    <w:rsid w:val="00BB4112"/>
    <w:rsid w:val="00BB4317"/>
    <w:rsid w:val="00BB435B"/>
    <w:rsid w:val="00BB43CF"/>
    <w:rsid w:val="00BB4437"/>
    <w:rsid w:val="00BB4438"/>
    <w:rsid w:val="00BB473C"/>
    <w:rsid w:val="00BB49C6"/>
    <w:rsid w:val="00BB49D7"/>
    <w:rsid w:val="00BB4ACC"/>
    <w:rsid w:val="00BB4C91"/>
    <w:rsid w:val="00BB4CEC"/>
    <w:rsid w:val="00BB4D67"/>
    <w:rsid w:val="00BB4F67"/>
    <w:rsid w:val="00BB5022"/>
    <w:rsid w:val="00BB508E"/>
    <w:rsid w:val="00BB512B"/>
    <w:rsid w:val="00BB56A7"/>
    <w:rsid w:val="00BB5784"/>
    <w:rsid w:val="00BB57CB"/>
    <w:rsid w:val="00BB5887"/>
    <w:rsid w:val="00BB5B6E"/>
    <w:rsid w:val="00BB5C53"/>
    <w:rsid w:val="00BB5D0E"/>
    <w:rsid w:val="00BB60CA"/>
    <w:rsid w:val="00BB61D4"/>
    <w:rsid w:val="00BB61D5"/>
    <w:rsid w:val="00BB63D6"/>
    <w:rsid w:val="00BB63E5"/>
    <w:rsid w:val="00BB649D"/>
    <w:rsid w:val="00BB6533"/>
    <w:rsid w:val="00BB67DD"/>
    <w:rsid w:val="00BB684F"/>
    <w:rsid w:val="00BB6C20"/>
    <w:rsid w:val="00BB6CA8"/>
    <w:rsid w:val="00BB6D66"/>
    <w:rsid w:val="00BB6E3B"/>
    <w:rsid w:val="00BB700A"/>
    <w:rsid w:val="00BB703E"/>
    <w:rsid w:val="00BB72B9"/>
    <w:rsid w:val="00BB732D"/>
    <w:rsid w:val="00BB7383"/>
    <w:rsid w:val="00BB7405"/>
    <w:rsid w:val="00BB7561"/>
    <w:rsid w:val="00BB765F"/>
    <w:rsid w:val="00BB76DD"/>
    <w:rsid w:val="00BB78DF"/>
    <w:rsid w:val="00BB7E00"/>
    <w:rsid w:val="00BB7E18"/>
    <w:rsid w:val="00BB7F7C"/>
    <w:rsid w:val="00BB7FD6"/>
    <w:rsid w:val="00BC0207"/>
    <w:rsid w:val="00BC02FF"/>
    <w:rsid w:val="00BC0306"/>
    <w:rsid w:val="00BC03AD"/>
    <w:rsid w:val="00BC04E8"/>
    <w:rsid w:val="00BC067D"/>
    <w:rsid w:val="00BC06D9"/>
    <w:rsid w:val="00BC0792"/>
    <w:rsid w:val="00BC0AE5"/>
    <w:rsid w:val="00BC0CED"/>
    <w:rsid w:val="00BC119E"/>
    <w:rsid w:val="00BC1264"/>
    <w:rsid w:val="00BC1313"/>
    <w:rsid w:val="00BC167F"/>
    <w:rsid w:val="00BC17FC"/>
    <w:rsid w:val="00BC191F"/>
    <w:rsid w:val="00BC1A1D"/>
    <w:rsid w:val="00BC1B5D"/>
    <w:rsid w:val="00BC1B5E"/>
    <w:rsid w:val="00BC1DEA"/>
    <w:rsid w:val="00BC1DF4"/>
    <w:rsid w:val="00BC1EBB"/>
    <w:rsid w:val="00BC2070"/>
    <w:rsid w:val="00BC2144"/>
    <w:rsid w:val="00BC2165"/>
    <w:rsid w:val="00BC216B"/>
    <w:rsid w:val="00BC21A8"/>
    <w:rsid w:val="00BC2470"/>
    <w:rsid w:val="00BC25BB"/>
    <w:rsid w:val="00BC25CD"/>
    <w:rsid w:val="00BC26AB"/>
    <w:rsid w:val="00BC2716"/>
    <w:rsid w:val="00BC2898"/>
    <w:rsid w:val="00BC28A7"/>
    <w:rsid w:val="00BC28FD"/>
    <w:rsid w:val="00BC29B9"/>
    <w:rsid w:val="00BC2DC4"/>
    <w:rsid w:val="00BC2FA8"/>
    <w:rsid w:val="00BC2FB9"/>
    <w:rsid w:val="00BC3267"/>
    <w:rsid w:val="00BC33E1"/>
    <w:rsid w:val="00BC3454"/>
    <w:rsid w:val="00BC35CC"/>
    <w:rsid w:val="00BC3631"/>
    <w:rsid w:val="00BC3A98"/>
    <w:rsid w:val="00BC3BA8"/>
    <w:rsid w:val="00BC4085"/>
    <w:rsid w:val="00BC459E"/>
    <w:rsid w:val="00BC45EB"/>
    <w:rsid w:val="00BC4947"/>
    <w:rsid w:val="00BC4A81"/>
    <w:rsid w:val="00BC4B01"/>
    <w:rsid w:val="00BC4F33"/>
    <w:rsid w:val="00BC5284"/>
    <w:rsid w:val="00BC5532"/>
    <w:rsid w:val="00BC56B6"/>
    <w:rsid w:val="00BC5774"/>
    <w:rsid w:val="00BC5781"/>
    <w:rsid w:val="00BC591F"/>
    <w:rsid w:val="00BC5B48"/>
    <w:rsid w:val="00BC5BFD"/>
    <w:rsid w:val="00BC5E97"/>
    <w:rsid w:val="00BC5FDD"/>
    <w:rsid w:val="00BC6206"/>
    <w:rsid w:val="00BC63F0"/>
    <w:rsid w:val="00BC6472"/>
    <w:rsid w:val="00BC6479"/>
    <w:rsid w:val="00BC6591"/>
    <w:rsid w:val="00BC676C"/>
    <w:rsid w:val="00BC6C7B"/>
    <w:rsid w:val="00BC6D86"/>
    <w:rsid w:val="00BC6F34"/>
    <w:rsid w:val="00BC6F57"/>
    <w:rsid w:val="00BC6FB8"/>
    <w:rsid w:val="00BC70FD"/>
    <w:rsid w:val="00BC7155"/>
    <w:rsid w:val="00BC716F"/>
    <w:rsid w:val="00BC7433"/>
    <w:rsid w:val="00BC76B1"/>
    <w:rsid w:val="00BC775F"/>
    <w:rsid w:val="00BC777F"/>
    <w:rsid w:val="00BC7863"/>
    <w:rsid w:val="00BC7A5E"/>
    <w:rsid w:val="00BC7B0A"/>
    <w:rsid w:val="00BC7BD4"/>
    <w:rsid w:val="00BC7C5C"/>
    <w:rsid w:val="00BC7D6D"/>
    <w:rsid w:val="00BC7F16"/>
    <w:rsid w:val="00BC7FE7"/>
    <w:rsid w:val="00BC7FFA"/>
    <w:rsid w:val="00BD003B"/>
    <w:rsid w:val="00BD035B"/>
    <w:rsid w:val="00BD0406"/>
    <w:rsid w:val="00BD0654"/>
    <w:rsid w:val="00BD06A0"/>
    <w:rsid w:val="00BD0709"/>
    <w:rsid w:val="00BD0A91"/>
    <w:rsid w:val="00BD0C92"/>
    <w:rsid w:val="00BD0DF4"/>
    <w:rsid w:val="00BD11C8"/>
    <w:rsid w:val="00BD11F1"/>
    <w:rsid w:val="00BD146F"/>
    <w:rsid w:val="00BD14EE"/>
    <w:rsid w:val="00BD1952"/>
    <w:rsid w:val="00BD1AF0"/>
    <w:rsid w:val="00BD1C6E"/>
    <w:rsid w:val="00BD1D94"/>
    <w:rsid w:val="00BD1E93"/>
    <w:rsid w:val="00BD1EC5"/>
    <w:rsid w:val="00BD1EE4"/>
    <w:rsid w:val="00BD2039"/>
    <w:rsid w:val="00BD205F"/>
    <w:rsid w:val="00BD2108"/>
    <w:rsid w:val="00BD217E"/>
    <w:rsid w:val="00BD228F"/>
    <w:rsid w:val="00BD2318"/>
    <w:rsid w:val="00BD251E"/>
    <w:rsid w:val="00BD25E9"/>
    <w:rsid w:val="00BD273C"/>
    <w:rsid w:val="00BD27E3"/>
    <w:rsid w:val="00BD29B1"/>
    <w:rsid w:val="00BD2A0E"/>
    <w:rsid w:val="00BD2AB7"/>
    <w:rsid w:val="00BD2B22"/>
    <w:rsid w:val="00BD2B47"/>
    <w:rsid w:val="00BD2C26"/>
    <w:rsid w:val="00BD2CEF"/>
    <w:rsid w:val="00BD2FA9"/>
    <w:rsid w:val="00BD2FC3"/>
    <w:rsid w:val="00BD300D"/>
    <w:rsid w:val="00BD32C0"/>
    <w:rsid w:val="00BD33CA"/>
    <w:rsid w:val="00BD347A"/>
    <w:rsid w:val="00BD378D"/>
    <w:rsid w:val="00BD3985"/>
    <w:rsid w:val="00BD3A83"/>
    <w:rsid w:val="00BD3BBF"/>
    <w:rsid w:val="00BD3C3D"/>
    <w:rsid w:val="00BD3DE7"/>
    <w:rsid w:val="00BD3F3C"/>
    <w:rsid w:val="00BD4007"/>
    <w:rsid w:val="00BD4103"/>
    <w:rsid w:val="00BD4205"/>
    <w:rsid w:val="00BD46C7"/>
    <w:rsid w:val="00BD46F6"/>
    <w:rsid w:val="00BD4788"/>
    <w:rsid w:val="00BD47BA"/>
    <w:rsid w:val="00BD4857"/>
    <w:rsid w:val="00BD4D58"/>
    <w:rsid w:val="00BD4FC2"/>
    <w:rsid w:val="00BD524E"/>
    <w:rsid w:val="00BD552C"/>
    <w:rsid w:val="00BD5928"/>
    <w:rsid w:val="00BD61BD"/>
    <w:rsid w:val="00BD62EC"/>
    <w:rsid w:val="00BD63CD"/>
    <w:rsid w:val="00BD643C"/>
    <w:rsid w:val="00BD65A5"/>
    <w:rsid w:val="00BD65BE"/>
    <w:rsid w:val="00BD65ED"/>
    <w:rsid w:val="00BD66DE"/>
    <w:rsid w:val="00BD6707"/>
    <w:rsid w:val="00BD68A3"/>
    <w:rsid w:val="00BD6938"/>
    <w:rsid w:val="00BD69E3"/>
    <w:rsid w:val="00BD6AAB"/>
    <w:rsid w:val="00BD6B8D"/>
    <w:rsid w:val="00BD6CF3"/>
    <w:rsid w:val="00BD6D41"/>
    <w:rsid w:val="00BD71A7"/>
    <w:rsid w:val="00BD71B9"/>
    <w:rsid w:val="00BD737F"/>
    <w:rsid w:val="00BD73FD"/>
    <w:rsid w:val="00BD7674"/>
    <w:rsid w:val="00BD7675"/>
    <w:rsid w:val="00BD7CC6"/>
    <w:rsid w:val="00BD7D7B"/>
    <w:rsid w:val="00BD7D81"/>
    <w:rsid w:val="00BD7E51"/>
    <w:rsid w:val="00BD7E93"/>
    <w:rsid w:val="00BD7F72"/>
    <w:rsid w:val="00BD7FCE"/>
    <w:rsid w:val="00BE00B8"/>
    <w:rsid w:val="00BE07B2"/>
    <w:rsid w:val="00BE07D9"/>
    <w:rsid w:val="00BE0C1D"/>
    <w:rsid w:val="00BE0ECA"/>
    <w:rsid w:val="00BE0F27"/>
    <w:rsid w:val="00BE1138"/>
    <w:rsid w:val="00BE1163"/>
    <w:rsid w:val="00BE1173"/>
    <w:rsid w:val="00BE11CE"/>
    <w:rsid w:val="00BE129C"/>
    <w:rsid w:val="00BE158D"/>
    <w:rsid w:val="00BE15A1"/>
    <w:rsid w:val="00BE18BA"/>
    <w:rsid w:val="00BE1A0C"/>
    <w:rsid w:val="00BE1B43"/>
    <w:rsid w:val="00BE1C00"/>
    <w:rsid w:val="00BE1DCA"/>
    <w:rsid w:val="00BE1DFF"/>
    <w:rsid w:val="00BE2180"/>
    <w:rsid w:val="00BE21F2"/>
    <w:rsid w:val="00BE244B"/>
    <w:rsid w:val="00BE2ACF"/>
    <w:rsid w:val="00BE2C55"/>
    <w:rsid w:val="00BE2CA9"/>
    <w:rsid w:val="00BE2D06"/>
    <w:rsid w:val="00BE3305"/>
    <w:rsid w:val="00BE33C0"/>
    <w:rsid w:val="00BE386E"/>
    <w:rsid w:val="00BE3B43"/>
    <w:rsid w:val="00BE3B59"/>
    <w:rsid w:val="00BE3F12"/>
    <w:rsid w:val="00BE3FEC"/>
    <w:rsid w:val="00BE4275"/>
    <w:rsid w:val="00BE42B6"/>
    <w:rsid w:val="00BE4311"/>
    <w:rsid w:val="00BE4500"/>
    <w:rsid w:val="00BE4B23"/>
    <w:rsid w:val="00BE4B3C"/>
    <w:rsid w:val="00BE4DCC"/>
    <w:rsid w:val="00BE4E2B"/>
    <w:rsid w:val="00BE4F45"/>
    <w:rsid w:val="00BE515B"/>
    <w:rsid w:val="00BE51FB"/>
    <w:rsid w:val="00BE535B"/>
    <w:rsid w:val="00BE54B8"/>
    <w:rsid w:val="00BE5542"/>
    <w:rsid w:val="00BE557F"/>
    <w:rsid w:val="00BE5671"/>
    <w:rsid w:val="00BE5711"/>
    <w:rsid w:val="00BE5B5E"/>
    <w:rsid w:val="00BE5BA1"/>
    <w:rsid w:val="00BE5BB6"/>
    <w:rsid w:val="00BE5BC7"/>
    <w:rsid w:val="00BE5BE0"/>
    <w:rsid w:val="00BE5DB7"/>
    <w:rsid w:val="00BE5E64"/>
    <w:rsid w:val="00BE6367"/>
    <w:rsid w:val="00BE66CE"/>
    <w:rsid w:val="00BE6A62"/>
    <w:rsid w:val="00BE6D39"/>
    <w:rsid w:val="00BE6DAE"/>
    <w:rsid w:val="00BE7111"/>
    <w:rsid w:val="00BE73B6"/>
    <w:rsid w:val="00BE74B7"/>
    <w:rsid w:val="00BE7524"/>
    <w:rsid w:val="00BE75F4"/>
    <w:rsid w:val="00BE7626"/>
    <w:rsid w:val="00BE76A7"/>
    <w:rsid w:val="00BE771C"/>
    <w:rsid w:val="00BE7833"/>
    <w:rsid w:val="00BE7A1A"/>
    <w:rsid w:val="00BE7AD5"/>
    <w:rsid w:val="00BE7B9F"/>
    <w:rsid w:val="00BE7BAA"/>
    <w:rsid w:val="00BE7D92"/>
    <w:rsid w:val="00BE7DC7"/>
    <w:rsid w:val="00BE7E00"/>
    <w:rsid w:val="00BF0082"/>
    <w:rsid w:val="00BF0091"/>
    <w:rsid w:val="00BF021E"/>
    <w:rsid w:val="00BF031C"/>
    <w:rsid w:val="00BF0360"/>
    <w:rsid w:val="00BF06AE"/>
    <w:rsid w:val="00BF070D"/>
    <w:rsid w:val="00BF0842"/>
    <w:rsid w:val="00BF0848"/>
    <w:rsid w:val="00BF0A07"/>
    <w:rsid w:val="00BF0A2D"/>
    <w:rsid w:val="00BF0A4B"/>
    <w:rsid w:val="00BF0AF3"/>
    <w:rsid w:val="00BF0AFF"/>
    <w:rsid w:val="00BF0B17"/>
    <w:rsid w:val="00BF0CE5"/>
    <w:rsid w:val="00BF0D27"/>
    <w:rsid w:val="00BF0F95"/>
    <w:rsid w:val="00BF1179"/>
    <w:rsid w:val="00BF1218"/>
    <w:rsid w:val="00BF1281"/>
    <w:rsid w:val="00BF1453"/>
    <w:rsid w:val="00BF17F9"/>
    <w:rsid w:val="00BF1CF3"/>
    <w:rsid w:val="00BF1ED6"/>
    <w:rsid w:val="00BF1F42"/>
    <w:rsid w:val="00BF2224"/>
    <w:rsid w:val="00BF2302"/>
    <w:rsid w:val="00BF232F"/>
    <w:rsid w:val="00BF2433"/>
    <w:rsid w:val="00BF2501"/>
    <w:rsid w:val="00BF28E5"/>
    <w:rsid w:val="00BF2A09"/>
    <w:rsid w:val="00BF2AB3"/>
    <w:rsid w:val="00BF2ADF"/>
    <w:rsid w:val="00BF2AE8"/>
    <w:rsid w:val="00BF2E6E"/>
    <w:rsid w:val="00BF2F00"/>
    <w:rsid w:val="00BF2FD8"/>
    <w:rsid w:val="00BF3054"/>
    <w:rsid w:val="00BF307A"/>
    <w:rsid w:val="00BF3408"/>
    <w:rsid w:val="00BF3677"/>
    <w:rsid w:val="00BF3739"/>
    <w:rsid w:val="00BF375B"/>
    <w:rsid w:val="00BF390D"/>
    <w:rsid w:val="00BF392B"/>
    <w:rsid w:val="00BF3991"/>
    <w:rsid w:val="00BF3B09"/>
    <w:rsid w:val="00BF3C6D"/>
    <w:rsid w:val="00BF3E73"/>
    <w:rsid w:val="00BF40C4"/>
    <w:rsid w:val="00BF4292"/>
    <w:rsid w:val="00BF42AC"/>
    <w:rsid w:val="00BF4383"/>
    <w:rsid w:val="00BF43DF"/>
    <w:rsid w:val="00BF44EF"/>
    <w:rsid w:val="00BF480D"/>
    <w:rsid w:val="00BF4878"/>
    <w:rsid w:val="00BF48D9"/>
    <w:rsid w:val="00BF4F10"/>
    <w:rsid w:val="00BF5060"/>
    <w:rsid w:val="00BF50AF"/>
    <w:rsid w:val="00BF51FB"/>
    <w:rsid w:val="00BF5475"/>
    <w:rsid w:val="00BF547F"/>
    <w:rsid w:val="00BF5518"/>
    <w:rsid w:val="00BF56AC"/>
    <w:rsid w:val="00BF57C0"/>
    <w:rsid w:val="00BF5903"/>
    <w:rsid w:val="00BF59A2"/>
    <w:rsid w:val="00BF5B0E"/>
    <w:rsid w:val="00BF5BEE"/>
    <w:rsid w:val="00BF6084"/>
    <w:rsid w:val="00BF61C9"/>
    <w:rsid w:val="00BF6247"/>
    <w:rsid w:val="00BF64E8"/>
    <w:rsid w:val="00BF6705"/>
    <w:rsid w:val="00BF6945"/>
    <w:rsid w:val="00BF6952"/>
    <w:rsid w:val="00BF69D6"/>
    <w:rsid w:val="00BF6A80"/>
    <w:rsid w:val="00BF6ACD"/>
    <w:rsid w:val="00BF6C94"/>
    <w:rsid w:val="00BF6EC1"/>
    <w:rsid w:val="00BF6FB5"/>
    <w:rsid w:val="00BF711A"/>
    <w:rsid w:val="00BF724C"/>
    <w:rsid w:val="00BF7357"/>
    <w:rsid w:val="00BF73BD"/>
    <w:rsid w:val="00BF7475"/>
    <w:rsid w:val="00BF74D9"/>
    <w:rsid w:val="00BF75B9"/>
    <w:rsid w:val="00BF75DA"/>
    <w:rsid w:val="00BF767A"/>
    <w:rsid w:val="00BF77CD"/>
    <w:rsid w:val="00BF7CB8"/>
    <w:rsid w:val="00BF7D12"/>
    <w:rsid w:val="00C001AB"/>
    <w:rsid w:val="00C003F8"/>
    <w:rsid w:val="00C00424"/>
    <w:rsid w:val="00C004CB"/>
    <w:rsid w:val="00C00753"/>
    <w:rsid w:val="00C00894"/>
    <w:rsid w:val="00C00AAB"/>
    <w:rsid w:val="00C00BB0"/>
    <w:rsid w:val="00C00BFA"/>
    <w:rsid w:val="00C00C0A"/>
    <w:rsid w:val="00C00C23"/>
    <w:rsid w:val="00C00F09"/>
    <w:rsid w:val="00C011FA"/>
    <w:rsid w:val="00C012BF"/>
    <w:rsid w:val="00C01684"/>
    <w:rsid w:val="00C01950"/>
    <w:rsid w:val="00C0195F"/>
    <w:rsid w:val="00C019C5"/>
    <w:rsid w:val="00C01B96"/>
    <w:rsid w:val="00C02239"/>
    <w:rsid w:val="00C0236F"/>
    <w:rsid w:val="00C025CC"/>
    <w:rsid w:val="00C02682"/>
    <w:rsid w:val="00C02979"/>
    <w:rsid w:val="00C029DD"/>
    <w:rsid w:val="00C02A89"/>
    <w:rsid w:val="00C02B7D"/>
    <w:rsid w:val="00C03261"/>
    <w:rsid w:val="00C0332E"/>
    <w:rsid w:val="00C033EB"/>
    <w:rsid w:val="00C03593"/>
    <w:rsid w:val="00C0387D"/>
    <w:rsid w:val="00C03AF5"/>
    <w:rsid w:val="00C04082"/>
    <w:rsid w:val="00C040C2"/>
    <w:rsid w:val="00C0417F"/>
    <w:rsid w:val="00C042F8"/>
    <w:rsid w:val="00C0435E"/>
    <w:rsid w:val="00C043AA"/>
    <w:rsid w:val="00C043E4"/>
    <w:rsid w:val="00C04473"/>
    <w:rsid w:val="00C0457D"/>
    <w:rsid w:val="00C046D6"/>
    <w:rsid w:val="00C047BB"/>
    <w:rsid w:val="00C04DF6"/>
    <w:rsid w:val="00C04FC9"/>
    <w:rsid w:val="00C051A5"/>
    <w:rsid w:val="00C0525B"/>
    <w:rsid w:val="00C052BD"/>
    <w:rsid w:val="00C052C9"/>
    <w:rsid w:val="00C054A2"/>
    <w:rsid w:val="00C05591"/>
    <w:rsid w:val="00C0559B"/>
    <w:rsid w:val="00C058F7"/>
    <w:rsid w:val="00C05980"/>
    <w:rsid w:val="00C05B5D"/>
    <w:rsid w:val="00C05D1C"/>
    <w:rsid w:val="00C06019"/>
    <w:rsid w:val="00C063D1"/>
    <w:rsid w:val="00C066D9"/>
    <w:rsid w:val="00C068FD"/>
    <w:rsid w:val="00C06BF4"/>
    <w:rsid w:val="00C06D8C"/>
    <w:rsid w:val="00C06F40"/>
    <w:rsid w:val="00C06FEC"/>
    <w:rsid w:val="00C07204"/>
    <w:rsid w:val="00C07212"/>
    <w:rsid w:val="00C0723A"/>
    <w:rsid w:val="00C0731E"/>
    <w:rsid w:val="00C0741A"/>
    <w:rsid w:val="00C0767F"/>
    <w:rsid w:val="00C0775A"/>
    <w:rsid w:val="00C0797F"/>
    <w:rsid w:val="00C079F4"/>
    <w:rsid w:val="00C07A4B"/>
    <w:rsid w:val="00C07A79"/>
    <w:rsid w:val="00C07AFE"/>
    <w:rsid w:val="00C07BC5"/>
    <w:rsid w:val="00C07D3A"/>
    <w:rsid w:val="00C10157"/>
    <w:rsid w:val="00C10262"/>
    <w:rsid w:val="00C103FA"/>
    <w:rsid w:val="00C1041A"/>
    <w:rsid w:val="00C1083A"/>
    <w:rsid w:val="00C1083D"/>
    <w:rsid w:val="00C108AC"/>
    <w:rsid w:val="00C109F7"/>
    <w:rsid w:val="00C10B74"/>
    <w:rsid w:val="00C11060"/>
    <w:rsid w:val="00C11248"/>
    <w:rsid w:val="00C11403"/>
    <w:rsid w:val="00C115A3"/>
    <w:rsid w:val="00C1179F"/>
    <w:rsid w:val="00C11A59"/>
    <w:rsid w:val="00C11ACA"/>
    <w:rsid w:val="00C11BA0"/>
    <w:rsid w:val="00C11C1C"/>
    <w:rsid w:val="00C11FF4"/>
    <w:rsid w:val="00C120DA"/>
    <w:rsid w:val="00C12109"/>
    <w:rsid w:val="00C121D2"/>
    <w:rsid w:val="00C12271"/>
    <w:rsid w:val="00C12393"/>
    <w:rsid w:val="00C12449"/>
    <w:rsid w:val="00C126A6"/>
    <w:rsid w:val="00C127B9"/>
    <w:rsid w:val="00C128FA"/>
    <w:rsid w:val="00C1297C"/>
    <w:rsid w:val="00C12BE3"/>
    <w:rsid w:val="00C12C14"/>
    <w:rsid w:val="00C12C84"/>
    <w:rsid w:val="00C1312E"/>
    <w:rsid w:val="00C131C6"/>
    <w:rsid w:val="00C133D2"/>
    <w:rsid w:val="00C1347B"/>
    <w:rsid w:val="00C135C9"/>
    <w:rsid w:val="00C137FE"/>
    <w:rsid w:val="00C13A20"/>
    <w:rsid w:val="00C13AB8"/>
    <w:rsid w:val="00C13BD3"/>
    <w:rsid w:val="00C13C03"/>
    <w:rsid w:val="00C13C2D"/>
    <w:rsid w:val="00C13C83"/>
    <w:rsid w:val="00C13E3C"/>
    <w:rsid w:val="00C13F4E"/>
    <w:rsid w:val="00C13F50"/>
    <w:rsid w:val="00C142C0"/>
    <w:rsid w:val="00C14353"/>
    <w:rsid w:val="00C145F0"/>
    <w:rsid w:val="00C14609"/>
    <w:rsid w:val="00C146E1"/>
    <w:rsid w:val="00C14A26"/>
    <w:rsid w:val="00C14A89"/>
    <w:rsid w:val="00C14DA9"/>
    <w:rsid w:val="00C14DF9"/>
    <w:rsid w:val="00C14F46"/>
    <w:rsid w:val="00C154A7"/>
    <w:rsid w:val="00C15601"/>
    <w:rsid w:val="00C156AC"/>
    <w:rsid w:val="00C156C3"/>
    <w:rsid w:val="00C15709"/>
    <w:rsid w:val="00C159BA"/>
    <w:rsid w:val="00C15E83"/>
    <w:rsid w:val="00C15EB4"/>
    <w:rsid w:val="00C15F04"/>
    <w:rsid w:val="00C1639A"/>
    <w:rsid w:val="00C16411"/>
    <w:rsid w:val="00C1674E"/>
    <w:rsid w:val="00C16796"/>
    <w:rsid w:val="00C167E1"/>
    <w:rsid w:val="00C16EF1"/>
    <w:rsid w:val="00C16FD8"/>
    <w:rsid w:val="00C171EB"/>
    <w:rsid w:val="00C173F6"/>
    <w:rsid w:val="00C1750A"/>
    <w:rsid w:val="00C176FD"/>
    <w:rsid w:val="00C17799"/>
    <w:rsid w:val="00C179B3"/>
    <w:rsid w:val="00C179DF"/>
    <w:rsid w:val="00C17A28"/>
    <w:rsid w:val="00C17B22"/>
    <w:rsid w:val="00C17BD6"/>
    <w:rsid w:val="00C17D28"/>
    <w:rsid w:val="00C17D3D"/>
    <w:rsid w:val="00C17DD3"/>
    <w:rsid w:val="00C17E3F"/>
    <w:rsid w:val="00C17FC4"/>
    <w:rsid w:val="00C200AA"/>
    <w:rsid w:val="00C20148"/>
    <w:rsid w:val="00C201E3"/>
    <w:rsid w:val="00C2029E"/>
    <w:rsid w:val="00C2098D"/>
    <w:rsid w:val="00C20C1B"/>
    <w:rsid w:val="00C20DD1"/>
    <w:rsid w:val="00C20E1B"/>
    <w:rsid w:val="00C20EA0"/>
    <w:rsid w:val="00C20F50"/>
    <w:rsid w:val="00C2103F"/>
    <w:rsid w:val="00C211A4"/>
    <w:rsid w:val="00C2133C"/>
    <w:rsid w:val="00C21380"/>
    <w:rsid w:val="00C214B9"/>
    <w:rsid w:val="00C21536"/>
    <w:rsid w:val="00C218D5"/>
    <w:rsid w:val="00C21953"/>
    <w:rsid w:val="00C21E09"/>
    <w:rsid w:val="00C21E8C"/>
    <w:rsid w:val="00C220D5"/>
    <w:rsid w:val="00C22228"/>
    <w:rsid w:val="00C222D0"/>
    <w:rsid w:val="00C2245B"/>
    <w:rsid w:val="00C2248D"/>
    <w:rsid w:val="00C225B5"/>
    <w:rsid w:val="00C22730"/>
    <w:rsid w:val="00C22844"/>
    <w:rsid w:val="00C22859"/>
    <w:rsid w:val="00C22995"/>
    <w:rsid w:val="00C23162"/>
    <w:rsid w:val="00C23269"/>
    <w:rsid w:val="00C23290"/>
    <w:rsid w:val="00C232EE"/>
    <w:rsid w:val="00C2332F"/>
    <w:rsid w:val="00C233CF"/>
    <w:rsid w:val="00C2359F"/>
    <w:rsid w:val="00C235A3"/>
    <w:rsid w:val="00C237ED"/>
    <w:rsid w:val="00C23862"/>
    <w:rsid w:val="00C23868"/>
    <w:rsid w:val="00C23B98"/>
    <w:rsid w:val="00C23C1A"/>
    <w:rsid w:val="00C23CF2"/>
    <w:rsid w:val="00C242F5"/>
    <w:rsid w:val="00C2431C"/>
    <w:rsid w:val="00C24632"/>
    <w:rsid w:val="00C24A50"/>
    <w:rsid w:val="00C24CFD"/>
    <w:rsid w:val="00C24FCA"/>
    <w:rsid w:val="00C25418"/>
    <w:rsid w:val="00C25614"/>
    <w:rsid w:val="00C25AAC"/>
    <w:rsid w:val="00C25D15"/>
    <w:rsid w:val="00C25D23"/>
    <w:rsid w:val="00C25D9C"/>
    <w:rsid w:val="00C25EE4"/>
    <w:rsid w:val="00C26066"/>
    <w:rsid w:val="00C2666A"/>
    <w:rsid w:val="00C26882"/>
    <w:rsid w:val="00C2696D"/>
    <w:rsid w:val="00C26D33"/>
    <w:rsid w:val="00C26DC4"/>
    <w:rsid w:val="00C26FF7"/>
    <w:rsid w:val="00C27095"/>
    <w:rsid w:val="00C27106"/>
    <w:rsid w:val="00C27146"/>
    <w:rsid w:val="00C272C1"/>
    <w:rsid w:val="00C2759E"/>
    <w:rsid w:val="00C2765F"/>
    <w:rsid w:val="00C27691"/>
    <w:rsid w:val="00C2778B"/>
    <w:rsid w:val="00C27856"/>
    <w:rsid w:val="00C27B64"/>
    <w:rsid w:val="00C27C3B"/>
    <w:rsid w:val="00C27C9A"/>
    <w:rsid w:val="00C27D1A"/>
    <w:rsid w:val="00C30002"/>
    <w:rsid w:val="00C30375"/>
    <w:rsid w:val="00C305B4"/>
    <w:rsid w:val="00C307F4"/>
    <w:rsid w:val="00C3097B"/>
    <w:rsid w:val="00C30A43"/>
    <w:rsid w:val="00C30B00"/>
    <w:rsid w:val="00C30F06"/>
    <w:rsid w:val="00C30F1E"/>
    <w:rsid w:val="00C30F31"/>
    <w:rsid w:val="00C313FC"/>
    <w:rsid w:val="00C3141C"/>
    <w:rsid w:val="00C31649"/>
    <w:rsid w:val="00C316E2"/>
    <w:rsid w:val="00C31705"/>
    <w:rsid w:val="00C31885"/>
    <w:rsid w:val="00C319A0"/>
    <w:rsid w:val="00C319ED"/>
    <w:rsid w:val="00C31AD1"/>
    <w:rsid w:val="00C31B2B"/>
    <w:rsid w:val="00C31C4F"/>
    <w:rsid w:val="00C31CFC"/>
    <w:rsid w:val="00C31DF5"/>
    <w:rsid w:val="00C31DFC"/>
    <w:rsid w:val="00C32355"/>
    <w:rsid w:val="00C32636"/>
    <w:rsid w:val="00C328A6"/>
    <w:rsid w:val="00C32985"/>
    <w:rsid w:val="00C32A99"/>
    <w:rsid w:val="00C32B81"/>
    <w:rsid w:val="00C3324D"/>
    <w:rsid w:val="00C332D7"/>
    <w:rsid w:val="00C333FE"/>
    <w:rsid w:val="00C3347A"/>
    <w:rsid w:val="00C3370F"/>
    <w:rsid w:val="00C3379D"/>
    <w:rsid w:val="00C33874"/>
    <w:rsid w:val="00C33D2B"/>
    <w:rsid w:val="00C33E81"/>
    <w:rsid w:val="00C33F3E"/>
    <w:rsid w:val="00C3415A"/>
    <w:rsid w:val="00C3418E"/>
    <w:rsid w:val="00C34204"/>
    <w:rsid w:val="00C342AD"/>
    <w:rsid w:val="00C3434C"/>
    <w:rsid w:val="00C343FB"/>
    <w:rsid w:val="00C34488"/>
    <w:rsid w:val="00C34CA6"/>
    <w:rsid w:val="00C34CD2"/>
    <w:rsid w:val="00C34E70"/>
    <w:rsid w:val="00C350C2"/>
    <w:rsid w:val="00C35281"/>
    <w:rsid w:val="00C352ED"/>
    <w:rsid w:val="00C35401"/>
    <w:rsid w:val="00C354E0"/>
    <w:rsid w:val="00C3554A"/>
    <w:rsid w:val="00C3569F"/>
    <w:rsid w:val="00C3577D"/>
    <w:rsid w:val="00C3581F"/>
    <w:rsid w:val="00C35922"/>
    <w:rsid w:val="00C359CC"/>
    <w:rsid w:val="00C35C87"/>
    <w:rsid w:val="00C35E20"/>
    <w:rsid w:val="00C36026"/>
    <w:rsid w:val="00C360A3"/>
    <w:rsid w:val="00C360C9"/>
    <w:rsid w:val="00C36123"/>
    <w:rsid w:val="00C361D3"/>
    <w:rsid w:val="00C362E9"/>
    <w:rsid w:val="00C36335"/>
    <w:rsid w:val="00C36758"/>
    <w:rsid w:val="00C36863"/>
    <w:rsid w:val="00C368E7"/>
    <w:rsid w:val="00C36B0B"/>
    <w:rsid w:val="00C37053"/>
    <w:rsid w:val="00C370E6"/>
    <w:rsid w:val="00C37202"/>
    <w:rsid w:val="00C37409"/>
    <w:rsid w:val="00C374A7"/>
    <w:rsid w:val="00C3762B"/>
    <w:rsid w:val="00C37725"/>
    <w:rsid w:val="00C377B3"/>
    <w:rsid w:val="00C37987"/>
    <w:rsid w:val="00C37B90"/>
    <w:rsid w:val="00C37C88"/>
    <w:rsid w:val="00C400F7"/>
    <w:rsid w:val="00C40136"/>
    <w:rsid w:val="00C40317"/>
    <w:rsid w:val="00C40385"/>
    <w:rsid w:val="00C404CB"/>
    <w:rsid w:val="00C4060C"/>
    <w:rsid w:val="00C4068A"/>
    <w:rsid w:val="00C409C8"/>
    <w:rsid w:val="00C40A1C"/>
    <w:rsid w:val="00C40B6B"/>
    <w:rsid w:val="00C40E7C"/>
    <w:rsid w:val="00C40EC5"/>
    <w:rsid w:val="00C40FEB"/>
    <w:rsid w:val="00C41134"/>
    <w:rsid w:val="00C412A9"/>
    <w:rsid w:val="00C41315"/>
    <w:rsid w:val="00C41421"/>
    <w:rsid w:val="00C416FA"/>
    <w:rsid w:val="00C41768"/>
    <w:rsid w:val="00C417FD"/>
    <w:rsid w:val="00C41A5C"/>
    <w:rsid w:val="00C41D51"/>
    <w:rsid w:val="00C41FBA"/>
    <w:rsid w:val="00C4221D"/>
    <w:rsid w:val="00C42793"/>
    <w:rsid w:val="00C427CD"/>
    <w:rsid w:val="00C427EF"/>
    <w:rsid w:val="00C42E6A"/>
    <w:rsid w:val="00C433F7"/>
    <w:rsid w:val="00C435AA"/>
    <w:rsid w:val="00C437EA"/>
    <w:rsid w:val="00C439CC"/>
    <w:rsid w:val="00C43AC1"/>
    <w:rsid w:val="00C43BD8"/>
    <w:rsid w:val="00C43D09"/>
    <w:rsid w:val="00C43E41"/>
    <w:rsid w:val="00C43FDF"/>
    <w:rsid w:val="00C441E1"/>
    <w:rsid w:val="00C44394"/>
    <w:rsid w:val="00C44584"/>
    <w:rsid w:val="00C445C3"/>
    <w:rsid w:val="00C4466E"/>
    <w:rsid w:val="00C44774"/>
    <w:rsid w:val="00C44A35"/>
    <w:rsid w:val="00C44A4B"/>
    <w:rsid w:val="00C44A79"/>
    <w:rsid w:val="00C44AA8"/>
    <w:rsid w:val="00C44B80"/>
    <w:rsid w:val="00C44BB8"/>
    <w:rsid w:val="00C44E74"/>
    <w:rsid w:val="00C451EF"/>
    <w:rsid w:val="00C45359"/>
    <w:rsid w:val="00C4542E"/>
    <w:rsid w:val="00C45678"/>
    <w:rsid w:val="00C45B84"/>
    <w:rsid w:val="00C45E0B"/>
    <w:rsid w:val="00C46064"/>
    <w:rsid w:val="00C46126"/>
    <w:rsid w:val="00C4640C"/>
    <w:rsid w:val="00C4675E"/>
    <w:rsid w:val="00C467A4"/>
    <w:rsid w:val="00C46873"/>
    <w:rsid w:val="00C468D6"/>
    <w:rsid w:val="00C46B6B"/>
    <w:rsid w:val="00C46C81"/>
    <w:rsid w:val="00C46DCB"/>
    <w:rsid w:val="00C46DF2"/>
    <w:rsid w:val="00C47041"/>
    <w:rsid w:val="00C47202"/>
    <w:rsid w:val="00C4739B"/>
    <w:rsid w:val="00C47516"/>
    <w:rsid w:val="00C475AA"/>
    <w:rsid w:val="00C475B4"/>
    <w:rsid w:val="00C4784D"/>
    <w:rsid w:val="00C479A0"/>
    <w:rsid w:val="00C47A30"/>
    <w:rsid w:val="00C47A76"/>
    <w:rsid w:val="00C47CBE"/>
    <w:rsid w:val="00C47DE8"/>
    <w:rsid w:val="00C47EE5"/>
    <w:rsid w:val="00C50054"/>
    <w:rsid w:val="00C500D3"/>
    <w:rsid w:val="00C501DF"/>
    <w:rsid w:val="00C50250"/>
    <w:rsid w:val="00C5026C"/>
    <w:rsid w:val="00C507ED"/>
    <w:rsid w:val="00C50A16"/>
    <w:rsid w:val="00C50B3B"/>
    <w:rsid w:val="00C510AE"/>
    <w:rsid w:val="00C510C3"/>
    <w:rsid w:val="00C51604"/>
    <w:rsid w:val="00C51669"/>
    <w:rsid w:val="00C51E7C"/>
    <w:rsid w:val="00C52038"/>
    <w:rsid w:val="00C5239B"/>
    <w:rsid w:val="00C52444"/>
    <w:rsid w:val="00C525B2"/>
    <w:rsid w:val="00C52781"/>
    <w:rsid w:val="00C527C7"/>
    <w:rsid w:val="00C529FC"/>
    <w:rsid w:val="00C52A45"/>
    <w:rsid w:val="00C52BE5"/>
    <w:rsid w:val="00C52CA4"/>
    <w:rsid w:val="00C52E7C"/>
    <w:rsid w:val="00C52EDF"/>
    <w:rsid w:val="00C53087"/>
    <w:rsid w:val="00C530C3"/>
    <w:rsid w:val="00C531B3"/>
    <w:rsid w:val="00C5346C"/>
    <w:rsid w:val="00C534AE"/>
    <w:rsid w:val="00C5358A"/>
    <w:rsid w:val="00C535F4"/>
    <w:rsid w:val="00C5381C"/>
    <w:rsid w:val="00C539B6"/>
    <w:rsid w:val="00C53B6A"/>
    <w:rsid w:val="00C53C91"/>
    <w:rsid w:val="00C53C98"/>
    <w:rsid w:val="00C540BF"/>
    <w:rsid w:val="00C5414E"/>
    <w:rsid w:val="00C54453"/>
    <w:rsid w:val="00C54532"/>
    <w:rsid w:val="00C5488B"/>
    <w:rsid w:val="00C549C1"/>
    <w:rsid w:val="00C54CB8"/>
    <w:rsid w:val="00C55002"/>
    <w:rsid w:val="00C550E7"/>
    <w:rsid w:val="00C5526A"/>
    <w:rsid w:val="00C55533"/>
    <w:rsid w:val="00C55771"/>
    <w:rsid w:val="00C55ED8"/>
    <w:rsid w:val="00C55EF2"/>
    <w:rsid w:val="00C5620A"/>
    <w:rsid w:val="00C56478"/>
    <w:rsid w:val="00C56758"/>
    <w:rsid w:val="00C56803"/>
    <w:rsid w:val="00C56869"/>
    <w:rsid w:val="00C568C5"/>
    <w:rsid w:val="00C56919"/>
    <w:rsid w:val="00C56953"/>
    <w:rsid w:val="00C5698E"/>
    <w:rsid w:val="00C56C03"/>
    <w:rsid w:val="00C56FCF"/>
    <w:rsid w:val="00C57193"/>
    <w:rsid w:val="00C571FA"/>
    <w:rsid w:val="00C572F6"/>
    <w:rsid w:val="00C574BC"/>
    <w:rsid w:val="00C5799B"/>
    <w:rsid w:val="00C57B6C"/>
    <w:rsid w:val="00C57D4B"/>
    <w:rsid w:val="00C57E87"/>
    <w:rsid w:val="00C57EB3"/>
    <w:rsid w:val="00C57FD5"/>
    <w:rsid w:val="00C6007C"/>
    <w:rsid w:val="00C6019D"/>
    <w:rsid w:val="00C601E8"/>
    <w:rsid w:val="00C603F3"/>
    <w:rsid w:val="00C605DE"/>
    <w:rsid w:val="00C606D8"/>
    <w:rsid w:val="00C60C89"/>
    <w:rsid w:val="00C60CB0"/>
    <w:rsid w:val="00C60D38"/>
    <w:rsid w:val="00C60F25"/>
    <w:rsid w:val="00C616EE"/>
    <w:rsid w:val="00C617FC"/>
    <w:rsid w:val="00C61A59"/>
    <w:rsid w:val="00C61B54"/>
    <w:rsid w:val="00C61B8F"/>
    <w:rsid w:val="00C62008"/>
    <w:rsid w:val="00C6201A"/>
    <w:rsid w:val="00C62206"/>
    <w:rsid w:val="00C622B2"/>
    <w:rsid w:val="00C62588"/>
    <w:rsid w:val="00C625DE"/>
    <w:rsid w:val="00C62610"/>
    <w:rsid w:val="00C62760"/>
    <w:rsid w:val="00C628A6"/>
    <w:rsid w:val="00C629E1"/>
    <w:rsid w:val="00C62AE5"/>
    <w:rsid w:val="00C62C1B"/>
    <w:rsid w:val="00C62D49"/>
    <w:rsid w:val="00C62D92"/>
    <w:rsid w:val="00C62F93"/>
    <w:rsid w:val="00C631C2"/>
    <w:rsid w:val="00C63335"/>
    <w:rsid w:val="00C634AC"/>
    <w:rsid w:val="00C63628"/>
    <w:rsid w:val="00C6371A"/>
    <w:rsid w:val="00C639B1"/>
    <w:rsid w:val="00C639CC"/>
    <w:rsid w:val="00C639F0"/>
    <w:rsid w:val="00C63A3F"/>
    <w:rsid w:val="00C63E5F"/>
    <w:rsid w:val="00C63E72"/>
    <w:rsid w:val="00C63EC4"/>
    <w:rsid w:val="00C64254"/>
    <w:rsid w:val="00C64344"/>
    <w:rsid w:val="00C643EC"/>
    <w:rsid w:val="00C645C2"/>
    <w:rsid w:val="00C64773"/>
    <w:rsid w:val="00C64893"/>
    <w:rsid w:val="00C64907"/>
    <w:rsid w:val="00C649CE"/>
    <w:rsid w:val="00C64A10"/>
    <w:rsid w:val="00C64A17"/>
    <w:rsid w:val="00C64CC4"/>
    <w:rsid w:val="00C64F34"/>
    <w:rsid w:val="00C64F37"/>
    <w:rsid w:val="00C64FC8"/>
    <w:rsid w:val="00C6509D"/>
    <w:rsid w:val="00C650E7"/>
    <w:rsid w:val="00C65108"/>
    <w:rsid w:val="00C6511B"/>
    <w:rsid w:val="00C65187"/>
    <w:rsid w:val="00C6518F"/>
    <w:rsid w:val="00C65514"/>
    <w:rsid w:val="00C6551B"/>
    <w:rsid w:val="00C65576"/>
    <w:rsid w:val="00C6559D"/>
    <w:rsid w:val="00C655C5"/>
    <w:rsid w:val="00C65774"/>
    <w:rsid w:val="00C65943"/>
    <w:rsid w:val="00C65B27"/>
    <w:rsid w:val="00C65C28"/>
    <w:rsid w:val="00C65D60"/>
    <w:rsid w:val="00C65DA5"/>
    <w:rsid w:val="00C65FD6"/>
    <w:rsid w:val="00C66065"/>
    <w:rsid w:val="00C66165"/>
    <w:rsid w:val="00C66640"/>
    <w:rsid w:val="00C66644"/>
    <w:rsid w:val="00C666EF"/>
    <w:rsid w:val="00C6694B"/>
    <w:rsid w:val="00C66AA2"/>
    <w:rsid w:val="00C66BB8"/>
    <w:rsid w:val="00C66DE6"/>
    <w:rsid w:val="00C66F2A"/>
    <w:rsid w:val="00C6707E"/>
    <w:rsid w:val="00C67099"/>
    <w:rsid w:val="00C672E6"/>
    <w:rsid w:val="00C678CA"/>
    <w:rsid w:val="00C679CB"/>
    <w:rsid w:val="00C67A00"/>
    <w:rsid w:val="00C67A2C"/>
    <w:rsid w:val="00C67B25"/>
    <w:rsid w:val="00C67BF7"/>
    <w:rsid w:val="00C67D3A"/>
    <w:rsid w:val="00C67D62"/>
    <w:rsid w:val="00C67D80"/>
    <w:rsid w:val="00C67ED6"/>
    <w:rsid w:val="00C70270"/>
    <w:rsid w:val="00C70325"/>
    <w:rsid w:val="00C7034D"/>
    <w:rsid w:val="00C703C9"/>
    <w:rsid w:val="00C704FB"/>
    <w:rsid w:val="00C7053D"/>
    <w:rsid w:val="00C7060A"/>
    <w:rsid w:val="00C7073D"/>
    <w:rsid w:val="00C708A4"/>
    <w:rsid w:val="00C70C69"/>
    <w:rsid w:val="00C710AB"/>
    <w:rsid w:val="00C71112"/>
    <w:rsid w:val="00C71388"/>
    <w:rsid w:val="00C713F9"/>
    <w:rsid w:val="00C714D8"/>
    <w:rsid w:val="00C714F5"/>
    <w:rsid w:val="00C7151A"/>
    <w:rsid w:val="00C717E3"/>
    <w:rsid w:val="00C7195D"/>
    <w:rsid w:val="00C71CFB"/>
    <w:rsid w:val="00C71D14"/>
    <w:rsid w:val="00C71F60"/>
    <w:rsid w:val="00C71F8A"/>
    <w:rsid w:val="00C72032"/>
    <w:rsid w:val="00C721BB"/>
    <w:rsid w:val="00C72241"/>
    <w:rsid w:val="00C725A1"/>
    <w:rsid w:val="00C72785"/>
    <w:rsid w:val="00C728B0"/>
    <w:rsid w:val="00C72A48"/>
    <w:rsid w:val="00C72E34"/>
    <w:rsid w:val="00C72EA7"/>
    <w:rsid w:val="00C73187"/>
    <w:rsid w:val="00C73707"/>
    <w:rsid w:val="00C73723"/>
    <w:rsid w:val="00C73753"/>
    <w:rsid w:val="00C737A1"/>
    <w:rsid w:val="00C73819"/>
    <w:rsid w:val="00C739AF"/>
    <w:rsid w:val="00C73A25"/>
    <w:rsid w:val="00C73A96"/>
    <w:rsid w:val="00C73D23"/>
    <w:rsid w:val="00C73D35"/>
    <w:rsid w:val="00C74065"/>
    <w:rsid w:val="00C74092"/>
    <w:rsid w:val="00C744F8"/>
    <w:rsid w:val="00C7455B"/>
    <w:rsid w:val="00C745BF"/>
    <w:rsid w:val="00C74668"/>
    <w:rsid w:val="00C74669"/>
    <w:rsid w:val="00C7476F"/>
    <w:rsid w:val="00C74879"/>
    <w:rsid w:val="00C749C3"/>
    <w:rsid w:val="00C74ADB"/>
    <w:rsid w:val="00C74B98"/>
    <w:rsid w:val="00C74CA6"/>
    <w:rsid w:val="00C74DF1"/>
    <w:rsid w:val="00C750C8"/>
    <w:rsid w:val="00C750F1"/>
    <w:rsid w:val="00C75220"/>
    <w:rsid w:val="00C7560F"/>
    <w:rsid w:val="00C75F6E"/>
    <w:rsid w:val="00C76360"/>
    <w:rsid w:val="00C763B4"/>
    <w:rsid w:val="00C76446"/>
    <w:rsid w:val="00C7656B"/>
    <w:rsid w:val="00C767B3"/>
    <w:rsid w:val="00C76807"/>
    <w:rsid w:val="00C768EB"/>
    <w:rsid w:val="00C7691C"/>
    <w:rsid w:val="00C76D46"/>
    <w:rsid w:val="00C76E5B"/>
    <w:rsid w:val="00C76FBD"/>
    <w:rsid w:val="00C77629"/>
    <w:rsid w:val="00C77744"/>
    <w:rsid w:val="00C77BFE"/>
    <w:rsid w:val="00C77F15"/>
    <w:rsid w:val="00C77F83"/>
    <w:rsid w:val="00C80140"/>
    <w:rsid w:val="00C8020A"/>
    <w:rsid w:val="00C802FA"/>
    <w:rsid w:val="00C8058D"/>
    <w:rsid w:val="00C80721"/>
    <w:rsid w:val="00C80763"/>
    <w:rsid w:val="00C8077A"/>
    <w:rsid w:val="00C808E7"/>
    <w:rsid w:val="00C80952"/>
    <w:rsid w:val="00C80998"/>
    <w:rsid w:val="00C80A0E"/>
    <w:rsid w:val="00C80BFA"/>
    <w:rsid w:val="00C80CA3"/>
    <w:rsid w:val="00C810A6"/>
    <w:rsid w:val="00C81479"/>
    <w:rsid w:val="00C81718"/>
    <w:rsid w:val="00C817C7"/>
    <w:rsid w:val="00C81BAE"/>
    <w:rsid w:val="00C81D1E"/>
    <w:rsid w:val="00C81EFE"/>
    <w:rsid w:val="00C8213F"/>
    <w:rsid w:val="00C8239A"/>
    <w:rsid w:val="00C824FD"/>
    <w:rsid w:val="00C825CE"/>
    <w:rsid w:val="00C827AC"/>
    <w:rsid w:val="00C82816"/>
    <w:rsid w:val="00C82843"/>
    <w:rsid w:val="00C828B3"/>
    <w:rsid w:val="00C82B84"/>
    <w:rsid w:val="00C82C3C"/>
    <w:rsid w:val="00C82C6D"/>
    <w:rsid w:val="00C82D21"/>
    <w:rsid w:val="00C82E27"/>
    <w:rsid w:val="00C82E8D"/>
    <w:rsid w:val="00C82FB0"/>
    <w:rsid w:val="00C8303F"/>
    <w:rsid w:val="00C831B5"/>
    <w:rsid w:val="00C83260"/>
    <w:rsid w:val="00C833C1"/>
    <w:rsid w:val="00C833DA"/>
    <w:rsid w:val="00C8356F"/>
    <w:rsid w:val="00C835F5"/>
    <w:rsid w:val="00C83A00"/>
    <w:rsid w:val="00C83A94"/>
    <w:rsid w:val="00C83AA2"/>
    <w:rsid w:val="00C83D15"/>
    <w:rsid w:val="00C84135"/>
    <w:rsid w:val="00C8419A"/>
    <w:rsid w:val="00C843F5"/>
    <w:rsid w:val="00C8470D"/>
    <w:rsid w:val="00C8482F"/>
    <w:rsid w:val="00C84911"/>
    <w:rsid w:val="00C84ADB"/>
    <w:rsid w:val="00C84CB3"/>
    <w:rsid w:val="00C84D79"/>
    <w:rsid w:val="00C84E06"/>
    <w:rsid w:val="00C85144"/>
    <w:rsid w:val="00C85154"/>
    <w:rsid w:val="00C8515E"/>
    <w:rsid w:val="00C851F5"/>
    <w:rsid w:val="00C8526F"/>
    <w:rsid w:val="00C8542F"/>
    <w:rsid w:val="00C8555A"/>
    <w:rsid w:val="00C8575E"/>
    <w:rsid w:val="00C857F9"/>
    <w:rsid w:val="00C85975"/>
    <w:rsid w:val="00C85A70"/>
    <w:rsid w:val="00C85B11"/>
    <w:rsid w:val="00C85C3F"/>
    <w:rsid w:val="00C85D31"/>
    <w:rsid w:val="00C85D3D"/>
    <w:rsid w:val="00C8611D"/>
    <w:rsid w:val="00C86209"/>
    <w:rsid w:val="00C8623C"/>
    <w:rsid w:val="00C86491"/>
    <w:rsid w:val="00C8665A"/>
    <w:rsid w:val="00C86840"/>
    <w:rsid w:val="00C86A6E"/>
    <w:rsid w:val="00C86F41"/>
    <w:rsid w:val="00C870C0"/>
    <w:rsid w:val="00C87231"/>
    <w:rsid w:val="00C872BF"/>
    <w:rsid w:val="00C872CF"/>
    <w:rsid w:val="00C8751A"/>
    <w:rsid w:val="00C8783D"/>
    <w:rsid w:val="00C87841"/>
    <w:rsid w:val="00C8797A"/>
    <w:rsid w:val="00C87B56"/>
    <w:rsid w:val="00C87BB4"/>
    <w:rsid w:val="00C87BBE"/>
    <w:rsid w:val="00C87BF9"/>
    <w:rsid w:val="00C87E09"/>
    <w:rsid w:val="00C87FA3"/>
    <w:rsid w:val="00C900B8"/>
    <w:rsid w:val="00C90197"/>
    <w:rsid w:val="00C901EB"/>
    <w:rsid w:val="00C902AB"/>
    <w:rsid w:val="00C905DC"/>
    <w:rsid w:val="00C90AE3"/>
    <w:rsid w:val="00C90C4B"/>
    <w:rsid w:val="00C90C71"/>
    <w:rsid w:val="00C90C90"/>
    <w:rsid w:val="00C9134F"/>
    <w:rsid w:val="00C9157E"/>
    <w:rsid w:val="00C91755"/>
    <w:rsid w:val="00C918EB"/>
    <w:rsid w:val="00C91EC9"/>
    <w:rsid w:val="00C91FD1"/>
    <w:rsid w:val="00C9210D"/>
    <w:rsid w:val="00C92387"/>
    <w:rsid w:val="00C923C5"/>
    <w:rsid w:val="00C92648"/>
    <w:rsid w:val="00C9286F"/>
    <w:rsid w:val="00C929D5"/>
    <w:rsid w:val="00C92C5D"/>
    <w:rsid w:val="00C92CF5"/>
    <w:rsid w:val="00C92E6C"/>
    <w:rsid w:val="00C92F34"/>
    <w:rsid w:val="00C92F42"/>
    <w:rsid w:val="00C9307B"/>
    <w:rsid w:val="00C9312A"/>
    <w:rsid w:val="00C9319B"/>
    <w:rsid w:val="00C931CF"/>
    <w:rsid w:val="00C93239"/>
    <w:rsid w:val="00C932F1"/>
    <w:rsid w:val="00C933E4"/>
    <w:rsid w:val="00C933FB"/>
    <w:rsid w:val="00C935B9"/>
    <w:rsid w:val="00C938CF"/>
    <w:rsid w:val="00C93E75"/>
    <w:rsid w:val="00C94053"/>
    <w:rsid w:val="00C94148"/>
    <w:rsid w:val="00C943C6"/>
    <w:rsid w:val="00C94446"/>
    <w:rsid w:val="00C944CE"/>
    <w:rsid w:val="00C9463D"/>
    <w:rsid w:val="00C94B76"/>
    <w:rsid w:val="00C94BCA"/>
    <w:rsid w:val="00C94E39"/>
    <w:rsid w:val="00C94E82"/>
    <w:rsid w:val="00C94E8F"/>
    <w:rsid w:val="00C95278"/>
    <w:rsid w:val="00C95315"/>
    <w:rsid w:val="00C95497"/>
    <w:rsid w:val="00C95850"/>
    <w:rsid w:val="00C9592D"/>
    <w:rsid w:val="00C95FC9"/>
    <w:rsid w:val="00C961D3"/>
    <w:rsid w:val="00C9621A"/>
    <w:rsid w:val="00C9624D"/>
    <w:rsid w:val="00C964BC"/>
    <w:rsid w:val="00C96606"/>
    <w:rsid w:val="00C96637"/>
    <w:rsid w:val="00C9672C"/>
    <w:rsid w:val="00C967CD"/>
    <w:rsid w:val="00C969DA"/>
    <w:rsid w:val="00C96A78"/>
    <w:rsid w:val="00C96B3A"/>
    <w:rsid w:val="00C96C87"/>
    <w:rsid w:val="00C96CE4"/>
    <w:rsid w:val="00C96EDE"/>
    <w:rsid w:val="00C97317"/>
    <w:rsid w:val="00C974B3"/>
    <w:rsid w:val="00C974E8"/>
    <w:rsid w:val="00C97680"/>
    <w:rsid w:val="00C97693"/>
    <w:rsid w:val="00C978DD"/>
    <w:rsid w:val="00C97924"/>
    <w:rsid w:val="00C97E2B"/>
    <w:rsid w:val="00C97F95"/>
    <w:rsid w:val="00CA013B"/>
    <w:rsid w:val="00CA0203"/>
    <w:rsid w:val="00CA0242"/>
    <w:rsid w:val="00CA0534"/>
    <w:rsid w:val="00CA0629"/>
    <w:rsid w:val="00CA070F"/>
    <w:rsid w:val="00CA09D6"/>
    <w:rsid w:val="00CA0CCA"/>
    <w:rsid w:val="00CA0D06"/>
    <w:rsid w:val="00CA0DD1"/>
    <w:rsid w:val="00CA1183"/>
    <w:rsid w:val="00CA122D"/>
    <w:rsid w:val="00CA126E"/>
    <w:rsid w:val="00CA14E3"/>
    <w:rsid w:val="00CA17A2"/>
    <w:rsid w:val="00CA1A16"/>
    <w:rsid w:val="00CA2109"/>
    <w:rsid w:val="00CA2190"/>
    <w:rsid w:val="00CA256C"/>
    <w:rsid w:val="00CA25AC"/>
    <w:rsid w:val="00CA2AC4"/>
    <w:rsid w:val="00CA2BDF"/>
    <w:rsid w:val="00CA2BEB"/>
    <w:rsid w:val="00CA2C46"/>
    <w:rsid w:val="00CA2C49"/>
    <w:rsid w:val="00CA2C77"/>
    <w:rsid w:val="00CA2D6B"/>
    <w:rsid w:val="00CA2DED"/>
    <w:rsid w:val="00CA2F24"/>
    <w:rsid w:val="00CA30EC"/>
    <w:rsid w:val="00CA3103"/>
    <w:rsid w:val="00CA3216"/>
    <w:rsid w:val="00CA3338"/>
    <w:rsid w:val="00CA359F"/>
    <w:rsid w:val="00CA3726"/>
    <w:rsid w:val="00CA3818"/>
    <w:rsid w:val="00CA38AE"/>
    <w:rsid w:val="00CA3921"/>
    <w:rsid w:val="00CA3A55"/>
    <w:rsid w:val="00CA3ABC"/>
    <w:rsid w:val="00CA3C7C"/>
    <w:rsid w:val="00CA3C9B"/>
    <w:rsid w:val="00CA3E9F"/>
    <w:rsid w:val="00CA3F10"/>
    <w:rsid w:val="00CA3FD5"/>
    <w:rsid w:val="00CA404B"/>
    <w:rsid w:val="00CA422E"/>
    <w:rsid w:val="00CA438B"/>
    <w:rsid w:val="00CA444F"/>
    <w:rsid w:val="00CA46C9"/>
    <w:rsid w:val="00CA48CC"/>
    <w:rsid w:val="00CA4A93"/>
    <w:rsid w:val="00CA4B20"/>
    <w:rsid w:val="00CA4CB6"/>
    <w:rsid w:val="00CA4DAC"/>
    <w:rsid w:val="00CA4EF3"/>
    <w:rsid w:val="00CA5111"/>
    <w:rsid w:val="00CA5245"/>
    <w:rsid w:val="00CA5274"/>
    <w:rsid w:val="00CA5355"/>
    <w:rsid w:val="00CA53C5"/>
    <w:rsid w:val="00CA561F"/>
    <w:rsid w:val="00CA5B6D"/>
    <w:rsid w:val="00CA5BC1"/>
    <w:rsid w:val="00CA5DAE"/>
    <w:rsid w:val="00CA5E19"/>
    <w:rsid w:val="00CA5F40"/>
    <w:rsid w:val="00CA61CA"/>
    <w:rsid w:val="00CA62D2"/>
    <w:rsid w:val="00CA68A7"/>
    <w:rsid w:val="00CA6D1C"/>
    <w:rsid w:val="00CA6ECC"/>
    <w:rsid w:val="00CA7052"/>
    <w:rsid w:val="00CA7109"/>
    <w:rsid w:val="00CA71F4"/>
    <w:rsid w:val="00CA75C0"/>
    <w:rsid w:val="00CA78A5"/>
    <w:rsid w:val="00CA7959"/>
    <w:rsid w:val="00CA7B09"/>
    <w:rsid w:val="00CA7F1B"/>
    <w:rsid w:val="00CB0017"/>
    <w:rsid w:val="00CB00CA"/>
    <w:rsid w:val="00CB0720"/>
    <w:rsid w:val="00CB078A"/>
    <w:rsid w:val="00CB0997"/>
    <w:rsid w:val="00CB0B49"/>
    <w:rsid w:val="00CB0C0F"/>
    <w:rsid w:val="00CB0D06"/>
    <w:rsid w:val="00CB0F1E"/>
    <w:rsid w:val="00CB116E"/>
    <w:rsid w:val="00CB11F3"/>
    <w:rsid w:val="00CB12A5"/>
    <w:rsid w:val="00CB13A5"/>
    <w:rsid w:val="00CB156D"/>
    <w:rsid w:val="00CB15DF"/>
    <w:rsid w:val="00CB1855"/>
    <w:rsid w:val="00CB1911"/>
    <w:rsid w:val="00CB1A39"/>
    <w:rsid w:val="00CB1CAC"/>
    <w:rsid w:val="00CB1E27"/>
    <w:rsid w:val="00CB1E4F"/>
    <w:rsid w:val="00CB2094"/>
    <w:rsid w:val="00CB297A"/>
    <w:rsid w:val="00CB2A32"/>
    <w:rsid w:val="00CB2B8C"/>
    <w:rsid w:val="00CB2C5D"/>
    <w:rsid w:val="00CB2F2A"/>
    <w:rsid w:val="00CB306C"/>
    <w:rsid w:val="00CB32D2"/>
    <w:rsid w:val="00CB3723"/>
    <w:rsid w:val="00CB37B6"/>
    <w:rsid w:val="00CB3C9D"/>
    <w:rsid w:val="00CB3D92"/>
    <w:rsid w:val="00CB3F10"/>
    <w:rsid w:val="00CB3F4D"/>
    <w:rsid w:val="00CB4006"/>
    <w:rsid w:val="00CB4061"/>
    <w:rsid w:val="00CB4491"/>
    <w:rsid w:val="00CB44EB"/>
    <w:rsid w:val="00CB491A"/>
    <w:rsid w:val="00CB4A58"/>
    <w:rsid w:val="00CB4BFD"/>
    <w:rsid w:val="00CB4C62"/>
    <w:rsid w:val="00CB4C7D"/>
    <w:rsid w:val="00CB4CEB"/>
    <w:rsid w:val="00CB4DB6"/>
    <w:rsid w:val="00CB4DF2"/>
    <w:rsid w:val="00CB545A"/>
    <w:rsid w:val="00CB55CD"/>
    <w:rsid w:val="00CB57C5"/>
    <w:rsid w:val="00CB58D0"/>
    <w:rsid w:val="00CB5A15"/>
    <w:rsid w:val="00CB5B1A"/>
    <w:rsid w:val="00CB5BAF"/>
    <w:rsid w:val="00CB5C06"/>
    <w:rsid w:val="00CB5FA6"/>
    <w:rsid w:val="00CB621A"/>
    <w:rsid w:val="00CB64AD"/>
    <w:rsid w:val="00CB6644"/>
    <w:rsid w:val="00CB6689"/>
    <w:rsid w:val="00CB669B"/>
    <w:rsid w:val="00CB69AF"/>
    <w:rsid w:val="00CB6B22"/>
    <w:rsid w:val="00CB6D7B"/>
    <w:rsid w:val="00CB6E43"/>
    <w:rsid w:val="00CB71DE"/>
    <w:rsid w:val="00CB75FA"/>
    <w:rsid w:val="00CB7660"/>
    <w:rsid w:val="00CB7917"/>
    <w:rsid w:val="00CB7C6C"/>
    <w:rsid w:val="00CB7F5F"/>
    <w:rsid w:val="00CC00FF"/>
    <w:rsid w:val="00CC011F"/>
    <w:rsid w:val="00CC0239"/>
    <w:rsid w:val="00CC02A2"/>
    <w:rsid w:val="00CC02C1"/>
    <w:rsid w:val="00CC040A"/>
    <w:rsid w:val="00CC07EE"/>
    <w:rsid w:val="00CC0A4B"/>
    <w:rsid w:val="00CC0AC3"/>
    <w:rsid w:val="00CC0B1B"/>
    <w:rsid w:val="00CC0C38"/>
    <w:rsid w:val="00CC0C56"/>
    <w:rsid w:val="00CC0CDA"/>
    <w:rsid w:val="00CC0DD8"/>
    <w:rsid w:val="00CC0FC5"/>
    <w:rsid w:val="00CC112A"/>
    <w:rsid w:val="00CC1192"/>
    <w:rsid w:val="00CC1218"/>
    <w:rsid w:val="00CC1320"/>
    <w:rsid w:val="00CC14DB"/>
    <w:rsid w:val="00CC1537"/>
    <w:rsid w:val="00CC16B6"/>
    <w:rsid w:val="00CC1B39"/>
    <w:rsid w:val="00CC1BFA"/>
    <w:rsid w:val="00CC1C5F"/>
    <w:rsid w:val="00CC1CEA"/>
    <w:rsid w:val="00CC1EB7"/>
    <w:rsid w:val="00CC1F68"/>
    <w:rsid w:val="00CC1F7A"/>
    <w:rsid w:val="00CC245D"/>
    <w:rsid w:val="00CC24B1"/>
    <w:rsid w:val="00CC269D"/>
    <w:rsid w:val="00CC2734"/>
    <w:rsid w:val="00CC2832"/>
    <w:rsid w:val="00CC2A3F"/>
    <w:rsid w:val="00CC2D78"/>
    <w:rsid w:val="00CC2E9F"/>
    <w:rsid w:val="00CC2EA8"/>
    <w:rsid w:val="00CC3373"/>
    <w:rsid w:val="00CC3434"/>
    <w:rsid w:val="00CC358F"/>
    <w:rsid w:val="00CC35CA"/>
    <w:rsid w:val="00CC35EA"/>
    <w:rsid w:val="00CC35F7"/>
    <w:rsid w:val="00CC35FD"/>
    <w:rsid w:val="00CC37D7"/>
    <w:rsid w:val="00CC3848"/>
    <w:rsid w:val="00CC3866"/>
    <w:rsid w:val="00CC3936"/>
    <w:rsid w:val="00CC3A07"/>
    <w:rsid w:val="00CC3CB2"/>
    <w:rsid w:val="00CC3DCE"/>
    <w:rsid w:val="00CC3E94"/>
    <w:rsid w:val="00CC3FDF"/>
    <w:rsid w:val="00CC4247"/>
    <w:rsid w:val="00CC466D"/>
    <w:rsid w:val="00CC4692"/>
    <w:rsid w:val="00CC4816"/>
    <w:rsid w:val="00CC4A9E"/>
    <w:rsid w:val="00CC4BC8"/>
    <w:rsid w:val="00CC4D2F"/>
    <w:rsid w:val="00CC4E81"/>
    <w:rsid w:val="00CC532C"/>
    <w:rsid w:val="00CC53C8"/>
    <w:rsid w:val="00CC5420"/>
    <w:rsid w:val="00CC5461"/>
    <w:rsid w:val="00CC5943"/>
    <w:rsid w:val="00CC5C0A"/>
    <w:rsid w:val="00CC63E3"/>
    <w:rsid w:val="00CC6418"/>
    <w:rsid w:val="00CC643C"/>
    <w:rsid w:val="00CC646E"/>
    <w:rsid w:val="00CC6643"/>
    <w:rsid w:val="00CC691C"/>
    <w:rsid w:val="00CC6D5E"/>
    <w:rsid w:val="00CC6E55"/>
    <w:rsid w:val="00CC6EA2"/>
    <w:rsid w:val="00CC73F0"/>
    <w:rsid w:val="00CC74C5"/>
    <w:rsid w:val="00CC7779"/>
    <w:rsid w:val="00CC7BEC"/>
    <w:rsid w:val="00CD0200"/>
    <w:rsid w:val="00CD02C3"/>
    <w:rsid w:val="00CD036B"/>
    <w:rsid w:val="00CD05A3"/>
    <w:rsid w:val="00CD070E"/>
    <w:rsid w:val="00CD0874"/>
    <w:rsid w:val="00CD0B23"/>
    <w:rsid w:val="00CD0CB2"/>
    <w:rsid w:val="00CD1084"/>
    <w:rsid w:val="00CD11A0"/>
    <w:rsid w:val="00CD1236"/>
    <w:rsid w:val="00CD137B"/>
    <w:rsid w:val="00CD1401"/>
    <w:rsid w:val="00CD1484"/>
    <w:rsid w:val="00CD14D6"/>
    <w:rsid w:val="00CD1549"/>
    <w:rsid w:val="00CD1AA6"/>
    <w:rsid w:val="00CD1B7B"/>
    <w:rsid w:val="00CD1CD2"/>
    <w:rsid w:val="00CD1DCD"/>
    <w:rsid w:val="00CD1E57"/>
    <w:rsid w:val="00CD1E91"/>
    <w:rsid w:val="00CD2033"/>
    <w:rsid w:val="00CD207E"/>
    <w:rsid w:val="00CD208C"/>
    <w:rsid w:val="00CD25C9"/>
    <w:rsid w:val="00CD269A"/>
    <w:rsid w:val="00CD2739"/>
    <w:rsid w:val="00CD2994"/>
    <w:rsid w:val="00CD29B2"/>
    <w:rsid w:val="00CD2B80"/>
    <w:rsid w:val="00CD2C64"/>
    <w:rsid w:val="00CD2F90"/>
    <w:rsid w:val="00CD31C3"/>
    <w:rsid w:val="00CD3256"/>
    <w:rsid w:val="00CD3285"/>
    <w:rsid w:val="00CD32A8"/>
    <w:rsid w:val="00CD32CA"/>
    <w:rsid w:val="00CD369D"/>
    <w:rsid w:val="00CD372C"/>
    <w:rsid w:val="00CD3930"/>
    <w:rsid w:val="00CD3A25"/>
    <w:rsid w:val="00CD3B3C"/>
    <w:rsid w:val="00CD3CD6"/>
    <w:rsid w:val="00CD3F77"/>
    <w:rsid w:val="00CD406D"/>
    <w:rsid w:val="00CD4226"/>
    <w:rsid w:val="00CD4240"/>
    <w:rsid w:val="00CD4272"/>
    <w:rsid w:val="00CD4583"/>
    <w:rsid w:val="00CD463B"/>
    <w:rsid w:val="00CD46E5"/>
    <w:rsid w:val="00CD48CC"/>
    <w:rsid w:val="00CD49D5"/>
    <w:rsid w:val="00CD4A63"/>
    <w:rsid w:val="00CD4BF0"/>
    <w:rsid w:val="00CD4FF7"/>
    <w:rsid w:val="00CD5922"/>
    <w:rsid w:val="00CD5985"/>
    <w:rsid w:val="00CD5FAD"/>
    <w:rsid w:val="00CD60C9"/>
    <w:rsid w:val="00CD6320"/>
    <w:rsid w:val="00CD64A6"/>
    <w:rsid w:val="00CD662B"/>
    <w:rsid w:val="00CD66EC"/>
    <w:rsid w:val="00CD6803"/>
    <w:rsid w:val="00CD68AA"/>
    <w:rsid w:val="00CD69AD"/>
    <w:rsid w:val="00CD6AC0"/>
    <w:rsid w:val="00CD6ADC"/>
    <w:rsid w:val="00CD6B80"/>
    <w:rsid w:val="00CD6C7C"/>
    <w:rsid w:val="00CD6D0A"/>
    <w:rsid w:val="00CD70CD"/>
    <w:rsid w:val="00CD7157"/>
    <w:rsid w:val="00CD7193"/>
    <w:rsid w:val="00CD71FF"/>
    <w:rsid w:val="00CD73C9"/>
    <w:rsid w:val="00CD73E6"/>
    <w:rsid w:val="00CD7447"/>
    <w:rsid w:val="00CD7667"/>
    <w:rsid w:val="00CD7811"/>
    <w:rsid w:val="00CD790D"/>
    <w:rsid w:val="00CD7911"/>
    <w:rsid w:val="00CD791E"/>
    <w:rsid w:val="00CD7A20"/>
    <w:rsid w:val="00CD7C8B"/>
    <w:rsid w:val="00CD7D56"/>
    <w:rsid w:val="00CD7FA9"/>
    <w:rsid w:val="00CD7FE6"/>
    <w:rsid w:val="00CE0129"/>
    <w:rsid w:val="00CE0425"/>
    <w:rsid w:val="00CE0541"/>
    <w:rsid w:val="00CE07B7"/>
    <w:rsid w:val="00CE0C0E"/>
    <w:rsid w:val="00CE0FE2"/>
    <w:rsid w:val="00CE1122"/>
    <w:rsid w:val="00CE1178"/>
    <w:rsid w:val="00CE12A1"/>
    <w:rsid w:val="00CE14AC"/>
    <w:rsid w:val="00CE16FD"/>
    <w:rsid w:val="00CE1825"/>
    <w:rsid w:val="00CE191B"/>
    <w:rsid w:val="00CE1C80"/>
    <w:rsid w:val="00CE1E14"/>
    <w:rsid w:val="00CE26A5"/>
    <w:rsid w:val="00CE26FF"/>
    <w:rsid w:val="00CE286C"/>
    <w:rsid w:val="00CE28BD"/>
    <w:rsid w:val="00CE2BC3"/>
    <w:rsid w:val="00CE2FF5"/>
    <w:rsid w:val="00CE312E"/>
    <w:rsid w:val="00CE36D1"/>
    <w:rsid w:val="00CE38C8"/>
    <w:rsid w:val="00CE39D1"/>
    <w:rsid w:val="00CE39E4"/>
    <w:rsid w:val="00CE43FD"/>
    <w:rsid w:val="00CE45DE"/>
    <w:rsid w:val="00CE4732"/>
    <w:rsid w:val="00CE49F5"/>
    <w:rsid w:val="00CE4B6C"/>
    <w:rsid w:val="00CE4DF4"/>
    <w:rsid w:val="00CE5012"/>
    <w:rsid w:val="00CE524F"/>
    <w:rsid w:val="00CE561E"/>
    <w:rsid w:val="00CE58CC"/>
    <w:rsid w:val="00CE5AC9"/>
    <w:rsid w:val="00CE5C18"/>
    <w:rsid w:val="00CE5D95"/>
    <w:rsid w:val="00CE5F92"/>
    <w:rsid w:val="00CE5FE8"/>
    <w:rsid w:val="00CE60C8"/>
    <w:rsid w:val="00CE6274"/>
    <w:rsid w:val="00CE6359"/>
    <w:rsid w:val="00CE644A"/>
    <w:rsid w:val="00CE64D6"/>
    <w:rsid w:val="00CE6826"/>
    <w:rsid w:val="00CE68A4"/>
    <w:rsid w:val="00CE6972"/>
    <w:rsid w:val="00CE6AA2"/>
    <w:rsid w:val="00CE6B56"/>
    <w:rsid w:val="00CE6C3F"/>
    <w:rsid w:val="00CE6C86"/>
    <w:rsid w:val="00CE6CE3"/>
    <w:rsid w:val="00CE6F0A"/>
    <w:rsid w:val="00CE7091"/>
    <w:rsid w:val="00CE7119"/>
    <w:rsid w:val="00CE7198"/>
    <w:rsid w:val="00CE75ED"/>
    <w:rsid w:val="00CE76FC"/>
    <w:rsid w:val="00CE77B6"/>
    <w:rsid w:val="00CE7875"/>
    <w:rsid w:val="00CE7927"/>
    <w:rsid w:val="00CE793D"/>
    <w:rsid w:val="00CE7EFE"/>
    <w:rsid w:val="00CF0116"/>
    <w:rsid w:val="00CF02AB"/>
    <w:rsid w:val="00CF0416"/>
    <w:rsid w:val="00CF0517"/>
    <w:rsid w:val="00CF0777"/>
    <w:rsid w:val="00CF0789"/>
    <w:rsid w:val="00CF0B09"/>
    <w:rsid w:val="00CF0CED"/>
    <w:rsid w:val="00CF100B"/>
    <w:rsid w:val="00CF102D"/>
    <w:rsid w:val="00CF10A7"/>
    <w:rsid w:val="00CF11EE"/>
    <w:rsid w:val="00CF1208"/>
    <w:rsid w:val="00CF135A"/>
    <w:rsid w:val="00CF1453"/>
    <w:rsid w:val="00CF147A"/>
    <w:rsid w:val="00CF1482"/>
    <w:rsid w:val="00CF1510"/>
    <w:rsid w:val="00CF155E"/>
    <w:rsid w:val="00CF1746"/>
    <w:rsid w:val="00CF17AF"/>
    <w:rsid w:val="00CF1A58"/>
    <w:rsid w:val="00CF1C1D"/>
    <w:rsid w:val="00CF1D62"/>
    <w:rsid w:val="00CF1EC3"/>
    <w:rsid w:val="00CF1F98"/>
    <w:rsid w:val="00CF227F"/>
    <w:rsid w:val="00CF2319"/>
    <w:rsid w:val="00CF23F9"/>
    <w:rsid w:val="00CF25D2"/>
    <w:rsid w:val="00CF26EA"/>
    <w:rsid w:val="00CF27A3"/>
    <w:rsid w:val="00CF2B8D"/>
    <w:rsid w:val="00CF2D0D"/>
    <w:rsid w:val="00CF2E6F"/>
    <w:rsid w:val="00CF2F55"/>
    <w:rsid w:val="00CF3057"/>
    <w:rsid w:val="00CF337C"/>
    <w:rsid w:val="00CF33FD"/>
    <w:rsid w:val="00CF34BF"/>
    <w:rsid w:val="00CF3659"/>
    <w:rsid w:val="00CF36FA"/>
    <w:rsid w:val="00CF3967"/>
    <w:rsid w:val="00CF3A1B"/>
    <w:rsid w:val="00CF3A2E"/>
    <w:rsid w:val="00CF3E26"/>
    <w:rsid w:val="00CF3EB8"/>
    <w:rsid w:val="00CF4057"/>
    <w:rsid w:val="00CF42A8"/>
    <w:rsid w:val="00CF4316"/>
    <w:rsid w:val="00CF4546"/>
    <w:rsid w:val="00CF456B"/>
    <w:rsid w:val="00CF46C9"/>
    <w:rsid w:val="00CF4BB6"/>
    <w:rsid w:val="00CF4C71"/>
    <w:rsid w:val="00CF4CED"/>
    <w:rsid w:val="00CF4E51"/>
    <w:rsid w:val="00CF4E9C"/>
    <w:rsid w:val="00CF4F26"/>
    <w:rsid w:val="00CF5517"/>
    <w:rsid w:val="00CF5569"/>
    <w:rsid w:val="00CF5610"/>
    <w:rsid w:val="00CF59E3"/>
    <w:rsid w:val="00CF5A22"/>
    <w:rsid w:val="00CF5BBC"/>
    <w:rsid w:val="00CF5C38"/>
    <w:rsid w:val="00CF5E4D"/>
    <w:rsid w:val="00CF60C4"/>
    <w:rsid w:val="00CF619D"/>
    <w:rsid w:val="00CF626D"/>
    <w:rsid w:val="00CF6305"/>
    <w:rsid w:val="00CF6329"/>
    <w:rsid w:val="00CF6373"/>
    <w:rsid w:val="00CF649A"/>
    <w:rsid w:val="00CF6632"/>
    <w:rsid w:val="00CF6B50"/>
    <w:rsid w:val="00CF6B93"/>
    <w:rsid w:val="00CF6D52"/>
    <w:rsid w:val="00CF6D87"/>
    <w:rsid w:val="00CF71BB"/>
    <w:rsid w:val="00CF71CD"/>
    <w:rsid w:val="00CF72C2"/>
    <w:rsid w:val="00CF72DC"/>
    <w:rsid w:val="00CF7315"/>
    <w:rsid w:val="00CF758E"/>
    <w:rsid w:val="00CF76A8"/>
    <w:rsid w:val="00CF76C8"/>
    <w:rsid w:val="00CF7837"/>
    <w:rsid w:val="00CF79B0"/>
    <w:rsid w:val="00CF7CB9"/>
    <w:rsid w:val="00D0025A"/>
    <w:rsid w:val="00D00271"/>
    <w:rsid w:val="00D0058E"/>
    <w:rsid w:val="00D00878"/>
    <w:rsid w:val="00D00890"/>
    <w:rsid w:val="00D00A8A"/>
    <w:rsid w:val="00D00BD3"/>
    <w:rsid w:val="00D00D2D"/>
    <w:rsid w:val="00D00DBE"/>
    <w:rsid w:val="00D00E6F"/>
    <w:rsid w:val="00D00EFA"/>
    <w:rsid w:val="00D01070"/>
    <w:rsid w:val="00D0131D"/>
    <w:rsid w:val="00D0171D"/>
    <w:rsid w:val="00D01A34"/>
    <w:rsid w:val="00D01AA6"/>
    <w:rsid w:val="00D02031"/>
    <w:rsid w:val="00D0262E"/>
    <w:rsid w:val="00D026A5"/>
    <w:rsid w:val="00D029A1"/>
    <w:rsid w:val="00D02A42"/>
    <w:rsid w:val="00D02A9A"/>
    <w:rsid w:val="00D02ACE"/>
    <w:rsid w:val="00D02EAF"/>
    <w:rsid w:val="00D032CE"/>
    <w:rsid w:val="00D032F4"/>
    <w:rsid w:val="00D033CB"/>
    <w:rsid w:val="00D033E2"/>
    <w:rsid w:val="00D035F9"/>
    <w:rsid w:val="00D03679"/>
    <w:rsid w:val="00D037D6"/>
    <w:rsid w:val="00D03836"/>
    <w:rsid w:val="00D03C0C"/>
    <w:rsid w:val="00D0408E"/>
    <w:rsid w:val="00D04119"/>
    <w:rsid w:val="00D043D0"/>
    <w:rsid w:val="00D04556"/>
    <w:rsid w:val="00D045D5"/>
    <w:rsid w:val="00D047FC"/>
    <w:rsid w:val="00D0493A"/>
    <w:rsid w:val="00D04FF4"/>
    <w:rsid w:val="00D052D2"/>
    <w:rsid w:val="00D0535D"/>
    <w:rsid w:val="00D05438"/>
    <w:rsid w:val="00D05461"/>
    <w:rsid w:val="00D05658"/>
    <w:rsid w:val="00D05AA1"/>
    <w:rsid w:val="00D05E3D"/>
    <w:rsid w:val="00D06139"/>
    <w:rsid w:val="00D06241"/>
    <w:rsid w:val="00D063C1"/>
    <w:rsid w:val="00D06484"/>
    <w:rsid w:val="00D06656"/>
    <w:rsid w:val="00D06696"/>
    <w:rsid w:val="00D067FE"/>
    <w:rsid w:val="00D06860"/>
    <w:rsid w:val="00D06BB4"/>
    <w:rsid w:val="00D06D5C"/>
    <w:rsid w:val="00D06DF8"/>
    <w:rsid w:val="00D06FA6"/>
    <w:rsid w:val="00D07092"/>
    <w:rsid w:val="00D07122"/>
    <w:rsid w:val="00D073FB"/>
    <w:rsid w:val="00D0745D"/>
    <w:rsid w:val="00D07566"/>
    <w:rsid w:val="00D075A1"/>
    <w:rsid w:val="00D07A89"/>
    <w:rsid w:val="00D07B46"/>
    <w:rsid w:val="00D07B7D"/>
    <w:rsid w:val="00D07BC5"/>
    <w:rsid w:val="00D07BEC"/>
    <w:rsid w:val="00D10094"/>
    <w:rsid w:val="00D10140"/>
    <w:rsid w:val="00D1014A"/>
    <w:rsid w:val="00D10271"/>
    <w:rsid w:val="00D10668"/>
    <w:rsid w:val="00D10BAD"/>
    <w:rsid w:val="00D10C0C"/>
    <w:rsid w:val="00D10ECD"/>
    <w:rsid w:val="00D110BD"/>
    <w:rsid w:val="00D11127"/>
    <w:rsid w:val="00D1115D"/>
    <w:rsid w:val="00D111C2"/>
    <w:rsid w:val="00D11397"/>
    <w:rsid w:val="00D11431"/>
    <w:rsid w:val="00D116BC"/>
    <w:rsid w:val="00D11973"/>
    <w:rsid w:val="00D11A3D"/>
    <w:rsid w:val="00D12067"/>
    <w:rsid w:val="00D12596"/>
    <w:rsid w:val="00D126E4"/>
    <w:rsid w:val="00D12814"/>
    <w:rsid w:val="00D12965"/>
    <w:rsid w:val="00D129A6"/>
    <w:rsid w:val="00D129F0"/>
    <w:rsid w:val="00D12A96"/>
    <w:rsid w:val="00D12DD2"/>
    <w:rsid w:val="00D12E02"/>
    <w:rsid w:val="00D12E71"/>
    <w:rsid w:val="00D13019"/>
    <w:rsid w:val="00D13135"/>
    <w:rsid w:val="00D131B6"/>
    <w:rsid w:val="00D131BC"/>
    <w:rsid w:val="00D13381"/>
    <w:rsid w:val="00D1347E"/>
    <w:rsid w:val="00D13590"/>
    <w:rsid w:val="00D13675"/>
    <w:rsid w:val="00D13905"/>
    <w:rsid w:val="00D13A0C"/>
    <w:rsid w:val="00D13D6F"/>
    <w:rsid w:val="00D13FDA"/>
    <w:rsid w:val="00D14049"/>
    <w:rsid w:val="00D141E1"/>
    <w:rsid w:val="00D142F8"/>
    <w:rsid w:val="00D143A8"/>
    <w:rsid w:val="00D14524"/>
    <w:rsid w:val="00D14601"/>
    <w:rsid w:val="00D146FD"/>
    <w:rsid w:val="00D14A77"/>
    <w:rsid w:val="00D14BEC"/>
    <w:rsid w:val="00D14D0D"/>
    <w:rsid w:val="00D14D4A"/>
    <w:rsid w:val="00D14FD0"/>
    <w:rsid w:val="00D1502F"/>
    <w:rsid w:val="00D15055"/>
    <w:rsid w:val="00D1508F"/>
    <w:rsid w:val="00D15142"/>
    <w:rsid w:val="00D15314"/>
    <w:rsid w:val="00D15494"/>
    <w:rsid w:val="00D155D1"/>
    <w:rsid w:val="00D15603"/>
    <w:rsid w:val="00D1565D"/>
    <w:rsid w:val="00D15952"/>
    <w:rsid w:val="00D15A55"/>
    <w:rsid w:val="00D15B48"/>
    <w:rsid w:val="00D15C13"/>
    <w:rsid w:val="00D15DBF"/>
    <w:rsid w:val="00D15E7E"/>
    <w:rsid w:val="00D15FB5"/>
    <w:rsid w:val="00D1619A"/>
    <w:rsid w:val="00D162BA"/>
    <w:rsid w:val="00D1651C"/>
    <w:rsid w:val="00D165AD"/>
    <w:rsid w:val="00D1677E"/>
    <w:rsid w:val="00D1691C"/>
    <w:rsid w:val="00D16A6E"/>
    <w:rsid w:val="00D16C1D"/>
    <w:rsid w:val="00D16CAA"/>
    <w:rsid w:val="00D16CEF"/>
    <w:rsid w:val="00D17353"/>
    <w:rsid w:val="00D17467"/>
    <w:rsid w:val="00D175E2"/>
    <w:rsid w:val="00D177C6"/>
    <w:rsid w:val="00D17822"/>
    <w:rsid w:val="00D179B1"/>
    <w:rsid w:val="00D17BB3"/>
    <w:rsid w:val="00D17D42"/>
    <w:rsid w:val="00D17D6C"/>
    <w:rsid w:val="00D17ED7"/>
    <w:rsid w:val="00D17F4D"/>
    <w:rsid w:val="00D20024"/>
    <w:rsid w:val="00D2017F"/>
    <w:rsid w:val="00D20463"/>
    <w:rsid w:val="00D20510"/>
    <w:rsid w:val="00D2089C"/>
    <w:rsid w:val="00D20949"/>
    <w:rsid w:val="00D20A82"/>
    <w:rsid w:val="00D20A9C"/>
    <w:rsid w:val="00D20AB4"/>
    <w:rsid w:val="00D20AD4"/>
    <w:rsid w:val="00D20ED4"/>
    <w:rsid w:val="00D20F0E"/>
    <w:rsid w:val="00D21037"/>
    <w:rsid w:val="00D21174"/>
    <w:rsid w:val="00D21205"/>
    <w:rsid w:val="00D2155B"/>
    <w:rsid w:val="00D21780"/>
    <w:rsid w:val="00D21827"/>
    <w:rsid w:val="00D21A51"/>
    <w:rsid w:val="00D21DA5"/>
    <w:rsid w:val="00D21DEF"/>
    <w:rsid w:val="00D21FE8"/>
    <w:rsid w:val="00D22285"/>
    <w:rsid w:val="00D2259C"/>
    <w:rsid w:val="00D22682"/>
    <w:rsid w:val="00D22873"/>
    <w:rsid w:val="00D22B14"/>
    <w:rsid w:val="00D22B16"/>
    <w:rsid w:val="00D22CAB"/>
    <w:rsid w:val="00D22FE5"/>
    <w:rsid w:val="00D23017"/>
    <w:rsid w:val="00D23537"/>
    <w:rsid w:val="00D2366C"/>
    <w:rsid w:val="00D237C7"/>
    <w:rsid w:val="00D23845"/>
    <w:rsid w:val="00D23C2B"/>
    <w:rsid w:val="00D23D11"/>
    <w:rsid w:val="00D23D50"/>
    <w:rsid w:val="00D23E5D"/>
    <w:rsid w:val="00D241F3"/>
    <w:rsid w:val="00D24241"/>
    <w:rsid w:val="00D24318"/>
    <w:rsid w:val="00D244B6"/>
    <w:rsid w:val="00D245A7"/>
    <w:rsid w:val="00D24723"/>
    <w:rsid w:val="00D247E4"/>
    <w:rsid w:val="00D24C6C"/>
    <w:rsid w:val="00D24FD0"/>
    <w:rsid w:val="00D2510D"/>
    <w:rsid w:val="00D25153"/>
    <w:rsid w:val="00D2556B"/>
    <w:rsid w:val="00D256B3"/>
    <w:rsid w:val="00D25703"/>
    <w:rsid w:val="00D259A4"/>
    <w:rsid w:val="00D25A2D"/>
    <w:rsid w:val="00D25C29"/>
    <w:rsid w:val="00D25CBC"/>
    <w:rsid w:val="00D25CFE"/>
    <w:rsid w:val="00D26164"/>
    <w:rsid w:val="00D2627E"/>
    <w:rsid w:val="00D267CC"/>
    <w:rsid w:val="00D26AD5"/>
    <w:rsid w:val="00D26D63"/>
    <w:rsid w:val="00D26E27"/>
    <w:rsid w:val="00D26E31"/>
    <w:rsid w:val="00D26F3D"/>
    <w:rsid w:val="00D26F8A"/>
    <w:rsid w:val="00D27413"/>
    <w:rsid w:val="00D2754D"/>
    <w:rsid w:val="00D27727"/>
    <w:rsid w:val="00D27969"/>
    <w:rsid w:val="00D27A14"/>
    <w:rsid w:val="00D27A74"/>
    <w:rsid w:val="00D27A99"/>
    <w:rsid w:val="00D27B27"/>
    <w:rsid w:val="00D30001"/>
    <w:rsid w:val="00D30080"/>
    <w:rsid w:val="00D30130"/>
    <w:rsid w:val="00D304E2"/>
    <w:rsid w:val="00D30821"/>
    <w:rsid w:val="00D30933"/>
    <w:rsid w:val="00D30D1D"/>
    <w:rsid w:val="00D30D56"/>
    <w:rsid w:val="00D30D5B"/>
    <w:rsid w:val="00D30DB8"/>
    <w:rsid w:val="00D30ECA"/>
    <w:rsid w:val="00D31167"/>
    <w:rsid w:val="00D311A7"/>
    <w:rsid w:val="00D314A1"/>
    <w:rsid w:val="00D3178B"/>
    <w:rsid w:val="00D317E4"/>
    <w:rsid w:val="00D31818"/>
    <w:rsid w:val="00D31A3C"/>
    <w:rsid w:val="00D31B4F"/>
    <w:rsid w:val="00D31BAF"/>
    <w:rsid w:val="00D31C33"/>
    <w:rsid w:val="00D31D4E"/>
    <w:rsid w:val="00D31F43"/>
    <w:rsid w:val="00D32077"/>
    <w:rsid w:val="00D323AF"/>
    <w:rsid w:val="00D32B3E"/>
    <w:rsid w:val="00D32D59"/>
    <w:rsid w:val="00D32D8A"/>
    <w:rsid w:val="00D333EE"/>
    <w:rsid w:val="00D33510"/>
    <w:rsid w:val="00D33597"/>
    <w:rsid w:val="00D3366C"/>
    <w:rsid w:val="00D336C0"/>
    <w:rsid w:val="00D336E7"/>
    <w:rsid w:val="00D33815"/>
    <w:rsid w:val="00D33835"/>
    <w:rsid w:val="00D33A63"/>
    <w:rsid w:val="00D33B40"/>
    <w:rsid w:val="00D33BE9"/>
    <w:rsid w:val="00D33C13"/>
    <w:rsid w:val="00D33CB1"/>
    <w:rsid w:val="00D33E7E"/>
    <w:rsid w:val="00D33F93"/>
    <w:rsid w:val="00D33FBE"/>
    <w:rsid w:val="00D34140"/>
    <w:rsid w:val="00D345F4"/>
    <w:rsid w:val="00D347FF"/>
    <w:rsid w:val="00D34A24"/>
    <w:rsid w:val="00D34DE0"/>
    <w:rsid w:val="00D34F0F"/>
    <w:rsid w:val="00D350F8"/>
    <w:rsid w:val="00D3514C"/>
    <w:rsid w:val="00D354F3"/>
    <w:rsid w:val="00D3577F"/>
    <w:rsid w:val="00D357FF"/>
    <w:rsid w:val="00D35867"/>
    <w:rsid w:val="00D3586C"/>
    <w:rsid w:val="00D35963"/>
    <w:rsid w:val="00D35D7B"/>
    <w:rsid w:val="00D361A5"/>
    <w:rsid w:val="00D361AE"/>
    <w:rsid w:val="00D361EA"/>
    <w:rsid w:val="00D362D0"/>
    <w:rsid w:val="00D3656E"/>
    <w:rsid w:val="00D3659C"/>
    <w:rsid w:val="00D3670B"/>
    <w:rsid w:val="00D368CF"/>
    <w:rsid w:val="00D369BD"/>
    <w:rsid w:val="00D36B13"/>
    <w:rsid w:val="00D36BBD"/>
    <w:rsid w:val="00D36E03"/>
    <w:rsid w:val="00D36EB2"/>
    <w:rsid w:val="00D36F81"/>
    <w:rsid w:val="00D370C5"/>
    <w:rsid w:val="00D378A8"/>
    <w:rsid w:val="00D379ED"/>
    <w:rsid w:val="00D40254"/>
    <w:rsid w:val="00D40263"/>
    <w:rsid w:val="00D40353"/>
    <w:rsid w:val="00D40759"/>
    <w:rsid w:val="00D4081D"/>
    <w:rsid w:val="00D40848"/>
    <w:rsid w:val="00D408D1"/>
    <w:rsid w:val="00D40BF5"/>
    <w:rsid w:val="00D40D5B"/>
    <w:rsid w:val="00D41195"/>
    <w:rsid w:val="00D41381"/>
    <w:rsid w:val="00D4139D"/>
    <w:rsid w:val="00D4149A"/>
    <w:rsid w:val="00D414CE"/>
    <w:rsid w:val="00D41657"/>
    <w:rsid w:val="00D41AFE"/>
    <w:rsid w:val="00D41EC3"/>
    <w:rsid w:val="00D41EFB"/>
    <w:rsid w:val="00D4202B"/>
    <w:rsid w:val="00D420CD"/>
    <w:rsid w:val="00D424C7"/>
    <w:rsid w:val="00D427E1"/>
    <w:rsid w:val="00D42B65"/>
    <w:rsid w:val="00D42DD3"/>
    <w:rsid w:val="00D42E0A"/>
    <w:rsid w:val="00D43147"/>
    <w:rsid w:val="00D432BA"/>
    <w:rsid w:val="00D436B3"/>
    <w:rsid w:val="00D437FF"/>
    <w:rsid w:val="00D43B2A"/>
    <w:rsid w:val="00D43CF1"/>
    <w:rsid w:val="00D43D83"/>
    <w:rsid w:val="00D44063"/>
    <w:rsid w:val="00D442E9"/>
    <w:rsid w:val="00D44835"/>
    <w:rsid w:val="00D44847"/>
    <w:rsid w:val="00D448FA"/>
    <w:rsid w:val="00D4499F"/>
    <w:rsid w:val="00D44DFF"/>
    <w:rsid w:val="00D44F43"/>
    <w:rsid w:val="00D45084"/>
    <w:rsid w:val="00D45144"/>
    <w:rsid w:val="00D452BF"/>
    <w:rsid w:val="00D4569D"/>
    <w:rsid w:val="00D45774"/>
    <w:rsid w:val="00D458BB"/>
    <w:rsid w:val="00D458D9"/>
    <w:rsid w:val="00D45D0A"/>
    <w:rsid w:val="00D45D11"/>
    <w:rsid w:val="00D45E60"/>
    <w:rsid w:val="00D4647D"/>
    <w:rsid w:val="00D464E2"/>
    <w:rsid w:val="00D4652E"/>
    <w:rsid w:val="00D46708"/>
    <w:rsid w:val="00D4684B"/>
    <w:rsid w:val="00D46911"/>
    <w:rsid w:val="00D4695C"/>
    <w:rsid w:val="00D4698F"/>
    <w:rsid w:val="00D46A0B"/>
    <w:rsid w:val="00D46C69"/>
    <w:rsid w:val="00D46CFB"/>
    <w:rsid w:val="00D46D5C"/>
    <w:rsid w:val="00D46D78"/>
    <w:rsid w:val="00D46E46"/>
    <w:rsid w:val="00D46F53"/>
    <w:rsid w:val="00D46FA3"/>
    <w:rsid w:val="00D470B3"/>
    <w:rsid w:val="00D4750E"/>
    <w:rsid w:val="00D47575"/>
    <w:rsid w:val="00D4769B"/>
    <w:rsid w:val="00D477C9"/>
    <w:rsid w:val="00D4799B"/>
    <w:rsid w:val="00D47BC1"/>
    <w:rsid w:val="00D47C68"/>
    <w:rsid w:val="00D47D14"/>
    <w:rsid w:val="00D47DC3"/>
    <w:rsid w:val="00D47DD2"/>
    <w:rsid w:val="00D47E8D"/>
    <w:rsid w:val="00D47EC7"/>
    <w:rsid w:val="00D50054"/>
    <w:rsid w:val="00D50098"/>
    <w:rsid w:val="00D5010D"/>
    <w:rsid w:val="00D50246"/>
    <w:rsid w:val="00D50659"/>
    <w:rsid w:val="00D508AA"/>
    <w:rsid w:val="00D50AF3"/>
    <w:rsid w:val="00D50BCD"/>
    <w:rsid w:val="00D50F0D"/>
    <w:rsid w:val="00D50F87"/>
    <w:rsid w:val="00D50FF0"/>
    <w:rsid w:val="00D51004"/>
    <w:rsid w:val="00D51142"/>
    <w:rsid w:val="00D512D7"/>
    <w:rsid w:val="00D51457"/>
    <w:rsid w:val="00D5197F"/>
    <w:rsid w:val="00D51C17"/>
    <w:rsid w:val="00D51D18"/>
    <w:rsid w:val="00D51EB4"/>
    <w:rsid w:val="00D51FA1"/>
    <w:rsid w:val="00D520F2"/>
    <w:rsid w:val="00D521DB"/>
    <w:rsid w:val="00D52415"/>
    <w:rsid w:val="00D5243B"/>
    <w:rsid w:val="00D524AD"/>
    <w:rsid w:val="00D52649"/>
    <w:rsid w:val="00D528CA"/>
    <w:rsid w:val="00D52C1F"/>
    <w:rsid w:val="00D52C4F"/>
    <w:rsid w:val="00D53194"/>
    <w:rsid w:val="00D531A7"/>
    <w:rsid w:val="00D533B3"/>
    <w:rsid w:val="00D533EC"/>
    <w:rsid w:val="00D53474"/>
    <w:rsid w:val="00D53574"/>
    <w:rsid w:val="00D537A0"/>
    <w:rsid w:val="00D537CB"/>
    <w:rsid w:val="00D53902"/>
    <w:rsid w:val="00D539EA"/>
    <w:rsid w:val="00D53A10"/>
    <w:rsid w:val="00D53B58"/>
    <w:rsid w:val="00D53CD7"/>
    <w:rsid w:val="00D53DD0"/>
    <w:rsid w:val="00D53E58"/>
    <w:rsid w:val="00D5413C"/>
    <w:rsid w:val="00D541B7"/>
    <w:rsid w:val="00D54A52"/>
    <w:rsid w:val="00D54AA4"/>
    <w:rsid w:val="00D54B83"/>
    <w:rsid w:val="00D54BBF"/>
    <w:rsid w:val="00D54C1A"/>
    <w:rsid w:val="00D54CFF"/>
    <w:rsid w:val="00D55049"/>
    <w:rsid w:val="00D550A1"/>
    <w:rsid w:val="00D55206"/>
    <w:rsid w:val="00D554DE"/>
    <w:rsid w:val="00D555C3"/>
    <w:rsid w:val="00D55B8A"/>
    <w:rsid w:val="00D55BB4"/>
    <w:rsid w:val="00D55C7D"/>
    <w:rsid w:val="00D5618A"/>
    <w:rsid w:val="00D56358"/>
    <w:rsid w:val="00D5645F"/>
    <w:rsid w:val="00D5672A"/>
    <w:rsid w:val="00D56833"/>
    <w:rsid w:val="00D56A95"/>
    <w:rsid w:val="00D56B51"/>
    <w:rsid w:val="00D56B7D"/>
    <w:rsid w:val="00D56BC2"/>
    <w:rsid w:val="00D56D04"/>
    <w:rsid w:val="00D56F76"/>
    <w:rsid w:val="00D571F2"/>
    <w:rsid w:val="00D5733E"/>
    <w:rsid w:val="00D573F4"/>
    <w:rsid w:val="00D57680"/>
    <w:rsid w:val="00D576EE"/>
    <w:rsid w:val="00D57B94"/>
    <w:rsid w:val="00D57BEC"/>
    <w:rsid w:val="00D57C69"/>
    <w:rsid w:val="00D57DAB"/>
    <w:rsid w:val="00D6013A"/>
    <w:rsid w:val="00D6076E"/>
    <w:rsid w:val="00D60D95"/>
    <w:rsid w:val="00D61027"/>
    <w:rsid w:val="00D61028"/>
    <w:rsid w:val="00D61440"/>
    <w:rsid w:val="00D614B5"/>
    <w:rsid w:val="00D6172E"/>
    <w:rsid w:val="00D6187B"/>
    <w:rsid w:val="00D61B24"/>
    <w:rsid w:val="00D61E1F"/>
    <w:rsid w:val="00D61F72"/>
    <w:rsid w:val="00D61F7D"/>
    <w:rsid w:val="00D62352"/>
    <w:rsid w:val="00D6243F"/>
    <w:rsid w:val="00D6252A"/>
    <w:rsid w:val="00D62536"/>
    <w:rsid w:val="00D628AE"/>
    <w:rsid w:val="00D62A35"/>
    <w:rsid w:val="00D62CD5"/>
    <w:rsid w:val="00D6346B"/>
    <w:rsid w:val="00D636BC"/>
    <w:rsid w:val="00D63A04"/>
    <w:rsid w:val="00D63AC7"/>
    <w:rsid w:val="00D63CD4"/>
    <w:rsid w:val="00D63DD0"/>
    <w:rsid w:val="00D63EFF"/>
    <w:rsid w:val="00D640B2"/>
    <w:rsid w:val="00D6462C"/>
    <w:rsid w:val="00D64C32"/>
    <w:rsid w:val="00D64D8E"/>
    <w:rsid w:val="00D64EA0"/>
    <w:rsid w:val="00D64EB3"/>
    <w:rsid w:val="00D64F98"/>
    <w:rsid w:val="00D6507F"/>
    <w:rsid w:val="00D652E7"/>
    <w:rsid w:val="00D6535B"/>
    <w:rsid w:val="00D65433"/>
    <w:rsid w:val="00D654A0"/>
    <w:rsid w:val="00D654EE"/>
    <w:rsid w:val="00D65581"/>
    <w:rsid w:val="00D655CD"/>
    <w:rsid w:val="00D6587E"/>
    <w:rsid w:val="00D6594C"/>
    <w:rsid w:val="00D659C1"/>
    <w:rsid w:val="00D65F45"/>
    <w:rsid w:val="00D66250"/>
    <w:rsid w:val="00D662A5"/>
    <w:rsid w:val="00D662AF"/>
    <w:rsid w:val="00D66488"/>
    <w:rsid w:val="00D66495"/>
    <w:rsid w:val="00D66568"/>
    <w:rsid w:val="00D66889"/>
    <w:rsid w:val="00D66DB1"/>
    <w:rsid w:val="00D66EAE"/>
    <w:rsid w:val="00D66F84"/>
    <w:rsid w:val="00D671A8"/>
    <w:rsid w:val="00D67282"/>
    <w:rsid w:val="00D67503"/>
    <w:rsid w:val="00D6785F"/>
    <w:rsid w:val="00D67B8B"/>
    <w:rsid w:val="00D67C24"/>
    <w:rsid w:val="00D67CC8"/>
    <w:rsid w:val="00D67D16"/>
    <w:rsid w:val="00D67D3F"/>
    <w:rsid w:val="00D67DDB"/>
    <w:rsid w:val="00D67EF1"/>
    <w:rsid w:val="00D7016C"/>
    <w:rsid w:val="00D7018C"/>
    <w:rsid w:val="00D7061B"/>
    <w:rsid w:val="00D70831"/>
    <w:rsid w:val="00D70891"/>
    <w:rsid w:val="00D70CC5"/>
    <w:rsid w:val="00D70EA1"/>
    <w:rsid w:val="00D70F16"/>
    <w:rsid w:val="00D710C5"/>
    <w:rsid w:val="00D711EF"/>
    <w:rsid w:val="00D712D8"/>
    <w:rsid w:val="00D713C7"/>
    <w:rsid w:val="00D713F7"/>
    <w:rsid w:val="00D7154B"/>
    <w:rsid w:val="00D717AC"/>
    <w:rsid w:val="00D717FC"/>
    <w:rsid w:val="00D71812"/>
    <w:rsid w:val="00D719A2"/>
    <w:rsid w:val="00D71C8F"/>
    <w:rsid w:val="00D71FD3"/>
    <w:rsid w:val="00D7229B"/>
    <w:rsid w:val="00D72303"/>
    <w:rsid w:val="00D723F3"/>
    <w:rsid w:val="00D72617"/>
    <w:rsid w:val="00D72639"/>
    <w:rsid w:val="00D7269F"/>
    <w:rsid w:val="00D72A88"/>
    <w:rsid w:val="00D72C31"/>
    <w:rsid w:val="00D72F57"/>
    <w:rsid w:val="00D7305C"/>
    <w:rsid w:val="00D73124"/>
    <w:rsid w:val="00D733B0"/>
    <w:rsid w:val="00D734FC"/>
    <w:rsid w:val="00D73558"/>
    <w:rsid w:val="00D73664"/>
    <w:rsid w:val="00D73A31"/>
    <w:rsid w:val="00D73A4D"/>
    <w:rsid w:val="00D73A5C"/>
    <w:rsid w:val="00D73BE4"/>
    <w:rsid w:val="00D740B7"/>
    <w:rsid w:val="00D747FF"/>
    <w:rsid w:val="00D7485D"/>
    <w:rsid w:val="00D7488D"/>
    <w:rsid w:val="00D74952"/>
    <w:rsid w:val="00D74970"/>
    <w:rsid w:val="00D74B35"/>
    <w:rsid w:val="00D74FD4"/>
    <w:rsid w:val="00D75251"/>
    <w:rsid w:val="00D75300"/>
    <w:rsid w:val="00D7535E"/>
    <w:rsid w:val="00D755A2"/>
    <w:rsid w:val="00D755F8"/>
    <w:rsid w:val="00D756B9"/>
    <w:rsid w:val="00D758DB"/>
    <w:rsid w:val="00D759A5"/>
    <w:rsid w:val="00D75C9C"/>
    <w:rsid w:val="00D75E96"/>
    <w:rsid w:val="00D75F45"/>
    <w:rsid w:val="00D76120"/>
    <w:rsid w:val="00D76258"/>
    <w:rsid w:val="00D766D0"/>
    <w:rsid w:val="00D7675A"/>
    <w:rsid w:val="00D76798"/>
    <w:rsid w:val="00D7688A"/>
    <w:rsid w:val="00D76A44"/>
    <w:rsid w:val="00D76ADD"/>
    <w:rsid w:val="00D76B6B"/>
    <w:rsid w:val="00D76EE6"/>
    <w:rsid w:val="00D76FC3"/>
    <w:rsid w:val="00D77273"/>
    <w:rsid w:val="00D77339"/>
    <w:rsid w:val="00D77391"/>
    <w:rsid w:val="00D77558"/>
    <w:rsid w:val="00D776FB"/>
    <w:rsid w:val="00D77713"/>
    <w:rsid w:val="00D77BDC"/>
    <w:rsid w:val="00D77DEB"/>
    <w:rsid w:val="00D77E1B"/>
    <w:rsid w:val="00D77E29"/>
    <w:rsid w:val="00D8005E"/>
    <w:rsid w:val="00D800C6"/>
    <w:rsid w:val="00D800D6"/>
    <w:rsid w:val="00D801FB"/>
    <w:rsid w:val="00D807C9"/>
    <w:rsid w:val="00D80AE9"/>
    <w:rsid w:val="00D80C78"/>
    <w:rsid w:val="00D8116A"/>
    <w:rsid w:val="00D815EF"/>
    <w:rsid w:val="00D816B3"/>
    <w:rsid w:val="00D8171A"/>
    <w:rsid w:val="00D817D1"/>
    <w:rsid w:val="00D81949"/>
    <w:rsid w:val="00D819B9"/>
    <w:rsid w:val="00D81CD2"/>
    <w:rsid w:val="00D81DE4"/>
    <w:rsid w:val="00D81F26"/>
    <w:rsid w:val="00D82262"/>
    <w:rsid w:val="00D822E2"/>
    <w:rsid w:val="00D824DC"/>
    <w:rsid w:val="00D8252E"/>
    <w:rsid w:val="00D8268D"/>
    <w:rsid w:val="00D8269D"/>
    <w:rsid w:val="00D8275F"/>
    <w:rsid w:val="00D827B8"/>
    <w:rsid w:val="00D8295A"/>
    <w:rsid w:val="00D82AB9"/>
    <w:rsid w:val="00D82C38"/>
    <w:rsid w:val="00D82F3A"/>
    <w:rsid w:val="00D83005"/>
    <w:rsid w:val="00D8302F"/>
    <w:rsid w:val="00D832A5"/>
    <w:rsid w:val="00D8346E"/>
    <w:rsid w:val="00D83581"/>
    <w:rsid w:val="00D83780"/>
    <w:rsid w:val="00D837DE"/>
    <w:rsid w:val="00D83871"/>
    <w:rsid w:val="00D838CD"/>
    <w:rsid w:val="00D83949"/>
    <w:rsid w:val="00D83AD0"/>
    <w:rsid w:val="00D83BDC"/>
    <w:rsid w:val="00D83C50"/>
    <w:rsid w:val="00D83D33"/>
    <w:rsid w:val="00D84168"/>
    <w:rsid w:val="00D84191"/>
    <w:rsid w:val="00D842F2"/>
    <w:rsid w:val="00D843F2"/>
    <w:rsid w:val="00D84494"/>
    <w:rsid w:val="00D844A8"/>
    <w:rsid w:val="00D84D1E"/>
    <w:rsid w:val="00D84E18"/>
    <w:rsid w:val="00D84FAB"/>
    <w:rsid w:val="00D8521F"/>
    <w:rsid w:val="00D855BA"/>
    <w:rsid w:val="00D85711"/>
    <w:rsid w:val="00D85ADE"/>
    <w:rsid w:val="00D85D03"/>
    <w:rsid w:val="00D85DA2"/>
    <w:rsid w:val="00D85E9B"/>
    <w:rsid w:val="00D86081"/>
    <w:rsid w:val="00D860C2"/>
    <w:rsid w:val="00D86231"/>
    <w:rsid w:val="00D86666"/>
    <w:rsid w:val="00D866DA"/>
    <w:rsid w:val="00D8684E"/>
    <w:rsid w:val="00D869CB"/>
    <w:rsid w:val="00D869E4"/>
    <w:rsid w:val="00D86A24"/>
    <w:rsid w:val="00D86AA2"/>
    <w:rsid w:val="00D86B13"/>
    <w:rsid w:val="00D86B95"/>
    <w:rsid w:val="00D86C8B"/>
    <w:rsid w:val="00D86D79"/>
    <w:rsid w:val="00D870FC"/>
    <w:rsid w:val="00D87662"/>
    <w:rsid w:val="00D87684"/>
    <w:rsid w:val="00D87719"/>
    <w:rsid w:val="00D8796D"/>
    <w:rsid w:val="00D87C76"/>
    <w:rsid w:val="00D87CBF"/>
    <w:rsid w:val="00D87E2F"/>
    <w:rsid w:val="00D87F69"/>
    <w:rsid w:val="00D900C7"/>
    <w:rsid w:val="00D90194"/>
    <w:rsid w:val="00D901E2"/>
    <w:rsid w:val="00D90209"/>
    <w:rsid w:val="00D902C1"/>
    <w:rsid w:val="00D904FD"/>
    <w:rsid w:val="00D9054A"/>
    <w:rsid w:val="00D9087C"/>
    <w:rsid w:val="00D9092C"/>
    <w:rsid w:val="00D90C3B"/>
    <w:rsid w:val="00D90D1B"/>
    <w:rsid w:val="00D90EB8"/>
    <w:rsid w:val="00D91183"/>
    <w:rsid w:val="00D912AB"/>
    <w:rsid w:val="00D9138B"/>
    <w:rsid w:val="00D91680"/>
    <w:rsid w:val="00D91803"/>
    <w:rsid w:val="00D91923"/>
    <w:rsid w:val="00D9192F"/>
    <w:rsid w:val="00D9197C"/>
    <w:rsid w:val="00D91BA5"/>
    <w:rsid w:val="00D91CAB"/>
    <w:rsid w:val="00D91D3C"/>
    <w:rsid w:val="00D91E0B"/>
    <w:rsid w:val="00D921B2"/>
    <w:rsid w:val="00D92873"/>
    <w:rsid w:val="00D928A5"/>
    <w:rsid w:val="00D92902"/>
    <w:rsid w:val="00D92962"/>
    <w:rsid w:val="00D929FB"/>
    <w:rsid w:val="00D92CEC"/>
    <w:rsid w:val="00D92D9D"/>
    <w:rsid w:val="00D92DC7"/>
    <w:rsid w:val="00D92E77"/>
    <w:rsid w:val="00D93033"/>
    <w:rsid w:val="00D93040"/>
    <w:rsid w:val="00D93325"/>
    <w:rsid w:val="00D936DD"/>
    <w:rsid w:val="00D93705"/>
    <w:rsid w:val="00D93753"/>
    <w:rsid w:val="00D93761"/>
    <w:rsid w:val="00D938C1"/>
    <w:rsid w:val="00D938CC"/>
    <w:rsid w:val="00D938CD"/>
    <w:rsid w:val="00D93AE5"/>
    <w:rsid w:val="00D93AEA"/>
    <w:rsid w:val="00D93BA2"/>
    <w:rsid w:val="00D93BFB"/>
    <w:rsid w:val="00D93D4F"/>
    <w:rsid w:val="00D93DA0"/>
    <w:rsid w:val="00D93DC3"/>
    <w:rsid w:val="00D93DD7"/>
    <w:rsid w:val="00D93E5B"/>
    <w:rsid w:val="00D93FCF"/>
    <w:rsid w:val="00D94085"/>
    <w:rsid w:val="00D94094"/>
    <w:rsid w:val="00D9417A"/>
    <w:rsid w:val="00D94342"/>
    <w:rsid w:val="00D945E6"/>
    <w:rsid w:val="00D94632"/>
    <w:rsid w:val="00D9465D"/>
    <w:rsid w:val="00D946A7"/>
    <w:rsid w:val="00D950FC"/>
    <w:rsid w:val="00D951B1"/>
    <w:rsid w:val="00D95391"/>
    <w:rsid w:val="00D9558F"/>
    <w:rsid w:val="00D955BC"/>
    <w:rsid w:val="00D958CC"/>
    <w:rsid w:val="00D9596F"/>
    <w:rsid w:val="00D95A36"/>
    <w:rsid w:val="00D95AA1"/>
    <w:rsid w:val="00D95EBB"/>
    <w:rsid w:val="00D95ECE"/>
    <w:rsid w:val="00D960C3"/>
    <w:rsid w:val="00D960D6"/>
    <w:rsid w:val="00D96403"/>
    <w:rsid w:val="00D964CF"/>
    <w:rsid w:val="00D9679D"/>
    <w:rsid w:val="00D96C6A"/>
    <w:rsid w:val="00D96C77"/>
    <w:rsid w:val="00D96D1D"/>
    <w:rsid w:val="00D96FC4"/>
    <w:rsid w:val="00D970B0"/>
    <w:rsid w:val="00D970D9"/>
    <w:rsid w:val="00D97370"/>
    <w:rsid w:val="00D9796D"/>
    <w:rsid w:val="00D979AF"/>
    <w:rsid w:val="00D979F9"/>
    <w:rsid w:val="00D97A0C"/>
    <w:rsid w:val="00D97A64"/>
    <w:rsid w:val="00D97C66"/>
    <w:rsid w:val="00D97D00"/>
    <w:rsid w:val="00D97FCF"/>
    <w:rsid w:val="00DA0305"/>
    <w:rsid w:val="00DA0309"/>
    <w:rsid w:val="00DA042C"/>
    <w:rsid w:val="00DA0849"/>
    <w:rsid w:val="00DA08E7"/>
    <w:rsid w:val="00DA0A2D"/>
    <w:rsid w:val="00DA0F73"/>
    <w:rsid w:val="00DA1042"/>
    <w:rsid w:val="00DA135F"/>
    <w:rsid w:val="00DA15F9"/>
    <w:rsid w:val="00DA16AB"/>
    <w:rsid w:val="00DA1850"/>
    <w:rsid w:val="00DA1AB5"/>
    <w:rsid w:val="00DA1AD0"/>
    <w:rsid w:val="00DA1B5A"/>
    <w:rsid w:val="00DA1CF6"/>
    <w:rsid w:val="00DA1DC5"/>
    <w:rsid w:val="00DA1F1D"/>
    <w:rsid w:val="00DA212B"/>
    <w:rsid w:val="00DA21EE"/>
    <w:rsid w:val="00DA224A"/>
    <w:rsid w:val="00DA2311"/>
    <w:rsid w:val="00DA2353"/>
    <w:rsid w:val="00DA2390"/>
    <w:rsid w:val="00DA2473"/>
    <w:rsid w:val="00DA28D4"/>
    <w:rsid w:val="00DA2A8B"/>
    <w:rsid w:val="00DA2AE6"/>
    <w:rsid w:val="00DA2B4D"/>
    <w:rsid w:val="00DA2CB1"/>
    <w:rsid w:val="00DA2D0D"/>
    <w:rsid w:val="00DA2DF7"/>
    <w:rsid w:val="00DA2FF6"/>
    <w:rsid w:val="00DA3167"/>
    <w:rsid w:val="00DA3254"/>
    <w:rsid w:val="00DA3462"/>
    <w:rsid w:val="00DA354D"/>
    <w:rsid w:val="00DA36B4"/>
    <w:rsid w:val="00DA39A6"/>
    <w:rsid w:val="00DA3A6D"/>
    <w:rsid w:val="00DA3B4C"/>
    <w:rsid w:val="00DA3BAA"/>
    <w:rsid w:val="00DA3EA2"/>
    <w:rsid w:val="00DA3F5B"/>
    <w:rsid w:val="00DA411A"/>
    <w:rsid w:val="00DA4155"/>
    <w:rsid w:val="00DA4528"/>
    <w:rsid w:val="00DA4673"/>
    <w:rsid w:val="00DA489D"/>
    <w:rsid w:val="00DA4A5A"/>
    <w:rsid w:val="00DA4B66"/>
    <w:rsid w:val="00DA4D46"/>
    <w:rsid w:val="00DA4DC3"/>
    <w:rsid w:val="00DA50C1"/>
    <w:rsid w:val="00DA5812"/>
    <w:rsid w:val="00DA5926"/>
    <w:rsid w:val="00DA5FB8"/>
    <w:rsid w:val="00DA60B3"/>
    <w:rsid w:val="00DA60D2"/>
    <w:rsid w:val="00DA6170"/>
    <w:rsid w:val="00DA63AF"/>
    <w:rsid w:val="00DA6477"/>
    <w:rsid w:val="00DA6543"/>
    <w:rsid w:val="00DA6674"/>
    <w:rsid w:val="00DA6D69"/>
    <w:rsid w:val="00DA6E88"/>
    <w:rsid w:val="00DA6FAD"/>
    <w:rsid w:val="00DA7391"/>
    <w:rsid w:val="00DA76D0"/>
    <w:rsid w:val="00DA779F"/>
    <w:rsid w:val="00DA77A5"/>
    <w:rsid w:val="00DA7828"/>
    <w:rsid w:val="00DA7C0A"/>
    <w:rsid w:val="00DA7DC7"/>
    <w:rsid w:val="00DA7EF5"/>
    <w:rsid w:val="00DA7F33"/>
    <w:rsid w:val="00DB0028"/>
    <w:rsid w:val="00DB002E"/>
    <w:rsid w:val="00DB024C"/>
    <w:rsid w:val="00DB055C"/>
    <w:rsid w:val="00DB05B2"/>
    <w:rsid w:val="00DB05F5"/>
    <w:rsid w:val="00DB085C"/>
    <w:rsid w:val="00DB0860"/>
    <w:rsid w:val="00DB090F"/>
    <w:rsid w:val="00DB0ADE"/>
    <w:rsid w:val="00DB0E36"/>
    <w:rsid w:val="00DB0EB4"/>
    <w:rsid w:val="00DB0EEF"/>
    <w:rsid w:val="00DB1024"/>
    <w:rsid w:val="00DB107B"/>
    <w:rsid w:val="00DB152B"/>
    <w:rsid w:val="00DB16B1"/>
    <w:rsid w:val="00DB19D9"/>
    <w:rsid w:val="00DB1B73"/>
    <w:rsid w:val="00DB1D07"/>
    <w:rsid w:val="00DB1DF8"/>
    <w:rsid w:val="00DB1E99"/>
    <w:rsid w:val="00DB2074"/>
    <w:rsid w:val="00DB20EA"/>
    <w:rsid w:val="00DB20FA"/>
    <w:rsid w:val="00DB21BA"/>
    <w:rsid w:val="00DB2431"/>
    <w:rsid w:val="00DB244F"/>
    <w:rsid w:val="00DB25AF"/>
    <w:rsid w:val="00DB2723"/>
    <w:rsid w:val="00DB2917"/>
    <w:rsid w:val="00DB29B7"/>
    <w:rsid w:val="00DB2B80"/>
    <w:rsid w:val="00DB3288"/>
    <w:rsid w:val="00DB34C1"/>
    <w:rsid w:val="00DB3677"/>
    <w:rsid w:val="00DB373E"/>
    <w:rsid w:val="00DB3764"/>
    <w:rsid w:val="00DB389D"/>
    <w:rsid w:val="00DB3A88"/>
    <w:rsid w:val="00DB3AA4"/>
    <w:rsid w:val="00DB3B57"/>
    <w:rsid w:val="00DB3DBF"/>
    <w:rsid w:val="00DB3F48"/>
    <w:rsid w:val="00DB3F5A"/>
    <w:rsid w:val="00DB4178"/>
    <w:rsid w:val="00DB4260"/>
    <w:rsid w:val="00DB42E4"/>
    <w:rsid w:val="00DB43C5"/>
    <w:rsid w:val="00DB47E7"/>
    <w:rsid w:val="00DB4807"/>
    <w:rsid w:val="00DB484F"/>
    <w:rsid w:val="00DB49D8"/>
    <w:rsid w:val="00DB4B69"/>
    <w:rsid w:val="00DB4D90"/>
    <w:rsid w:val="00DB4DD1"/>
    <w:rsid w:val="00DB4DDE"/>
    <w:rsid w:val="00DB5136"/>
    <w:rsid w:val="00DB5374"/>
    <w:rsid w:val="00DB53B2"/>
    <w:rsid w:val="00DB549A"/>
    <w:rsid w:val="00DB5A3E"/>
    <w:rsid w:val="00DB5A91"/>
    <w:rsid w:val="00DB5C24"/>
    <w:rsid w:val="00DB5C8D"/>
    <w:rsid w:val="00DB5F0F"/>
    <w:rsid w:val="00DB6128"/>
    <w:rsid w:val="00DB632D"/>
    <w:rsid w:val="00DB69FC"/>
    <w:rsid w:val="00DB6A67"/>
    <w:rsid w:val="00DB6A99"/>
    <w:rsid w:val="00DB6AA2"/>
    <w:rsid w:val="00DB6B68"/>
    <w:rsid w:val="00DB6C25"/>
    <w:rsid w:val="00DB6D65"/>
    <w:rsid w:val="00DB716C"/>
    <w:rsid w:val="00DB7649"/>
    <w:rsid w:val="00DB7947"/>
    <w:rsid w:val="00DB7A09"/>
    <w:rsid w:val="00DB7A55"/>
    <w:rsid w:val="00DB7AC8"/>
    <w:rsid w:val="00DB7B85"/>
    <w:rsid w:val="00DB7D4C"/>
    <w:rsid w:val="00DB7D95"/>
    <w:rsid w:val="00DC00A9"/>
    <w:rsid w:val="00DC01D3"/>
    <w:rsid w:val="00DC01DD"/>
    <w:rsid w:val="00DC03F8"/>
    <w:rsid w:val="00DC0415"/>
    <w:rsid w:val="00DC042E"/>
    <w:rsid w:val="00DC046E"/>
    <w:rsid w:val="00DC0497"/>
    <w:rsid w:val="00DC04F6"/>
    <w:rsid w:val="00DC054A"/>
    <w:rsid w:val="00DC0690"/>
    <w:rsid w:val="00DC06B7"/>
    <w:rsid w:val="00DC0AAC"/>
    <w:rsid w:val="00DC0F4E"/>
    <w:rsid w:val="00DC0FFF"/>
    <w:rsid w:val="00DC11B6"/>
    <w:rsid w:val="00DC1309"/>
    <w:rsid w:val="00DC1400"/>
    <w:rsid w:val="00DC1638"/>
    <w:rsid w:val="00DC1709"/>
    <w:rsid w:val="00DC1837"/>
    <w:rsid w:val="00DC1841"/>
    <w:rsid w:val="00DC1990"/>
    <w:rsid w:val="00DC1B43"/>
    <w:rsid w:val="00DC1D65"/>
    <w:rsid w:val="00DC1DEF"/>
    <w:rsid w:val="00DC1F14"/>
    <w:rsid w:val="00DC215E"/>
    <w:rsid w:val="00DC228C"/>
    <w:rsid w:val="00DC22A5"/>
    <w:rsid w:val="00DC23CD"/>
    <w:rsid w:val="00DC243D"/>
    <w:rsid w:val="00DC2A61"/>
    <w:rsid w:val="00DC2D7A"/>
    <w:rsid w:val="00DC2D85"/>
    <w:rsid w:val="00DC2E65"/>
    <w:rsid w:val="00DC2FEC"/>
    <w:rsid w:val="00DC37FD"/>
    <w:rsid w:val="00DC3851"/>
    <w:rsid w:val="00DC3963"/>
    <w:rsid w:val="00DC3B0B"/>
    <w:rsid w:val="00DC3C57"/>
    <w:rsid w:val="00DC3FA9"/>
    <w:rsid w:val="00DC3FEF"/>
    <w:rsid w:val="00DC408B"/>
    <w:rsid w:val="00DC4191"/>
    <w:rsid w:val="00DC4195"/>
    <w:rsid w:val="00DC4583"/>
    <w:rsid w:val="00DC4A94"/>
    <w:rsid w:val="00DC4B04"/>
    <w:rsid w:val="00DC4DE4"/>
    <w:rsid w:val="00DC4F01"/>
    <w:rsid w:val="00DC4FD5"/>
    <w:rsid w:val="00DC4FFB"/>
    <w:rsid w:val="00DC50BE"/>
    <w:rsid w:val="00DC54F1"/>
    <w:rsid w:val="00DC5501"/>
    <w:rsid w:val="00DC5699"/>
    <w:rsid w:val="00DC5736"/>
    <w:rsid w:val="00DC5812"/>
    <w:rsid w:val="00DC58CF"/>
    <w:rsid w:val="00DC5B44"/>
    <w:rsid w:val="00DC5DE4"/>
    <w:rsid w:val="00DC5E28"/>
    <w:rsid w:val="00DC6085"/>
    <w:rsid w:val="00DC631D"/>
    <w:rsid w:val="00DC6470"/>
    <w:rsid w:val="00DC6804"/>
    <w:rsid w:val="00DC69FB"/>
    <w:rsid w:val="00DC6C3A"/>
    <w:rsid w:val="00DC6DB2"/>
    <w:rsid w:val="00DC6FF0"/>
    <w:rsid w:val="00DC70A9"/>
    <w:rsid w:val="00DC7154"/>
    <w:rsid w:val="00DC731B"/>
    <w:rsid w:val="00DC7387"/>
    <w:rsid w:val="00DC760A"/>
    <w:rsid w:val="00DC76B1"/>
    <w:rsid w:val="00DC76CE"/>
    <w:rsid w:val="00DC7792"/>
    <w:rsid w:val="00DC7870"/>
    <w:rsid w:val="00DC7D01"/>
    <w:rsid w:val="00DC7D1A"/>
    <w:rsid w:val="00DC7E8A"/>
    <w:rsid w:val="00DC7FEE"/>
    <w:rsid w:val="00DD009E"/>
    <w:rsid w:val="00DD01A2"/>
    <w:rsid w:val="00DD04A5"/>
    <w:rsid w:val="00DD051C"/>
    <w:rsid w:val="00DD0545"/>
    <w:rsid w:val="00DD06F1"/>
    <w:rsid w:val="00DD0A51"/>
    <w:rsid w:val="00DD0D11"/>
    <w:rsid w:val="00DD0DDE"/>
    <w:rsid w:val="00DD0F78"/>
    <w:rsid w:val="00DD1033"/>
    <w:rsid w:val="00DD1099"/>
    <w:rsid w:val="00DD10AE"/>
    <w:rsid w:val="00DD10EE"/>
    <w:rsid w:val="00DD1557"/>
    <w:rsid w:val="00DD1577"/>
    <w:rsid w:val="00DD160D"/>
    <w:rsid w:val="00DD17BA"/>
    <w:rsid w:val="00DD17D7"/>
    <w:rsid w:val="00DD17EE"/>
    <w:rsid w:val="00DD189A"/>
    <w:rsid w:val="00DD25AA"/>
    <w:rsid w:val="00DD25D3"/>
    <w:rsid w:val="00DD25FE"/>
    <w:rsid w:val="00DD273C"/>
    <w:rsid w:val="00DD2ECE"/>
    <w:rsid w:val="00DD2FA0"/>
    <w:rsid w:val="00DD314D"/>
    <w:rsid w:val="00DD331C"/>
    <w:rsid w:val="00DD34FF"/>
    <w:rsid w:val="00DD36EA"/>
    <w:rsid w:val="00DD3770"/>
    <w:rsid w:val="00DD3911"/>
    <w:rsid w:val="00DD3957"/>
    <w:rsid w:val="00DD3ACC"/>
    <w:rsid w:val="00DD3B83"/>
    <w:rsid w:val="00DD3D1C"/>
    <w:rsid w:val="00DD3D4C"/>
    <w:rsid w:val="00DD3E47"/>
    <w:rsid w:val="00DD3EF1"/>
    <w:rsid w:val="00DD3F28"/>
    <w:rsid w:val="00DD404A"/>
    <w:rsid w:val="00DD404B"/>
    <w:rsid w:val="00DD4168"/>
    <w:rsid w:val="00DD41B7"/>
    <w:rsid w:val="00DD420A"/>
    <w:rsid w:val="00DD4284"/>
    <w:rsid w:val="00DD42E7"/>
    <w:rsid w:val="00DD4380"/>
    <w:rsid w:val="00DD4435"/>
    <w:rsid w:val="00DD4446"/>
    <w:rsid w:val="00DD4537"/>
    <w:rsid w:val="00DD46BE"/>
    <w:rsid w:val="00DD47A5"/>
    <w:rsid w:val="00DD47BC"/>
    <w:rsid w:val="00DD4860"/>
    <w:rsid w:val="00DD4E15"/>
    <w:rsid w:val="00DD4F58"/>
    <w:rsid w:val="00DD4F89"/>
    <w:rsid w:val="00DD51D0"/>
    <w:rsid w:val="00DD536C"/>
    <w:rsid w:val="00DD55B1"/>
    <w:rsid w:val="00DD55D9"/>
    <w:rsid w:val="00DD560F"/>
    <w:rsid w:val="00DD57BA"/>
    <w:rsid w:val="00DD5833"/>
    <w:rsid w:val="00DD5902"/>
    <w:rsid w:val="00DD5C30"/>
    <w:rsid w:val="00DD5D38"/>
    <w:rsid w:val="00DD5DBC"/>
    <w:rsid w:val="00DD5E99"/>
    <w:rsid w:val="00DD5EA4"/>
    <w:rsid w:val="00DD63DA"/>
    <w:rsid w:val="00DD6406"/>
    <w:rsid w:val="00DD67F3"/>
    <w:rsid w:val="00DD6BB1"/>
    <w:rsid w:val="00DD6BCF"/>
    <w:rsid w:val="00DD6C2A"/>
    <w:rsid w:val="00DD6EE2"/>
    <w:rsid w:val="00DD6F28"/>
    <w:rsid w:val="00DD7174"/>
    <w:rsid w:val="00DD720F"/>
    <w:rsid w:val="00DD73AA"/>
    <w:rsid w:val="00DD75FC"/>
    <w:rsid w:val="00DD7674"/>
    <w:rsid w:val="00DD7679"/>
    <w:rsid w:val="00DD7731"/>
    <w:rsid w:val="00DD7896"/>
    <w:rsid w:val="00DD78C7"/>
    <w:rsid w:val="00DD78F7"/>
    <w:rsid w:val="00DD7AE9"/>
    <w:rsid w:val="00DD7D05"/>
    <w:rsid w:val="00DD7DE8"/>
    <w:rsid w:val="00DE0417"/>
    <w:rsid w:val="00DE091E"/>
    <w:rsid w:val="00DE1023"/>
    <w:rsid w:val="00DE11B3"/>
    <w:rsid w:val="00DE1207"/>
    <w:rsid w:val="00DE12D2"/>
    <w:rsid w:val="00DE1520"/>
    <w:rsid w:val="00DE153F"/>
    <w:rsid w:val="00DE158F"/>
    <w:rsid w:val="00DE1B55"/>
    <w:rsid w:val="00DE1C4C"/>
    <w:rsid w:val="00DE1C8B"/>
    <w:rsid w:val="00DE1DF7"/>
    <w:rsid w:val="00DE1FC0"/>
    <w:rsid w:val="00DE200D"/>
    <w:rsid w:val="00DE21E2"/>
    <w:rsid w:val="00DE2304"/>
    <w:rsid w:val="00DE2470"/>
    <w:rsid w:val="00DE26D8"/>
    <w:rsid w:val="00DE2707"/>
    <w:rsid w:val="00DE278D"/>
    <w:rsid w:val="00DE2A04"/>
    <w:rsid w:val="00DE3138"/>
    <w:rsid w:val="00DE320A"/>
    <w:rsid w:val="00DE3242"/>
    <w:rsid w:val="00DE348E"/>
    <w:rsid w:val="00DE3504"/>
    <w:rsid w:val="00DE3583"/>
    <w:rsid w:val="00DE35DB"/>
    <w:rsid w:val="00DE3724"/>
    <w:rsid w:val="00DE37F8"/>
    <w:rsid w:val="00DE3B99"/>
    <w:rsid w:val="00DE3CAA"/>
    <w:rsid w:val="00DE3EA9"/>
    <w:rsid w:val="00DE3FB9"/>
    <w:rsid w:val="00DE40E2"/>
    <w:rsid w:val="00DE417F"/>
    <w:rsid w:val="00DE41DF"/>
    <w:rsid w:val="00DE41E0"/>
    <w:rsid w:val="00DE425E"/>
    <w:rsid w:val="00DE4273"/>
    <w:rsid w:val="00DE462A"/>
    <w:rsid w:val="00DE4A73"/>
    <w:rsid w:val="00DE4F21"/>
    <w:rsid w:val="00DE4FCB"/>
    <w:rsid w:val="00DE5180"/>
    <w:rsid w:val="00DE5654"/>
    <w:rsid w:val="00DE56A2"/>
    <w:rsid w:val="00DE5761"/>
    <w:rsid w:val="00DE5770"/>
    <w:rsid w:val="00DE5775"/>
    <w:rsid w:val="00DE57DA"/>
    <w:rsid w:val="00DE5851"/>
    <w:rsid w:val="00DE585A"/>
    <w:rsid w:val="00DE5A01"/>
    <w:rsid w:val="00DE5D07"/>
    <w:rsid w:val="00DE5E1B"/>
    <w:rsid w:val="00DE5EC8"/>
    <w:rsid w:val="00DE5F6D"/>
    <w:rsid w:val="00DE5F92"/>
    <w:rsid w:val="00DE6018"/>
    <w:rsid w:val="00DE60E7"/>
    <w:rsid w:val="00DE623D"/>
    <w:rsid w:val="00DE62AA"/>
    <w:rsid w:val="00DE634D"/>
    <w:rsid w:val="00DE635C"/>
    <w:rsid w:val="00DE668C"/>
    <w:rsid w:val="00DE66C8"/>
    <w:rsid w:val="00DE6989"/>
    <w:rsid w:val="00DE6B55"/>
    <w:rsid w:val="00DE6B6D"/>
    <w:rsid w:val="00DE6BAA"/>
    <w:rsid w:val="00DE6BD3"/>
    <w:rsid w:val="00DE703D"/>
    <w:rsid w:val="00DE70B1"/>
    <w:rsid w:val="00DE71EC"/>
    <w:rsid w:val="00DE72A7"/>
    <w:rsid w:val="00DE7347"/>
    <w:rsid w:val="00DE7420"/>
    <w:rsid w:val="00DE7468"/>
    <w:rsid w:val="00DE7624"/>
    <w:rsid w:val="00DE7832"/>
    <w:rsid w:val="00DE7909"/>
    <w:rsid w:val="00DE79CD"/>
    <w:rsid w:val="00DE7CDE"/>
    <w:rsid w:val="00DF0243"/>
    <w:rsid w:val="00DF0245"/>
    <w:rsid w:val="00DF070B"/>
    <w:rsid w:val="00DF07D8"/>
    <w:rsid w:val="00DF0946"/>
    <w:rsid w:val="00DF0BB2"/>
    <w:rsid w:val="00DF0D2B"/>
    <w:rsid w:val="00DF0E99"/>
    <w:rsid w:val="00DF0F6F"/>
    <w:rsid w:val="00DF14F7"/>
    <w:rsid w:val="00DF16DC"/>
    <w:rsid w:val="00DF18D0"/>
    <w:rsid w:val="00DF18FC"/>
    <w:rsid w:val="00DF193F"/>
    <w:rsid w:val="00DF196C"/>
    <w:rsid w:val="00DF1C21"/>
    <w:rsid w:val="00DF1CD5"/>
    <w:rsid w:val="00DF1D3E"/>
    <w:rsid w:val="00DF1D68"/>
    <w:rsid w:val="00DF2035"/>
    <w:rsid w:val="00DF2163"/>
    <w:rsid w:val="00DF22F5"/>
    <w:rsid w:val="00DF2578"/>
    <w:rsid w:val="00DF25A2"/>
    <w:rsid w:val="00DF26E8"/>
    <w:rsid w:val="00DF29C5"/>
    <w:rsid w:val="00DF2A3A"/>
    <w:rsid w:val="00DF2AFF"/>
    <w:rsid w:val="00DF2D2E"/>
    <w:rsid w:val="00DF2E56"/>
    <w:rsid w:val="00DF2E5A"/>
    <w:rsid w:val="00DF2F57"/>
    <w:rsid w:val="00DF2F79"/>
    <w:rsid w:val="00DF333D"/>
    <w:rsid w:val="00DF3A5D"/>
    <w:rsid w:val="00DF3A99"/>
    <w:rsid w:val="00DF3E75"/>
    <w:rsid w:val="00DF400E"/>
    <w:rsid w:val="00DF428C"/>
    <w:rsid w:val="00DF44A9"/>
    <w:rsid w:val="00DF4504"/>
    <w:rsid w:val="00DF453F"/>
    <w:rsid w:val="00DF45D5"/>
    <w:rsid w:val="00DF4AFD"/>
    <w:rsid w:val="00DF4C4C"/>
    <w:rsid w:val="00DF4F6C"/>
    <w:rsid w:val="00DF5149"/>
    <w:rsid w:val="00DF5197"/>
    <w:rsid w:val="00DF51C6"/>
    <w:rsid w:val="00DF5356"/>
    <w:rsid w:val="00DF53DA"/>
    <w:rsid w:val="00DF558F"/>
    <w:rsid w:val="00DF581A"/>
    <w:rsid w:val="00DF59C9"/>
    <w:rsid w:val="00DF5D2B"/>
    <w:rsid w:val="00DF5E38"/>
    <w:rsid w:val="00DF5F38"/>
    <w:rsid w:val="00DF5FA4"/>
    <w:rsid w:val="00DF6223"/>
    <w:rsid w:val="00DF6341"/>
    <w:rsid w:val="00DF6412"/>
    <w:rsid w:val="00DF66F5"/>
    <w:rsid w:val="00DF68A6"/>
    <w:rsid w:val="00DF6AAC"/>
    <w:rsid w:val="00DF6CE4"/>
    <w:rsid w:val="00DF6E2A"/>
    <w:rsid w:val="00DF7474"/>
    <w:rsid w:val="00DF74F6"/>
    <w:rsid w:val="00DF77C3"/>
    <w:rsid w:val="00DF78FB"/>
    <w:rsid w:val="00DF7BBC"/>
    <w:rsid w:val="00DF7D76"/>
    <w:rsid w:val="00DF7D87"/>
    <w:rsid w:val="00E001BE"/>
    <w:rsid w:val="00E0042C"/>
    <w:rsid w:val="00E0071E"/>
    <w:rsid w:val="00E0074D"/>
    <w:rsid w:val="00E00779"/>
    <w:rsid w:val="00E009E6"/>
    <w:rsid w:val="00E00AA3"/>
    <w:rsid w:val="00E00D45"/>
    <w:rsid w:val="00E00E78"/>
    <w:rsid w:val="00E00E8E"/>
    <w:rsid w:val="00E013C8"/>
    <w:rsid w:val="00E0198D"/>
    <w:rsid w:val="00E01B18"/>
    <w:rsid w:val="00E01BE9"/>
    <w:rsid w:val="00E01FC9"/>
    <w:rsid w:val="00E02228"/>
    <w:rsid w:val="00E02586"/>
    <w:rsid w:val="00E02675"/>
    <w:rsid w:val="00E028D2"/>
    <w:rsid w:val="00E02A33"/>
    <w:rsid w:val="00E02D1F"/>
    <w:rsid w:val="00E02DEE"/>
    <w:rsid w:val="00E02EB0"/>
    <w:rsid w:val="00E02F21"/>
    <w:rsid w:val="00E03004"/>
    <w:rsid w:val="00E0304D"/>
    <w:rsid w:val="00E03300"/>
    <w:rsid w:val="00E0336F"/>
    <w:rsid w:val="00E036B6"/>
    <w:rsid w:val="00E03731"/>
    <w:rsid w:val="00E0385E"/>
    <w:rsid w:val="00E038A4"/>
    <w:rsid w:val="00E03A96"/>
    <w:rsid w:val="00E03C40"/>
    <w:rsid w:val="00E03F3B"/>
    <w:rsid w:val="00E0409F"/>
    <w:rsid w:val="00E045EC"/>
    <w:rsid w:val="00E04802"/>
    <w:rsid w:val="00E049FC"/>
    <w:rsid w:val="00E04BBA"/>
    <w:rsid w:val="00E04C12"/>
    <w:rsid w:val="00E04CC1"/>
    <w:rsid w:val="00E04CFA"/>
    <w:rsid w:val="00E04F62"/>
    <w:rsid w:val="00E05328"/>
    <w:rsid w:val="00E05449"/>
    <w:rsid w:val="00E05533"/>
    <w:rsid w:val="00E05630"/>
    <w:rsid w:val="00E05716"/>
    <w:rsid w:val="00E058A0"/>
    <w:rsid w:val="00E05A0E"/>
    <w:rsid w:val="00E05A89"/>
    <w:rsid w:val="00E05A93"/>
    <w:rsid w:val="00E05D08"/>
    <w:rsid w:val="00E05D90"/>
    <w:rsid w:val="00E05DB2"/>
    <w:rsid w:val="00E061FF"/>
    <w:rsid w:val="00E0624A"/>
    <w:rsid w:val="00E0651D"/>
    <w:rsid w:val="00E06A5C"/>
    <w:rsid w:val="00E06DBB"/>
    <w:rsid w:val="00E06E35"/>
    <w:rsid w:val="00E07326"/>
    <w:rsid w:val="00E07BCD"/>
    <w:rsid w:val="00E10023"/>
    <w:rsid w:val="00E10149"/>
    <w:rsid w:val="00E101AF"/>
    <w:rsid w:val="00E10379"/>
    <w:rsid w:val="00E10703"/>
    <w:rsid w:val="00E10807"/>
    <w:rsid w:val="00E1084D"/>
    <w:rsid w:val="00E1085F"/>
    <w:rsid w:val="00E108E4"/>
    <w:rsid w:val="00E1092B"/>
    <w:rsid w:val="00E10AC2"/>
    <w:rsid w:val="00E10B77"/>
    <w:rsid w:val="00E10CDB"/>
    <w:rsid w:val="00E10DBE"/>
    <w:rsid w:val="00E10E7B"/>
    <w:rsid w:val="00E10F6A"/>
    <w:rsid w:val="00E11340"/>
    <w:rsid w:val="00E114D1"/>
    <w:rsid w:val="00E1177B"/>
    <w:rsid w:val="00E11989"/>
    <w:rsid w:val="00E11A19"/>
    <w:rsid w:val="00E11CDA"/>
    <w:rsid w:val="00E11E26"/>
    <w:rsid w:val="00E11EFF"/>
    <w:rsid w:val="00E11F87"/>
    <w:rsid w:val="00E12160"/>
    <w:rsid w:val="00E12257"/>
    <w:rsid w:val="00E122A1"/>
    <w:rsid w:val="00E1239D"/>
    <w:rsid w:val="00E123C4"/>
    <w:rsid w:val="00E126B0"/>
    <w:rsid w:val="00E129EB"/>
    <w:rsid w:val="00E12BAC"/>
    <w:rsid w:val="00E12D3C"/>
    <w:rsid w:val="00E12D47"/>
    <w:rsid w:val="00E12E08"/>
    <w:rsid w:val="00E12E90"/>
    <w:rsid w:val="00E12EC3"/>
    <w:rsid w:val="00E1308B"/>
    <w:rsid w:val="00E133A6"/>
    <w:rsid w:val="00E13646"/>
    <w:rsid w:val="00E1388A"/>
    <w:rsid w:val="00E13EBE"/>
    <w:rsid w:val="00E1429D"/>
    <w:rsid w:val="00E1494E"/>
    <w:rsid w:val="00E14982"/>
    <w:rsid w:val="00E14B11"/>
    <w:rsid w:val="00E14BBA"/>
    <w:rsid w:val="00E14CF0"/>
    <w:rsid w:val="00E14D77"/>
    <w:rsid w:val="00E14D92"/>
    <w:rsid w:val="00E14EEF"/>
    <w:rsid w:val="00E1524E"/>
    <w:rsid w:val="00E1545B"/>
    <w:rsid w:val="00E156BD"/>
    <w:rsid w:val="00E15AC2"/>
    <w:rsid w:val="00E15BDF"/>
    <w:rsid w:val="00E15D7F"/>
    <w:rsid w:val="00E15E3C"/>
    <w:rsid w:val="00E16372"/>
    <w:rsid w:val="00E16523"/>
    <w:rsid w:val="00E1659A"/>
    <w:rsid w:val="00E1684A"/>
    <w:rsid w:val="00E16AC7"/>
    <w:rsid w:val="00E16AD8"/>
    <w:rsid w:val="00E16B79"/>
    <w:rsid w:val="00E16C9D"/>
    <w:rsid w:val="00E16CE3"/>
    <w:rsid w:val="00E1704F"/>
    <w:rsid w:val="00E17295"/>
    <w:rsid w:val="00E17600"/>
    <w:rsid w:val="00E176A4"/>
    <w:rsid w:val="00E176DB"/>
    <w:rsid w:val="00E1799E"/>
    <w:rsid w:val="00E17A6B"/>
    <w:rsid w:val="00E17ECF"/>
    <w:rsid w:val="00E17FFA"/>
    <w:rsid w:val="00E200D9"/>
    <w:rsid w:val="00E200E6"/>
    <w:rsid w:val="00E203E2"/>
    <w:rsid w:val="00E20859"/>
    <w:rsid w:val="00E2093E"/>
    <w:rsid w:val="00E2095C"/>
    <w:rsid w:val="00E20AD0"/>
    <w:rsid w:val="00E20B75"/>
    <w:rsid w:val="00E20E4D"/>
    <w:rsid w:val="00E20ED6"/>
    <w:rsid w:val="00E20EF3"/>
    <w:rsid w:val="00E20FCD"/>
    <w:rsid w:val="00E21051"/>
    <w:rsid w:val="00E21358"/>
    <w:rsid w:val="00E213A5"/>
    <w:rsid w:val="00E2141E"/>
    <w:rsid w:val="00E21580"/>
    <w:rsid w:val="00E21A95"/>
    <w:rsid w:val="00E21AFA"/>
    <w:rsid w:val="00E21B9E"/>
    <w:rsid w:val="00E21BDC"/>
    <w:rsid w:val="00E21C6C"/>
    <w:rsid w:val="00E21DE1"/>
    <w:rsid w:val="00E2210B"/>
    <w:rsid w:val="00E221BA"/>
    <w:rsid w:val="00E2239B"/>
    <w:rsid w:val="00E2249B"/>
    <w:rsid w:val="00E22A0D"/>
    <w:rsid w:val="00E2325F"/>
    <w:rsid w:val="00E23375"/>
    <w:rsid w:val="00E23380"/>
    <w:rsid w:val="00E2339F"/>
    <w:rsid w:val="00E23739"/>
    <w:rsid w:val="00E23BC4"/>
    <w:rsid w:val="00E23F58"/>
    <w:rsid w:val="00E24150"/>
    <w:rsid w:val="00E24274"/>
    <w:rsid w:val="00E244F6"/>
    <w:rsid w:val="00E2469A"/>
    <w:rsid w:val="00E246AB"/>
    <w:rsid w:val="00E24B5E"/>
    <w:rsid w:val="00E24C51"/>
    <w:rsid w:val="00E24D1C"/>
    <w:rsid w:val="00E24E97"/>
    <w:rsid w:val="00E24F48"/>
    <w:rsid w:val="00E24F53"/>
    <w:rsid w:val="00E25050"/>
    <w:rsid w:val="00E25130"/>
    <w:rsid w:val="00E25612"/>
    <w:rsid w:val="00E25870"/>
    <w:rsid w:val="00E258AA"/>
    <w:rsid w:val="00E258DB"/>
    <w:rsid w:val="00E25A32"/>
    <w:rsid w:val="00E25CDC"/>
    <w:rsid w:val="00E25D7C"/>
    <w:rsid w:val="00E25E17"/>
    <w:rsid w:val="00E25F4B"/>
    <w:rsid w:val="00E2603D"/>
    <w:rsid w:val="00E2611B"/>
    <w:rsid w:val="00E262C3"/>
    <w:rsid w:val="00E26378"/>
    <w:rsid w:val="00E26477"/>
    <w:rsid w:val="00E265CF"/>
    <w:rsid w:val="00E265E5"/>
    <w:rsid w:val="00E26AA3"/>
    <w:rsid w:val="00E26EE9"/>
    <w:rsid w:val="00E2718A"/>
    <w:rsid w:val="00E27371"/>
    <w:rsid w:val="00E273B0"/>
    <w:rsid w:val="00E27591"/>
    <w:rsid w:val="00E275A1"/>
    <w:rsid w:val="00E2771E"/>
    <w:rsid w:val="00E27811"/>
    <w:rsid w:val="00E27A13"/>
    <w:rsid w:val="00E27B49"/>
    <w:rsid w:val="00E3006E"/>
    <w:rsid w:val="00E30104"/>
    <w:rsid w:val="00E30358"/>
    <w:rsid w:val="00E30484"/>
    <w:rsid w:val="00E30808"/>
    <w:rsid w:val="00E30987"/>
    <w:rsid w:val="00E309BE"/>
    <w:rsid w:val="00E30AF9"/>
    <w:rsid w:val="00E30CFA"/>
    <w:rsid w:val="00E30E9B"/>
    <w:rsid w:val="00E30EC1"/>
    <w:rsid w:val="00E30ED4"/>
    <w:rsid w:val="00E30EEE"/>
    <w:rsid w:val="00E31023"/>
    <w:rsid w:val="00E311BC"/>
    <w:rsid w:val="00E311EF"/>
    <w:rsid w:val="00E316B8"/>
    <w:rsid w:val="00E31EC0"/>
    <w:rsid w:val="00E31FA9"/>
    <w:rsid w:val="00E31FD2"/>
    <w:rsid w:val="00E3211D"/>
    <w:rsid w:val="00E32180"/>
    <w:rsid w:val="00E327F9"/>
    <w:rsid w:val="00E32C1A"/>
    <w:rsid w:val="00E32DD6"/>
    <w:rsid w:val="00E32EC9"/>
    <w:rsid w:val="00E32EF2"/>
    <w:rsid w:val="00E32F86"/>
    <w:rsid w:val="00E33052"/>
    <w:rsid w:val="00E3308B"/>
    <w:rsid w:val="00E33270"/>
    <w:rsid w:val="00E33ABE"/>
    <w:rsid w:val="00E33BAA"/>
    <w:rsid w:val="00E34075"/>
    <w:rsid w:val="00E341C4"/>
    <w:rsid w:val="00E341CD"/>
    <w:rsid w:val="00E344B9"/>
    <w:rsid w:val="00E3451A"/>
    <w:rsid w:val="00E345C2"/>
    <w:rsid w:val="00E3487D"/>
    <w:rsid w:val="00E34948"/>
    <w:rsid w:val="00E34989"/>
    <w:rsid w:val="00E34B8C"/>
    <w:rsid w:val="00E34EEC"/>
    <w:rsid w:val="00E34F79"/>
    <w:rsid w:val="00E35212"/>
    <w:rsid w:val="00E35588"/>
    <w:rsid w:val="00E35904"/>
    <w:rsid w:val="00E35947"/>
    <w:rsid w:val="00E35B82"/>
    <w:rsid w:val="00E35CEE"/>
    <w:rsid w:val="00E35D46"/>
    <w:rsid w:val="00E36058"/>
    <w:rsid w:val="00E36210"/>
    <w:rsid w:val="00E36285"/>
    <w:rsid w:val="00E362B2"/>
    <w:rsid w:val="00E36311"/>
    <w:rsid w:val="00E36426"/>
    <w:rsid w:val="00E36860"/>
    <w:rsid w:val="00E36885"/>
    <w:rsid w:val="00E3693E"/>
    <w:rsid w:val="00E36968"/>
    <w:rsid w:val="00E3740E"/>
    <w:rsid w:val="00E37569"/>
    <w:rsid w:val="00E37717"/>
    <w:rsid w:val="00E3777F"/>
    <w:rsid w:val="00E37A12"/>
    <w:rsid w:val="00E37A47"/>
    <w:rsid w:val="00E37CEA"/>
    <w:rsid w:val="00E37E6F"/>
    <w:rsid w:val="00E37E9E"/>
    <w:rsid w:val="00E4008D"/>
    <w:rsid w:val="00E401B2"/>
    <w:rsid w:val="00E4023D"/>
    <w:rsid w:val="00E40311"/>
    <w:rsid w:val="00E40357"/>
    <w:rsid w:val="00E40466"/>
    <w:rsid w:val="00E405CF"/>
    <w:rsid w:val="00E4090D"/>
    <w:rsid w:val="00E40BA8"/>
    <w:rsid w:val="00E40CF9"/>
    <w:rsid w:val="00E4128F"/>
    <w:rsid w:val="00E4131E"/>
    <w:rsid w:val="00E414D2"/>
    <w:rsid w:val="00E41926"/>
    <w:rsid w:val="00E419B2"/>
    <w:rsid w:val="00E41E30"/>
    <w:rsid w:val="00E42046"/>
    <w:rsid w:val="00E4207B"/>
    <w:rsid w:val="00E4214F"/>
    <w:rsid w:val="00E422CC"/>
    <w:rsid w:val="00E42502"/>
    <w:rsid w:val="00E4263E"/>
    <w:rsid w:val="00E42656"/>
    <w:rsid w:val="00E42698"/>
    <w:rsid w:val="00E42820"/>
    <w:rsid w:val="00E42B2B"/>
    <w:rsid w:val="00E42B79"/>
    <w:rsid w:val="00E42BA0"/>
    <w:rsid w:val="00E42C8C"/>
    <w:rsid w:val="00E42E44"/>
    <w:rsid w:val="00E42E4D"/>
    <w:rsid w:val="00E42F73"/>
    <w:rsid w:val="00E42FE4"/>
    <w:rsid w:val="00E430DE"/>
    <w:rsid w:val="00E43331"/>
    <w:rsid w:val="00E4333E"/>
    <w:rsid w:val="00E433CD"/>
    <w:rsid w:val="00E434EF"/>
    <w:rsid w:val="00E4387A"/>
    <w:rsid w:val="00E43973"/>
    <w:rsid w:val="00E43D70"/>
    <w:rsid w:val="00E43D84"/>
    <w:rsid w:val="00E44340"/>
    <w:rsid w:val="00E44353"/>
    <w:rsid w:val="00E44463"/>
    <w:rsid w:val="00E4464D"/>
    <w:rsid w:val="00E449E6"/>
    <w:rsid w:val="00E44A3B"/>
    <w:rsid w:val="00E44B8F"/>
    <w:rsid w:val="00E44C70"/>
    <w:rsid w:val="00E44D65"/>
    <w:rsid w:val="00E44F2D"/>
    <w:rsid w:val="00E4512C"/>
    <w:rsid w:val="00E4513C"/>
    <w:rsid w:val="00E4555C"/>
    <w:rsid w:val="00E457AA"/>
    <w:rsid w:val="00E45A1F"/>
    <w:rsid w:val="00E45CF8"/>
    <w:rsid w:val="00E45DB8"/>
    <w:rsid w:val="00E45FD8"/>
    <w:rsid w:val="00E4607F"/>
    <w:rsid w:val="00E46393"/>
    <w:rsid w:val="00E465A8"/>
    <w:rsid w:val="00E466F3"/>
    <w:rsid w:val="00E467F6"/>
    <w:rsid w:val="00E46CCC"/>
    <w:rsid w:val="00E46D60"/>
    <w:rsid w:val="00E47080"/>
    <w:rsid w:val="00E4728A"/>
    <w:rsid w:val="00E47325"/>
    <w:rsid w:val="00E47526"/>
    <w:rsid w:val="00E47566"/>
    <w:rsid w:val="00E47B2C"/>
    <w:rsid w:val="00E47CA7"/>
    <w:rsid w:val="00E47D60"/>
    <w:rsid w:val="00E47D9E"/>
    <w:rsid w:val="00E5024A"/>
    <w:rsid w:val="00E50392"/>
    <w:rsid w:val="00E50620"/>
    <w:rsid w:val="00E508F1"/>
    <w:rsid w:val="00E50B41"/>
    <w:rsid w:val="00E50CAE"/>
    <w:rsid w:val="00E50EAF"/>
    <w:rsid w:val="00E50FF8"/>
    <w:rsid w:val="00E5130E"/>
    <w:rsid w:val="00E51560"/>
    <w:rsid w:val="00E5165D"/>
    <w:rsid w:val="00E51696"/>
    <w:rsid w:val="00E5170F"/>
    <w:rsid w:val="00E51821"/>
    <w:rsid w:val="00E51B8E"/>
    <w:rsid w:val="00E520BD"/>
    <w:rsid w:val="00E521A8"/>
    <w:rsid w:val="00E52425"/>
    <w:rsid w:val="00E524AA"/>
    <w:rsid w:val="00E525EB"/>
    <w:rsid w:val="00E5260D"/>
    <w:rsid w:val="00E526FA"/>
    <w:rsid w:val="00E5272E"/>
    <w:rsid w:val="00E529DB"/>
    <w:rsid w:val="00E52BCD"/>
    <w:rsid w:val="00E5316E"/>
    <w:rsid w:val="00E53360"/>
    <w:rsid w:val="00E534FF"/>
    <w:rsid w:val="00E53513"/>
    <w:rsid w:val="00E53611"/>
    <w:rsid w:val="00E538E1"/>
    <w:rsid w:val="00E538E8"/>
    <w:rsid w:val="00E53A13"/>
    <w:rsid w:val="00E53BD3"/>
    <w:rsid w:val="00E53D4B"/>
    <w:rsid w:val="00E53EB4"/>
    <w:rsid w:val="00E53FC8"/>
    <w:rsid w:val="00E54312"/>
    <w:rsid w:val="00E54347"/>
    <w:rsid w:val="00E546E9"/>
    <w:rsid w:val="00E5499E"/>
    <w:rsid w:val="00E54E64"/>
    <w:rsid w:val="00E54E7D"/>
    <w:rsid w:val="00E54EFD"/>
    <w:rsid w:val="00E55154"/>
    <w:rsid w:val="00E55424"/>
    <w:rsid w:val="00E55545"/>
    <w:rsid w:val="00E556AC"/>
    <w:rsid w:val="00E55711"/>
    <w:rsid w:val="00E557F9"/>
    <w:rsid w:val="00E55834"/>
    <w:rsid w:val="00E558FF"/>
    <w:rsid w:val="00E55915"/>
    <w:rsid w:val="00E5598A"/>
    <w:rsid w:val="00E55AD5"/>
    <w:rsid w:val="00E55BB5"/>
    <w:rsid w:val="00E55CA1"/>
    <w:rsid w:val="00E55DAF"/>
    <w:rsid w:val="00E55FA3"/>
    <w:rsid w:val="00E56163"/>
    <w:rsid w:val="00E565EC"/>
    <w:rsid w:val="00E56667"/>
    <w:rsid w:val="00E56757"/>
    <w:rsid w:val="00E56827"/>
    <w:rsid w:val="00E56AE5"/>
    <w:rsid w:val="00E56C53"/>
    <w:rsid w:val="00E56D15"/>
    <w:rsid w:val="00E57079"/>
    <w:rsid w:val="00E571B7"/>
    <w:rsid w:val="00E5725D"/>
    <w:rsid w:val="00E575AF"/>
    <w:rsid w:val="00E57AA4"/>
    <w:rsid w:val="00E57B19"/>
    <w:rsid w:val="00E57E23"/>
    <w:rsid w:val="00E57E4A"/>
    <w:rsid w:val="00E57EC5"/>
    <w:rsid w:val="00E57FC3"/>
    <w:rsid w:val="00E60051"/>
    <w:rsid w:val="00E60065"/>
    <w:rsid w:val="00E60196"/>
    <w:rsid w:val="00E60309"/>
    <w:rsid w:val="00E605AD"/>
    <w:rsid w:val="00E6084D"/>
    <w:rsid w:val="00E6086A"/>
    <w:rsid w:val="00E60948"/>
    <w:rsid w:val="00E60A4C"/>
    <w:rsid w:val="00E60B86"/>
    <w:rsid w:val="00E60C9B"/>
    <w:rsid w:val="00E60DB3"/>
    <w:rsid w:val="00E611DF"/>
    <w:rsid w:val="00E612F2"/>
    <w:rsid w:val="00E61334"/>
    <w:rsid w:val="00E61423"/>
    <w:rsid w:val="00E61748"/>
    <w:rsid w:val="00E61B88"/>
    <w:rsid w:val="00E61B9A"/>
    <w:rsid w:val="00E61C25"/>
    <w:rsid w:val="00E61CE9"/>
    <w:rsid w:val="00E61E23"/>
    <w:rsid w:val="00E61FE8"/>
    <w:rsid w:val="00E626EF"/>
    <w:rsid w:val="00E62860"/>
    <w:rsid w:val="00E62DA9"/>
    <w:rsid w:val="00E62EE3"/>
    <w:rsid w:val="00E635C4"/>
    <w:rsid w:val="00E6379D"/>
    <w:rsid w:val="00E63A24"/>
    <w:rsid w:val="00E63A2A"/>
    <w:rsid w:val="00E63A67"/>
    <w:rsid w:val="00E63BD4"/>
    <w:rsid w:val="00E646A8"/>
    <w:rsid w:val="00E64701"/>
    <w:rsid w:val="00E64771"/>
    <w:rsid w:val="00E649E8"/>
    <w:rsid w:val="00E649F0"/>
    <w:rsid w:val="00E64D7C"/>
    <w:rsid w:val="00E65164"/>
    <w:rsid w:val="00E65838"/>
    <w:rsid w:val="00E658E5"/>
    <w:rsid w:val="00E65D06"/>
    <w:rsid w:val="00E65D42"/>
    <w:rsid w:val="00E65E79"/>
    <w:rsid w:val="00E65EF6"/>
    <w:rsid w:val="00E6609F"/>
    <w:rsid w:val="00E66105"/>
    <w:rsid w:val="00E6642C"/>
    <w:rsid w:val="00E664B6"/>
    <w:rsid w:val="00E6665C"/>
    <w:rsid w:val="00E6688F"/>
    <w:rsid w:val="00E668F4"/>
    <w:rsid w:val="00E66ADB"/>
    <w:rsid w:val="00E66BA2"/>
    <w:rsid w:val="00E66D04"/>
    <w:rsid w:val="00E66D33"/>
    <w:rsid w:val="00E66EA6"/>
    <w:rsid w:val="00E66EF8"/>
    <w:rsid w:val="00E66F44"/>
    <w:rsid w:val="00E67091"/>
    <w:rsid w:val="00E670DB"/>
    <w:rsid w:val="00E67284"/>
    <w:rsid w:val="00E67416"/>
    <w:rsid w:val="00E676C9"/>
    <w:rsid w:val="00E67703"/>
    <w:rsid w:val="00E67751"/>
    <w:rsid w:val="00E67D04"/>
    <w:rsid w:val="00E67D1E"/>
    <w:rsid w:val="00E70123"/>
    <w:rsid w:val="00E701C2"/>
    <w:rsid w:val="00E70366"/>
    <w:rsid w:val="00E70804"/>
    <w:rsid w:val="00E709D1"/>
    <w:rsid w:val="00E70E74"/>
    <w:rsid w:val="00E70F41"/>
    <w:rsid w:val="00E711B4"/>
    <w:rsid w:val="00E714D3"/>
    <w:rsid w:val="00E714DB"/>
    <w:rsid w:val="00E71578"/>
    <w:rsid w:val="00E7158F"/>
    <w:rsid w:val="00E7161F"/>
    <w:rsid w:val="00E7163A"/>
    <w:rsid w:val="00E718B6"/>
    <w:rsid w:val="00E718DF"/>
    <w:rsid w:val="00E71AF8"/>
    <w:rsid w:val="00E71DA0"/>
    <w:rsid w:val="00E71EE6"/>
    <w:rsid w:val="00E71F8E"/>
    <w:rsid w:val="00E72030"/>
    <w:rsid w:val="00E72110"/>
    <w:rsid w:val="00E722B0"/>
    <w:rsid w:val="00E723BA"/>
    <w:rsid w:val="00E724C4"/>
    <w:rsid w:val="00E727CB"/>
    <w:rsid w:val="00E72D46"/>
    <w:rsid w:val="00E72FF2"/>
    <w:rsid w:val="00E73177"/>
    <w:rsid w:val="00E731FE"/>
    <w:rsid w:val="00E73203"/>
    <w:rsid w:val="00E73205"/>
    <w:rsid w:val="00E7324E"/>
    <w:rsid w:val="00E73581"/>
    <w:rsid w:val="00E7378F"/>
    <w:rsid w:val="00E737D2"/>
    <w:rsid w:val="00E73948"/>
    <w:rsid w:val="00E739B8"/>
    <w:rsid w:val="00E73AB1"/>
    <w:rsid w:val="00E73F54"/>
    <w:rsid w:val="00E7406A"/>
    <w:rsid w:val="00E74181"/>
    <w:rsid w:val="00E7442E"/>
    <w:rsid w:val="00E7448B"/>
    <w:rsid w:val="00E74833"/>
    <w:rsid w:val="00E74A04"/>
    <w:rsid w:val="00E7520D"/>
    <w:rsid w:val="00E7524A"/>
    <w:rsid w:val="00E75261"/>
    <w:rsid w:val="00E75439"/>
    <w:rsid w:val="00E75647"/>
    <w:rsid w:val="00E756EF"/>
    <w:rsid w:val="00E7571F"/>
    <w:rsid w:val="00E757EB"/>
    <w:rsid w:val="00E75835"/>
    <w:rsid w:val="00E75891"/>
    <w:rsid w:val="00E75BA0"/>
    <w:rsid w:val="00E75D25"/>
    <w:rsid w:val="00E76118"/>
    <w:rsid w:val="00E763E1"/>
    <w:rsid w:val="00E76419"/>
    <w:rsid w:val="00E76528"/>
    <w:rsid w:val="00E76BFD"/>
    <w:rsid w:val="00E76C63"/>
    <w:rsid w:val="00E76C79"/>
    <w:rsid w:val="00E76C89"/>
    <w:rsid w:val="00E76C9E"/>
    <w:rsid w:val="00E77065"/>
    <w:rsid w:val="00E7715E"/>
    <w:rsid w:val="00E7716A"/>
    <w:rsid w:val="00E772CA"/>
    <w:rsid w:val="00E77318"/>
    <w:rsid w:val="00E773FF"/>
    <w:rsid w:val="00E7743B"/>
    <w:rsid w:val="00E776DC"/>
    <w:rsid w:val="00E7788E"/>
    <w:rsid w:val="00E778DF"/>
    <w:rsid w:val="00E77935"/>
    <w:rsid w:val="00E77BCA"/>
    <w:rsid w:val="00E77BF4"/>
    <w:rsid w:val="00E77C27"/>
    <w:rsid w:val="00E77D95"/>
    <w:rsid w:val="00E77DF7"/>
    <w:rsid w:val="00E77E70"/>
    <w:rsid w:val="00E77EC8"/>
    <w:rsid w:val="00E80212"/>
    <w:rsid w:val="00E804C2"/>
    <w:rsid w:val="00E805CD"/>
    <w:rsid w:val="00E80AC9"/>
    <w:rsid w:val="00E80C7B"/>
    <w:rsid w:val="00E80CE9"/>
    <w:rsid w:val="00E80CF7"/>
    <w:rsid w:val="00E80E81"/>
    <w:rsid w:val="00E81146"/>
    <w:rsid w:val="00E8115A"/>
    <w:rsid w:val="00E813A6"/>
    <w:rsid w:val="00E81584"/>
    <w:rsid w:val="00E81590"/>
    <w:rsid w:val="00E815A0"/>
    <w:rsid w:val="00E816F4"/>
    <w:rsid w:val="00E81871"/>
    <w:rsid w:val="00E819A9"/>
    <w:rsid w:val="00E81BCF"/>
    <w:rsid w:val="00E81C56"/>
    <w:rsid w:val="00E81DBB"/>
    <w:rsid w:val="00E81E5B"/>
    <w:rsid w:val="00E821D4"/>
    <w:rsid w:val="00E82221"/>
    <w:rsid w:val="00E82360"/>
    <w:rsid w:val="00E82457"/>
    <w:rsid w:val="00E82647"/>
    <w:rsid w:val="00E82845"/>
    <w:rsid w:val="00E82878"/>
    <w:rsid w:val="00E82B40"/>
    <w:rsid w:val="00E82D13"/>
    <w:rsid w:val="00E82E69"/>
    <w:rsid w:val="00E83206"/>
    <w:rsid w:val="00E833F7"/>
    <w:rsid w:val="00E837D1"/>
    <w:rsid w:val="00E83852"/>
    <w:rsid w:val="00E8387E"/>
    <w:rsid w:val="00E839AF"/>
    <w:rsid w:val="00E83BA8"/>
    <w:rsid w:val="00E83BDF"/>
    <w:rsid w:val="00E83FB0"/>
    <w:rsid w:val="00E842DE"/>
    <w:rsid w:val="00E84416"/>
    <w:rsid w:val="00E84465"/>
    <w:rsid w:val="00E84476"/>
    <w:rsid w:val="00E844CD"/>
    <w:rsid w:val="00E8469C"/>
    <w:rsid w:val="00E848CC"/>
    <w:rsid w:val="00E848EB"/>
    <w:rsid w:val="00E84E19"/>
    <w:rsid w:val="00E84E45"/>
    <w:rsid w:val="00E84F78"/>
    <w:rsid w:val="00E84F93"/>
    <w:rsid w:val="00E850A0"/>
    <w:rsid w:val="00E85536"/>
    <w:rsid w:val="00E85648"/>
    <w:rsid w:val="00E85674"/>
    <w:rsid w:val="00E857A8"/>
    <w:rsid w:val="00E858BC"/>
    <w:rsid w:val="00E859C9"/>
    <w:rsid w:val="00E85A7A"/>
    <w:rsid w:val="00E85E87"/>
    <w:rsid w:val="00E85EC0"/>
    <w:rsid w:val="00E86124"/>
    <w:rsid w:val="00E861B5"/>
    <w:rsid w:val="00E8621E"/>
    <w:rsid w:val="00E863CC"/>
    <w:rsid w:val="00E863FF"/>
    <w:rsid w:val="00E86642"/>
    <w:rsid w:val="00E86968"/>
    <w:rsid w:val="00E86A5A"/>
    <w:rsid w:val="00E86C3C"/>
    <w:rsid w:val="00E86DD0"/>
    <w:rsid w:val="00E86EA2"/>
    <w:rsid w:val="00E86FCC"/>
    <w:rsid w:val="00E87021"/>
    <w:rsid w:val="00E8728A"/>
    <w:rsid w:val="00E874F9"/>
    <w:rsid w:val="00E87700"/>
    <w:rsid w:val="00E8771A"/>
    <w:rsid w:val="00E878CA"/>
    <w:rsid w:val="00E87934"/>
    <w:rsid w:val="00E87A1D"/>
    <w:rsid w:val="00E87A4D"/>
    <w:rsid w:val="00E87BF5"/>
    <w:rsid w:val="00E87CE9"/>
    <w:rsid w:val="00E87D04"/>
    <w:rsid w:val="00E87EBD"/>
    <w:rsid w:val="00E87F79"/>
    <w:rsid w:val="00E90015"/>
    <w:rsid w:val="00E9010E"/>
    <w:rsid w:val="00E90188"/>
    <w:rsid w:val="00E9094A"/>
    <w:rsid w:val="00E909B5"/>
    <w:rsid w:val="00E90A63"/>
    <w:rsid w:val="00E90E0F"/>
    <w:rsid w:val="00E91018"/>
    <w:rsid w:val="00E91324"/>
    <w:rsid w:val="00E91422"/>
    <w:rsid w:val="00E91451"/>
    <w:rsid w:val="00E91603"/>
    <w:rsid w:val="00E91807"/>
    <w:rsid w:val="00E918AC"/>
    <w:rsid w:val="00E91B43"/>
    <w:rsid w:val="00E91CB3"/>
    <w:rsid w:val="00E91D35"/>
    <w:rsid w:val="00E91EC4"/>
    <w:rsid w:val="00E920BA"/>
    <w:rsid w:val="00E921CA"/>
    <w:rsid w:val="00E926A5"/>
    <w:rsid w:val="00E92773"/>
    <w:rsid w:val="00E92C59"/>
    <w:rsid w:val="00E92E1D"/>
    <w:rsid w:val="00E92E64"/>
    <w:rsid w:val="00E92ED1"/>
    <w:rsid w:val="00E92F42"/>
    <w:rsid w:val="00E93046"/>
    <w:rsid w:val="00E930DF"/>
    <w:rsid w:val="00E93125"/>
    <w:rsid w:val="00E93584"/>
    <w:rsid w:val="00E93754"/>
    <w:rsid w:val="00E93824"/>
    <w:rsid w:val="00E938C0"/>
    <w:rsid w:val="00E93AFF"/>
    <w:rsid w:val="00E93B8A"/>
    <w:rsid w:val="00E93D9F"/>
    <w:rsid w:val="00E93E20"/>
    <w:rsid w:val="00E93E21"/>
    <w:rsid w:val="00E93F3A"/>
    <w:rsid w:val="00E93FB3"/>
    <w:rsid w:val="00E9405E"/>
    <w:rsid w:val="00E941D7"/>
    <w:rsid w:val="00E942FA"/>
    <w:rsid w:val="00E94686"/>
    <w:rsid w:val="00E94792"/>
    <w:rsid w:val="00E949CD"/>
    <w:rsid w:val="00E94AA1"/>
    <w:rsid w:val="00E94F3F"/>
    <w:rsid w:val="00E95293"/>
    <w:rsid w:val="00E953B1"/>
    <w:rsid w:val="00E955D6"/>
    <w:rsid w:val="00E95B60"/>
    <w:rsid w:val="00E95B84"/>
    <w:rsid w:val="00E95C44"/>
    <w:rsid w:val="00E95D1C"/>
    <w:rsid w:val="00E95E7E"/>
    <w:rsid w:val="00E96212"/>
    <w:rsid w:val="00E962CC"/>
    <w:rsid w:val="00E962DB"/>
    <w:rsid w:val="00E96346"/>
    <w:rsid w:val="00E96A57"/>
    <w:rsid w:val="00E97068"/>
    <w:rsid w:val="00E971E6"/>
    <w:rsid w:val="00E9729A"/>
    <w:rsid w:val="00E973D7"/>
    <w:rsid w:val="00E97546"/>
    <w:rsid w:val="00E9754F"/>
    <w:rsid w:val="00E9776D"/>
    <w:rsid w:val="00E977A6"/>
    <w:rsid w:val="00E977F0"/>
    <w:rsid w:val="00E9795B"/>
    <w:rsid w:val="00E97BB8"/>
    <w:rsid w:val="00E97D01"/>
    <w:rsid w:val="00E97D8E"/>
    <w:rsid w:val="00E97EDA"/>
    <w:rsid w:val="00EA0163"/>
    <w:rsid w:val="00EA01A4"/>
    <w:rsid w:val="00EA01FB"/>
    <w:rsid w:val="00EA0261"/>
    <w:rsid w:val="00EA031D"/>
    <w:rsid w:val="00EA03CC"/>
    <w:rsid w:val="00EA0539"/>
    <w:rsid w:val="00EA0577"/>
    <w:rsid w:val="00EA06D5"/>
    <w:rsid w:val="00EA0845"/>
    <w:rsid w:val="00EA099C"/>
    <w:rsid w:val="00EA09B0"/>
    <w:rsid w:val="00EA0D29"/>
    <w:rsid w:val="00EA0D5F"/>
    <w:rsid w:val="00EA0F11"/>
    <w:rsid w:val="00EA0F8C"/>
    <w:rsid w:val="00EA1042"/>
    <w:rsid w:val="00EA10A7"/>
    <w:rsid w:val="00EA10B3"/>
    <w:rsid w:val="00EA1192"/>
    <w:rsid w:val="00EA133B"/>
    <w:rsid w:val="00EA149F"/>
    <w:rsid w:val="00EA17C3"/>
    <w:rsid w:val="00EA1B0C"/>
    <w:rsid w:val="00EA1D76"/>
    <w:rsid w:val="00EA1E9D"/>
    <w:rsid w:val="00EA1EB1"/>
    <w:rsid w:val="00EA2384"/>
    <w:rsid w:val="00EA23FD"/>
    <w:rsid w:val="00EA2B64"/>
    <w:rsid w:val="00EA2CAA"/>
    <w:rsid w:val="00EA2EA2"/>
    <w:rsid w:val="00EA2EEC"/>
    <w:rsid w:val="00EA2F83"/>
    <w:rsid w:val="00EA3008"/>
    <w:rsid w:val="00EA30A8"/>
    <w:rsid w:val="00EA3144"/>
    <w:rsid w:val="00EA3349"/>
    <w:rsid w:val="00EA33C7"/>
    <w:rsid w:val="00EA33DB"/>
    <w:rsid w:val="00EA3864"/>
    <w:rsid w:val="00EA3D47"/>
    <w:rsid w:val="00EA3D6B"/>
    <w:rsid w:val="00EA3E14"/>
    <w:rsid w:val="00EA3FF3"/>
    <w:rsid w:val="00EA4226"/>
    <w:rsid w:val="00EA42EA"/>
    <w:rsid w:val="00EA447B"/>
    <w:rsid w:val="00EA4685"/>
    <w:rsid w:val="00EA46FD"/>
    <w:rsid w:val="00EA4941"/>
    <w:rsid w:val="00EA4B07"/>
    <w:rsid w:val="00EA5090"/>
    <w:rsid w:val="00EA514C"/>
    <w:rsid w:val="00EA5312"/>
    <w:rsid w:val="00EA54A5"/>
    <w:rsid w:val="00EA5753"/>
    <w:rsid w:val="00EA5A96"/>
    <w:rsid w:val="00EA5CD7"/>
    <w:rsid w:val="00EA5D99"/>
    <w:rsid w:val="00EA5F61"/>
    <w:rsid w:val="00EA5F86"/>
    <w:rsid w:val="00EA5FDA"/>
    <w:rsid w:val="00EA621B"/>
    <w:rsid w:val="00EA6345"/>
    <w:rsid w:val="00EA6623"/>
    <w:rsid w:val="00EA69C3"/>
    <w:rsid w:val="00EA6D34"/>
    <w:rsid w:val="00EA6E7A"/>
    <w:rsid w:val="00EA6E93"/>
    <w:rsid w:val="00EA7286"/>
    <w:rsid w:val="00EA734E"/>
    <w:rsid w:val="00EA7410"/>
    <w:rsid w:val="00EA75F5"/>
    <w:rsid w:val="00EA772D"/>
    <w:rsid w:val="00EA7805"/>
    <w:rsid w:val="00EA7808"/>
    <w:rsid w:val="00EA7887"/>
    <w:rsid w:val="00EA7AE5"/>
    <w:rsid w:val="00EA7AF4"/>
    <w:rsid w:val="00EA7B41"/>
    <w:rsid w:val="00EA7C12"/>
    <w:rsid w:val="00EA7C14"/>
    <w:rsid w:val="00EA7E98"/>
    <w:rsid w:val="00EA7EF2"/>
    <w:rsid w:val="00EA7F1C"/>
    <w:rsid w:val="00EA7F41"/>
    <w:rsid w:val="00EB01BE"/>
    <w:rsid w:val="00EB02B2"/>
    <w:rsid w:val="00EB0491"/>
    <w:rsid w:val="00EB0656"/>
    <w:rsid w:val="00EB06C9"/>
    <w:rsid w:val="00EB090C"/>
    <w:rsid w:val="00EB0925"/>
    <w:rsid w:val="00EB0AA4"/>
    <w:rsid w:val="00EB0BDC"/>
    <w:rsid w:val="00EB0C8C"/>
    <w:rsid w:val="00EB0F06"/>
    <w:rsid w:val="00EB13BC"/>
    <w:rsid w:val="00EB152C"/>
    <w:rsid w:val="00EB1566"/>
    <w:rsid w:val="00EB1599"/>
    <w:rsid w:val="00EB15B6"/>
    <w:rsid w:val="00EB17B0"/>
    <w:rsid w:val="00EB17D6"/>
    <w:rsid w:val="00EB1BA8"/>
    <w:rsid w:val="00EB1DD5"/>
    <w:rsid w:val="00EB1EC9"/>
    <w:rsid w:val="00EB1F12"/>
    <w:rsid w:val="00EB2031"/>
    <w:rsid w:val="00EB21E1"/>
    <w:rsid w:val="00EB223A"/>
    <w:rsid w:val="00EB2244"/>
    <w:rsid w:val="00EB2560"/>
    <w:rsid w:val="00EB261D"/>
    <w:rsid w:val="00EB2712"/>
    <w:rsid w:val="00EB2796"/>
    <w:rsid w:val="00EB291B"/>
    <w:rsid w:val="00EB2967"/>
    <w:rsid w:val="00EB2A81"/>
    <w:rsid w:val="00EB2B25"/>
    <w:rsid w:val="00EB2B8F"/>
    <w:rsid w:val="00EB2BB7"/>
    <w:rsid w:val="00EB3342"/>
    <w:rsid w:val="00EB34DA"/>
    <w:rsid w:val="00EB3537"/>
    <w:rsid w:val="00EB35A9"/>
    <w:rsid w:val="00EB3692"/>
    <w:rsid w:val="00EB394E"/>
    <w:rsid w:val="00EB3A28"/>
    <w:rsid w:val="00EB3CC0"/>
    <w:rsid w:val="00EB3D06"/>
    <w:rsid w:val="00EB3D6A"/>
    <w:rsid w:val="00EB3E3E"/>
    <w:rsid w:val="00EB4084"/>
    <w:rsid w:val="00EB41B9"/>
    <w:rsid w:val="00EB4306"/>
    <w:rsid w:val="00EB431E"/>
    <w:rsid w:val="00EB4352"/>
    <w:rsid w:val="00EB4578"/>
    <w:rsid w:val="00EB47C1"/>
    <w:rsid w:val="00EB48C7"/>
    <w:rsid w:val="00EB4916"/>
    <w:rsid w:val="00EB493B"/>
    <w:rsid w:val="00EB4BEC"/>
    <w:rsid w:val="00EB4D16"/>
    <w:rsid w:val="00EB4D87"/>
    <w:rsid w:val="00EB4E6A"/>
    <w:rsid w:val="00EB51DD"/>
    <w:rsid w:val="00EB5261"/>
    <w:rsid w:val="00EB53C4"/>
    <w:rsid w:val="00EB594B"/>
    <w:rsid w:val="00EB5A81"/>
    <w:rsid w:val="00EB5C46"/>
    <w:rsid w:val="00EB5C68"/>
    <w:rsid w:val="00EB5F7C"/>
    <w:rsid w:val="00EB63A8"/>
    <w:rsid w:val="00EB6438"/>
    <w:rsid w:val="00EB646C"/>
    <w:rsid w:val="00EB658E"/>
    <w:rsid w:val="00EB6677"/>
    <w:rsid w:val="00EB66CF"/>
    <w:rsid w:val="00EB670C"/>
    <w:rsid w:val="00EB6763"/>
    <w:rsid w:val="00EB6AA4"/>
    <w:rsid w:val="00EB6ACB"/>
    <w:rsid w:val="00EB6B49"/>
    <w:rsid w:val="00EB6F29"/>
    <w:rsid w:val="00EB72C9"/>
    <w:rsid w:val="00EB75EB"/>
    <w:rsid w:val="00EB7B1F"/>
    <w:rsid w:val="00EB7BAF"/>
    <w:rsid w:val="00EB7C24"/>
    <w:rsid w:val="00EB7C4D"/>
    <w:rsid w:val="00EB7CE4"/>
    <w:rsid w:val="00EC00C9"/>
    <w:rsid w:val="00EC00D8"/>
    <w:rsid w:val="00EC01EE"/>
    <w:rsid w:val="00EC0502"/>
    <w:rsid w:val="00EC052F"/>
    <w:rsid w:val="00EC07E7"/>
    <w:rsid w:val="00EC08DF"/>
    <w:rsid w:val="00EC08E3"/>
    <w:rsid w:val="00EC09E3"/>
    <w:rsid w:val="00EC0DD9"/>
    <w:rsid w:val="00EC0E19"/>
    <w:rsid w:val="00EC0E90"/>
    <w:rsid w:val="00EC0F02"/>
    <w:rsid w:val="00EC0F39"/>
    <w:rsid w:val="00EC0FC6"/>
    <w:rsid w:val="00EC12F7"/>
    <w:rsid w:val="00EC13A9"/>
    <w:rsid w:val="00EC1729"/>
    <w:rsid w:val="00EC193F"/>
    <w:rsid w:val="00EC197B"/>
    <w:rsid w:val="00EC1A42"/>
    <w:rsid w:val="00EC1BFA"/>
    <w:rsid w:val="00EC21B7"/>
    <w:rsid w:val="00EC222A"/>
    <w:rsid w:val="00EC22E0"/>
    <w:rsid w:val="00EC23E8"/>
    <w:rsid w:val="00EC2420"/>
    <w:rsid w:val="00EC24A7"/>
    <w:rsid w:val="00EC2635"/>
    <w:rsid w:val="00EC2649"/>
    <w:rsid w:val="00EC26DA"/>
    <w:rsid w:val="00EC2F44"/>
    <w:rsid w:val="00EC2F76"/>
    <w:rsid w:val="00EC300B"/>
    <w:rsid w:val="00EC301D"/>
    <w:rsid w:val="00EC31ED"/>
    <w:rsid w:val="00EC3219"/>
    <w:rsid w:val="00EC3275"/>
    <w:rsid w:val="00EC3318"/>
    <w:rsid w:val="00EC34D6"/>
    <w:rsid w:val="00EC3C51"/>
    <w:rsid w:val="00EC3CDC"/>
    <w:rsid w:val="00EC3CE9"/>
    <w:rsid w:val="00EC3D66"/>
    <w:rsid w:val="00EC4077"/>
    <w:rsid w:val="00EC43B1"/>
    <w:rsid w:val="00EC4790"/>
    <w:rsid w:val="00EC4EE2"/>
    <w:rsid w:val="00EC517B"/>
    <w:rsid w:val="00EC5236"/>
    <w:rsid w:val="00EC526E"/>
    <w:rsid w:val="00EC55DC"/>
    <w:rsid w:val="00EC57F5"/>
    <w:rsid w:val="00EC57FB"/>
    <w:rsid w:val="00EC5836"/>
    <w:rsid w:val="00EC5934"/>
    <w:rsid w:val="00EC5A02"/>
    <w:rsid w:val="00EC5B76"/>
    <w:rsid w:val="00EC5B99"/>
    <w:rsid w:val="00EC5DC8"/>
    <w:rsid w:val="00EC5EA5"/>
    <w:rsid w:val="00EC5F90"/>
    <w:rsid w:val="00EC6264"/>
    <w:rsid w:val="00EC657F"/>
    <w:rsid w:val="00EC65DE"/>
    <w:rsid w:val="00EC670F"/>
    <w:rsid w:val="00EC688C"/>
    <w:rsid w:val="00EC6990"/>
    <w:rsid w:val="00EC6C9D"/>
    <w:rsid w:val="00EC6D35"/>
    <w:rsid w:val="00EC70B8"/>
    <w:rsid w:val="00EC729E"/>
    <w:rsid w:val="00EC739E"/>
    <w:rsid w:val="00EC770E"/>
    <w:rsid w:val="00EC78DA"/>
    <w:rsid w:val="00EC798A"/>
    <w:rsid w:val="00EC7A37"/>
    <w:rsid w:val="00EC7D4A"/>
    <w:rsid w:val="00EC7E0C"/>
    <w:rsid w:val="00ED00E8"/>
    <w:rsid w:val="00ED00F7"/>
    <w:rsid w:val="00ED016A"/>
    <w:rsid w:val="00ED0384"/>
    <w:rsid w:val="00ED0748"/>
    <w:rsid w:val="00ED0768"/>
    <w:rsid w:val="00ED0CBB"/>
    <w:rsid w:val="00ED0DE2"/>
    <w:rsid w:val="00ED0E38"/>
    <w:rsid w:val="00ED0FFD"/>
    <w:rsid w:val="00ED10D2"/>
    <w:rsid w:val="00ED12E3"/>
    <w:rsid w:val="00ED1471"/>
    <w:rsid w:val="00ED16C1"/>
    <w:rsid w:val="00ED174A"/>
    <w:rsid w:val="00ED1825"/>
    <w:rsid w:val="00ED1F5A"/>
    <w:rsid w:val="00ED2263"/>
    <w:rsid w:val="00ED2498"/>
    <w:rsid w:val="00ED249F"/>
    <w:rsid w:val="00ED259A"/>
    <w:rsid w:val="00ED2613"/>
    <w:rsid w:val="00ED2879"/>
    <w:rsid w:val="00ED2BC5"/>
    <w:rsid w:val="00ED2C60"/>
    <w:rsid w:val="00ED2E33"/>
    <w:rsid w:val="00ED2F22"/>
    <w:rsid w:val="00ED3016"/>
    <w:rsid w:val="00ED3679"/>
    <w:rsid w:val="00ED3A50"/>
    <w:rsid w:val="00ED3CBA"/>
    <w:rsid w:val="00ED40B8"/>
    <w:rsid w:val="00ED42CC"/>
    <w:rsid w:val="00ED430C"/>
    <w:rsid w:val="00ED433B"/>
    <w:rsid w:val="00ED4458"/>
    <w:rsid w:val="00ED45AE"/>
    <w:rsid w:val="00ED4836"/>
    <w:rsid w:val="00ED4AA6"/>
    <w:rsid w:val="00ED4B04"/>
    <w:rsid w:val="00ED4ECD"/>
    <w:rsid w:val="00ED4F0A"/>
    <w:rsid w:val="00ED51D0"/>
    <w:rsid w:val="00ED53B0"/>
    <w:rsid w:val="00ED53F6"/>
    <w:rsid w:val="00ED542B"/>
    <w:rsid w:val="00ED5711"/>
    <w:rsid w:val="00ED57EA"/>
    <w:rsid w:val="00ED5BD4"/>
    <w:rsid w:val="00ED5C82"/>
    <w:rsid w:val="00ED5CB4"/>
    <w:rsid w:val="00ED5E35"/>
    <w:rsid w:val="00ED5F37"/>
    <w:rsid w:val="00ED6055"/>
    <w:rsid w:val="00ED643B"/>
    <w:rsid w:val="00ED66D6"/>
    <w:rsid w:val="00ED67C9"/>
    <w:rsid w:val="00ED694C"/>
    <w:rsid w:val="00ED6C76"/>
    <w:rsid w:val="00ED6D10"/>
    <w:rsid w:val="00ED7192"/>
    <w:rsid w:val="00ED72F8"/>
    <w:rsid w:val="00ED7378"/>
    <w:rsid w:val="00ED76A5"/>
    <w:rsid w:val="00ED76CA"/>
    <w:rsid w:val="00ED7D78"/>
    <w:rsid w:val="00ED7EA6"/>
    <w:rsid w:val="00ED7FBA"/>
    <w:rsid w:val="00EE0644"/>
    <w:rsid w:val="00EE06FD"/>
    <w:rsid w:val="00EE07B9"/>
    <w:rsid w:val="00EE07D3"/>
    <w:rsid w:val="00EE0925"/>
    <w:rsid w:val="00EE0A2B"/>
    <w:rsid w:val="00EE0C52"/>
    <w:rsid w:val="00EE0D6F"/>
    <w:rsid w:val="00EE0F89"/>
    <w:rsid w:val="00EE0FD6"/>
    <w:rsid w:val="00EE11E9"/>
    <w:rsid w:val="00EE1297"/>
    <w:rsid w:val="00EE133E"/>
    <w:rsid w:val="00EE14F4"/>
    <w:rsid w:val="00EE1642"/>
    <w:rsid w:val="00EE1775"/>
    <w:rsid w:val="00EE1811"/>
    <w:rsid w:val="00EE184F"/>
    <w:rsid w:val="00EE1933"/>
    <w:rsid w:val="00EE1996"/>
    <w:rsid w:val="00EE1ABC"/>
    <w:rsid w:val="00EE1C01"/>
    <w:rsid w:val="00EE1C27"/>
    <w:rsid w:val="00EE2026"/>
    <w:rsid w:val="00EE216C"/>
    <w:rsid w:val="00EE21F2"/>
    <w:rsid w:val="00EE22AF"/>
    <w:rsid w:val="00EE2583"/>
    <w:rsid w:val="00EE266A"/>
    <w:rsid w:val="00EE29B5"/>
    <w:rsid w:val="00EE2ACE"/>
    <w:rsid w:val="00EE2B46"/>
    <w:rsid w:val="00EE2D69"/>
    <w:rsid w:val="00EE2DBE"/>
    <w:rsid w:val="00EE3056"/>
    <w:rsid w:val="00EE30B3"/>
    <w:rsid w:val="00EE3235"/>
    <w:rsid w:val="00EE379D"/>
    <w:rsid w:val="00EE37F4"/>
    <w:rsid w:val="00EE385D"/>
    <w:rsid w:val="00EE38A6"/>
    <w:rsid w:val="00EE38A9"/>
    <w:rsid w:val="00EE394E"/>
    <w:rsid w:val="00EE3A26"/>
    <w:rsid w:val="00EE3B33"/>
    <w:rsid w:val="00EE3D17"/>
    <w:rsid w:val="00EE3E17"/>
    <w:rsid w:val="00EE404E"/>
    <w:rsid w:val="00EE4164"/>
    <w:rsid w:val="00EE4272"/>
    <w:rsid w:val="00EE44D9"/>
    <w:rsid w:val="00EE469C"/>
    <w:rsid w:val="00EE47E4"/>
    <w:rsid w:val="00EE4ADC"/>
    <w:rsid w:val="00EE4D17"/>
    <w:rsid w:val="00EE4D2F"/>
    <w:rsid w:val="00EE501C"/>
    <w:rsid w:val="00EE51AE"/>
    <w:rsid w:val="00EE51CB"/>
    <w:rsid w:val="00EE52E2"/>
    <w:rsid w:val="00EE54A4"/>
    <w:rsid w:val="00EE5727"/>
    <w:rsid w:val="00EE5913"/>
    <w:rsid w:val="00EE598C"/>
    <w:rsid w:val="00EE5BA0"/>
    <w:rsid w:val="00EE5C0C"/>
    <w:rsid w:val="00EE5ED1"/>
    <w:rsid w:val="00EE6150"/>
    <w:rsid w:val="00EE61F2"/>
    <w:rsid w:val="00EE642F"/>
    <w:rsid w:val="00EE685E"/>
    <w:rsid w:val="00EE6C06"/>
    <w:rsid w:val="00EE6C2C"/>
    <w:rsid w:val="00EE6CA7"/>
    <w:rsid w:val="00EE6E9C"/>
    <w:rsid w:val="00EE734A"/>
    <w:rsid w:val="00EE747B"/>
    <w:rsid w:val="00EE748C"/>
    <w:rsid w:val="00EE748D"/>
    <w:rsid w:val="00EE7832"/>
    <w:rsid w:val="00EE79DA"/>
    <w:rsid w:val="00EE7A88"/>
    <w:rsid w:val="00EE7ACB"/>
    <w:rsid w:val="00EE7E9E"/>
    <w:rsid w:val="00EF0171"/>
    <w:rsid w:val="00EF023C"/>
    <w:rsid w:val="00EF02B2"/>
    <w:rsid w:val="00EF0365"/>
    <w:rsid w:val="00EF03A7"/>
    <w:rsid w:val="00EF05B1"/>
    <w:rsid w:val="00EF06A6"/>
    <w:rsid w:val="00EF09DD"/>
    <w:rsid w:val="00EF0E57"/>
    <w:rsid w:val="00EF0FA0"/>
    <w:rsid w:val="00EF0FC9"/>
    <w:rsid w:val="00EF0FCB"/>
    <w:rsid w:val="00EF1405"/>
    <w:rsid w:val="00EF189D"/>
    <w:rsid w:val="00EF1921"/>
    <w:rsid w:val="00EF1B25"/>
    <w:rsid w:val="00EF1DA0"/>
    <w:rsid w:val="00EF20C4"/>
    <w:rsid w:val="00EF2342"/>
    <w:rsid w:val="00EF239F"/>
    <w:rsid w:val="00EF24A6"/>
    <w:rsid w:val="00EF24ED"/>
    <w:rsid w:val="00EF25D1"/>
    <w:rsid w:val="00EF2745"/>
    <w:rsid w:val="00EF295C"/>
    <w:rsid w:val="00EF2A28"/>
    <w:rsid w:val="00EF2AB1"/>
    <w:rsid w:val="00EF2F7B"/>
    <w:rsid w:val="00EF2FB7"/>
    <w:rsid w:val="00EF3584"/>
    <w:rsid w:val="00EF3637"/>
    <w:rsid w:val="00EF38D4"/>
    <w:rsid w:val="00EF39B6"/>
    <w:rsid w:val="00EF3C04"/>
    <w:rsid w:val="00EF3D2D"/>
    <w:rsid w:val="00EF402F"/>
    <w:rsid w:val="00EF4177"/>
    <w:rsid w:val="00EF417D"/>
    <w:rsid w:val="00EF4230"/>
    <w:rsid w:val="00EF4458"/>
    <w:rsid w:val="00EF4747"/>
    <w:rsid w:val="00EF4900"/>
    <w:rsid w:val="00EF4BEB"/>
    <w:rsid w:val="00EF4BF8"/>
    <w:rsid w:val="00EF5104"/>
    <w:rsid w:val="00EF5219"/>
    <w:rsid w:val="00EF5381"/>
    <w:rsid w:val="00EF53AD"/>
    <w:rsid w:val="00EF55D9"/>
    <w:rsid w:val="00EF5647"/>
    <w:rsid w:val="00EF569A"/>
    <w:rsid w:val="00EF5749"/>
    <w:rsid w:val="00EF5821"/>
    <w:rsid w:val="00EF5856"/>
    <w:rsid w:val="00EF58FE"/>
    <w:rsid w:val="00EF5972"/>
    <w:rsid w:val="00EF59E5"/>
    <w:rsid w:val="00EF5C0B"/>
    <w:rsid w:val="00EF5DB2"/>
    <w:rsid w:val="00EF60C0"/>
    <w:rsid w:val="00EF62E2"/>
    <w:rsid w:val="00EF62E7"/>
    <w:rsid w:val="00EF6531"/>
    <w:rsid w:val="00EF661C"/>
    <w:rsid w:val="00EF6798"/>
    <w:rsid w:val="00EF6905"/>
    <w:rsid w:val="00EF6C6C"/>
    <w:rsid w:val="00EF6EC9"/>
    <w:rsid w:val="00EF6F1A"/>
    <w:rsid w:val="00EF721B"/>
    <w:rsid w:val="00EF7734"/>
    <w:rsid w:val="00EF7840"/>
    <w:rsid w:val="00EF7986"/>
    <w:rsid w:val="00EF7A9D"/>
    <w:rsid w:val="00EF7E1E"/>
    <w:rsid w:val="00EF7E43"/>
    <w:rsid w:val="00F0007E"/>
    <w:rsid w:val="00F00172"/>
    <w:rsid w:val="00F0035A"/>
    <w:rsid w:val="00F0050F"/>
    <w:rsid w:val="00F00599"/>
    <w:rsid w:val="00F00619"/>
    <w:rsid w:val="00F006FA"/>
    <w:rsid w:val="00F0079B"/>
    <w:rsid w:val="00F00A68"/>
    <w:rsid w:val="00F00B55"/>
    <w:rsid w:val="00F00F8F"/>
    <w:rsid w:val="00F013F1"/>
    <w:rsid w:val="00F015A8"/>
    <w:rsid w:val="00F0169D"/>
    <w:rsid w:val="00F01874"/>
    <w:rsid w:val="00F01E37"/>
    <w:rsid w:val="00F02147"/>
    <w:rsid w:val="00F0224A"/>
    <w:rsid w:val="00F02251"/>
    <w:rsid w:val="00F02253"/>
    <w:rsid w:val="00F022C6"/>
    <w:rsid w:val="00F02360"/>
    <w:rsid w:val="00F027A4"/>
    <w:rsid w:val="00F02906"/>
    <w:rsid w:val="00F0297D"/>
    <w:rsid w:val="00F02A4D"/>
    <w:rsid w:val="00F02BCB"/>
    <w:rsid w:val="00F02C2E"/>
    <w:rsid w:val="00F02EB1"/>
    <w:rsid w:val="00F0309A"/>
    <w:rsid w:val="00F0311D"/>
    <w:rsid w:val="00F0345E"/>
    <w:rsid w:val="00F03672"/>
    <w:rsid w:val="00F039C6"/>
    <w:rsid w:val="00F03B31"/>
    <w:rsid w:val="00F03C2E"/>
    <w:rsid w:val="00F03E75"/>
    <w:rsid w:val="00F0403E"/>
    <w:rsid w:val="00F04200"/>
    <w:rsid w:val="00F04307"/>
    <w:rsid w:val="00F0448F"/>
    <w:rsid w:val="00F0455B"/>
    <w:rsid w:val="00F04569"/>
    <w:rsid w:val="00F04912"/>
    <w:rsid w:val="00F04A40"/>
    <w:rsid w:val="00F04A66"/>
    <w:rsid w:val="00F04B4B"/>
    <w:rsid w:val="00F04BD7"/>
    <w:rsid w:val="00F04D08"/>
    <w:rsid w:val="00F04E19"/>
    <w:rsid w:val="00F04E84"/>
    <w:rsid w:val="00F04F20"/>
    <w:rsid w:val="00F04FA3"/>
    <w:rsid w:val="00F05067"/>
    <w:rsid w:val="00F05070"/>
    <w:rsid w:val="00F0516C"/>
    <w:rsid w:val="00F0558C"/>
    <w:rsid w:val="00F05668"/>
    <w:rsid w:val="00F057EE"/>
    <w:rsid w:val="00F05861"/>
    <w:rsid w:val="00F05A34"/>
    <w:rsid w:val="00F05A7B"/>
    <w:rsid w:val="00F05CF1"/>
    <w:rsid w:val="00F05D0B"/>
    <w:rsid w:val="00F05D60"/>
    <w:rsid w:val="00F05DAB"/>
    <w:rsid w:val="00F060BC"/>
    <w:rsid w:val="00F064B3"/>
    <w:rsid w:val="00F0670B"/>
    <w:rsid w:val="00F067A2"/>
    <w:rsid w:val="00F06A37"/>
    <w:rsid w:val="00F06EA1"/>
    <w:rsid w:val="00F07169"/>
    <w:rsid w:val="00F0728C"/>
    <w:rsid w:val="00F075E2"/>
    <w:rsid w:val="00F076DF"/>
    <w:rsid w:val="00F07B91"/>
    <w:rsid w:val="00F07B9E"/>
    <w:rsid w:val="00F07DA4"/>
    <w:rsid w:val="00F07DCC"/>
    <w:rsid w:val="00F07F55"/>
    <w:rsid w:val="00F10178"/>
    <w:rsid w:val="00F101CF"/>
    <w:rsid w:val="00F101E0"/>
    <w:rsid w:val="00F102F8"/>
    <w:rsid w:val="00F106CF"/>
    <w:rsid w:val="00F107E6"/>
    <w:rsid w:val="00F108CC"/>
    <w:rsid w:val="00F10ACE"/>
    <w:rsid w:val="00F10EAA"/>
    <w:rsid w:val="00F1108F"/>
    <w:rsid w:val="00F1116F"/>
    <w:rsid w:val="00F11205"/>
    <w:rsid w:val="00F11293"/>
    <w:rsid w:val="00F113FF"/>
    <w:rsid w:val="00F11489"/>
    <w:rsid w:val="00F11602"/>
    <w:rsid w:val="00F11665"/>
    <w:rsid w:val="00F1175D"/>
    <w:rsid w:val="00F119F4"/>
    <w:rsid w:val="00F11A63"/>
    <w:rsid w:val="00F11CD2"/>
    <w:rsid w:val="00F11CEE"/>
    <w:rsid w:val="00F11E41"/>
    <w:rsid w:val="00F121BA"/>
    <w:rsid w:val="00F12443"/>
    <w:rsid w:val="00F12485"/>
    <w:rsid w:val="00F12494"/>
    <w:rsid w:val="00F1263A"/>
    <w:rsid w:val="00F12720"/>
    <w:rsid w:val="00F12893"/>
    <w:rsid w:val="00F12A1C"/>
    <w:rsid w:val="00F12BFA"/>
    <w:rsid w:val="00F12D23"/>
    <w:rsid w:val="00F12DDA"/>
    <w:rsid w:val="00F12E48"/>
    <w:rsid w:val="00F13186"/>
    <w:rsid w:val="00F13193"/>
    <w:rsid w:val="00F131DA"/>
    <w:rsid w:val="00F13386"/>
    <w:rsid w:val="00F13773"/>
    <w:rsid w:val="00F138CA"/>
    <w:rsid w:val="00F139C5"/>
    <w:rsid w:val="00F13C98"/>
    <w:rsid w:val="00F13D1D"/>
    <w:rsid w:val="00F13EC8"/>
    <w:rsid w:val="00F13EF4"/>
    <w:rsid w:val="00F13F7C"/>
    <w:rsid w:val="00F1406C"/>
    <w:rsid w:val="00F140C6"/>
    <w:rsid w:val="00F140DE"/>
    <w:rsid w:val="00F14116"/>
    <w:rsid w:val="00F143D2"/>
    <w:rsid w:val="00F144E1"/>
    <w:rsid w:val="00F145CC"/>
    <w:rsid w:val="00F1493B"/>
    <w:rsid w:val="00F149F5"/>
    <w:rsid w:val="00F14A69"/>
    <w:rsid w:val="00F1511C"/>
    <w:rsid w:val="00F15534"/>
    <w:rsid w:val="00F158F1"/>
    <w:rsid w:val="00F15A7E"/>
    <w:rsid w:val="00F15B77"/>
    <w:rsid w:val="00F15BE1"/>
    <w:rsid w:val="00F15D1F"/>
    <w:rsid w:val="00F15D9B"/>
    <w:rsid w:val="00F15F63"/>
    <w:rsid w:val="00F1623C"/>
    <w:rsid w:val="00F162BA"/>
    <w:rsid w:val="00F162D2"/>
    <w:rsid w:val="00F16DF3"/>
    <w:rsid w:val="00F16E17"/>
    <w:rsid w:val="00F16F5F"/>
    <w:rsid w:val="00F16FD6"/>
    <w:rsid w:val="00F170DE"/>
    <w:rsid w:val="00F1724F"/>
    <w:rsid w:val="00F178F0"/>
    <w:rsid w:val="00F17A44"/>
    <w:rsid w:val="00F17D12"/>
    <w:rsid w:val="00F17D1C"/>
    <w:rsid w:val="00F20154"/>
    <w:rsid w:val="00F2024A"/>
    <w:rsid w:val="00F2033F"/>
    <w:rsid w:val="00F20500"/>
    <w:rsid w:val="00F2063F"/>
    <w:rsid w:val="00F2070C"/>
    <w:rsid w:val="00F20814"/>
    <w:rsid w:val="00F20A41"/>
    <w:rsid w:val="00F20B80"/>
    <w:rsid w:val="00F21101"/>
    <w:rsid w:val="00F21236"/>
    <w:rsid w:val="00F217E8"/>
    <w:rsid w:val="00F2182E"/>
    <w:rsid w:val="00F2194E"/>
    <w:rsid w:val="00F21CE3"/>
    <w:rsid w:val="00F21F1D"/>
    <w:rsid w:val="00F21FCE"/>
    <w:rsid w:val="00F221A3"/>
    <w:rsid w:val="00F22521"/>
    <w:rsid w:val="00F2281B"/>
    <w:rsid w:val="00F22925"/>
    <w:rsid w:val="00F2292B"/>
    <w:rsid w:val="00F229C8"/>
    <w:rsid w:val="00F22BC3"/>
    <w:rsid w:val="00F22E34"/>
    <w:rsid w:val="00F23232"/>
    <w:rsid w:val="00F2328D"/>
    <w:rsid w:val="00F2345F"/>
    <w:rsid w:val="00F23732"/>
    <w:rsid w:val="00F23932"/>
    <w:rsid w:val="00F239DF"/>
    <w:rsid w:val="00F23ABC"/>
    <w:rsid w:val="00F23D2C"/>
    <w:rsid w:val="00F23D76"/>
    <w:rsid w:val="00F23E5E"/>
    <w:rsid w:val="00F23F38"/>
    <w:rsid w:val="00F2446E"/>
    <w:rsid w:val="00F244AA"/>
    <w:rsid w:val="00F24837"/>
    <w:rsid w:val="00F2484A"/>
    <w:rsid w:val="00F24D72"/>
    <w:rsid w:val="00F24F38"/>
    <w:rsid w:val="00F24FF0"/>
    <w:rsid w:val="00F25070"/>
    <w:rsid w:val="00F250AA"/>
    <w:rsid w:val="00F25135"/>
    <w:rsid w:val="00F252F6"/>
    <w:rsid w:val="00F253D2"/>
    <w:rsid w:val="00F254CC"/>
    <w:rsid w:val="00F256F9"/>
    <w:rsid w:val="00F25748"/>
    <w:rsid w:val="00F2575A"/>
    <w:rsid w:val="00F2575F"/>
    <w:rsid w:val="00F258C9"/>
    <w:rsid w:val="00F25A7C"/>
    <w:rsid w:val="00F25B28"/>
    <w:rsid w:val="00F25EAD"/>
    <w:rsid w:val="00F25EB3"/>
    <w:rsid w:val="00F2655E"/>
    <w:rsid w:val="00F265D3"/>
    <w:rsid w:val="00F26635"/>
    <w:rsid w:val="00F26681"/>
    <w:rsid w:val="00F26713"/>
    <w:rsid w:val="00F26790"/>
    <w:rsid w:val="00F2680A"/>
    <w:rsid w:val="00F2681C"/>
    <w:rsid w:val="00F272F2"/>
    <w:rsid w:val="00F27565"/>
    <w:rsid w:val="00F27663"/>
    <w:rsid w:val="00F279DB"/>
    <w:rsid w:val="00F27AAC"/>
    <w:rsid w:val="00F30008"/>
    <w:rsid w:val="00F304CF"/>
    <w:rsid w:val="00F30635"/>
    <w:rsid w:val="00F307DE"/>
    <w:rsid w:val="00F30823"/>
    <w:rsid w:val="00F30911"/>
    <w:rsid w:val="00F30A67"/>
    <w:rsid w:val="00F30A9D"/>
    <w:rsid w:val="00F30B8F"/>
    <w:rsid w:val="00F30C55"/>
    <w:rsid w:val="00F30CF5"/>
    <w:rsid w:val="00F30E43"/>
    <w:rsid w:val="00F30FDE"/>
    <w:rsid w:val="00F310D4"/>
    <w:rsid w:val="00F317EF"/>
    <w:rsid w:val="00F3188F"/>
    <w:rsid w:val="00F318FC"/>
    <w:rsid w:val="00F3191C"/>
    <w:rsid w:val="00F31A0C"/>
    <w:rsid w:val="00F31CC6"/>
    <w:rsid w:val="00F31D5A"/>
    <w:rsid w:val="00F31F68"/>
    <w:rsid w:val="00F31FFD"/>
    <w:rsid w:val="00F3233A"/>
    <w:rsid w:val="00F323F1"/>
    <w:rsid w:val="00F325E4"/>
    <w:rsid w:val="00F32889"/>
    <w:rsid w:val="00F328EA"/>
    <w:rsid w:val="00F329AF"/>
    <w:rsid w:val="00F32A23"/>
    <w:rsid w:val="00F32A5F"/>
    <w:rsid w:val="00F32E7B"/>
    <w:rsid w:val="00F3336A"/>
    <w:rsid w:val="00F33485"/>
    <w:rsid w:val="00F33784"/>
    <w:rsid w:val="00F33920"/>
    <w:rsid w:val="00F33936"/>
    <w:rsid w:val="00F33975"/>
    <w:rsid w:val="00F33A99"/>
    <w:rsid w:val="00F33DE9"/>
    <w:rsid w:val="00F33E5A"/>
    <w:rsid w:val="00F33F05"/>
    <w:rsid w:val="00F346E7"/>
    <w:rsid w:val="00F3485E"/>
    <w:rsid w:val="00F348A4"/>
    <w:rsid w:val="00F348F5"/>
    <w:rsid w:val="00F349DB"/>
    <w:rsid w:val="00F34C77"/>
    <w:rsid w:val="00F34D0D"/>
    <w:rsid w:val="00F34D53"/>
    <w:rsid w:val="00F34DC3"/>
    <w:rsid w:val="00F34FEA"/>
    <w:rsid w:val="00F35423"/>
    <w:rsid w:val="00F358B1"/>
    <w:rsid w:val="00F358B2"/>
    <w:rsid w:val="00F359DC"/>
    <w:rsid w:val="00F35AD5"/>
    <w:rsid w:val="00F35B09"/>
    <w:rsid w:val="00F35C13"/>
    <w:rsid w:val="00F35DB4"/>
    <w:rsid w:val="00F35E6D"/>
    <w:rsid w:val="00F35F18"/>
    <w:rsid w:val="00F35F5E"/>
    <w:rsid w:val="00F3619A"/>
    <w:rsid w:val="00F361EF"/>
    <w:rsid w:val="00F3628A"/>
    <w:rsid w:val="00F36861"/>
    <w:rsid w:val="00F36B14"/>
    <w:rsid w:val="00F36B97"/>
    <w:rsid w:val="00F36FC3"/>
    <w:rsid w:val="00F370D4"/>
    <w:rsid w:val="00F37243"/>
    <w:rsid w:val="00F37432"/>
    <w:rsid w:val="00F374AA"/>
    <w:rsid w:val="00F3776D"/>
    <w:rsid w:val="00F378A1"/>
    <w:rsid w:val="00F37B95"/>
    <w:rsid w:val="00F37EA9"/>
    <w:rsid w:val="00F37F63"/>
    <w:rsid w:val="00F40217"/>
    <w:rsid w:val="00F40247"/>
    <w:rsid w:val="00F40258"/>
    <w:rsid w:val="00F402F1"/>
    <w:rsid w:val="00F405C8"/>
    <w:rsid w:val="00F408F1"/>
    <w:rsid w:val="00F409D1"/>
    <w:rsid w:val="00F40AAA"/>
    <w:rsid w:val="00F40B08"/>
    <w:rsid w:val="00F40BA7"/>
    <w:rsid w:val="00F40BF5"/>
    <w:rsid w:val="00F40D82"/>
    <w:rsid w:val="00F40F11"/>
    <w:rsid w:val="00F40F40"/>
    <w:rsid w:val="00F40F9D"/>
    <w:rsid w:val="00F41190"/>
    <w:rsid w:val="00F41296"/>
    <w:rsid w:val="00F416AB"/>
    <w:rsid w:val="00F41749"/>
    <w:rsid w:val="00F41929"/>
    <w:rsid w:val="00F419B6"/>
    <w:rsid w:val="00F41ACD"/>
    <w:rsid w:val="00F41C7B"/>
    <w:rsid w:val="00F421A0"/>
    <w:rsid w:val="00F42254"/>
    <w:rsid w:val="00F42492"/>
    <w:rsid w:val="00F42945"/>
    <w:rsid w:val="00F42965"/>
    <w:rsid w:val="00F42A3F"/>
    <w:rsid w:val="00F42CD3"/>
    <w:rsid w:val="00F42E40"/>
    <w:rsid w:val="00F42F28"/>
    <w:rsid w:val="00F4324F"/>
    <w:rsid w:val="00F43333"/>
    <w:rsid w:val="00F43546"/>
    <w:rsid w:val="00F43C0D"/>
    <w:rsid w:val="00F43CE5"/>
    <w:rsid w:val="00F44015"/>
    <w:rsid w:val="00F4408B"/>
    <w:rsid w:val="00F4411A"/>
    <w:rsid w:val="00F44181"/>
    <w:rsid w:val="00F441AA"/>
    <w:rsid w:val="00F44898"/>
    <w:rsid w:val="00F448B0"/>
    <w:rsid w:val="00F44A84"/>
    <w:rsid w:val="00F44DBB"/>
    <w:rsid w:val="00F44FA5"/>
    <w:rsid w:val="00F450CB"/>
    <w:rsid w:val="00F450DB"/>
    <w:rsid w:val="00F451AF"/>
    <w:rsid w:val="00F451B9"/>
    <w:rsid w:val="00F451CA"/>
    <w:rsid w:val="00F4541A"/>
    <w:rsid w:val="00F454A2"/>
    <w:rsid w:val="00F45504"/>
    <w:rsid w:val="00F4587C"/>
    <w:rsid w:val="00F4596C"/>
    <w:rsid w:val="00F45A90"/>
    <w:rsid w:val="00F45CA6"/>
    <w:rsid w:val="00F46175"/>
    <w:rsid w:val="00F4632E"/>
    <w:rsid w:val="00F46742"/>
    <w:rsid w:val="00F4695C"/>
    <w:rsid w:val="00F46A6C"/>
    <w:rsid w:val="00F46AFA"/>
    <w:rsid w:val="00F46BE0"/>
    <w:rsid w:val="00F46C2E"/>
    <w:rsid w:val="00F46CB6"/>
    <w:rsid w:val="00F46EB7"/>
    <w:rsid w:val="00F470BE"/>
    <w:rsid w:val="00F47207"/>
    <w:rsid w:val="00F47335"/>
    <w:rsid w:val="00F474B6"/>
    <w:rsid w:val="00F4756D"/>
    <w:rsid w:val="00F47974"/>
    <w:rsid w:val="00F47B3E"/>
    <w:rsid w:val="00F47DC8"/>
    <w:rsid w:val="00F47DE8"/>
    <w:rsid w:val="00F47EBB"/>
    <w:rsid w:val="00F500D7"/>
    <w:rsid w:val="00F502BD"/>
    <w:rsid w:val="00F503EF"/>
    <w:rsid w:val="00F50448"/>
    <w:rsid w:val="00F504A3"/>
    <w:rsid w:val="00F509FC"/>
    <w:rsid w:val="00F50A46"/>
    <w:rsid w:val="00F50AA6"/>
    <w:rsid w:val="00F50B8C"/>
    <w:rsid w:val="00F50DBA"/>
    <w:rsid w:val="00F50F6F"/>
    <w:rsid w:val="00F50FC5"/>
    <w:rsid w:val="00F50FD6"/>
    <w:rsid w:val="00F51007"/>
    <w:rsid w:val="00F510A8"/>
    <w:rsid w:val="00F51411"/>
    <w:rsid w:val="00F51481"/>
    <w:rsid w:val="00F51483"/>
    <w:rsid w:val="00F517ED"/>
    <w:rsid w:val="00F51851"/>
    <w:rsid w:val="00F518CB"/>
    <w:rsid w:val="00F518DF"/>
    <w:rsid w:val="00F51A1F"/>
    <w:rsid w:val="00F51B47"/>
    <w:rsid w:val="00F51CA8"/>
    <w:rsid w:val="00F51E16"/>
    <w:rsid w:val="00F51E70"/>
    <w:rsid w:val="00F5202D"/>
    <w:rsid w:val="00F52238"/>
    <w:rsid w:val="00F52282"/>
    <w:rsid w:val="00F52AA3"/>
    <w:rsid w:val="00F52ACA"/>
    <w:rsid w:val="00F52BAC"/>
    <w:rsid w:val="00F52D96"/>
    <w:rsid w:val="00F530D2"/>
    <w:rsid w:val="00F533BA"/>
    <w:rsid w:val="00F534C1"/>
    <w:rsid w:val="00F535C8"/>
    <w:rsid w:val="00F538C3"/>
    <w:rsid w:val="00F53904"/>
    <w:rsid w:val="00F5392B"/>
    <w:rsid w:val="00F53B08"/>
    <w:rsid w:val="00F53D25"/>
    <w:rsid w:val="00F53D89"/>
    <w:rsid w:val="00F53E56"/>
    <w:rsid w:val="00F54070"/>
    <w:rsid w:val="00F542C1"/>
    <w:rsid w:val="00F542ED"/>
    <w:rsid w:val="00F54A43"/>
    <w:rsid w:val="00F54A68"/>
    <w:rsid w:val="00F54BEE"/>
    <w:rsid w:val="00F54D26"/>
    <w:rsid w:val="00F54D31"/>
    <w:rsid w:val="00F54D7F"/>
    <w:rsid w:val="00F54F88"/>
    <w:rsid w:val="00F550E3"/>
    <w:rsid w:val="00F55508"/>
    <w:rsid w:val="00F55776"/>
    <w:rsid w:val="00F55953"/>
    <w:rsid w:val="00F55CD3"/>
    <w:rsid w:val="00F55E73"/>
    <w:rsid w:val="00F55EDA"/>
    <w:rsid w:val="00F560DC"/>
    <w:rsid w:val="00F560E6"/>
    <w:rsid w:val="00F56150"/>
    <w:rsid w:val="00F5638E"/>
    <w:rsid w:val="00F568B3"/>
    <w:rsid w:val="00F568E4"/>
    <w:rsid w:val="00F56941"/>
    <w:rsid w:val="00F569DC"/>
    <w:rsid w:val="00F56C30"/>
    <w:rsid w:val="00F56C80"/>
    <w:rsid w:val="00F56CE6"/>
    <w:rsid w:val="00F56CF6"/>
    <w:rsid w:val="00F56D92"/>
    <w:rsid w:val="00F57015"/>
    <w:rsid w:val="00F57088"/>
    <w:rsid w:val="00F570C4"/>
    <w:rsid w:val="00F57132"/>
    <w:rsid w:val="00F57340"/>
    <w:rsid w:val="00F574C9"/>
    <w:rsid w:val="00F5750E"/>
    <w:rsid w:val="00F57553"/>
    <w:rsid w:val="00F5755A"/>
    <w:rsid w:val="00F575CE"/>
    <w:rsid w:val="00F576A1"/>
    <w:rsid w:val="00F577A0"/>
    <w:rsid w:val="00F577BF"/>
    <w:rsid w:val="00F57AE7"/>
    <w:rsid w:val="00F57C8B"/>
    <w:rsid w:val="00F57C9F"/>
    <w:rsid w:val="00F60092"/>
    <w:rsid w:val="00F602BA"/>
    <w:rsid w:val="00F602F6"/>
    <w:rsid w:val="00F6035A"/>
    <w:rsid w:val="00F6046B"/>
    <w:rsid w:val="00F605A9"/>
    <w:rsid w:val="00F60625"/>
    <w:rsid w:val="00F60653"/>
    <w:rsid w:val="00F60932"/>
    <w:rsid w:val="00F60DB9"/>
    <w:rsid w:val="00F61000"/>
    <w:rsid w:val="00F610F0"/>
    <w:rsid w:val="00F6117F"/>
    <w:rsid w:val="00F6131F"/>
    <w:rsid w:val="00F614A3"/>
    <w:rsid w:val="00F614F4"/>
    <w:rsid w:val="00F6168F"/>
    <w:rsid w:val="00F616D7"/>
    <w:rsid w:val="00F6199C"/>
    <w:rsid w:val="00F61C18"/>
    <w:rsid w:val="00F61D17"/>
    <w:rsid w:val="00F61EDF"/>
    <w:rsid w:val="00F62150"/>
    <w:rsid w:val="00F62165"/>
    <w:rsid w:val="00F62178"/>
    <w:rsid w:val="00F6264A"/>
    <w:rsid w:val="00F626AF"/>
    <w:rsid w:val="00F629A2"/>
    <w:rsid w:val="00F62A55"/>
    <w:rsid w:val="00F62B4A"/>
    <w:rsid w:val="00F62C9C"/>
    <w:rsid w:val="00F62DF6"/>
    <w:rsid w:val="00F62E55"/>
    <w:rsid w:val="00F6306E"/>
    <w:rsid w:val="00F6315B"/>
    <w:rsid w:val="00F632D3"/>
    <w:rsid w:val="00F633E0"/>
    <w:rsid w:val="00F63724"/>
    <w:rsid w:val="00F637C5"/>
    <w:rsid w:val="00F639F4"/>
    <w:rsid w:val="00F63DC4"/>
    <w:rsid w:val="00F63E5D"/>
    <w:rsid w:val="00F63ED2"/>
    <w:rsid w:val="00F6401E"/>
    <w:rsid w:val="00F641A2"/>
    <w:rsid w:val="00F64470"/>
    <w:rsid w:val="00F64AAA"/>
    <w:rsid w:val="00F64C1E"/>
    <w:rsid w:val="00F64C2E"/>
    <w:rsid w:val="00F64C7C"/>
    <w:rsid w:val="00F64D3D"/>
    <w:rsid w:val="00F64F03"/>
    <w:rsid w:val="00F6506D"/>
    <w:rsid w:val="00F65188"/>
    <w:rsid w:val="00F6540F"/>
    <w:rsid w:val="00F65567"/>
    <w:rsid w:val="00F656BE"/>
    <w:rsid w:val="00F658DA"/>
    <w:rsid w:val="00F6595B"/>
    <w:rsid w:val="00F659D3"/>
    <w:rsid w:val="00F65CA9"/>
    <w:rsid w:val="00F65ED7"/>
    <w:rsid w:val="00F65F4B"/>
    <w:rsid w:val="00F660E8"/>
    <w:rsid w:val="00F6636F"/>
    <w:rsid w:val="00F66707"/>
    <w:rsid w:val="00F66721"/>
    <w:rsid w:val="00F6691C"/>
    <w:rsid w:val="00F66BD9"/>
    <w:rsid w:val="00F66EC5"/>
    <w:rsid w:val="00F66F30"/>
    <w:rsid w:val="00F66F3D"/>
    <w:rsid w:val="00F66FD8"/>
    <w:rsid w:val="00F6718E"/>
    <w:rsid w:val="00F67255"/>
    <w:rsid w:val="00F673B9"/>
    <w:rsid w:val="00F6750E"/>
    <w:rsid w:val="00F6757E"/>
    <w:rsid w:val="00F67675"/>
    <w:rsid w:val="00F67960"/>
    <w:rsid w:val="00F67A69"/>
    <w:rsid w:val="00F67AB5"/>
    <w:rsid w:val="00F67BD2"/>
    <w:rsid w:val="00F67C05"/>
    <w:rsid w:val="00F67C19"/>
    <w:rsid w:val="00F67C2D"/>
    <w:rsid w:val="00F67E19"/>
    <w:rsid w:val="00F70271"/>
    <w:rsid w:val="00F702CF"/>
    <w:rsid w:val="00F7036B"/>
    <w:rsid w:val="00F703F7"/>
    <w:rsid w:val="00F7040A"/>
    <w:rsid w:val="00F70564"/>
    <w:rsid w:val="00F7057E"/>
    <w:rsid w:val="00F70939"/>
    <w:rsid w:val="00F70BFF"/>
    <w:rsid w:val="00F70C9D"/>
    <w:rsid w:val="00F70E10"/>
    <w:rsid w:val="00F71055"/>
    <w:rsid w:val="00F71393"/>
    <w:rsid w:val="00F715E9"/>
    <w:rsid w:val="00F71715"/>
    <w:rsid w:val="00F71843"/>
    <w:rsid w:val="00F718A9"/>
    <w:rsid w:val="00F718F7"/>
    <w:rsid w:val="00F71A8D"/>
    <w:rsid w:val="00F71C21"/>
    <w:rsid w:val="00F71D52"/>
    <w:rsid w:val="00F71D65"/>
    <w:rsid w:val="00F71ED5"/>
    <w:rsid w:val="00F721C2"/>
    <w:rsid w:val="00F72554"/>
    <w:rsid w:val="00F728FD"/>
    <w:rsid w:val="00F72BB8"/>
    <w:rsid w:val="00F72D29"/>
    <w:rsid w:val="00F72D8D"/>
    <w:rsid w:val="00F72F9D"/>
    <w:rsid w:val="00F72FD7"/>
    <w:rsid w:val="00F7301A"/>
    <w:rsid w:val="00F733FC"/>
    <w:rsid w:val="00F737FA"/>
    <w:rsid w:val="00F73841"/>
    <w:rsid w:val="00F7395F"/>
    <w:rsid w:val="00F73AB2"/>
    <w:rsid w:val="00F73AF2"/>
    <w:rsid w:val="00F73E08"/>
    <w:rsid w:val="00F73F7A"/>
    <w:rsid w:val="00F7400E"/>
    <w:rsid w:val="00F742ED"/>
    <w:rsid w:val="00F743EF"/>
    <w:rsid w:val="00F746B9"/>
    <w:rsid w:val="00F749A6"/>
    <w:rsid w:val="00F74BB1"/>
    <w:rsid w:val="00F74CD9"/>
    <w:rsid w:val="00F74E9A"/>
    <w:rsid w:val="00F74E9C"/>
    <w:rsid w:val="00F75283"/>
    <w:rsid w:val="00F7549B"/>
    <w:rsid w:val="00F754B3"/>
    <w:rsid w:val="00F755A9"/>
    <w:rsid w:val="00F757CC"/>
    <w:rsid w:val="00F7625A"/>
    <w:rsid w:val="00F762C3"/>
    <w:rsid w:val="00F763B1"/>
    <w:rsid w:val="00F764E6"/>
    <w:rsid w:val="00F764F2"/>
    <w:rsid w:val="00F7658B"/>
    <w:rsid w:val="00F76C82"/>
    <w:rsid w:val="00F76CF1"/>
    <w:rsid w:val="00F7717F"/>
    <w:rsid w:val="00F771A8"/>
    <w:rsid w:val="00F771E1"/>
    <w:rsid w:val="00F774C9"/>
    <w:rsid w:val="00F7759C"/>
    <w:rsid w:val="00F7774F"/>
    <w:rsid w:val="00F778F9"/>
    <w:rsid w:val="00F77C4E"/>
    <w:rsid w:val="00F77E96"/>
    <w:rsid w:val="00F77FB6"/>
    <w:rsid w:val="00F77FE2"/>
    <w:rsid w:val="00F800D5"/>
    <w:rsid w:val="00F800DD"/>
    <w:rsid w:val="00F8026F"/>
    <w:rsid w:val="00F805BB"/>
    <w:rsid w:val="00F805DA"/>
    <w:rsid w:val="00F808AA"/>
    <w:rsid w:val="00F808D7"/>
    <w:rsid w:val="00F808FA"/>
    <w:rsid w:val="00F80A7B"/>
    <w:rsid w:val="00F80D9B"/>
    <w:rsid w:val="00F80DFA"/>
    <w:rsid w:val="00F80E5D"/>
    <w:rsid w:val="00F80FAB"/>
    <w:rsid w:val="00F81025"/>
    <w:rsid w:val="00F812F7"/>
    <w:rsid w:val="00F81501"/>
    <w:rsid w:val="00F818CA"/>
    <w:rsid w:val="00F81C56"/>
    <w:rsid w:val="00F81E24"/>
    <w:rsid w:val="00F81E78"/>
    <w:rsid w:val="00F82257"/>
    <w:rsid w:val="00F822DB"/>
    <w:rsid w:val="00F822F5"/>
    <w:rsid w:val="00F8239C"/>
    <w:rsid w:val="00F82402"/>
    <w:rsid w:val="00F826A0"/>
    <w:rsid w:val="00F82725"/>
    <w:rsid w:val="00F829A0"/>
    <w:rsid w:val="00F829E9"/>
    <w:rsid w:val="00F82A0B"/>
    <w:rsid w:val="00F82ABF"/>
    <w:rsid w:val="00F82BA7"/>
    <w:rsid w:val="00F82BAE"/>
    <w:rsid w:val="00F82C90"/>
    <w:rsid w:val="00F82F3E"/>
    <w:rsid w:val="00F83077"/>
    <w:rsid w:val="00F83199"/>
    <w:rsid w:val="00F83317"/>
    <w:rsid w:val="00F835B3"/>
    <w:rsid w:val="00F83699"/>
    <w:rsid w:val="00F83714"/>
    <w:rsid w:val="00F8373E"/>
    <w:rsid w:val="00F83916"/>
    <w:rsid w:val="00F83E6D"/>
    <w:rsid w:val="00F83E9D"/>
    <w:rsid w:val="00F83ED0"/>
    <w:rsid w:val="00F83F4B"/>
    <w:rsid w:val="00F84111"/>
    <w:rsid w:val="00F84298"/>
    <w:rsid w:val="00F842D8"/>
    <w:rsid w:val="00F84353"/>
    <w:rsid w:val="00F845A5"/>
    <w:rsid w:val="00F84910"/>
    <w:rsid w:val="00F84A8F"/>
    <w:rsid w:val="00F84EBF"/>
    <w:rsid w:val="00F84F6D"/>
    <w:rsid w:val="00F851CE"/>
    <w:rsid w:val="00F851D9"/>
    <w:rsid w:val="00F852AA"/>
    <w:rsid w:val="00F85302"/>
    <w:rsid w:val="00F8541B"/>
    <w:rsid w:val="00F854BA"/>
    <w:rsid w:val="00F856CF"/>
    <w:rsid w:val="00F857C0"/>
    <w:rsid w:val="00F8580C"/>
    <w:rsid w:val="00F8585A"/>
    <w:rsid w:val="00F859C6"/>
    <w:rsid w:val="00F85A0C"/>
    <w:rsid w:val="00F85D5D"/>
    <w:rsid w:val="00F85FF6"/>
    <w:rsid w:val="00F864B6"/>
    <w:rsid w:val="00F865D8"/>
    <w:rsid w:val="00F86C16"/>
    <w:rsid w:val="00F86CB1"/>
    <w:rsid w:val="00F86CC5"/>
    <w:rsid w:val="00F86D59"/>
    <w:rsid w:val="00F86DA9"/>
    <w:rsid w:val="00F86EB1"/>
    <w:rsid w:val="00F86FA2"/>
    <w:rsid w:val="00F86FDE"/>
    <w:rsid w:val="00F87049"/>
    <w:rsid w:val="00F870EE"/>
    <w:rsid w:val="00F870F6"/>
    <w:rsid w:val="00F872A0"/>
    <w:rsid w:val="00F872A8"/>
    <w:rsid w:val="00F87485"/>
    <w:rsid w:val="00F87590"/>
    <w:rsid w:val="00F87763"/>
    <w:rsid w:val="00F87782"/>
    <w:rsid w:val="00F8789A"/>
    <w:rsid w:val="00F878D1"/>
    <w:rsid w:val="00F87965"/>
    <w:rsid w:val="00F87AA4"/>
    <w:rsid w:val="00F87BA3"/>
    <w:rsid w:val="00F87DD9"/>
    <w:rsid w:val="00F9006A"/>
    <w:rsid w:val="00F9038F"/>
    <w:rsid w:val="00F905B6"/>
    <w:rsid w:val="00F90698"/>
    <w:rsid w:val="00F909F4"/>
    <w:rsid w:val="00F90B1C"/>
    <w:rsid w:val="00F90B81"/>
    <w:rsid w:val="00F90CDB"/>
    <w:rsid w:val="00F90DAD"/>
    <w:rsid w:val="00F90DB6"/>
    <w:rsid w:val="00F90DD9"/>
    <w:rsid w:val="00F90EB6"/>
    <w:rsid w:val="00F91008"/>
    <w:rsid w:val="00F91219"/>
    <w:rsid w:val="00F91452"/>
    <w:rsid w:val="00F917E5"/>
    <w:rsid w:val="00F91933"/>
    <w:rsid w:val="00F919B6"/>
    <w:rsid w:val="00F91A9D"/>
    <w:rsid w:val="00F91ACB"/>
    <w:rsid w:val="00F91D45"/>
    <w:rsid w:val="00F91F88"/>
    <w:rsid w:val="00F92070"/>
    <w:rsid w:val="00F9207D"/>
    <w:rsid w:val="00F9220B"/>
    <w:rsid w:val="00F92322"/>
    <w:rsid w:val="00F92444"/>
    <w:rsid w:val="00F9244D"/>
    <w:rsid w:val="00F92526"/>
    <w:rsid w:val="00F92613"/>
    <w:rsid w:val="00F92CC7"/>
    <w:rsid w:val="00F92E7B"/>
    <w:rsid w:val="00F92FB8"/>
    <w:rsid w:val="00F930CA"/>
    <w:rsid w:val="00F9333A"/>
    <w:rsid w:val="00F9337D"/>
    <w:rsid w:val="00F93508"/>
    <w:rsid w:val="00F9393E"/>
    <w:rsid w:val="00F9399D"/>
    <w:rsid w:val="00F93EAB"/>
    <w:rsid w:val="00F93EF8"/>
    <w:rsid w:val="00F93F1A"/>
    <w:rsid w:val="00F94064"/>
    <w:rsid w:val="00F94065"/>
    <w:rsid w:val="00F9410C"/>
    <w:rsid w:val="00F9415C"/>
    <w:rsid w:val="00F94249"/>
    <w:rsid w:val="00F943F4"/>
    <w:rsid w:val="00F94543"/>
    <w:rsid w:val="00F94B9E"/>
    <w:rsid w:val="00F94D5C"/>
    <w:rsid w:val="00F94E2C"/>
    <w:rsid w:val="00F94F28"/>
    <w:rsid w:val="00F94F87"/>
    <w:rsid w:val="00F9506A"/>
    <w:rsid w:val="00F950A7"/>
    <w:rsid w:val="00F95168"/>
    <w:rsid w:val="00F9529B"/>
    <w:rsid w:val="00F952BD"/>
    <w:rsid w:val="00F95400"/>
    <w:rsid w:val="00F95A43"/>
    <w:rsid w:val="00F95AC7"/>
    <w:rsid w:val="00F95F61"/>
    <w:rsid w:val="00F960A2"/>
    <w:rsid w:val="00F960DF"/>
    <w:rsid w:val="00F965C8"/>
    <w:rsid w:val="00F96670"/>
    <w:rsid w:val="00F966FB"/>
    <w:rsid w:val="00F9688E"/>
    <w:rsid w:val="00F969B3"/>
    <w:rsid w:val="00F969F7"/>
    <w:rsid w:val="00F96A05"/>
    <w:rsid w:val="00F96AAF"/>
    <w:rsid w:val="00F96B8F"/>
    <w:rsid w:val="00F96C45"/>
    <w:rsid w:val="00F96D29"/>
    <w:rsid w:val="00F96FD0"/>
    <w:rsid w:val="00F97046"/>
    <w:rsid w:val="00F9739E"/>
    <w:rsid w:val="00F97558"/>
    <w:rsid w:val="00F97792"/>
    <w:rsid w:val="00F97A78"/>
    <w:rsid w:val="00F97EDF"/>
    <w:rsid w:val="00FA0010"/>
    <w:rsid w:val="00FA099A"/>
    <w:rsid w:val="00FA0AC6"/>
    <w:rsid w:val="00FA0AC8"/>
    <w:rsid w:val="00FA0B11"/>
    <w:rsid w:val="00FA0B20"/>
    <w:rsid w:val="00FA0B42"/>
    <w:rsid w:val="00FA0B5D"/>
    <w:rsid w:val="00FA0B6B"/>
    <w:rsid w:val="00FA0D2D"/>
    <w:rsid w:val="00FA0E9D"/>
    <w:rsid w:val="00FA0F1B"/>
    <w:rsid w:val="00FA0F2E"/>
    <w:rsid w:val="00FA0FCD"/>
    <w:rsid w:val="00FA10B6"/>
    <w:rsid w:val="00FA10D6"/>
    <w:rsid w:val="00FA12DB"/>
    <w:rsid w:val="00FA13FB"/>
    <w:rsid w:val="00FA14CB"/>
    <w:rsid w:val="00FA1643"/>
    <w:rsid w:val="00FA1802"/>
    <w:rsid w:val="00FA1D17"/>
    <w:rsid w:val="00FA1D7D"/>
    <w:rsid w:val="00FA2293"/>
    <w:rsid w:val="00FA24E7"/>
    <w:rsid w:val="00FA271B"/>
    <w:rsid w:val="00FA2A05"/>
    <w:rsid w:val="00FA2C2C"/>
    <w:rsid w:val="00FA3646"/>
    <w:rsid w:val="00FA367F"/>
    <w:rsid w:val="00FA379A"/>
    <w:rsid w:val="00FA3827"/>
    <w:rsid w:val="00FA3957"/>
    <w:rsid w:val="00FA3E9D"/>
    <w:rsid w:val="00FA40AB"/>
    <w:rsid w:val="00FA471A"/>
    <w:rsid w:val="00FA47FE"/>
    <w:rsid w:val="00FA4857"/>
    <w:rsid w:val="00FA49D9"/>
    <w:rsid w:val="00FA49DF"/>
    <w:rsid w:val="00FA4D9E"/>
    <w:rsid w:val="00FA4DD2"/>
    <w:rsid w:val="00FA4ECC"/>
    <w:rsid w:val="00FA4F93"/>
    <w:rsid w:val="00FA509B"/>
    <w:rsid w:val="00FA5273"/>
    <w:rsid w:val="00FA554C"/>
    <w:rsid w:val="00FA58D9"/>
    <w:rsid w:val="00FA593C"/>
    <w:rsid w:val="00FA59F7"/>
    <w:rsid w:val="00FA5AE0"/>
    <w:rsid w:val="00FA5B26"/>
    <w:rsid w:val="00FA5BA9"/>
    <w:rsid w:val="00FA5C91"/>
    <w:rsid w:val="00FA5EE6"/>
    <w:rsid w:val="00FA5F36"/>
    <w:rsid w:val="00FA621A"/>
    <w:rsid w:val="00FA621C"/>
    <w:rsid w:val="00FA6619"/>
    <w:rsid w:val="00FA6728"/>
    <w:rsid w:val="00FA6A18"/>
    <w:rsid w:val="00FA6AD0"/>
    <w:rsid w:val="00FA6D4F"/>
    <w:rsid w:val="00FA6FE3"/>
    <w:rsid w:val="00FA7033"/>
    <w:rsid w:val="00FA73EA"/>
    <w:rsid w:val="00FA74B1"/>
    <w:rsid w:val="00FA75DC"/>
    <w:rsid w:val="00FA7860"/>
    <w:rsid w:val="00FA7956"/>
    <w:rsid w:val="00FA7B4A"/>
    <w:rsid w:val="00FA7BF8"/>
    <w:rsid w:val="00FA7D13"/>
    <w:rsid w:val="00FA7D56"/>
    <w:rsid w:val="00FB009E"/>
    <w:rsid w:val="00FB00C4"/>
    <w:rsid w:val="00FB00F9"/>
    <w:rsid w:val="00FB025C"/>
    <w:rsid w:val="00FB07FD"/>
    <w:rsid w:val="00FB0824"/>
    <w:rsid w:val="00FB0842"/>
    <w:rsid w:val="00FB0897"/>
    <w:rsid w:val="00FB0969"/>
    <w:rsid w:val="00FB0BC1"/>
    <w:rsid w:val="00FB0C08"/>
    <w:rsid w:val="00FB0CA4"/>
    <w:rsid w:val="00FB0EF7"/>
    <w:rsid w:val="00FB0FFF"/>
    <w:rsid w:val="00FB101F"/>
    <w:rsid w:val="00FB103C"/>
    <w:rsid w:val="00FB11F9"/>
    <w:rsid w:val="00FB14EE"/>
    <w:rsid w:val="00FB173A"/>
    <w:rsid w:val="00FB1894"/>
    <w:rsid w:val="00FB1F61"/>
    <w:rsid w:val="00FB221E"/>
    <w:rsid w:val="00FB2339"/>
    <w:rsid w:val="00FB2345"/>
    <w:rsid w:val="00FB23E5"/>
    <w:rsid w:val="00FB2503"/>
    <w:rsid w:val="00FB2801"/>
    <w:rsid w:val="00FB292F"/>
    <w:rsid w:val="00FB2988"/>
    <w:rsid w:val="00FB2A60"/>
    <w:rsid w:val="00FB2B31"/>
    <w:rsid w:val="00FB2EF7"/>
    <w:rsid w:val="00FB2F61"/>
    <w:rsid w:val="00FB2FCB"/>
    <w:rsid w:val="00FB3010"/>
    <w:rsid w:val="00FB30BB"/>
    <w:rsid w:val="00FB3226"/>
    <w:rsid w:val="00FB33F4"/>
    <w:rsid w:val="00FB3492"/>
    <w:rsid w:val="00FB3574"/>
    <w:rsid w:val="00FB36B5"/>
    <w:rsid w:val="00FB36B6"/>
    <w:rsid w:val="00FB3882"/>
    <w:rsid w:val="00FB3B4A"/>
    <w:rsid w:val="00FB3C03"/>
    <w:rsid w:val="00FB3E36"/>
    <w:rsid w:val="00FB3F15"/>
    <w:rsid w:val="00FB3FED"/>
    <w:rsid w:val="00FB404B"/>
    <w:rsid w:val="00FB4100"/>
    <w:rsid w:val="00FB41F9"/>
    <w:rsid w:val="00FB4336"/>
    <w:rsid w:val="00FB436A"/>
    <w:rsid w:val="00FB4379"/>
    <w:rsid w:val="00FB4C60"/>
    <w:rsid w:val="00FB4C9C"/>
    <w:rsid w:val="00FB4CAC"/>
    <w:rsid w:val="00FB4D42"/>
    <w:rsid w:val="00FB4E6B"/>
    <w:rsid w:val="00FB4F62"/>
    <w:rsid w:val="00FB51E1"/>
    <w:rsid w:val="00FB5377"/>
    <w:rsid w:val="00FB54AC"/>
    <w:rsid w:val="00FB5900"/>
    <w:rsid w:val="00FB5AD0"/>
    <w:rsid w:val="00FB5AF1"/>
    <w:rsid w:val="00FB5C4A"/>
    <w:rsid w:val="00FB5D9F"/>
    <w:rsid w:val="00FB5DA9"/>
    <w:rsid w:val="00FB629D"/>
    <w:rsid w:val="00FB63B8"/>
    <w:rsid w:val="00FB6417"/>
    <w:rsid w:val="00FB64C5"/>
    <w:rsid w:val="00FB64CB"/>
    <w:rsid w:val="00FB6512"/>
    <w:rsid w:val="00FB65CE"/>
    <w:rsid w:val="00FB65F4"/>
    <w:rsid w:val="00FB6646"/>
    <w:rsid w:val="00FB6660"/>
    <w:rsid w:val="00FB6AF6"/>
    <w:rsid w:val="00FB6BE8"/>
    <w:rsid w:val="00FB71C4"/>
    <w:rsid w:val="00FB71D8"/>
    <w:rsid w:val="00FB7755"/>
    <w:rsid w:val="00FB7C55"/>
    <w:rsid w:val="00FB7D6B"/>
    <w:rsid w:val="00FB7DE5"/>
    <w:rsid w:val="00FB7F61"/>
    <w:rsid w:val="00FC0094"/>
    <w:rsid w:val="00FC03BF"/>
    <w:rsid w:val="00FC03EE"/>
    <w:rsid w:val="00FC06AE"/>
    <w:rsid w:val="00FC0855"/>
    <w:rsid w:val="00FC093A"/>
    <w:rsid w:val="00FC0A92"/>
    <w:rsid w:val="00FC0C8F"/>
    <w:rsid w:val="00FC0D90"/>
    <w:rsid w:val="00FC1060"/>
    <w:rsid w:val="00FC1068"/>
    <w:rsid w:val="00FC1074"/>
    <w:rsid w:val="00FC1356"/>
    <w:rsid w:val="00FC13F9"/>
    <w:rsid w:val="00FC17FA"/>
    <w:rsid w:val="00FC1883"/>
    <w:rsid w:val="00FC1884"/>
    <w:rsid w:val="00FC1939"/>
    <w:rsid w:val="00FC1A90"/>
    <w:rsid w:val="00FC1EE0"/>
    <w:rsid w:val="00FC20B3"/>
    <w:rsid w:val="00FC2759"/>
    <w:rsid w:val="00FC27CD"/>
    <w:rsid w:val="00FC27DE"/>
    <w:rsid w:val="00FC2CF6"/>
    <w:rsid w:val="00FC2DA0"/>
    <w:rsid w:val="00FC3107"/>
    <w:rsid w:val="00FC31C7"/>
    <w:rsid w:val="00FC31DE"/>
    <w:rsid w:val="00FC330C"/>
    <w:rsid w:val="00FC33B8"/>
    <w:rsid w:val="00FC34DE"/>
    <w:rsid w:val="00FC3539"/>
    <w:rsid w:val="00FC371D"/>
    <w:rsid w:val="00FC3738"/>
    <w:rsid w:val="00FC3783"/>
    <w:rsid w:val="00FC3A31"/>
    <w:rsid w:val="00FC3CD8"/>
    <w:rsid w:val="00FC3E42"/>
    <w:rsid w:val="00FC3E67"/>
    <w:rsid w:val="00FC4150"/>
    <w:rsid w:val="00FC4186"/>
    <w:rsid w:val="00FC45AD"/>
    <w:rsid w:val="00FC48CD"/>
    <w:rsid w:val="00FC490A"/>
    <w:rsid w:val="00FC4F82"/>
    <w:rsid w:val="00FC51CD"/>
    <w:rsid w:val="00FC528D"/>
    <w:rsid w:val="00FC52F7"/>
    <w:rsid w:val="00FC5371"/>
    <w:rsid w:val="00FC58D7"/>
    <w:rsid w:val="00FC5909"/>
    <w:rsid w:val="00FC5917"/>
    <w:rsid w:val="00FC592D"/>
    <w:rsid w:val="00FC5C63"/>
    <w:rsid w:val="00FC5D80"/>
    <w:rsid w:val="00FC5DD6"/>
    <w:rsid w:val="00FC5F0B"/>
    <w:rsid w:val="00FC5FF2"/>
    <w:rsid w:val="00FC60F9"/>
    <w:rsid w:val="00FC611E"/>
    <w:rsid w:val="00FC6250"/>
    <w:rsid w:val="00FC6299"/>
    <w:rsid w:val="00FC6443"/>
    <w:rsid w:val="00FC6575"/>
    <w:rsid w:val="00FC6600"/>
    <w:rsid w:val="00FC667B"/>
    <w:rsid w:val="00FC683D"/>
    <w:rsid w:val="00FC69EF"/>
    <w:rsid w:val="00FC7010"/>
    <w:rsid w:val="00FC7144"/>
    <w:rsid w:val="00FC739E"/>
    <w:rsid w:val="00FC7683"/>
    <w:rsid w:val="00FC7884"/>
    <w:rsid w:val="00FC7B08"/>
    <w:rsid w:val="00FC7BC0"/>
    <w:rsid w:val="00FC7C9D"/>
    <w:rsid w:val="00FC7DF0"/>
    <w:rsid w:val="00FC7F3B"/>
    <w:rsid w:val="00FC7F8D"/>
    <w:rsid w:val="00FD02B5"/>
    <w:rsid w:val="00FD0398"/>
    <w:rsid w:val="00FD043D"/>
    <w:rsid w:val="00FD07C6"/>
    <w:rsid w:val="00FD07EA"/>
    <w:rsid w:val="00FD0A2C"/>
    <w:rsid w:val="00FD0C44"/>
    <w:rsid w:val="00FD0C56"/>
    <w:rsid w:val="00FD0EDB"/>
    <w:rsid w:val="00FD102F"/>
    <w:rsid w:val="00FD170C"/>
    <w:rsid w:val="00FD17E7"/>
    <w:rsid w:val="00FD1C0F"/>
    <w:rsid w:val="00FD1C7C"/>
    <w:rsid w:val="00FD1F25"/>
    <w:rsid w:val="00FD204C"/>
    <w:rsid w:val="00FD209C"/>
    <w:rsid w:val="00FD2100"/>
    <w:rsid w:val="00FD2102"/>
    <w:rsid w:val="00FD2187"/>
    <w:rsid w:val="00FD21CB"/>
    <w:rsid w:val="00FD2275"/>
    <w:rsid w:val="00FD23B2"/>
    <w:rsid w:val="00FD23BF"/>
    <w:rsid w:val="00FD2648"/>
    <w:rsid w:val="00FD26DD"/>
    <w:rsid w:val="00FD2939"/>
    <w:rsid w:val="00FD2AAE"/>
    <w:rsid w:val="00FD2B47"/>
    <w:rsid w:val="00FD2FD9"/>
    <w:rsid w:val="00FD3208"/>
    <w:rsid w:val="00FD336F"/>
    <w:rsid w:val="00FD3479"/>
    <w:rsid w:val="00FD34FC"/>
    <w:rsid w:val="00FD3580"/>
    <w:rsid w:val="00FD395E"/>
    <w:rsid w:val="00FD3F3A"/>
    <w:rsid w:val="00FD3FF1"/>
    <w:rsid w:val="00FD40C4"/>
    <w:rsid w:val="00FD436C"/>
    <w:rsid w:val="00FD446D"/>
    <w:rsid w:val="00FD4472"/>
    <w:rsid w:val="00FD4664"/>
    <w:rsid w:val="00FD46AC"/>
    <w:rsid w:val="00FD46C3"/>
    <w:rsid w:val="00FD474B"/>
    <w:rsid w:val="00FD49B0"/>
    <w:rsid w:val="00FD4B20"/>
    <w:rsid w:val="00FD4BC7"/>
    <w:rsid w:val="00FD4F2C"/>
    <w:rsid w:val="00FD5017"/>
    <w:rsid w:val="00FD52F1"/>
    <w:rsid w:val="00FD57F4"/>
    <w:rsid w:val="00FD594A"/>
    <w:rsid w:val="00FD5958"/>
    <w:rsid w:val="00FD5AD4"/>
    <w:rsid w:val="00FD5E59"/>
    <w:rsid w:val="00FD5F31"/>
    <w:rsid w:val="00FD60A4"/>
    <w:rsid w:val="00FD60B0"/>
    <w:rsid w:val="00FD614A"/>
    <w:rsid w:val="00FD6269"/>
    <w:rsid w:val="00FD6352"/>
    <w:rsid w:val="00FD635B"/>
    <w:rsid w:val="00FD6376"/>
    <w:rsid w:val="00FD6394"/>
    <w:rsid w:val="00FD63A4"/>
    <w:rsid w:val="00FD64E0"/>
    <w:rsid w:val="00FD6548"/>
    <w:rsid w:val="00FD66DC"/>
    <w:rsid w:val="00FD6ADC"/>
    <w:rsid w:val="00FD6B8B"/>
    <w:rsid w:val="00FD6F41"/>
    <w:rsid w:val="00FD74DF"/>
    <w:rsid w:val="00FD750A"/>
    <w:rsid w:val="00FD750F"/>
    <w:rsid w:val="00FD78F8"/>
    <w:rsid w:val="00FD7AB6"/>
    <w:rsid w:val="00FD7D74"/>
    <w:rsid w:val="00FD7D82"/>
    <w:rsid w:val="00FD7E92"/>
    <w:rsid w:val="00FD7FCD"/>
    <w:rsid w:val="00FE03FB"/>
    <w:rsid w:val="00FE067E"/>
    <w:rsid w:val="00FE0686"/>
    <w:rsid w:val="00FE0798"/>
    <w:rsid w:val="00FE08FA"/>
    <w:rsid w:val="00FE0A5C"/>
    <w:rsid w:val="00FE0C37"/>
    <w:rsid w:val="00FE0C3C"/>
    <w:rsid w:val="00FE0E6C"/>
    <w:rsid w:val="00FE10B8"/>
    <w:rsid w:val="00FE1143"/>
    <w:rsid w:val="00FE1243"/>
    <w:rsid w:val="00FE139A"/>
    <w:rsid w:val="00FE172D"/>
    <w:rsid w:val="00FE19AD"/>
    <w:rsid w:val="00FE1C59"/>
    <w:rsid w:val="00FE1CDC"/>
    <w:rsid w:val="00FE2053"/>
    <w:rsid w:val="00FE2201"/>
    <w:rsid w:val="00FE22C4"/>
    <w:rsid w:val="00FE2840"/>
    <w:rsid w:val="00FE2930"/>
    <w:rsid w:val="00FE2940"/>
    <w:rsid w:val="00FE2A43"/>
    <w:rsid w:val="00FE2AD5"/>
    <w:rsid w:val="00FE2E25"/>
    <w:rsid w:val="00FE2EED"/>
    <w:rsid w:val="00FE2FBB"/>
    <w:rsid w:val="00FE304F"/>
    <w:rsid w:val="00FE307F"/>
    <w:rsid w:val="00FE30FE"/>
    <w:rsid w:val="00FE3146"/>
    <w:rsid w:val="00FE3190"/>
    <w:rsid w:val="00FE31D8"/>
    <w:rsid w:val="00FE322F"/>
    <w:rsid w:val="00FE32A5"/>
    <w:rsid w:val="00FE3358"/>
    <w:rsid w:val="00FE34D6"/>
    <w:rsid w:val="00FE3528"/>
    <w:rsid w:val="00FE3606"/>
    <w:rsid w:val="00FE37C4"/>
    <w:rsid w:val="00FE38F0"/>
    <w:rsid w:val="00FE3974"/>
    <w:rsid w:val="00FE3CD9"/>
    <w:rsid w:val="00FE3D08"/>
    <w:rsid w:val="00FE3E55"/>
    <w:rsid w:val="00FE3EAD"/>
    <w:rsid w:val="00FE3EEF"/>
    <w:rsid w:val="00FE3F69"/>
    <w:rsid w:val="00FE41C4"/>
    <w:rsid w:val="00FE43CE"/>
    <w:rsid w:val="00FE4616"/>
    <w:rsid w:val="00FE4863"/>
    <w:rsid w:val="00FE4909"/>
    <w:rsid w:val="00FE4A88"/>
    <w:rsid w:val="00FE4AB5"/>
    <w:rsid w:val="00FE4D04"/>
    <w:rsid w:val="00FE4EF6"/>
    <w:rsid w:val="00FE4F91"/>
    <w:rsid w:val="00FE506B"/>
    <w:rsid w:val="00FE50C4"/>
    <w:rsid w:val="00FE5157"/>
    <w:rsid w:val="00FE5241"/>
    <w:rsid w:val="00FE52C5"/>
    <w:rsid w:val="00FE5669"/>
    <w:rsid w:val="00FE57B1"/>
    <w:rsid w:val="00FE5804"/>
    <w:rsid w:val="00FE597D"/>
    <w:rsid w:val="00FE5B62"/>
    <w:rsid w:val="00FE5C6D"/>
    <w:rsid w:val="00FE5C78"/>
    <w:rsid w:val="00FE5E13"/>
    <w:rsid w:val="00FE6168"/>
    <w:rsid w:val="00FE63B3"/>
    <w:rsid w:val="00FE6455"/>
    <w:rsid w:val="00FE66A7"/>
    <w:rsid w:val="00FE66D7"/>
    <w:rsid w:val="00FE68FF"/>
    <w:rsid w:val="00FE6A49"/>
    <w:rsid w:val="00FE6C3D"/>
    <w:rsid w:val="00FE6EC6"/>
    <w:rsid w:val="00FE6F59"/>
    <w:rsid w:val="00FE70C3"/>
    <w:rsid w:val="00FE71EC"/>
    <w:rsid w:val="00FE72B3"/>
    <w:rsid w:val="00FE7430"/>
    <w:rsid w:val="00FE7645"/>
    <w:rsid w:val="00FE7654"/>
    <w:rsid w:val="00FE7659"/>
    <w:rsid w:val="00FE7693"/>
    <w:rsid w:val="00FE76A3"/>
    <w:rsid w:val="00FE7808"/>
    <w:rsid w:val="00FE7837"/>
    <w:rsid w:val="00FE7A77"/>
    <w:rsid w:val="00FE7BA5"/>
    <w:rsid w:val="00FE7E71"/>
    <w:rsid w:val="00FF0341"/>
    <w:rsid w:val="00FF04B0"/>
    <w:rsid w:val="00FF04D8"/>
    <w:rsid w:val="00FF07A4"/>
    <w:rsid w:val="00FF0886"/>
    <w:rsid w:val="00FF0B0A"/>
    <w:rsid w:val="00FF0D80"/>
    <w:rsid w:val="00FF0F53"/>
    <w:rsid w:val="00FF1184"/>
    <w:rsid w:val="00FF11E1"/>
    <w:rsid w:val="00FF15ED"/>
    <w:rsid w:val="00FF16DE"/>
    <w:rsid w:val="00FF1903"/>
    <w:rsid w:val="00FF1934"/>
    <w:rsid w:val="00FF1946"/>
    <w:rsid w:val="00FF1A8B"/>
    <w:rsid w:val="00FF1BB0"/>
    <w:rsid w:val="00FF1E16"/>
    <w:rsid w:val="00FF207B"/>
    <w:rsid w:val="00FF20B5"/>
    <w:rsid w:val="00FF20EB"/>
    <w:rsid w:val="00FF21BA"/>
    <w:rsid w:val="00FF24A1"/>
    <w:rsid w:val="00FF2632"/>
    <w:rsid w:val="00FF287C"/>
    <w:rsid w:val="00FF2901"/>
    <w:rsid w:val="00FF2AD9"/>
    <w:rsid w:val="00FF2B3E"/>
    <w:rsid w:val="00FF2DE5"/>
    <w:rsid w:val="00FF2ECF"/>
    <w:rsid w:val="00FF2F15"/>
    <w:rsid w:val="00FF2F73"/>
    <w:rsid w:val="00FF307A"/>
    <w:rsid w:val="00FF3163"/>
    <w:rsid w:val="00FF31A5"/>
    <w:rsid w:val="00FF359F"/>
    <w:rsid w:val="00FF3694"/>
    <w:rsid w:val="00FF3929"/>
    <w:rsid w:val="00FF3DCF"/>
    <w:rsid w:val="00FF415F"/>
    <w:rsid w:val="00FF420A"/>
    <w:rsid w:val="00FF430B"/>
    <w:rsid w:val="00FF4542"/>
    <w:rsid w:val="00FF4671"/>
    <w:rsid w:val="00FF467F"/>
    <w:rsid w:val="00FF4928"/>
    <w:rsid w:val="00FF492C"/>
    <w:rsid w:val="00FF4A21"/>
    <w:rsid w:val="00FF5224"/>
    <w:rsid w:val="00FF52BD"/>
    <w:rsid w:val="00FF52C7"/>
    <w:rsid w:val="00FF5529"/>
    <w:rsid w:val="00FF56A7"/>
    <w:rsid w:val="00FF5897"/>
    <w:rsid w:val="00FF597E"/>
    <w:rsid w:val="00FF5AA3"/>
    <w:rsid w:val="00FF5AD8"/>
    <w:rsid w:val="00FF5B12"/>
    <w:rsid w:val="00FF5EDC"/>
    <w:rsid w:val="00FF6120"/>
    <w:rsid w:val="00FF61ED"/>
    <w:rsid w:val="00FF633D"/>
    <w:rsid w:val="00FF63C5"/>
    <w:rsid w:val="00FF6498"/>
    <w:rsid w:val="00FF65E8"/>
    <w:rsid w:val="00FF65F3"/>
    <w:rsid w:val="00FF67F6"/>
    <w:rsid w:val="00FF696B"/>
    <w:rsid w:val="00FF6A41"/>
    <w:rsid w:val="00FF6A5A"/>
    <w:rsid w:val="00FF6B95"/>
    <w:rsid w:val="00FF6BD1"/>
    <w:rsid w:val="00FF6C91"/>
    <w:rsid w:val="00FF6D3D"/>
    <w:rsid w:val="00FF6D7B"/>
    <w:rsid w:val="00FF707F"/>
    <w:rsid w:val="00FF71A7"/>
    <w:rsid w:val="00FF7372"/>
    <w:rsid w:val="00FF746D"/>
    <w:rsid w:val="00FF748F"/>
    <w:rsid w:val="00FF74FF"/>
    <w:rsid w:val="00FF7667"/>
    <w:rsid w:val="00FF76E6"/>
    <w:rsid w:val="00FF7796"/>
    <w:rsid w:val="00FF7B7A"/>
    <w:rsid w:val="00FF7F13"/>
    <w:rsid w:val="037A32C1"/>
    <w:rsid w:val="31741390"/>
    <w:rsid w:val="5CFB1262"/>
    <w:rsid w:val="71B9E5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269"/>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Heading 1,Bayer Caption,IB Caption,Medical Caption,Bayer Caption1,IB Caption1,Medical Caption1,Bayer Caption2,IB Caption2,Medical Caption2,Bayer Caption3,IB Caption3,Medical Caption3,Bayer Caption4,IB Caption4,Medical Caption4,Figure capti"/>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Heading 1 Char,Bayer Caption Char,IB Caption Char,Medical Caption Char,Bayer Caption1 Char,IB Caption1 Char,Medical Caption1 Char,Bayer Caption2 Char,IB Caption2 Char,Medical Caption2 Char,Bayer Caption3 Char,IB Caption3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Figure_name,Numbered Indented Text,Bullet- First level,lp1"/>
    <w:link w:val="ListParagraphChar"/>
    <w:uiPriority w:val="72"/>
    <w:qFormat/>
    <w:rsid w:val="004C3B02"/>
    <w:pPr>
      <w:numPr>
        <w:numId w:val="10"/>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Figure_name Char"/>
    <w:basedOn w:val="DefaultParagraphFont"/>
    <w:link w:val="ListParagraph"/>
    <w:uiPriority w:val="72"/>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RTI AMCP Table,HealthConsult,MSD Table Grid,PBAC table,HTAtableplain,Lash Style Table,Tabellengitternetz 9pt,Dossier table,Summary Table,Section 3- footnote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Annotationmark"/>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EA2EA2"/>
    <w:pPr>
      <w:numPr>
        <w:ilvl w:val="1"/>
        <w:numId w:val="11"/>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EA2EA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9"/>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501E19"/>
    <w:pPr>
      <w:jc w:val="left"/>
    </w:pPr>
    <w:rPr>
      <w:rFonts w:ascii="Arial Narrow" w:hAnsi="Arial Narrow"/>
      <w:snapToGrid w:val="0"/>
      <w:sz w:val="18"/>
      <w:szCs w:val="22"/>
    </w:rPr>
  </w:style>
  <w:style w:type="character" w:customStyle="1" w:styleId="TableFigureFooterChar">
    <w:name w:val="Table/Figure Footer Char"/>
    <w:link w:val="TableFigureFooter"/>
    <w:rsid w:val="00501E19"/>
    <w:rPr>
      <w:rFonts w:ascii="Arial Narrow" w:hAnsi="Arial Narrow" w:cs="Arial"/>
      <w:snapToGrid w:val="0"/>
      <w:sz w:val="18"/>
      <w:szCs w:val="22"/>
    </w:rPr>
  </w:style>
  <w:style w:type="character" w:styleId="PlaceholderText">
    <w:name w:val="Placeholder Text"/>
    <w:basedOn w:val="DefaultParagraphFont"/>
    <w:uiPriority w:val="99"/>
    <w:semiHidden/>
    <w:rsid w:val="009A44B9"/>
    <w:rPr>
      <w:color w:val="666666"/>
    </w:rPr>
  </w:style>
  <w:style w:type="paragraph" w:styleId="EndnoteText">
    <w:name w:val="endnote text"/>
    <w:basedOn w:val="Normal"/>
    <w:link w:val="EndnoteTextChar"/>
    <w:uiPriority w:val="99"/>
    <w:semiHidden/>
    <w:unhideWhenUsed/>
    <w:rsid w:val="00A14E8B"/>
    <w:rPr>
      <w:sz w:val="20"/>
      <w:szCs w:val="20"/>
    </w:rPr>
  </w:style>
  <w:style w:type="character" w:customStyle="1" w:styleId="EndnoteTextChar">
    <w:name w:val="Endnote Text Char"/>
    <w:basedOn w:val="DefaultParagraphFont"/>
    <w:link w:val="EndnoteText"/>
    <w:uiPriority w:val="99"/>
    <w:semiHidden/>
    <w:rsid w:val="00A14E8B"/>
    <w:rPr>
      <w:rFonts w:ascii="Calibri" w:hAnsi="Calibri" w:cs="Arial"/>
    </w:rPr>
  </w:style>
  <w:style w:type="character" w:styleId="EndnoteReference">
    <w:name w:val="endnote reference"/>
    <w:basedOn w:val="DefaultParagraphFont"/>
    <w:uiPriority w:val="99"/>
    <w:semiHidden/>
    <w:unhideWhenUsed/>
    <w:rsid w:val="00A14E8B"/>
    <w:rPr>
      <w:vertAlign w:val="superscript"/>
    </w:rPr>
  </w:style>
  <w:style w:type="paragraph" w:styleId="FootnoteText">
    <w:name w:val="footnote text"/>
    <w:basedOn w:val="Normal"/>
    <w:link w:val="FootnoteTextChar"/>
    <w:uiPriority w:val="99"/>
    <w:unhideWhenUsed/>
    <w:qFormat/>
    <w:rsid w:val="00BC1EBB"/>
    <w:rPr>
      <w:sz w:val="20"/>
      <w:szCs w:val="20"/>
    </w:rPr>
  </w:style>
  <w:style w:type="character" w:customStyle="1" w:styleId="FootnoteTextChar">
    <w:name w:val="Footnote Text Char"/>
    <w:basedOn w:val="DefaultParagraphFont"/>
    <w:link w:val="FootnoteText"/>
    <w:uiPriority w:val="99"/>
    <w:rsid w:val="00BC1EBB"/>
    <w:rPr>
      <w:rFonts w:ascii="Calibri" w:hAnsi="Calibri" w:cs="Arial"/>
    </w:rPr>
  </w:style>
  <w:style w:type="character" w:styleId="FootnoteReference">
    <w:name w:val="footnote reference"/>
    <w:basedOn w:val="DefaultParagraphFont"/>
    <w:uiPriority w:val="99"/>
    <w:unhideWhenUsed/>
    <w:rsid w:val="00BC1EBB"/>
    <w:rPr>
      <w:vertAlign w:val="superscript"/>
    </w:rPr>
  </w:style>
  <w:style w:type="character" w:styleId="UnresolvedMention">
    <w:name w:val="Unresolved Mention"/>
    <w:basedOn w:val="DefaultParagraphFont"/>
    <w:uiPriority w:val="99"/>
    <w:unhideWhenUsed/>
    <w:rsid w:val="00BC1EBB"/>
    <w:rPr>
      <w:color w:val="605E5C"/>
      <w:shd w:val="clear" w:color="auto" w:fill="E1DFDD"/>
    </w:rPr>
  </w:style>
  <w:style w:type="paragraph" w:customStyle="1" w:styleId="TableBullet">
    <w:name w:val="Table Bullet"/>
    <w:basedOn w:val="TableText0"/>
    <w:rsid w:val="007750E6"/>
    <w:pPr>
      <w:keepNext w:val="0"/>
      <w:keepLines w:val="0"/>
      <w:numPr>
        <w:numId w:val="16"/>
      </w:numPr>
      <w:spacing w:before="40" w:after="40"/>
      <w:ind w:left="357" w:right="720" w:hanging="357"/>
    </w:pPr>
    <w:rPr>
      <w:rFonts w:asciiTheme="minorHAnsi" w:eastAsiaTheme="minorHAnsi" w:hAnsiTheme="minorHAnsi" w:cstheme="minorHAnsi"/>
      <w:bCs w:val="0"/>
      <w:sz w:val="18"/>
      <w:szCs w:val="18"/>
      <w:lang w:eastAsia="en-US"/>
    </w:rPr>
  </w:style>
  <w:style w:type="character" w:customStyle="1" w:styleId="TableHeadingChar">
    <w:name w:val="TableHeading Char"/>
    <w:link w:val="TableHeading"/>
    <w:rsid w:val="00E13646"/>
    <w:rPr>
      <w:rFonts w:ascii="Arial Narrow" w:hAnsi="Arial Narrow" w:cs="Arial Narrow"/>
      <w:b/>
      <w:bCs/>
      <w:snapToGrid w:val="0"/>
      <w:szCs w:val="24"/>
    </w:rPr>
  </w:style>
  <w:style w:type="paragraph" w:customStyle="1" w:styleId="6-subsection">
    <w:name w:val="6 - subsection"/>
    <w:basedOn w:val="5-SubsectionSubheading"/>
    <w:link w:val="6-subsectionChar"/>
    <w:qFormat/>
    <w:rsid w:val="00160DB9"/>
    <w:rPr>
      <w:b w:val="0"/>
      <w:bCs/>
      <w:u w:val="single"/>
    </w:rPr>
  </w:style>
  <w:style w:type="character" w:customStyle="1" w:styleId="6-subsectionChar">
    <w:name w:val="6 - subsection Char"/>
    <w:basedOn w:val="5-SubsectionSubheadingChar"/>
    <w:link w:val="6-subsection"/>
    <w:rsid w:val="00160DB9"/>
    <w:rPr>
      <w:rFonts w:asciiTheme="minorHAnsi" w:eastAsiaTheme="majorEastAsia" w:hAnsiTheme="minorHAnsi" w:cstheme="majorBidi"/>
      <w:b w:val="0"/>
      <w:bCs/>
      <w:color w:val="000000" w:themeColor="text1"/>
      <w:sz w:val="24"/>
      <w:szCs w:val="24"/>
      <w:u w:val="single"/>
    </w:rPr>
  </w:style>
  <w:style w:type="character" w:customStyle="1" w:styleId="normaltextrun">
    <w:name w:val="normaltextrun"/>
    <w:basedOn w:val="DefaultParagraphFont"/>
    <w:rsid w:val="006B3776"/>
  </w:style>
  <w:style w:type="character" w:customStyle="1" w:styleId="superscript">
    <w:name w:val="superscript"/>
    <w:basedOn w:val="DefaultParagraphFont"/>
    <w:rsid w:val="006B3776"/>
  </w:style>
  <w:style w:type="character" w:customStyle="1" w:styleId="eop">
    <w:name w:val="eop"/>
    <w:basedOn w:val="DefaultParagraphFont"/>
    <w:rsid w:val="006B3776"/>
  </w:style>
  <w:style w:type="paragraph" w:customStyle="1" w:styleId="paragraph">
    <w:name w:val="paragraph"/>
    <w:basedOn w:val="Normal"/>
    <w:rsid w:val="006B3776"/>
    <w:pPr>
      <w:spacing w:before="100" w:beforeAutospacing="1" w:after="100" w:afterAutospacing="1"/>
      <w:jc w:val="left"/>
    </w:pPr>
    <w:rPr>
      <w:rFonts w:ascii="Times New Roman" w:hAnsi="Times New Roman" w:cs="Times New Roman"/>
    </w:rPr>
  </w:style>
  <w:style w:type="paragraph" w:customStyle="1" w:styleId="BodyText1">
    <w:name w:val="Body Text1"/>
    <w:basedOn w:val="Normal"/>
    <w:link w:val="BodytextChar0"/>
    <w:qFormat/>
    <w:rsid w:val="00537DA5"/>
    <w:pPr>
      <w:keepNext/>
      <w:keepLines/>
      <w:spacing w:before="120" w:after="120" w:line="276" w:lineRule="auto"/>
      <w:ind w:right="720"/>
    </w:pPr>
    <w:rPr>
      <w:rFonts w:asciiTheme="minorHAnsi" w:eastAsiaTheme="minorHAnsi" w:hAnsiTheme="minorHAnsi" w:cstheme="minorBidi"/>
      <w:sz w:val="22"/>
      <w:szCs w:val="22"/>
      <w:lang w:eastAsia="en-US"/>
    </w:rPr>
  </w:style>
  <w:style w:type="character" w:customStyle="1" w:styleId="BodytextChar0">
    <w:name w:val="Body text Char"/>
    <w:basedOn w:val="DefaultParagraphFont"/>
    <w:link w:val="BodyText1"/>
    <w:rsid w:val="00537DA5"/>
    <w:rPr>
      <w:rFonts w:asciiTheme="minorHAnsi" w:eastAsiaTheme="minorHAnsi" w:hAnsiTheme="minorHAnsi" w:cstheme="minorBidi"/>
      <w:sz w:val="22"/>
      <w:szCs w:val="22"/>
      <w:lang w:eastAsia="en-US"/>
    </w:rPr>
  </w:style>
  <w:style w:type="table" w:customStyle="1" w:styleId="LightList-Accent31">
    <w:name w:val="Light List - Accent 31"/>
    <w:basedOn w:val="TableNormal"/>
    <w:next w:val="LightList-Accent3"/>
    <w:uiPriority w:val="61"/>
    <w:rsid w:val="006545A8"/>
    <w:rPr>
      <w:rFonts w:ascii="Tahoma" w:eastAsia="Tahoma" w:hAnsi="Tahoma"/>
      <w:szCs w:val="22"/>
      <w:lang w:val="en-GB" w:eastAsia="en-GB"/>
    </w:rPr>
    <w:tblPr>
      <w:tblStyleRowBandSize w:val="1"/>
      <w:tblStyleColBandSize w:val="1"/>
      <w:tblBorders>
        <w:top w:val="single" w:sz="8" w:space="0" w:color="91AFD3"/>
        <w:left w:val="single" w:sz="8" w:space="0" w:color="91AFD3"/>
        <w:bottom w:val="single" w:sz="8" w:space="0" w:color="91AFD3"/>
        <w:right w:val="single" w:sz="8" w:space="0" w:color="91AFD3"/>
      </w:tblBorders>
    </w:tblPr>
    <w:tblStylePr w:type="firstRow">
      <w:pPr>
        <w:spacing w:before="0" w:after="0" w:line="240" w:lineRule="auto"/>
      </w:pPr>
      <w:rPr>
        <w:b/>
        <w:bCs/>
        <w:color w:val="EAEAEA"/>
      </w:rPr>
      <w:tblPr/>
      <w:tcPr>
        <w:shd w:val="clear" w:color="auto" w:fill="91AFD3"/>
      </w:tcPr>
    </w:tblStylePr>
    <w:tblStylePr w:type="lastRow">
      <w:pPr>
        <w:spacing w:before="0" w:after="0" w:line="240" w:lineRule="auto"/>
      </w:pPr>
      <w:rPr>
        <w:b/>
        <w:bCs/>
      </w:rPr>
      <w:tblPr/>
      <w:tcPr>
        <w:tcBorders>
          <w:top w:val="double" w:sz="6" w:space="0" w:color="91AFD3"/>
          <w:left w:val="single" w:sz="8" w:space="0" w:color="91AFD3"/>
          <w:bottom w:val="single" w:sz="8" w:space="0" w:color="91AFD3"/>
          <w:right w:val="single" w:sz="8" w:space="0" w:color="91AFD3"/>
        </w:tcBorders>
      </w:tcPr>
    </w:tblStylePr>
    <w:tblStylePr w:type="firstCol">
      <w:rPr>
        <w:b/>
        <w:bCs/>
      </w:rPr>
    </w:tblStylePr>
    <w:tblStylePr w:type="lastCol">
      <w:rPr>
        <w:b/>
        <w:bCs/>
      </w:rPr>
    </w:tblStylePr>
    <w:tblStylePr w:type="band1Vert">
      <w:tblPr/>
      <w:tcPr>
        <w:tcBorders>
          <w:top w:val="single" w:sz="8" w:space="0" w:color="91AFD3"/>
          <w:left w:val="single" w:sz="8" w:space="0" w:color="91AFD3"/>
          <w:bottom w:val="single" w:sz="8" w:space="0" w:color="91AFD3"/>
          <w:right w:val="single" w:sz="8" w:space="0" w:color="91AFD3"/>
        </w:tcBorders>
      </w:tcPr>
    </w:tblStylePr>
    <w:tblStylePr w:type="band1Horz">
      <w:tblPr/>
      <w:tcPr>
        <w:tcBorders>
          <w:top w:val="single" w:sz="8" w:space="0" w:color="91AFD3"/>
          <w:left w:val="single" w:sz="8" w:space="0" w:color="91AFD3"/>
          <w:bottom w:val="single" w:sz="8" w:space="0" w:color="91AFD3"/>
          <w:right w:val="single" w:sz="8" w:space="0" w:color="91AFD3"/>
        </w:tcBorders>
      </w:tcPr>
    </w:tblStylePr>
  </w:style>
  <w:style w:type="table" w:styleId="LightList-Accent3">
    <w:name w:val="Light List Accent 3"/>
    <w:basedOn w:val="TableNormal"/>
    <w:uiPriority w:val="61"/>
    <w:semiHidden/>
    <w:unhideWhenUsed/>
    <w:rsid w:val="006545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ableheading0">
    <w:name w:val="Table heading"/>
    <w:basedOn w:val="Normal"/>
    <w:link w:val="TableheadingChar0"/>
    <w:qFormat/>
    <w:rsid w:val="00B52EA2"/>
    <w:pPr>
      <w:keepNext/>
      <w:keepLines/>
      <w:spacing w:before="60" w:after="60"/>
      <w:jc w:val="left"/>
    </w:pPr>
    <w:rPr>
      <w:rFonts w:ascii="Arial" w:eastAsiaTheme="minorHAnsi" w:hAnsi="Arial" w:cs="Times New Roman"/>
      <w:b/>
      <w:bCs/>
      <w:sz w:val="20"/>
      <w:szCs w:val="20"/>
      <w:lang w:eastAsia="en-US"/>
    </w:rPr>
  </w:style>
  <w:style w:type="character" w:customStyle="1" w:styleId="TableheadingChar0">
    <w:name w:val="Table heading Char"/>
    <w:link w:val="Tableheading0"/>
    <w:rsid w:val="00B52EA2"/>
    <w:rPr>
      <w:rFonts w:ascii="Arial" w:eastAsiaTheme="minorHAnsi" w:hAnsi="Arial"/>
      <w:b/>
      <w:bCs/>
      <w:lang w:eastAsia="en-US"/>
    </w:rPr>
  </w:style>
  <w:style w:type="character" w:styleId="Mention">
    <w:name w:val="Mention"/>
    <w:basedOn w:val="DefaultParagraphFont"/>
    <w:uiPriority w:val="99"/>
    <w:unhideWhenUsed/>
    <w:rsid w:val="0077200E"/>
    <w:rPr>
      <w:color w:val="2B579A"/>
      <w:shd w:val="clear" w:color="auto" w:fill="E1DFDD"/>
    </w:rPr>
  </w:style>
  <w:style w:type="paragraph" w:customStyle="1" w:styleId="InstructionalText">
    <w:name w:val="Instructional Text"/>
    <w:basedOn w:val="Normal"/>
    <w:link w:val="InstructionalTextChar"/>
    <w:uiPriority w:val="3"/>
    <w:qFormat/>
    <w:rsid w:val="005046C6"/>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5046C6"/>
    <w:rPr>
      <w:rFonts w:asciiTheme="minorHAnsi" w:eastAsiaTheme="minorHAnsi" w:hAnsiTheme="minorHAnsi" w:cstheme="minorHAnsi"/>
      <w:color w:val="3366FF"/>
      <w:sz w:val="24"/>
      <w:szCs w:val="22"/>
      <w:lang w:eastAsia="en-US"/>
    </w:rPr>
  </w:style>
  <w:style w:type="paragraph" w:customStyle="1" w:styleId="TableFigNote">
    <w:name w:val="TableFigNote"/>
    <w:basedOn w:val="Normal"/>
    <w:rsid w:val="005046C6"/>
    <w:pPr>
      <w:jc w:val="left"/>
    </w:pPr>
    <w:rPr>
      <w:rFonts w:asciiTheme="minorHAnsi" w:eastAsiaTheme="minorHAnsi" w:hAnsiTheme="minorHAnsi" w:cstheme="minorBidi"/>
      <w:sz w:val="16"/>
      <w:szCs w:val="22"/>
      <w:lang w:eastAsia="en-US"/>
    </w:rPr>
  </w:style>
  <w:style w:type="paragraph" w:customStyle="1" w:styleId="TableNumbered">
    <w:name w:val="Table Numbered"/>
    <w:basedOn w:val="TableBullet"/>
    <w:rsid w:val="005046C6"/>
    <w:pPr>
      <w:numPr>
        <w:numId w:val="35"/>
      </w:numPr>
      <w:ind w:left="357" w:hanging="357"/>
    </w:pPr>
  </w:style>
  <w:style w:type="character" w:customStyle="1" w:styleId="PBACTableTextChar">
    <w:name w:val="PBAC Table Text Char"/>
    <w:basedOn w:val="DefaultParagraphFont"/>
    <w:link w:val="PBACTableText"/>
    <w:locked/>
    <w:rsid w:val="005046C6"/>
    <w:rPr>
      <w:rFonts w:ascii="Arial Narrow" w:hAnsi="Arial Narrow"/>
    </w:rPr>
  </w:style>
  <w:style w:type="paragraph" w:customStyle="1" w:styleId="PBACTableText">
    <w:name w:val="PBAC Table Text"/>
    <w:basedOn w:val="Normal"/>
    <w:link w:val="PBACTableTextChar"/>
    <w:qFormat/>
    <w:rsid w:val="005046C6"/>
    <w:pPr>
      <w:spacing w:before="40" w:after="40"/>
      <w:jc w:val="left"/>
    </w:pPr>
    <w:rPr>
      <w:rFonts w:ascii="Arial Narrow" w:hAnsi="Arial Narrow" w:cs="Times New Roman"/>
      <w:sz w:val="20"/>
      <w:szCs w:val="20"/>
    </w:rPr>
  </w:style>
  <w:style w:type="table" w:styleId="TableGridLight">
    <w:name w:val="Grid Table Light"/>
    <w:basedOn w:val="TableNormal"/>
    <w:uiPriority w:val="40"/>
    <w:rsid w:val="005046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046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046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46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46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5046C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046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46C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46C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46C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46C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customStyle="1" w:styleId="PBACESHeading1">
    <w:name w:val="PBAC ES Heading 1"/>
    <w:basedOn w:val="Heading1"/>
    <w:next w:val="ListParagraph"/>
    <w:uiPriority w:val="1"/>
    <w:rsid w:val="005046C6"/>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PBACESHeading2">
    <w:name w:val="PBAC ES Heading 2"/>
    <w:basedOn w:val="Heading2"/>
    <w:uiPriority w:val="1"/>
    <w:rsid w:val="005046C6"/>
    <w:pPr>
      <w:keepNext/>
      <w:keepLines/>
      <w:spacing w:before="360" w:after="120"/>
      <w:ind w:left="720" w:hanging="720"/>
      <w:jc w:val="left"/>
    </w:pPr>
    <w:rPr>
      <w:rFonts w:asciiTheme="majorHAnsi" w:eastAsiaTheme="majorEastAsia" w:hAnsiTheme="majorHAnsi" w:cstheme="majorBidi"/>
      <w:snapToGrid w:val="0"/>
      <w:szCs w:val="28"/>
      <w:lang w:eastAsia="en-US"/>
    </w:rPr>
  </w:style>
  <w:style w:type="paragraph" w:customStyle="1" w:styleId="PBACESHeadingCAPS">
    <w:name w:val="PBAC ES Heading CAPS"/>
    <w:basedOn w:val="PBACESHeading2"/>
    <w:uiPriority w:val="1"/>
    <w:rsid w:val="005046C6"/>
    <w:rPr>
      <w:i w:val="0"/>
      <w:smallCaps/>
      <w:sz w:val="32"/>
    </w:rPr>
  </w:style>
  <w:style w:type="paragraph" w:customStyle="1" w:styleId="PBACESHeading3">
    <w:name w:val="PBAC ES Heading 3"/>
    <w:basedOn w:val="PBACESHeading2"/>
    <w:uiPriority w:val="1"/>
    <w:rsid w:val="005046C6"/>
    <w:pPr>
      <w:ind w:left="1080" w:hanging="1080"/>
    </w:pPr>
    <w:rPr>
      <w:i w:val="0"/>
      <w:sz w:val="24"/>
    </w:rPr>
  </w:style>
  <w:style w:type="paragraph" w:customStyle="1" w:styleId="MSACHeading1">
    <w:name w:val="MSAC Heading 1"/>
    <w:basedOn w:val="Heading1"/>
    <w:next w:val="Normal"/>
    <w:uiPriority w:val="1"/>
    <w:rsid w:val="005046C6"/>
    <w:pPr>
      <w:keepNext/>
      <w:keepLines/>
      <w:spacing w:before="160" w:after="240" w:line="259" w:lineRule="auto"/>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rsid w:val="005046C6"/>
    <w:pPr>
      <w:keepNext/>
      <w:keepLines/>
      <w:spacing w:before="360" w:after="120"/>
      <w:ind w:left="720" w:hanging="720"/>
      <w:jc w:val="left"/>
    </w:pPr>
    <w:rPr>
      <w:rFonts w:ascii="Cambria" w:eastAsiaTheme="majorEastAsia" w:hAnsi="Cambria" w:cstheme="majorBidi"/>
      <w:i w:val="0"/>
      <w:snapToGrid w:val="0"/>
      <w:sz w:val="24"/>
      <w:szCs w:val="28"/>
      <w:lang w:eastAsia="en-US"/>
    </w:rPr>
  </w:style>
  <w:style w:type="paragraph" w:customStyle="1" w:styleId="TableTextcentred">
    <w:name w:val="Table Text centred"/>
    <w:basedOn w:val="Normal"/>
    <w:link w:val="TableTextcentredChar"/>
    <w:qFormat/>
    <w:rsid w:val="005046C6"/>
    <w:pPr>
      <w:jc w:val="center"/>
    </w:pPr>
    <w:rPr>
      <w:rFonts w:cs="Times New Roman"/>
      <w:sz w:val="18"/>
      <w:szCs w:val="18"/>
      <w:lang w:eastAsia="en-US"/>
    </w:rPr>
  </w:style>
  <w:style w:type="character" w:customStyle="1" w:styleId="TableTextcentredChar">
    <w:name w:val="Table Text centred Char"/>
    <w:basedOn w:val="DefaultParagraphFont"/>
    <w:link w:val="TableTextcentred"/>
    <w:rsid w:val="005046C6"/>
    <w:rPr>
      <w:rFonts w:ascii="Calibri" w:hAnsi="Calibri"/>
      <w:sz w:val="18"/>
      <w:szCs w:val="18"/>
      <w:lang w:eastAsia="en-US"/>
    </w:rPr>
  </w:style>
  <w:style w:type="paragraph" w:customStyle="1" w:styleId="TableTitlecentred">
    <w:name w:val="Table Title centred"/>
    <w:basedOn w:val="Normal"/>
    <w:rsid w:val="005046C6"/>
    <w:pPr>
      <w:jc w:val="center"/>
    </w:pPr>
    <w:rPr>
      <w:rFonts w:cs="Times New Roman"/>
      <w:b/>
      <w:sz w:val="18"/>
      <w:szCs w:val="20"/>
      <w:lang w:eastAsia="en-US"/>
    </w:rPr>
  </w:style>
  <w:style w:type="character" w:styleId="Emphasis">
    <w:name w:val="Emphasis"/>
    <w:basedOn w:val="DefaultParagraphFont"/>
    <w:uiPriority w:val="20"/>
    <w:rsid w:val="005046C6"/>
    <w:rPr>
      <w:b w:val="0"/>
      <w:i/>
      <w:iCs/>
    </w:rPr>
  </w:style>
  <w:style w:type="paragraph" w:customStyle="1" w:styleId="EndNoteBibliographyTitle">
    <w:name w:val="EndNote Bibliography Title"/>
    <w:basedOn w:val="Normal"/>
    <w:link w:val="EndNoteBibliographyTitleChar"/>
    <w:rsid w:val="005046C6"/>
    <w:pPr>
      <w:jc w:val="center"/>
    </w:pPr>
    <w:rPr>
      <w:rFonts w:cs="Calibri"/>
      <w:noProof/>
    </w:rPr>
  </w:style>
  <w:style w:type="character" w:customStyle="1" w:styleId="EndNoteBibliographyTitleChar">
    <w:name w:val="EndNote Bibliography Title Char"/>
    <w:basedOn w:val="FooterTableFigureChar"/>
    <w:link w:val="EndNoteBibliographyTitle"/>
    <w:rsid w:val="005046C6"/>
    <w:rPr>
      <w:rFonts w:ascii="Calibri" w:hAnsi="Calibri" w:cs="Calibri"/>
      <w:noProof/>
      <w:snapToGrid/>
      <w:sz w:val="24"/>
      <w:szCs w:val="24"/>
    </w:rPr>
  </w:style>
  <w:style w:type="paragraph" w:customStyle="1" w:styleId="EndNoteBibliography">
    <w:name w:val="EndNote Bibliography"/>
    <w:basedOn w:val="Normal"/>
    <w:link w:val="EndNoteBibliographyChar"/>
    <w:rsid w:val="005046C6"/>
    <w:rPr>
      <w:rFonts w:cs="Calibri"/>
      <w:noProof/>
    </w:rPr>
  </w:style>
  <w:style w:type="character" w:customStyle="1" w:styleId="EndNoteBibliographyChar">
    <w:name w:val="EndNote Bibliography Char"/>
    <w:basedOn w:val="FooterTableFigureChar"/>
    <w:link w:val="EndNoteBibliography"/>
    <w:rsid w:val="005046C6"/>
    <w:rPr>
      <w:rFonts w:ascii="Calibri" w:hAnsi="Calibri" w:cs="Calibri"/>
      <w:noProof/>
      <w:snapToGrid/>
      <w:sz w:val="24"/>
      <w:szCs w:val="24"/>
    </w:rPr>
  </w:style>
  <w:style w:type="paragraph" w:customStyle="1" w:styleId="3-SubsectionHeading">
    <w:name w:val="3-Subsection Heading"/>
    <w:basedOn w:val="Heading2"/>
    <w:next w:val="Normal"/>
    <w:link w:val="3-SubsectionHeadingChar"/>
    <w:qFormat/>
    <w:rsid w:val="007F7C2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F7C22"/>
    <w:rPr>
      <w:rFonts w:asciiTheme="minorHAnsi" w:eastAsiaTheme="majorEastAsia" w:hAnsiTheme="minorHAnsi" w:cstheme="majorBidi"/>
      <w:b/>
      <w:i/>
      <w:snapToGrid/>
      <w:spacing w:val="5"/>
      <w:kern w:val="28"/>
      <w:sz w:val="28"/>
      <w:szCs w:val="36"/>
      <w:lang w:eastAsia="en-US"/>
    </w:rPr>
  </w:style>
  <w:style w:type="paragraph" w:customStyle="1" w:styleId="COMTablefooter">
    <w:name w:val="COM Table footer"/>
    <w:basedOn w:val="Normal"/>
    <w:next w:val="Normal"/>
    <w:link w:val="COMTablefooterChar"/>
    <w:qFormat/>
    <w:rsid w:val="00AC4A2E"/>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AC4A2E"/>
    <w:rPr>
      <w:rFonts w:ascii="Arial Narrow" w:hAnsi="Arial Narrow" w:cs="Arial"/>
      <w:snapToGrid w:val="0"/>
      <w:sz w:val="18"/>
      <w:szCs w:val="22"/>
    </w:rPr>
  </w:style>
  <w:style w:type="paragraph" w:customStyle="1" w:styleId="COMTableheadingrow">
    <w:name w:val="COM Table heading row"/>
    <w:qFormat/>
    <w:rsid w:val="00AC4A2E"/>
    <w:pPr>
      <w:keepNext/>
    </w:pPr>
    <w:rPr>
      <w:rFonts w:ascii="Arial Narrow" w:eastAsiaTheme="majorEastAsia" w:hAnsi="Arial Narrow"/>
      <w:b/>
      <w:szCs w:val="24"/>
      <w:lang w:val="en-US"/>
    </w:rPr>
  </w:style>
  <w:style w:type="paragraph" w:customStyle="1" w:styleId="COMTabletext">
    <w:name w:val="COM Table text"/>
    <w:link w:val="COMTabletextChar"/>
    <w:qFormat/>
    <w:rsid w:val="00AC4A2E"/>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AC4A2E"/>
    <w:rPr>
      <w:rFonts w:ascii="Arial Narrow" w:eastAsiaTheme="majorEastAsia" w:hAnsi="Arial Narrow" w:cstheme="majorBidi"/>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2288">
      <w:bodyDiv w:val="1"/>
      <w:marLeft w:val="0"/>
      <w:marRight w:val="0"/>
      <w:marTop w:val="0"/>
      <w:marBottom w:val="0"/>
      <w:divBdr>
        <w:top w:val="none" w:sz="0" w:space="0" w:color="auto"/>
        <w:left w:val="none" w:sz="0" w:space="0" w:color="auto"/>
        <w:bottom w:val="none" w:sz="0" w:space="0" w:color="auto"/>
        <w:right w:val="none" w:sz="0" w:space="0" w:color="auto"/>
      </w:divBdr>
    </w:div>
    <w:div w:id="9937778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7769168">
      <w:bodyDiv w:val="1"/>
      <w:marLeft w:val="0"/>
      <w:marRight w:val="0"/>
      <w:marTop w:val="0"/>
      <w:marBottom w:val="0"/>
      <w:divBdr>
        <w:top w:val="none" w:sz="0" w:space="0" w:color="auto"/>
        <w:left w:val="none" w:sz="0" w:space="0" w:color="auto"/>
        <w:bottom w:val="none" w:sz="0" w:space="0" w:color="auto"/>
        <w:right w:val="none" w:sz="0" w:space="0" w:color="auto"/>
      </w:divBdr>
    </w:div>
    <w:div w:id="175388430">
      <w:bodyDiv w:val="1"/>
      <w:marLeft w:val="0"/>
      <w:marRight w:val="0"/>
      <w:marTop w:val="0"/>
      <w:marBottom w:val="0"/>
      <w:divBdr>
        <w:top w:val="none" w:sz="0" w:space="0" w:color="auto"/>
        <w:left w:val="none" w:sz="0" w:space="0" w:color="auto"/>
        <w:bottom w:val="none" w:sz="0" w:space="0" w:color="auto"/>
        <w:right w:val="none" w:sz="0" w:space="0" w:color="auto"/>
      </w:divBdr>
      <w:divsChild>
        <w:div w:id="1517958078">
          <w:marLeft w:val="1080"/>
          <w:marRight w:val="0"/>
          <w:marTop w:val="1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8140668">
      <w:bodyDiv w:val="1"/>
      <w:marLeft w:val="0"/>
      <w:marRight w:val="0"/>
      <w:marTop w:val="0"/>
      <w:marBottom w:val="0"/>
      <w:divBdr>
        <w:top w:val="none" w:sz="0" w:space="0" w:color="auto"/>
        <w:left w:val="none" w:sz="0" w:space="0" w:color="auto"/>
        <w:bottom w:val="none" w:sz="0" w:space="0" w:color="auto"/>
        <w:right w:val="none" w:sz="0" w:space="0" w:color="auto"/>
      </w:divBdr>
    </w:div>
    <w:div w:id="445589686">
      <w:bodyDiv w:val="1"/>
      <w:marLeft w:val="0"/>
      <w:marRight w:val="0"/>
      <w:marTop w:val="0"/>
      <w:marBottom w:val="0"/>
      <w:divBdr>
        <w:top w:val="none" w:sz="0" w:space="0" w:color="auto"/>
        <w:left w:val="none" w:sz="0" w:space="0" w:color="auto"/>
        <w:bottom w:val="none" w:sz="0" w:space="0" w:color="auto"/>
        <w:right w:val="none" w:sz="0" w:space="0" w:color="auto"/>
      </w:divBdr>
    </w:div>
    <w:div w:id="460533952">
      <w:bodyDiv w:val="1"/>
      <w:marLeft w:val="0"/>
      <w:marRight w:val="0"/>
      <w:marTop w:val="0"/>
      <w:marBottom w:val="0"/>
      <w:divBdr>
        <w:top w:val="none" w:sz="0" w:space="0" w:color="auto"/>
        <w:left w:val="none" w:sz="0" w:space="0" w:color="auto"/>
        <w:bottom w:val="none" w:sz="0" w:space="0" w:color="auto"/>
        <w:right w:val="none" w:sz="0" w:space="0" w:color="auto"/>
      </w:divBdr>
    </w:div>
    <w:div w:id="544104835">
      <w:bodyDiv w:val="1"/>
      <w:marLeft w:val="0"/>
      <w:marRight w:val="0"/>
      <w:marTop w:val="0"/>
      <w:marBottom w:val="0"/>
      <w:divBdr>
        <w:top w:val="none" w:sz="0" w:space="0" w:color="auto"/>
        <w:left w:val="none" w:sz="0" w:space="0" w:color="auto"/>
        <w:bottom w:val="none" w:sz="0" w:space="0" w:color="auto"/>
        <w:right w:val="none" w:sz="0" w:space="0" w:color="auto"/>
      </w:divBdr>
    </w:div>
    <w:div w:id="553279646">
      <w:bodyDiv w:val="1"/>
      <w:marLeft w:val="0"/>
      <w:marRight w:val="0"/>
      <w:marTop w:val="0"/>
      <w:marBottom w:val="0"/>
      <w:divBdr>
        <w:top w:val="none" w:sz="0" w:space="0" w:color="auto"/>
        <w:left w:val="none" w:sz="0" w:space="0" w:color="auto"/>
        <w:bottom w:val="none" w:sz="0" w:space="0" w:color="auto"/>
        <w:right w:val="none" w:sz="0" w:space="0" w:color="auto"/>
      </w:divBdr>
      <w:divsChild>
        <w:div w:id="1115827034">
          <w:marLeft w:val="360"/>
          <w:marRight w:val="0"/>
          <w:marTop w:val="200"/>
          <w:marBottom w:val="120"/>
          <w:divBdr>
            <w:top w:val="none" w:sz="0" w:space="0" w:color="auto"/>
            <w:left w:val="none" w:sz="0" w:space="0" w:color="auto"/>
            <w:bottom w:val="none" w:sz="0" w:space="0" w:color="auto"/>
            <w:right w:val="none" w:sz="0" w:space="0" w:color="auto"/>
          </w:divBdr>
        </w:div>
      </w:divsChild>
    </w:div>
    <w:div w:id="577060306">
      <w:bodyDiv w:val="1"/>
      <w:marLeft w:val="0"/>
      <w:marRight w:val="0"/>
      <w:marTop w:val="0"/>
      <w:marBottom w:val="0"/>
      <w:divBdr>
        <w:top w:val="none" w:sz="0" w:space="0" w:color="auto"/>
        <w:left w:val="none" w:sz="0" w:space="0" w:color="auto"/>
        <w:bottom w:val="none" w:sz="0" w:space="0" w:color="auto"/>
        <w:right w:val="none" w:sz="0" w:space="0" w:color="auto"/>
      </w:divBdr>
    </w:div>
    <w:div w:id="593050509">
      <w:bodyDiv w:val="1"/>
      <w:marLeft w:val="0"/>
      <w:marRight w:val="0"/>
      <w:marTop w:val="0"/>
      <w:marBottom w:val="0"/>
      <w:divBdr>
        <w:top w:val="none" w:sz="0" w:space="0" w:color="auto"/>
        <w:left w:val="none" w:sz="0" w:space="0" w:color="auto"/>
        <w:bottom w:val="none" w:sz="0" w:space="0" w:color="auto"/>
        <w:right w:val="none" w:sz="0" w:space="0" w:color="auto"/>
      </w:divBdr>
    </w:div>
    <w:div w:id="604651744">
      <w:bodyDiv w:val="1"/>
      <w:marLeft w:val="0"/>
      <w:marRight w:val="0"/>
      <w:marTop w:val="0"/>
      <w:marBottom w:val="0"/>
      <w:divBdr>
        <w:top w:val="none" w:sz="0" w:space="0" w:color="auto"/>
        <w:left w:val="none" w:sz="0" w:space="0" w:color="auto"/>
        <w:bottom w:val="none" w:sz="0" w:space="0" w:color="auto"/>
        <w:right w:val="none" w:sz="0" w:space="0" w:color="auto"/>
      </w:divBdr>
    </w:div>
    <w:div w:id="622226852">
      <w:bodyDiv w:val="1"/>
      <w:marLeft w:val="0"/>
      <w:marRight w:val="0"/>
      <w:marTop w:val="0"/>
      <w:marBottom w:val="0"/>
      <w:divBdr>
        <w:top w:val="none" w:sz="0" w:space="0" w:color="auto"/>
        <w:left w:val="none" w:sz="0" w:space="0" w:color="auto"/>
        <w:bottom w:val="none" w:sz="0" w:space="0" w:color="auto"/>
        <w:right w:val="none" w:sz="0" w:space="0" w:color="auto"/>
      </w:divBdr>
    </w:div>
    <w:div w:id="674697825">
      <w:bodyDiv w:val="1"/>
      <w:marLeft w:val="0"/>
      <w:marRight w:val="0"/>
      <w:marTop w:val="0"/>
      <w:marBottom w:val="0"/>
      <w:divBdr>
        <w:top w:val="none" w:sz="0" w:space="0" w:color="auto"/>
        <w:left w:val="none" w:sz="0" w:space="0" w:color="auto"/>
        <w:bottom w:val="none" w:sz="0" w:space="0" w:color="auto"/>
        <w:right w:val="none" w:sz="0" w:space="0" w:color="auto"/>
      </w:divBdr>
    </w:div>
    <w:div w:id="727386474">
      <w:bodyDiv w:val="1"/>
      <w:marLeft w:val="0"/>
      <w:marRight w:val="0"/>
      <w:marTop w:val="0"/>
      <w:marBottom w:val="0"/>
      <w:divBdr>
        <w:top w:val="none" w:sz="0" w:space="0" w:color="auto"/>
        <w:left w:val="none" w:sz="0" w:space="0" w:color="auto"/>
        <w:bottom w:val="none" w:sz="0" w:space="0" w:color="auto"/>
        <w:right w:val="none" w:sz="0" w:space="0" w:color="auto"/>
      </w:divBdr>
    </w:div>
    <w:div w:id="727873518">
      <w:bodyDiv w:val="1"/>
      <w:marLeft w:val="0"/>
      <w:marRight w:val="0"/>
      <w:marTop w:val="0"/>
      <w:marBottom w:val="0"/>
      <w:divBdr>
        <w:top w:val="none" w:sz="0" w:space="0" w:color="auto"/>
        <w:left w:val="none" w:sz="0" w:space="0" w:color="auto"/>
        <w:bottom w:val="none" w:sz="0" w:space="0" w:color="auto"/>
        <w:right w:val="none" w:sz="0" w:space="0" w:color="auto"/>
      </w:divBdr>
    </w:div>
    <w:div w:id="81037111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4876006">
      <w:bodyDiv w:val="1"/>
      <w:marLeft w:val="0"/>
      <w:marRight w:val="0"/>
      <w:marTop w:val="0"/>
      <w:marBottom w:val="0"/>
      <w:divBdr>
        <w:top w:val="none" w:sz="0" w:space="0" w:color="auto"/>
        <w:left w:val="none" w:sz="0" w:space="0" w:color="auto"/>
        <w:bottom w:val="none" w:sz="0" w:space="0" w:color="auto"/>
        <w:right w:val="none" w:sz="0" w:space="0" w:color="auto"/>
      </w:divBdr>
      <w:divsChild>
        <w:div w:id="1820265894">
          <w:marLeft w:val="360"/>
          <w:marRight w:val="0"/>
          <w:marTop w:val="200"/>
          <w:marBottom w:val="0"/>
          <w:divBdr>
            <w:top w:val="none" w:sz="0" w:space="0" w:color="auto"/>
            <w:left w:val="none" w:sz="0" w:space="0" w:color="auto"/>
            <w:bottom w:val="none" w:sz="0" w:space="0" w:color="auto"/>
            <w:right w:val="none" w:sz="0" w:space="0" w:color="auto"/>
          </w:divBdr>
        </w:div>
      </w:divsChild>
    </w:div>
    <w:div w:id="849101897">
      <w:bodyDiv w:val="1"/>
      <w:marLeft w:val="0"/>
      <w:marRight w:val="0"/>
      <w:marTop w:val="0"/>
      <w:marBottom w:val="0"/>
      <w:divBdr>
        <w:top w:val="none" w:sz="0" w:space="0" w:color="auto"/>
        <w:left w:val="none" w:sz="0" w:space="0" w:color="auto"/>
        <w:bottom w:val="none" w:sz="0" w:space="0" w:color="auto"/>
        <w:right w:val="none" w:sz="0" w:space="0" w:color="auto"/>
      </w:divBdr>
    </w:div>
    <w:div w:id="863981115">
      <w:bodyDiv w:val="1"/>
      <w:marLeft w:val="0"/>
      <w:marRight w:val="0"/>
      <w:marTop w:val="0"/>
      <w:marBottom w:val="0"/>
      <w:divBdr>
        <w:top w:val="none" w:sz="0" w:space="0" w:color="auto"/>
        <w:left w:val="none" w:sz="0" w:space="0" w:color="auto"/>
        <w:bottom w:val="none" w:sz="0" w:space="0" w:color="auto"/>
        <w:right w:val="none" w:sz="0" w:space="0" w:color="auto"/>
      </w:divBdr>
    </w:div>
    <w:div w:id="867109297">
      <w:bodyDiv w:val="1"/>
      <w:marLeft w:val="0"/>
      <w:marRight w:val="0"/>
      <w:marTop w:val="0"/>
      <w:marBottom w:val="0"/>
      <w:divBdr>
        <w:top w:val="none" w:sz="0" w:space="0" w:color="auto"/>
        <w:left w:val="none" w:sz="0" w:space="0" w:color="auto"/>
        <w:bottom w:val="none" w:sz="0" w:space="0" w:color="auto"/>
        <w:right w:val="none" w:sz="0" w:space="0" w:color="auto"/>
      </w:divBdr>
    </w:div>
    <w:div w:id="1051685439">
      <w:bodyDiv w:val="1"/>
      <w:marLeft w:val="0"/>
      <w:marRight w:val="0"/>
      <w:marTop w:val="0"/>
      <w:marBottom w:val="0"/>
      <w:divBdr>
        <w:top w:val="none" w:sz="0" w:space="0" w:color="auto"/>
        <w:left w:val="none" w:sz="0" w:space="0" w:color="auto"/>
        <w:bottom w:val="none" w:sz="0" w:space="0" w:color="auto"/>
        <w:right w:val="none" w:sz="0" w:space="0" w:color="auto"/>
      </w:divBdr>
    </w:div>
    <w:div w:id="1085806911">
      <w:bodyDiv w:val="1"/>
      <w:marLeft w:val="0"/>
      <w:marRight w:val="0"/>
      <w:marTop w:val="0"/>
      <w:marBottom w:val="0"/>
      <w:divBdr>
        <w:top w:val="none" w:sz="0" w:space="0" w:color="auto"/>
        <w:left w:val="none" w:sz="0" w:space="0" w:color="auto"/>
        <w:bottom w:val="none" w:sz="0" w:space="0" w:color="auto"/>
        <w:right w:val="none" w:sz="0" w:space="0" w:color="auto"/>
      </w:divBdr>
    </w:div>
    <w:div w:id="1105618952">
      <w:bodyDiv w:val="1"/>
      <w:marLeft w:val="0"/>
      <w:marRight w:val="0"/>
      <w:marTop w:val="0"/>
      <w:marBottom w:val="0"/>
      <w:divBdr>
        <w:top w:val="none" w:sz="0" w:space="0" w:color="auto"/>
        <w:left w:val="none" w:sz="0" w:space="0" w:color="auto"/>
        <w:bottom w:val="none" w:sz="0" w:space="0" w:color="auto"/>
        <w:right w:val="none" w:sz="0" w:space="0" w:color="auto"/>
      </w:divBdr>
    </w:div>
    <w:div w:id="1160198838">
      <w:bodyDiv w:val="1"/>
      <w:marLeft w:val="0"/>
      <w:marRight w:val="0"/>
      <w:marTop w:val="0"/>
      <w:marBottom w:val="0"/>
      <w:divBdr>
        <w:top w:val="none" w:sz="0" w:space="0" w:color="auto"/>
        <w:left w:val="none" w:sz="0" w:space="0" w:color="auto"/>
        <w:bottom w:val="none" w:sz="0" w:space="0" w:color="auto"/>
        <w:right w:val="none" w:sz="0" w:space="0" w:color="auto"/>
      </w:divBdr>
    </w:div>
    <w:div w:id="116747775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6210585">
      <w:bodyDiv w:val="1"/>
      <w:marLeft w:val="0"/>
      <w:marRight w:val="0"/>
      <w:marTop w:val="0"/>
      <w:marBottom w:val="0"/>
      <w:divBdr>
        <w:top w:val="none" w:sz="0" w:space="0" w:color="auto"/>
        <w:left w:val="none" w:sz="0" w:space="0" w:color="auto"/>
        <w:bottom w:val="none" w:sz="0" w:space="0" w:color="auto"/>
        <w:right w:val="none" w:sz="0" w:space="0" w:color="auto"/>
      </w:divBdr>
      <w:divsChild>
        <w:div w:id="76682955">
          <w:marLeft w:val="0"/>
          <w:marRight w:val="0"/>
          <w:marTop w:val="0"/>
          <w:marBottom w:val="0"/>
          <w:divBdr>
            <w:top w:val="none" w:sz="0" w:space="0" w:color="auto"/>
            <w:left w:val="none" w:sz="0" w:space="0" w:color="auto"/>
            <w:bottom w:val="none" w:sz="0" w:space="0" w:color="auto"/>
            <w:right w:val="none" w:sz="0" w:space="0" w:color="auto"/>
          </w:divBdr>
          <w:divsChild>
            <w:div w:id="2143188459">
              <w:marLeft w:val="0"/>
              <w:marRight w:val="0"/>
              <w:marTop w:val="0"/>
              <w:marBottom w:val="0"/>
              <w:divBdr>
                <w:top w:val="none" w:sz="0" w:space="0" w:color="auto"/>
                <w:left w:val="none" w:sz="0" w:space="0" w:color="auto"/>
                <w:bottom w:val="none" w:sz="0" w:space="0" w:color="auto"/>
                <w:right w:val="none" w:sz="0" w:space="0" w:color="auto"/>
              </w:divBdr>
            </w:div>
          </w:divsChild>
        </w:div>
        <w:div w:id="608048789">
          <w:marLeft w:val="0"/>
          <w:marRight w:val="0"/>
          <w:marTop w:val="0"/>
          <w:marBottom w:val="0"/>
          <w:divBdr>
            <w:top w:val="none" w:sz="0" w:space="0" w:color="auto"/>
            <w:left w:val="none" w:sz="0" w:space="0" w:color="auto"/>
            <w:bottom w:val="none" w:sz="0" w:space="0" w:color="auto"/>
            <w:right w:val="none" w:sz="0" w:space="0" w:color="auto"/>
          </w:divBdr>
          <w:divsChild>
            <w:div w:id="266236971">
              <w:marLeft w:val="0"/>
              <w:marRight w:val="0"/>
              <w:marTop w:val="0"/>
              <w:marBottom w:val="0"/>
              <w:divBdr>
                <w:top w:val="none" w:sz="0" w:space="0" w:color="auto"/>
                <w:left w:val="none" w:sz="0" w:space="0" w:color="auto"/>
                <w:bottom w:val="none" w:sz="0" w:space="0" w:color="auto"/>
                <w:right w:val="none" w:sz="0" w:space="0" w:color="auto"/>
              </w:divBdr>
            </w:div>
            <w:div w:id="616180859">
              <w:marLeft w:val="0"/>
              <w:marRight w:val="0"/>
              <w:marTop w:val="0"/>
              <w:marBottom w:val="0"/>
              <w:divBdr>
                <w:top w:val="none" w:sz="0" w:space="0" w:color="auto"/>
                <w:left w:val="none" w:sz="0" w:space="0" w:color="auto"/>
                <w:bottom w:val="none" w:sz="0" w:space="0" w:color="auto"/>
                <w:right w:val="none" w:sz="0" w:space="0" w:color="auto"/>
              </w:divBdr>
            </w:div>
          </w:divsChild>
        </w:div>
        <w:div w:id="832258612">
          <w:marLeft w:val="0"/>
          <w:marRight w:val="0"/>
          <w:marTop w:val="0"/>
          <w:marBottom w:val="0"/>
          <w:divBdr>
            <w:top w:val="none" w:sz="0" w:space="0" w:color="auto"/>
            <w:left w:val="none" w:sz="0" w:space="0" w:color="auto"/>
            <w:bottom w:val="none" w:sz="0" w:space="0" w:color="auto"/>
            <w:right w:val="none" w:sz="0" w:space="0" w:color="auto"/>
          </w:divBdr>
          <w:divsChild>
            <w:div w:id="1000619767">
              <w:marLeft w:val="0"/>
              <w:marRight w:val="0"/>
              <w:marTop w:val="0"/>
              <w:marBottom w:val="0"/>
              <w:divBdr>
                <w:top w:val="none" w:sz="0" w:space="0" w:color="auto"/>
                <w:left w:val="none" w:sz="0" w:space="0" w:color="auto"/>
                <w:bottom w:val="none" w:sz="0" w:space="0" w:color="auto"/>
                <w:right w:val="none" w:sz="0" w:space="0" w:color="auto"/>
              </w:divBdr>
            </w:div>
          </w:divsChild>
        </w:div>
        <w:div w:id="990522642">
          <w:marLeft w:val="0"/>
          <w:marRight w:val="0"/>
          <w:marTop w:val="0"/>
          <w:marBottom w:val="0"/>
          <w:divBdr>
            <w:top w:val="none" w:sz="0" w:space="0" w:color="auto"/>
            <w:left w:val="none" w:sz="0" w:space="0" w:color="auto"/>
            <w:bottom w:val="none" w:sz="0" w:space="0" w:color="auto"/>
            <w:right w:val="none" w:sz="0" w:space="0" w:color="auto"/>
          </w:divBdr>
          <w:divsChild>
            <w:div w:id="612246406">
              <w:marLeft w:val="0"/>
              <w:marRight w:val="0"/>
              <w:marTop w:val="0"/>
              <w:marBottom w:val="0"/>
              <w:divBdr>
                <w:top w:val="none" w:sz="0" w:space="0" w:color="auto"/>
                <w:left w:val="none" w:sz="0" w:space="0" w:color="auto"/>
                <w:bottom w:val="none" w:sz="0" w:space="0" w:color="auto"/>
                <w:right w:val="none" w:sz="0" w:space="0" w:color="auto"/>
              </w:divBdr>
            </w:div>
          </w:divsChild>
        </w:div>
        <w:div w:id="1059668742">
          <w:marLeft w:val="0"/>
          <w:marRight w:val="0"/>
          <w:marTop w:val="0"/>
          <w:marBottom w:val="0"/>
          <w:divBdr>
            <w:top w:val="none" w:sz="0" w:space="0" w:color="auto"/>
            <w:left w:val="none" w:sz="0" w:space="0" w:color="auto"/>
            <w:bottom w:val="none" w:sz="0" w:space="0" w:color="auto"/>
            <w:right w:val="none" w:sz="0" w:space="0" w:color="auto"/>
          </w:divBdr>
          <w:divsChild>
            <w:div w:id="1710300069">
              <w:marLeft w:val="0"/>
              <w:marRight w:val="0"/>
              <w:marTop w:val="0"/>
              <w:marBottom w:val="0"/>
              <w:divBdr>
                <w:top w:val="none" w:sz="0" w:space="0" w:color="auto"/>
                <w:left w:val="none" w:sz="0" w:space="0" w:color="auto"/>
                <w:bottom w:val="none" w:sz="0" w:space="0" w:color="auto"/>
                <w:right w:val="none" w:sz="0" w:space="0" w:color="auto"/>
              </w:divBdr>
            </w:div>
          </w:divsChild>
        </w:div>
        <w:div w:id="1355231758">
          <w:marLeft w:val="0"/>
          <w:marRight w:val="0"/>
          <w:marTop w:val="0"/>
          <w:marBottom w:val="0"/>
          <w:divBdr>
            <w:top w:val="none" w:sz="0" w:space="0" w:color="auto"/>
            <w:left w:val="none" w:sz="0" w:space="0" w:color="auto"/>
            <w:bottom w:val="none" w:sz="0" w:space="0" w:color="auto"/>
            <w:right w:val="none" w:sz="0" w:space="0" w:color="auto"/>
          </w:divBdr>
          <w:divsChild>
            <w:div w:id="158666804">
              <w:marLeft w:val="0"/>
              <w:marRight w:val="0"/>
              <w:marTop w:val="0"/>
              <w:marBottom w:val="0"/>
              <w:divBdr>
                <w:top w:val="none" w:sz="0" w:space="0" w:color="auto"/>
                <w:left w:val="none" w:sz="0" w:space="0" w:color="auto"/>
                <w:bottom w:val="none" w:sz="0" w:space="0" w:color="auto"/>
                <w:right w:val="none" w:sz="0" w:space="0" w:color="auto"/>
              </w:divBdr>
            </w:div>
            <w:div w:id="366218684">
              <w:marLeft w:val="0"/>
              <w:marRight w:val="0"/>
              <w:marTop w:val="0"/>
              <w:marBottom w:val="0"/>
              <w:divBdr>
                <w:top w:val="none" w:sz="0" w:space="0" w:color="auto"/>
                <w:left w:val="none" w:sz="0" w:space="0" w:color="auto"/>
                <w:bottom w:val="none" w:sz="0" w:space="0" w:color="auto"/>
                <w:right w:val="none" w:sz="0" w:space="0" w:color="auto"/>
              </w:divBdr>
            </w:div>
          </w:divsChild>
        </w:div>
        <w:div w:id="1469976681">
          <w:marLeft w:val="0"/>
          <w:marRight w:val="0"/>
          <w:marTop w:val="0"/>
          <w:marBottom w:val="0"/>
          <w:divBdr>
            <w:top w:val="none" w:sz="0" w:space="0" w:color="auto"/>
            <w:left w:val="none" w:sz="0" w:space="0" w:color="auto"/>
            <w:bottom w:val="none" w:sz="0" w:space="0" w:color="auto"/>
            <w:right w:val="none" w:sz="0" w:space="0" w:color="auto"/>
          </w:divBdr>
          <w:divsChild>
            <w:div w:id="1306666480">
              <w:marLeft w:val="0"/>
              <w:marRight w:val="0"/>
              <w:marTop w:val="0"/>
              <w:marBottom w:val="0"/>
              <w:divBdr>
                <w:top w:val="none" w:sz="0" w:space="0" w:color="auto"/>
                <w:left w:val="none" w:sz="0" w:space="0" w:color="auto"/>
                <w:bottom w:val="none" w:sz="0" w:space="0" w:color="auto"/>
                <w:right w:val="none" w:sz="0" w:space="0" w:color="auto"/>
              </w:divBdr>
            </w:div>
          </w:divsChild>
        </w:div>
        <w:div w:id="1476409937">
          <w:marLeft w:val="0"/>
          <w:marRight w:val="0"/>
          <w:marTop w:val="0"/>
          <w:marBottom w:val="0"/>
          <w:divBdr>
            <w:top w:val="none" w:sz="0" w:space="0" w:color="auto"/>
            <w:left w:val="none" w:sz="0" w:space="0" w:color="auto"/>
            <w:bottom w:val="none" w:sz="0" w:space="0" w:color="auto"/>
            <w:right w:val="none" w:sz="0" w:space="0" w:color="auto"/>
          </w:divBdr>
          <w:divsChild>
            <w:div w:id="1685474332">
              <w:marLeft w:val="0"/>
              <w:marRight w:val="0"/>
              <w:marTop w:val="0"/>
              <w:marBottom w:val="0"/>
              <w:divBdr>
                <w:top w:val="none" w:sz="0" w:space="0" w:color="auto"/>
                <w:left w:val="none" w:sz="0" w:space="0" w:color="auto"/>
                <w:bottom w:val="none" w:sz="0" w:space="0" w:color="auto"/>
                <w:right w:val="none" w:sz="0" w:space="0" w:color="auto"/>
              </w:divBdr>
            </w:div>
            <w:div w:id="1875340172">
              <w:marLeft w:val="0"/>
              <w:marRight w:val="0"/>
              <w:marTop w:val="0"/>
              <w:marBottom w:val="0"/>
              <w:divBdr>
                <w:top w:val="none" w:sz="0" w:space="0" w:color="auto"/>
                <w:left w:val="none" w:sz="0" w:space="0" w:color="auto"/>
                <w:bottom w:val="none" w:sz="0" w:space="0" w:color="auto"/>
                <w:right w:val="none" w:sz="0" w:space="0" w:color="auto"/>
              </w:divBdr>
            </w:div>
          </w:divsChild>
        </w:div>
        <w:div w:id="1543785139">
          <w:marLeft w:val="0"/>
          <w:marRight w:val="0"/>
          <w:marTop w:val="0"/>
          <w:marBottom w:val="0"/>
          <w:divBdr>
            <w:top w:val="none" w:sz="0" w:space="0" w:color="auto"/>
            <w:left w:val="none" w:sz="0" w:space="0" w:color="auto"/>
            <w:bottom w:val="none" w:sz="0" w:space="0" w:color="auto"/>
            <w:right w:val="none" w:sz="0" w:space="0" w:color="auto"/>
          </w:divBdr>
          <w:divsChild>
            <w:div w:id="1382290299">
              <w:marLeft w:val="0"/>
              <w:marRight w:val="0"/>
              <w:marTop w:val="0"/>
              <w:marBottom w:val="0"/>
              <w:divBdr>
                <w:top w:val="none" w:sz="0" w:space="0" w:color="auto"/>
                <w:left w:val="none" w:sz="0" w:space="0" w:color="auto"/>
                <w:bottom w:val="none" w:sz="0" w:space="0" w:color="auto"/>
                <w:right w:val="none" w:sz="0" w:space="0" w:color="auto"/>
              </w:divBdr>
            </w:div>
          </w:divsChild>
        </w:div>
        <w:div w:id="1640451067">
          <w:marLeft w:val="0"/>
          <w:marRight w:val="0"/>
          <w:marTop w:val="0"/>
          <w:marBottom w:val="0"/>
          <w:divBdr>
            <w:top w:val="none" w:sz="0" w:space="0" w:color="auto"/>
            <w:left w:val="none" w:sz="0" w:space="0" w:color="auto"/>
            <w:bottom w:val="none" w:sz="0" w:space="0" w:color="auto"/>
            <w:right w:val="none" w:sz="0" w:space="0" w:color="auto"/>
          </w:divBdr>
          <w:divsChild>
            <w:div w:id="745111170">
              <w:marLeft w:val="0"/>
              <w:marRight w:val="0"/>
              <w:marTop w:val="0"/>
              <w:marBottom w:val="0"/>
              <w:divBdr>
                <w:top w:val="none" w:sz="0" w:space="0" w:color="auto"/>
                <w:left w:val="none" w:sz="0" w:space="0" w:color="auto"/>
                <w:bottom w:val="none" w:sz="0" w:space="0" w:color="auto"/>
                <w:right w:val="none" w:sz="0" w:space="0" w:color="auto"/>
              </w:divBdr>
            </w:div>
            <w:div w:id="1170558510">
              <w:marLeft w:val="0"/>
              <w:marRight w:val="0"/>
              <w:marTop w:val="0"/>
              <w:marBottom w:val="0"/>
              <w:divBdr>
                <w:top w:val="none" w:sz="0" w:space="0" w:color="auto"/>
                <w:left w:val="none" w:sz="0" w:space="0" w:color="auto"/>
                <w:bottom w:val="none" w:sz="0" w:space="0" w:color="auto"/>
                <w:right w:val="none" w:sz="0" w:space="0" w:color="auto"/>
              </w:divBdr>
            </w:div>
          </w:divsChild>
        </w:div>
        <w:div w:id="2045669116">
          <w:marLeft w:val="0"/>
          <w:marRight w:val="0"/>
          <w:marTop w:val="0"/>
          <w:marBottom w:val="0"/>
          <w:divBdr>
            <w:top w:val="none" w:sz="0" w:space="0" w:color="auto"/>
            <w:left w:val="none" w:sz="0" w:space="0" w:color="auto"/>
            <w:bottom w:val="none" w:sz="0" w:space="0" w:color="auto"/>
            <w:right w:val="none" w:sz="0" w:space="0" w:color="auto"/>
          </w:divBdr>
          <w:divsChild>
            <w:div w:id="711269928">
              <w:marLeft w:val="0"/>
              <w:marRight w:val="0"/>
              <w:marTop w:val="0"/>
              <w:marBottom w:val="0"/>
              <w:divBdr>
                <w:top w:val="none" w:sz="0" w:space="0" w:color="auto"/>
                <w:left w:val="none" w:sz="0" w:space="0" w:color="auto"/>
                <w:bottom w:val="none" w:sz="0" w:space="0" w:color="auto"/>
                <w:right w:val="none" w:sz="0" w:space="0" w:color="auto"/>
              </w:divBdr>
            </w:div>
            <w:div w:id="9843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1310161">
      <w:bodyDiv w:val="1"/>
      <w:marLeft w:val="0"/>
      <w:marRight w:val="0"/>
      <w:marTop w:val="0"/>
      <w:marBottom w:val="0"/>
      <w:divBdr>
        <w:top w:val="none" w:sz="0" w:space="0" w:color="auto"/>
        <w:left w:val="none" w:sz="0" w:space="0" w:color="auto"/>
        <w:bottom w:val="none" w:sz="0" w:space="0" w:color="auto"/>
        <w:right w:val="none" w:sz="0" w:space="0" w:color="auto"/>
      </w:divBdr>
    </w:div>
    <w:div w:id="1366054956">
      <w:bodyDiv w:val="1"/>
      <w:marLeft w:val="0"/>
      <w:marRight w:val="0"/>
      <w:marTop w:val="0"/>
      <w:marBottom w:val="0"/>
      <w:divBdr>
        <w:top w:val="none" w:sz="0" w:space="0" w:color="auto"/>
        <w:left w:val="none" w:sz="0" w:space="0" w:color="auto"/>
        <w:bottom w:val="none" w:sz="0" w:space="0" w:color="auto"/>
        <w:right w:val="none" w:sz="0" w:space="0" w:color="auto"/>
      </w:divBdr>
      <w:divsChild>
        <w:div w:id="316957265">
          <w:marLeft w:val="360"/>
          <w:marRight w:val="0"/>
          <w:marTop w:val="200"/>
          <w:marBottom w:val="0"/>
          <w:divBdr>
            <w:top w:val="none" w:sz="0" w:space="0" w:color="auto"/>
            <w:left w:val="none" w:sz="0" w:space="0" w:color="auto"/>
            <w:bottom w:val="none" w:sz="0" w:space="0" w:color="auto"/>
            <w:right w:val="none" w:sz="0" w:space="0" w:color="auto"/>
          </w:divBdr>
        </w:div>
      </w:divsChild>
    </w:div>
    <w:div w:id="1404066663">
      <w:bodyDiv w:val="1"/>
      <w:marLeft w:val="0"/>
      <w:marRight w:val="0"/>
      <w:marTop w:val="0"/>
      <w:marBottom w:val="0"/>
      <w:divBdr>
        <w:top w:val="none" w:sz="0" w:space="0" w:color="auto"/>
        <w:left w:val="none" w:sz="0" w:space="0" w:color="auto"/>
        <w:bottom w:val="none" w:sz="0" w:space="0" w:color="auto"/>
        <w:right w:val="none" w:sz="0" w:space="0" w:color="auto"/>
      </w:divBdr>
    </w:div>
    <w:div w:id="1424260383">
      <w:bodyDiv w:val="1"/>
      <w:marLeft w:val="0"/>
      <w:marRight w:val="0"/>
      <w:marTop w:val="0"/>
      <w:marBottom w:val="0"/>
      <w:divBdr>
        <w:top w:val="none" w:sz="0" w:space="0" w:color="auto"/>
        <w:left w:val="none" w:sz="0" w:space="0" w:color="auto"/>
        <w:bottom w:val="none" w:sz="0" w:space="0" w:color="auto"/>
        <w:right w:val="none" w:sz="0" w:space="0" w:color="auto"/>
      </w:divBdr>
      <w:divsChild>
        <w:div w:id="951742227">
          <w:marLeft w:val="360"/>
          <w:marRight w:val="0"/>
          <w:marTop w:val="200"/>
          <w:marBottom w:val="0"/>
          <w:divBdr>
            <w:top w:val="none" w:sz="0" w:space="0" w:color="auto"/>
            <w:left w:val="none" w:sz="0" w:space="0" w:color="auto"/>
            <w:bottom w:val="none" w:sz="0" w:space="0" w:color="auto"/>
            <w:right w:val="none" w:sz="0" w:space="0" w:color="auto"/>
          </w:divBdr>
        </w:div>
      </w:divsChild>
    </w:div>
    <w:div w:id="1426803271">
      <w:bodyDiv w:val="1"/>
      <w:marLeft w:val="0"/>
      <w:marRight w:val="0"/>
      <w:marTop w:val="0"/>
      <w:marBottom w:val="0"/>
      <w:divBdr>
        <w:top w:val="none" w:sz="0" w:space="0" w:color="auto"/>
        <w:left w:val="none" w:sz="0" w:space="0" w:color="auto"/>
        <w:bottom w:val="none" w:sz="0" w:space="0" w:color="auto"/>
        <w:right w:val="none" w:sz="0" w:space="0" w:color="auto"/>
      </w:divBdr>
    </w:div>
    <w:div w:id="1488667329">
      <w:bodyDiv w:val="1"/>
      <w:marLeft w:val="0"/>
      <w:marRight w:val="0"/>
      <w:marTop w:val="0"/>
      <w:marBottom w:val="0"/>
      <w:divBdr>
        <w:top w:val="none" w:sz="0" w:space="0" w:color="auto"/>
        <w:left w:val="none" w:sz="0" w:space="0" w:color="auto"/>
        <w:bottom w:val="none" w:sz="0" w:space="0" w:color="auto"/>
        <w:right w:val="none" w:sz="0" w:space="0" w:color="auto"/>
      </w:divBdr>
    </w:div>
    <w:div w:id="1525946049">
      <w:bodyDiv w:val="1"/>
      <w:marLeft w:val="0"/>
      <w:marRight w:val="0"/>
      <w:marTop w:val="0"/>
      <w:marBottom w:val="0"/>
      <w:divBdr>
        <w:top w:val="none" w:sz="0" w:space="0" w:color="auto"/>
        <w:left w:val="none" w:sz="0" w:space="0" w:color="auto"/>
        <w:bottom w:val="none" w:sz="0" w:space="0" w:color="auto"/>
        <w:right w:val="none" w:sz="0" w:space="0" w:color="auto"/>
      </w:divBdr>
    </w:div>
    <w:div w:id="1730104291">
      <w:bodyDiv w:val="1"/>
      <w:marLeft w:val="0"/>
      <w:marRight w:val="0"/>
      <w:marTop w:val="0"/>
      <w:marBottom w:val="0"/>
      <w:divBdr>
        <w:top w:val="none" w:sz="0" w:space="0" w:color="auto"/>
        <w:left w:val="none" w:sz="0" w:space="0" w:color="auto"/>
        <w:bottom w:val="none" w:sz="0" w:space="0" w:color="auto"/>
        <w:right w:val="none" w:sz="0" w:space="0" w:color="auto"/>
      </w:divBdr>
    </w:div>
    <w:div w:id="1743404892">
      <w:bodyDiv w:val="1"/>
      <w:marLeft w:val="0"/>
      <w:marRight w:val="0"/>
      <w:marTop w:val="0"/>
      <w:marBottom w:val="0"/>
      <w:divBdr>
        <w:top w:val="none" w:sz="0" w:space="0" w:color="auto"/>
        <w:left w:val="none" w:sz="0" w:space="0" w:color="auto"/>
        <w:bottom w:val="none" w:sz="0" w:space="0" w:color="auto"/>
        <w:right w:val="none" w:sz="0" w:space="0" w:color="auto"/>
      </w:divBdr>
    </w:div>
    <w:div w:id="1785423406">
      <w:bodyDiv w:val="1"/>
      <w:marLeft w:val="0"/>
      <w:marRight w:val="0"/>
      <w:marTop w:val="0"/>
      <w:marBottom w:val="0"/>
      <w:divBdr>
        <w:top w:val="none" w:sz="0" w:space="0" w:color="auto"/>
        <w:left w:val="none" w:sz="0" w:space="0" w:color="auto"/>
        <w:bottom w:val="none" w:sz="0" w:space="0" w:color="auto"/>
        <w:right w:val="none" w:sz="0" w:space="0" w:color="auto"/>
      </w:divBdr>
      <w:divsChild>
        <w:div w:id="46608894">
          <w:marLeft w:val="446"/>
          <w:marRight w:val="0"/>
          <w:marTop w:val="0"/>
          <w:marBottom w:val="0"/>
          <w:divBdr>
            <w:top w:val="none" w:sz="0" w:space="0" w:color="auto"/>
            <w:left w:val="none" w:sz="0" w:space="0" w:color="auto"/>
            <w:bottom w:val="none" w:sz="0" w:space="0" w:color="auto"/>
            <w:right w:val="none" w:sz="0" w:space="0" w:color="auto"/>
          </w:divBdr>
        </w:div>
      </w:divsChild>
    </w:div>
    <w:div w:id="1807427543">
      <w:bodyDiv w:val="1"/>
      <w:marLeft w:val="0"/>
      <w:marRight w:val="0"/>
      <w:marTop w:val="0"/>
      <w:marBottom w:val="0"/>
      <w:divBdr>
        <w:top w:val="none" w:sz="0" w:space="0" w:color="auto"/>
        <w:left w:val="none" w:sz="0" w:space="0" w:color="auto"/>
        <w:bottom w:val="none" w:sz="0" w:space="0" w:color="auto"/>
        <w:right w:val="none" w:sz="0" w:space="0" w:color="auto"/>
      </w:divBdr>
    </w:div>
    <w:div w:id="1821115965">
      <w:bodyDiv w:val="1"/>
      <w:marLeft w:val="0"/>
      <w:marRight w:val="0"/>
      <w:marTop w:val="0"/>
      <w:marBottom w:val="0"/>
      <w:divBdr>
        <w:top w:val="none" w:sz="0" w:space="0" w:color="auto"/>
        <w:left w:val="none" w:sz="0" w:space="0" w:color="auto"/>
        <w:bottom w:val="none" w:sz="0" w:space="0" w:color="auto"/>
        <w:right w:val="none" w:sz="0" w:space="0" w:color="auto"/>
      </w:divBdr>
    </w:div>
    <w:div w:id="1871915595">
      <w:bodyDiv w:val="1"/>
      <w:marLeft w:val="0"/>
      <w:marRight w:val="0"/>
      <w:marTop w:val="0"/>
      <w:marBottom w:val="0"/>
      <w:divBdr>
        <w:top w:val="none" w:sz="0" w:space="0" w:color="auto"/>
        <w:left w:val="none" w:sz="0" w:space="0" w:color="auto"/>
        <w:bottom w:val="none" w:sz="0" w:space="0" w:color="auto"/>
        <w:right w:val="none" w:sz="0" w:space="0" w:color="auto"/>
      </w:divBdr>
    </w:div>
    <w:div w:id="1915311843">
      <w:bodyDiv w:val="1"/>
      <w:marLeft w:val="0"/>
      <w:marRight w:val="0"/>
      <w:marTop w:val="0"/>
      <w:marBottom w:val="0"/>
      <w:divBdr>
        <w:top w:val="none" w:sz="0" w:space="0" w:color="auto"/>
        <w:left w:val="none" w:sz="0" w:space="0" w:color="auto"/>
        <w:bottom w:val="none" w:sz="0" w:space="0" w:color="auto"/>
        <w:right w:val="none" w:sz="0" w:space="0" w:color="auto"/>
      </w:divBdr>
      <w:divsChild>
        <w:div w:id="808400669">
          <w:marLeft w:val="446"/>
          <w:marRight w:val="0"/>
          <w:marTop w:val="0"/>
          <w:marBottom w:val="0"/>
          <w:divBdr>
            <w:top w:val="none" w:sz="0" w:space="0" w:color="auto"/>
            <w:left w:val="none" w:sz="0" w:space="0" w:color="auto"/>
            <w:bottom w:val="none" w:sz="0" w:space="0" w:color="auto"/>
            <w:right w:val="none" w:sz="0" w:space="0" w:color="auto"/>
          </w:divBdr>
        </w:div>
      </w:divsChild>
    </w:div>
    <w:div w:id="194014100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3979486">
      <w:bodyDiv w:val="1"/>
      <w:marLeft w:val="0"/>
      <w:marRight w:val="0"/>
      <w:marTop w:val="0"/>
      <w:marBottom w:val="0"/>
      <w:divBdr>
        <w:top w:val="none" w:sz="0" w:space="0" w:color="auto"/>
        <w:left w:val="none" w:sz="0" w:space="0" w:color="auto"/>
        <w:bottom w:val="none" w:sz="0" w:space="0" w:color="auto"/>
        <w:right w:val="none" w:sz="0" w:space="0" w:color="auto"/>
      </w:divBdr>
    </w:div>
    <w:div w:id="1954432718">
      <w:bodyDiv w:val="1"/>
      <w:marLeft w:val="0"/>
      <w:marRight w:val="0"/>
      <w:marTop w:val="0"/>
      <w:marBottom w:val="0"/>
      <w:divBdr>
        <w:top w:val="none" w:sz="0" w:space="0" w:color="auto"/>
        <w:left w:val="none" w:sz="0" w:space="0" w:color="auto"/>
        <w:bottom w:val="none" w:sz="0" w:space="0" w:color="auto"/>
        <w:right w:val="none" w:sz="0" w:space="0" w:color="auto"/>
      </w:divBdr>
    </w:div>
    <w:div w:id="1988048506">
      <w:bodyDiv w:val="1"/>
      <w:marLeft w:val="0"/>
      <w:marRight w:val="0"/>
      <w:marTop w:val="0"/>
      <w:marBottom w:val="0"/>
      <w:divBdr>
        <w:top w:val="none" w:sz="0" w:space="0" w:color="auto"/>
        <w:left w:val="none" w:sz="0" w:space="0" w:color="auto"/>
        <w:bottom w:val="none" w:sz="0" w:space="0" w:color="auto"/>
        <w:right w:val="none" w:sz="0" w:space="0" w:color="auto"/>
      </w:divBdr>
      <w:divsChild>
        <w:div w:id="32508077">
          <w:marLeft w:val="0"/>
          <w:marRight w:val="0"/>
          <w:marTop w:val="0"/>
          <w:marBottom w:val="0"/>
          <w:divBdr>
            <w:top w:val="none" w:sz="0" w:space="0" w:color="auto"/>
            <w:left w:val="none" w:sz="0" w:space="0" w:color="auto"/>
            <w:bottom w:val="none" w:sz="0" w:space="0" w:color="auto"/>
            <w:right w:val="none" w:sz="0" w:space="0" w:color="auto"/>
          </w:divBdr>
          <w:divsChild>
            <w:div w:id="234634438">
              <w:marLeft w:val="0"/>
              <w:marRight w:val="0"/>
              <w:marTop w:val="0"/>
              <w:marBottom w:val="0"/>
              <w:divBdr>
                <w:top w:val="none" w:sz="0" w:space="0" w:color="auto"/>
                <w:left w:val="none" w:sz="0" w:space="0" w:color="auto"/>
                <w:bottom w:val="none" w:sz="0" w:space="0" w:color="auto"/>
                <w:right w:val="none" w:sz="0" w:space="0" w:color="auto"/>
              </w:divBdr>
            </w:div>
            <w:div w:id="487402152">
              <w:marLeft w:val="0"/>
              <w:marRight w:val="0"/>
              <w:marTop w:val="0"/>
              <w:marBottom w:val="0"/>
              <w:divBdr>
                <w:top w:val="none" w:sz="0" w:space="0" w:color="auto"/>
                <w:left w:val="none" w:sz="0" w:space="0" w:color="auto"/>
                <w:bottom w:val="none" w:sz="0" w:space="0" w:color="auto"/>
                <w:right w:val="none" w:sz="0" w:space="0" w:color="auto"/>
              </w:divBdr>
            </w:div>
          </w:divsChild>
        </w:div>
        <w:div w:id="90056059">
          <w:marLeft w:val="0"/>
          <w:marRight w:val="0"/>
          <w:marTop w:val="0"/>
          <w:marBottom w:val="0"/>
          <w:divBdr>
            <w:top w:val="none" w:sz="0" w:space="0" w:color="auto"/>
            <w:left w:val="none" w:sz="0" w:space="0" w:color="auto"/>
            <w:bottom w:val="none" w:sz="0" w:space="0" w:color="auto"/>
            <w:right w:val="none" w:sz="0" w:space="0" w:color="auto"/>
          </w:divBdr>
          <w:divsChild>
            <w:div w:id="418598453">
              <w:marLeft w:val="0"/>
              <w:marRight w:val="0"/>
              <w:marTop w:val="0"/>
              <w:marBottom w:val="0"/>
              <w:divBdr>
                <w:top w:val="none" w:sz="0" w:space="0" w:color="auto"/>
                <w:left w:val="none" w:sz="0" w:space="0" w:color="auto"/>
                <w:bottom w:val="none" w:sz="0" w:space="0" w:color="auto"/>
                <w:right w:val="none" w:sz="0" w:space="0" w:color="auto"/>
              </w:divBdr>
            </w:div>
            <w:div w:id="1165583771">
              <w:marLeft w:val="0"/>
              <w:marRight w:val="0"/>
              <w:marTop w:val="0"/>
              <w:marBottom w:val="0"/>
              <w:divBdr>
                <w:top w:val="none" w:sz="0" w:space="0" w:color="auto"/>
                <w:left w:val="none" w:sz="0" w:space="0" w:color="auto"/>
                <w:bottom w:val="none" w:sz="0" w:space="0" w:color="auto"/>
                <w:right w:val="none" w:sz="0" w:space="0" w:color="auto"/>
              </w:divBdr>
            </w:div>
            <w:div w:id="1476726353">
              <w:marLeft w:val="0"/>
              <w:marRight w:val="0"/>
              <w:marTop w:val="0"/>
              <w:marBottom w:val="0"/>
              <w:divBdr>
                <w:top w:val="none" w:sz="0" w:space="0" w:color="auto"/>
                <w:left w:val="none" w:sz="0" w:space="0" w:color="auto"/>
                <w:bottom w:val="none" w:sz="0" w:space="0" w:color="auto"/>
                <w:right w:val="none" w:sz="0" w:space="0" w:color="auto"/>
              </w:divBdr>
            </w:div>
          </w:divsChild>
        </w:div>
        <w:div w:id="280378087">
          <w:marLeft w:val="0"/>
          <w:marRight w:val="0"/>
          <w:marTop w:val="0"/>
          <w:marBottom w:val="0"/>
          <w:divBdr>
            <w:top w:val="none" w:sz="0" w:space="0" w:color="auto"/>
            <w:left w:val="none" w:sz="0" w:space="0" w:color="auto"/>
            <w:bottom w:val="none" w:sz="0" w:space="0" w:color="auto"/>
            <w:right w:val="none" w:sz="0" w:space="0" w:color="auto"/>
          </w:divBdr>
          <w:divsChild>
            <w:div w:id="2085059796">
              <w:marLeft w:val="0"/>
              <w:marRight w:val="0"/>
              <w:marTop w:val="0"/>
              <w:marBottom w:val="0"/>
              <w:divBdr>
                <w:top w:val="none" w:sz="0" w:space="0" w:color="auto"/>
                <w:left w:val="none" w:sz="0" w:space="0" w:color="auto"/>
                <w:bottom w:val="none" w:sz="0" w:space="0" w:color="auto"/>
                <w:right w:val="none" w:sz="0" w:space="0" w:color="auto"/>
              </w:divBdr>
            </w:div>
          </w:divsChild>
        </w:div>
        <w:div w:id="408774669">
          <w:marLeft w:val="0"/>
          <w:marRight w:val="0"/>
          <w:marTop w:val="0"/>
          <w:marBottom w:val="0"/>
          <w:divBdr>
            <w:top w:val="none" w:sz="0" w:space="0" w:color="auto"/>
            <w:left w:val="none" w:sz="0" w:space="0" w:color="auto"/>
            <w:bottom w:val="none" w:sz="0" w:space="0" w:color="auto"/>
            <w:right w:val="none" w:sz="0" w:space="0" w:color="auto"/>
          </w:divBdr>
          <w:divsChild>
            <w:div w:id="2045862846">
              <w:marLeft w:val="0"/>
              <w:marRight w:val="0"/>
              <w:marTop w:val="0"/>
              <w:marBottom w:val="0"/>
              <w:divBdr>
                <w:top w:val="none" w:sz="0" w:space="0" w:color="auto"/>
                <w:left w:val="none" w:sz="0" w:space="0" w:color="auto"/>
                <w:bottom w:val="none" w:sz="0" w:space="0" w:color="auto"/>
                <w:right w:val="none" w:sz="0" w:space="0" w:color="auto"/>
              </w:divBdr>
            </w:div>
          </w:divsChild>
        </w:div>
        <w:div w:id="431778976">
          <w:marLeft w:val="0"/>
          <w:marRight w:val="0"/>
          <w:marTop w:val="0"/>
          <w:marBottom w:val="0"/>
          <w:divBdr>
            <w:top w:val="none" w:sz="0" w:space="0" w:color="auto"/>
            <w:left w:val="none" w:sz="0" w:space="0" w:color="auto"/>
            <w:bottom w:val="none" w:sz="0" w:space="0" w:color="auto"/>
            <w:right w:val="none" w:sz="0" w:space="0" w:color="auto"/>
          </w:divBdr>
          <w:divsChild>
            <w:div w:id="1692222466">
              <w:marLeft w:val="0"/>
              <w:marRight w:val="0"/>
              <w:marTop w:val="0"/>
              <w:marBottom w:val="0"/>
              <w:divBdr>
                <w:top w:val="none" w:sz="0" w:space="0" w:color="auto"/>
                <w:left w:val="none" w:sz="0" w:space="0" w:color="auto"/>
                <w:bottom w:val="none" w:sz="0" w:space="0" w:color="auto"/>
                <w:right w:val="none" w:sz="0" w:space="0" w:color="auto"/>
              </w:divBdr>
            </w:div>
            <w:div w:id="1873569611">
              <w:marLeft w:val="0"/>
              <w:marRight w:val="0"/>
              <w:marTop w:val="0"/>
              <w:marBottom w:val="0"/>
              <w:divBdr>
                <w:top w:val="none" w:sz="0" w:space="0" w:color="auto"/>
                <w:left w:val="none" w:sz="0" w:space="0" w:color="auto"/>
                <w:bottom w:val="none" w:sz="0" w:space="0" w:color="auto"/>
                <w:right w:val="none" w:sz="0" w:space="0" w:color="auto"/>
              </w:divBdr>
            </w:div>
          </w:divsChild>
        </w:div>
        <w:div w:id="661739271">
          <w:marLeft w:val="0"/>
          <w:marRight w:val="0"/>
          <w:marTop w:val="0"/>
          <w:marBottom w:val="0"/>
          <w:divBdr>
            <w:top w:val="none" w:sz="0" w:space="0" w:color="auto"/>
            <w:left w:val="none" w:sz="0" w:space="0" w:color="auto"/>
            <w:bottom w:val="none" w:sz="0" w:space="0" w:color="auto"/>
            <w:right w:val="none" w:sz="0" w:space="0" w:color="auto"/>
          </w:divBdr>
          <w:divsChild>
            <w:div w:id="566569087">
              <w:marLeft w:val="0"/>
              <w:marRight w:val="0"/>
              <w:marTop w:val="0"/>
              <w:marBottom w:val="0"/>
              <w:divBdr>
                <w:top w:val="none" w:sz="0" w:space="0" w:color="auto"/>
                <w:left w:val="none" w:sz="0" w:space="0" w:color="auto"/>
                <w:bottom w:val="none" w:sz="0" w:space="0" w:color="auto"/>
                <w:right w:val="none" w:sz="0" w:space="0" w:color="auto"/>
              </w:divBdr>
            </w:div>
            <w:div w:id="1247378211">
              <w:marLeft w:val="0"/>
              <w:marRight w:val="0"/>
              <w:marTop w:val="0"/>
              <w:marBottom w:val="0"/>
              <w:divBdr>
                <w:top w:val="none" w:sz="0" w:space="0" w:color="auto"/>
                <w:left w:val="none" w:sz="0" w:space="0" w:color="auto"/>
                <w:bottom w:val="none" w:sz="0" w:space="0" w:color="auto"/>
                <w:right w:val="none" w:sz="0" w:space="0" w:color="auto"/>
              </w:divBdr>
            </w:div>
          </w:divsChild>
        </w:div>
        <w:div w:id="664170757">
          <w:marLeft w:val="0"/>
          <w:marRight w:val="0"/>
          <w:marTop w:val="0"/>
          <w:marBottom w:val="0"/>
          <w:divBdr>
            <w:top w:val="none" w:sz="0" w:space="0" w:color="auto"/>
            <w:left w:val="none" w:sz="0" w:space="0" w:color="auto"/>
            <w:bottom w:val="none" w:sz="0" w:space="0" w:color="auto"/>
            <w:right w:val="none" w:sz="0" w:space="0" w:color="auto"/>
          </w:divBdr>
          <w:divsChild>
            <w:div w:id="1008824335">
              <w:marLeft w:val="0"/>
              <w:marRight w:val="0"/>
              <w:marTop w:val="0"/>
              <w:marBottom w:val="0"/>
              <w:divBdr>
                <w:top w:val="none" w:sz="0" w:space="0" w:color="auto"/>
                <w:left w:val="none" w:sz="0" w:space="0" w:color="auto"/>
                <w:bottom w:val="none" w:sz="0" w:space="0" w:color="auto"/>
                <w:right w:val="none" w:sz="0" w:space="0" w:color="auto"/>
              </w:divBdr>
            </w:div>
          </w:divsChild>
        </w:div>
        <w:div w:id="697126958">
          <w:marLeft w:val="0"/>
          <w:marRight w:val="0"/>
          <w:marTop w:val="0"/>
          <w:marBottom w:val="0"/>
          <w:divBdr>
            <w:top w:val="none" w:sz="0" w:space="0" w:color="auto"/>
            <w:left w:val="none" w:sz="0" w:space="0" w:color="auto"/>
            <w:bottom w:val="none" w:sz="0" w:space="0" w:color="auto"/>
            <w:right w:val="none" w:sz="0" w:space="0" w:color="auto"/>
          </w:divBdr>
          <w:divsChild>
            <w:div w:id="2099599154">
              <w:marLeft w:val="0"/>
              <w:marRight w:val="0"/>
              <w:marTop w:val="0"/>
              <w:marBottom w:val="0"/>
              <w:divBdr>
                <w:top w:val="none" w:sz="0" w:space="0" w:color="auto"/>
                <w:left w:val="none" w:sz="0" w:space="0" w:color="auto"/>
                <w:bottom w:val="none" w:sz="0" w:space="0" w:color="auto"/>
                <w:right w:val="none" w:sz="0" w:space="0" w:color="auto"/>
              </w:divBdr>
            </w:div>
          </w:divsChild>
        </w:div>
        <w:div w:id="757748475">
          <w:marLeft w:val="0"/>
          <w:marRight w:val="0"/>
          <w:marTop w:val="0"/>
          <w:marBottom w:val="0"/>
          <w:divBdr>
            <w:top w:val="none" w:sz="0" w:space="0" w:color="auto"/>
            <w:left w:val="none" w:sz="0" w:space="0" w:color="auto"/>
            <w:bottom w:val="none" w:sz="0" w:space="0" w:color="auto"/>
            <w:right w:val="none" w:sz="0" w:space="0" w:color="auto"/>
          </w:divBdr>
          <w:divsChild>
            <w:div w:id="287248874">
              <w:marLeft w:val="0"/>
              <w:marRight w:val="0"/>
              <w:marTop w:val="0"/>
              <w:marBottom w:val="0"/>
              <w:divBdr>
                <w:top w:val="none" w:sz="0" w:space="0" w:color="auto"/>
                <w:left w:val="none" w:sz="0" w:space="0" w:color="auto"/>
                <w:bottom w:val="none" w:sz="0" w:space="0" w:color="auto"/>
                <w:right w:val="none" w:sz="0" w:space="0" w:color="auto"/>
              </w:divBdr>
            </w:div>
            <w:div w:id="1176191409">
              <w:marLeft w:val="0"/>
              <w:marRight w:val="0"/>
              <w:marTop w:val="0"/>
              <w:marBottom w:val="0"/>
              <w:divBdr>
                <w:top w:val="none" w:sz="0" w:space="0" w:color="auto"/>
                <w:left w:val="none" w:sz="0" w:space="0" w:color="auto"/>
                <w:bottom w:val="none" w:sz="0" w:space="0" w:color="auto"/>
                <w:right w:val="none" w:sz="0" w:space="0" w:color="auto"/>
              </w:divBdr>
            </w:div>
            <w:div w:id="1511021326">
              <w:marLeft w:val="0"/>
              <w:marRight w:val="0"/>
              <w:marTop w:val="0"/>
              <w:marBottom w:val="0"/>
              <w:divBdr>
                <w:top w:val="none" w:sz="0" w:space="0" w:color="auto"/>
                <w:left w:val="none" w:sz="0" w:space="0" w:color="auto"/>
                <w:bottom w:val="none" w:sz="0" w:space="0" w:color="auto"/>
                <w:right w:val="none" w:sz="0" w:space="0" w:color="auto"/>
              </w:divBdr>
            </w:div>
          </w:divsChild>
        </w:div>
        <w:div w:id="783496241">
          <w:marLeft w:val="0"/>
          <w:marRight w:val="0"/>
          <w:marTop w:val="0"/>
          <w:marBottom w:val="0"/>
          <w:divBdr>
            <w:top w:val="none" w:sz="0" w:space="0" w:color="auto"/>
            <w:left w:val="none" w:sz="0" w:space="0" w:color="auto"/>
            <w:bottom w:val="none" w:sz="0" w:space="0" w:color="auto"/>
            <w:right w:val="none" w:sz="0" w:space="0" w:color="auto"/>
          </w:divBdr>
          <w:divsChild>
            <w:div w:id="1744521993">
              <w:marLeft w:val="0"/>
              <w:marRight w:val="0"/>
              <w:marTop w:val="0"/>
              <w:marBottom w:val="0"/>
              <w:divBdr>
                <w:top w:val="none" w:sz="0" w:space="0" w:color="auto"/>
                <w:left w:val="none" w:sz="0" w:space="0" w:color="auto"/>
                <w:bottom w:val="none" w:sz="0" w:space="0" w:color="auto"/>
                <w:right w:val="none" w:sz="0" w:space="0" w:color="auto"/>
              </w:divBdr>
            </w:div>
          </w:divsChild>
        </w:div>
        <w:div w:id="950283823">
          <w:marLeft w:val="0"/>
          <w:marRight w:val="0"/>
          <w:marTop w:val="0"/>
          <w:marBottom w:val="0"/>
          <w:divBdr>
            <w:top w:val="none" w:sz="0" w:space="0" w:color="auto"/>
            <w:left w:val="none" w:sz="0" w:space="0" w:color="auto"/>
            <w:bottom w:val="none" w:sz="0" w:space="0" w:color="auto"/>
            <w:right w:val="none" w:sz="0" w:space="0" w:color="auto"/>
          </w:divBdr>
          <w:divsChild>
            <w:div w:id="1129129889">
              <w:marLeft w:val="0"/>
              <w:marRight w:val="0"/>
              <w:marTop w:val="0"/>
              <w:marBottom w:val="0"/>
              <w:divBdr>
                <w:top w:val="none" w:sz="0" w:space="0" w:color="auto"/>
                <w:left w:val="none" w:sz="0" w:space="0" w:color="auto"/>
                <w:bottom w:val="none" w:sz="0" w:space="0" w:color="auto"/>
                <w:right w:val="none" w:sz="0" w:space="0" w:color="auto"/>
              </w:divBdr>
            </w:div>
            <w:div w:id="1564289435">
              <w:marLeft w:val="0"/>
              <w:marRight w:val="0"/>
              <w:marTop w:val="0"/>
              <w:marBottom w:val="0"/>
              <w:divBdr>
                <w:top w:val="none" w:sz="0" w:space="0" w:color="auto"/>
                <w:left w:val="none" w:sz="0" w:space="0" w:color="auto"/>
                <w:bottom w:val="none" w:sz="0" w:space="0" w:color="auto"/>
                <w:right w:val="none" w:sz="0" w:space="0" w:color="auto"/>
              </w:divBdr>
            </w:div>
          </w:divsChild>
        </w:div>
        <w:div w:id="1173833254">
          <w:marLeft w:val="0"/>
          <w:marRight w:val="0"/>
          <w:marTop w:val="0"/>
          <w:marBottom w:val="0"/>
          <w:divBdr>
            <w:top w:val="none" w:sz="0" w:space="0" w:color="auto"/>
            <w:left w:val="none" w:sz="0" w:space="0" w:color="auto"/>
            <w:bottom w:val="none" w:sz="0" w:space="0" w:color="auto"/>
            <w:right w:val="none" w:sz="0" w:space="0" w:color="auto"/>
          </w:divBdr>
          <w:divsChild>
            <w:div w:id="2132476163">
              <w:marLeft w:val="0"/>
              <w:marRight w:val="0"/>
              <w:marTop w:val="0"/>
              <w:marBottom w:val="0"/>
              <w:divBdr>
                <w:top w:val="none" w:sz="0" w:space="0" w:color="auto"/>
                <w:left w:val="none" w:sz="0" w:space="0" w:color="auto"/>
                <w:bottom w:val="none" w:sz="0" w:space="0" w:color="auto"/>
                <w:right w:val="none" w:sz="0" w:space="0" w:color="auto"/>
              </w:divBdr>
            </w:div>
          </w:divsChild>
        </w:div>
        <w:div w:id="1313750120">
          <w:marLeft w:val="0"/>
          <w:marRight w:val="0"/>
          <w:marTop w:val="0"/>
          <w:marBottom w:val="0"/>
          <w:divBdr>
            <w:top w:val="none" w:sz="0" w:space="0" w:color="auto"/>
            <w:left w:val="none" w:sz="0" w:space="0" w:color="auto"/>
            <w:bottom w:val="none" w:sz="0" w:space="0" w:color="auto"/>
            <w:right w:val="none" w:sz="0" w:space="0" w:color="auto"/>
          </w:divBdr>
          <w:divsChild>
            <w:div w:id="181820531">
              <w:marLeft w:val="0"/>
              <w:marRight w:val="0"/>
              <w:marTop w:val="0"/>
              <w:marBottom w:val="0"/>
              <w:divBdr>
                <w:top w:val="none" w:sz="0" w:space="0" w:color="auto"/>
                <w:left w:val="none" w:sz="0" w:space="0" w:color="auto"/>
                <w:bottom w:val="none" w:sz="0" w:space="0" w:color="auto"/>
                <w:right w:val="none" w:sz="0" w:space="0" w:color="auto"/>
              </w:divBdr>
            </w:div>
            <w:div w:id="1042709147">
              <w:marLeft w:val="0"/>
              <w:marRight w:val="0"/>
              <w:marTop w:val="0"/>
              <w:marBottom w:val="0"/>
              <w:divBdr>
                <w:top w:val="none" w:sz="0" w:space="0" w:color="auto"/>
                <w:left w:val="none" w:sz="0" w:space="0" w:color="auto"/>
                <w:bottom w:val="none" w:sz="0" w:space="0" w:color="auto"/>
                <w:right w:val="none" w:sz="0" w:space="0" w:color="auto"/>
              </w:divBdr>
            </w:div>
            <w:div w:id="1048728905">
              <w:marLeft w:val="0"/>
              <w:marRight w:val="0"/>
              <w:marTop w:val="0"/>
              <w:marBottom w:val="0"/>
              <w:divBdr>
                <w:top w:val="none" w:sz="0" w:space="0" w:color="auto"/>
                <w:left w:val="none" w:sz="0" w:space="0" w:color="auto"/>
                <w:bottom w:val="none" w:sz="0" w:space="0" w:color="auto"/>
                <w:right w:val="none" w:sz="0" w:space="0" w:color="auto"/>
              </w:divBdr>
            </w:div>
          </w:divsChild>
        </w:div>
        <w:div w:id="1375740143">
          <w:marLeft w:val="0"/>
          <w:marRight w:val="0"/>
          <w:marTop w:val="0"/>
          <w:marBottom w:val="0"/>
          <w:divBdr>
            <w:top w:val="none" w:sz="0" w:space="0" w:color="auto"/>
            <w:left w:val="none" w:sz="0" w:space="0" w:color="auto"/>
            <w:bottom w:val="none" w:sz="0" w:space="0" w:color="auto"/>
            <w:right w:val="none" w:sz="0" w:space="0" w:color="auto"/>
          </w:divBdr>
          <w:divsChild>
            <w:div w:id="146484128">
              <w:marLeft w:val="0"/>
              <w:marRight w:val="0"/>
              <w:marTop w:val="0"/>
              <w:marBottom w:val="0"/>
              <w:divBdr>
                <w:top w:val="none" w:sz="0" w:space="0" w:color="auto"/>
                <w:left w:val="none" w:sz="0" w:space="0" w:color="auto"/>
                <w:bottom w:val="none" w:sz="0" w:space="0" w:color="auto"/>
                <w:right w:val="none" w:sz="0" w:space="0" w:color="auto"/>
              </w:divBdr>
            </w:div>
            <w:div w:id="1712535047">
              <w:marLeft w:val="0"/>
              <w:marRight w:val="0"/>
              <w:marTop w:val="0"/>
              <w:marBottom w:val="0"/>
              <w:divBdr>
                <w:top w:val="none" w:sz="0" w:space="0" w:color="auto"/>
                <w:left w:val="none" w:sz="0" w:space="0" w:color="auto"/>
                <w:bottom w:val="none" w:sz="0" w:space="0" w:color="auto"/>
                <w:right w:val="none" w:sz="0" w:space="0" w:color="auto"/>
              </w:divBdr>
            </w:div>
          </w:divsChild>
        </w:div>
        <w:div w:id="1415324204">
          <w:marLeft w:val="0"/>
          <w:marRight w:val="0"/>
          <w:marTop w:val="0"/>
          <w:marBottom w:val="0"/>
          <w:divBdr>
            <w:top w:val="none" w:sz="0" w:space="0" w:color="auto"/>
            <w:left w:val="none" w:sz="0" w:space="0" w:color="auto"/>
            <w:bottom w:val="none" w:sz="0" w:space="0" w:color="auto"/>
            <w:right w:val="none" w:sz="0" w:space="0" w:color="auto"/>
          </w:divBdr>
          <w:divsChild>
            <w:div w:id="1112092341">
              <w:marLeft w:val="0"/>
              <w:marRight w:val="0"/>
              <w:marTop w:val="0"/>
              <w:marBottom w:val="0"/>
              <w:divBdr>
                <w:top w:val="none" w:sz="0" w:space="0" w:color="auto"/>
                <w:left w:val="none" w:sz="0" w:space="0" w:color="auto"/>
                <w:bottom w:val="none" w:sz="0" w:space="0" w:color="auto"/>
                <w:right w:val="none" w:sz="0" w:space="0" w:color="auto"/>
              </w:divBdr>
            </w:div>
            <w:div w:id="1422988834">
              <w:marLeft w:val="0"/>
              <w:marRight w:val="0"/>
              <w:marTop w:val="0"/>
              <w:marBottom w:val="0"/>
              <w:divBdr>
                <w:top w:val="none" w:sz="0" w:space="0" w:color="auto"/>
                <w:left w:val="none" w:sz="0" w:space="0" w:color="auto"/>
                <w:bottom w:val="none" w:sz="0" w:space="0" w:color="auto"/>
                <w:right w:val="none" w:sz="0" w:space="0" w:color="auto"/>
              </w:divBdr>
            </w:div>
            <w:div w:id="1634746611">
              <w:marLeft w:val="0"/>
              <w:marRight w:val="0"/>
              <w:marTop w:val="0"/>
              <w:marBottom w:val="0"/>
              <w:divBdr>
                <w:top w:val="none" w:sz="0" w:space="0" w:color="auto"/>
                <w:left w:val="none" w:sz="0" w:space="0" w:color="auto"/>
                <w:bottom w:val="none" w:sz="0" w:space="0" w:color="auto"/>
                <w:right w:val="none" w:sz="0" w:space="0" w:color="auto"/>
              </w:divBdr>
            </w:div>
          </w:divsChild>
        </w:div>
        <w:div w:id="1492871582">
          <w:marLeft w:val="0"/>
          <w:marRight w:val="0"/>
          <w:marTop w:val="0"/>
          <w:marBottom w:val="0"/>
          <w:divBdr>
            <w:top w:val="none" w:sz="0" w:space="0" w:color="auto"/>
            <w:left w:val="none" w:sz="0" w:space="0" w:color="auto"/>
            <w:bottom w:val="none" w:sz="0" w:space="0" w:color="auto"/>
            <w:right w:val="none" w:sz="0" w:space="0" w:color="auto"/>
          </w:divBdr>
          <w:divsChild>
            <w:div w:id="1267424719">
              <w:marLeft w:val="0"/>
              <w:marRight w:val="0"/>
              <w:marTop w:val="0"/>
              <w:marBottom w:val="0"/>
              <w:divBdr>
                <w:top w:val="none" w:sz="0" w:space="0" w:color="auto"/>
                <w:left w:val="none" w:sz="0" w:space="0" w:color="auto"/>
                <w:bottom w:val="none" w:sz="0" w:space="0" w:color="auto"/>
                <w:right w:val="none" w:sz="0" w:space="0" w:color="auto"/>
              </w:divBdr>
            </w:div>
            <w:div w:id="1614897381">
              <w:marLeft w:val="0"/>
              <w:marRight w:val="0"/>
              <w:marTop w:val="0"/>
              <w:marBottom w:val="0"/>
              <w:divBdr>
                <w:top w:val="none" w:sz="0" w:space="0" w:color="auto"/>
                <w:left w:val="none" w:sz="0" w:space="0" w:color="auto"/>
                <w:bottom w:val="none" w:sz="0" w:space="0" w:color="auto"/>
                <w:right w:val="none" w:sz="0" w:space="0" w:color="auto"/>
              </w:divBdr>
            </w:div>
            <w:div w:id="1634019163">
              <w:marLeft w:val="0"/>
              <w:marRight w:val="0"/>
              <w:marTop w:val="0"/>
              <w:marBottom w:val="0"/>
              <w:divBdr>
                <w:top w:val="none" w:sz="0" w:space="0" w:color="auto"/>
                <w:left w:val="none" w:sz="0" w:space="0" w:color="auto"/>
                <w:bottom w:val="none" w:sz="0" w:space="0" w:color="auto"/>
                <w:right w:val="none" w:sz="0" w:space="0" w:color="auto"/>
              </w:divBdr>
            </w:div>
          </w:divsChild>
        </w:div>
        <w:div w:id="1494834587">
          <w:marLeft w:val="0"/>
          <w:marRight w:val="0"/>
          <w:marTop w:val="0"/>
          <w:marBottom w:val="0"/>
          <w:divBdr>
            <w:top w:val="none" w:sz="0" w:space="0" w:color="auto"/>
            <w:left w:val="none" w:sz="0" w:space="0" w:color="auto"/>
            <w:bottom w:val="none" w:sz="0" w:space="0" w:color="auto"/>
            <w:right w:val="none" w:sz="0" w:space="0" w:color="auto"/>
          </w:divBdr>
          <w:divsChild>
            <w:div w:id="1330403086">
              <w:marLeft w:val="0"/>
              <w:marRight w:val="0"/>
              <w:marTop w:val="0"/>
              <w:marBottom w:val="0"/>
              <w:divBdr>
                <w:top w:val="none" w:sz="0" w:space="0" w:color="auto"/>
                <w:left w:val="none" w:sz="0" w:space="0" w:color="auto"/>
                <w:bottom w:val="none" w:sz="0" w:space="0" w:color="auto"/>
                <w:right w:val="none" w:sz="0" w:space="0" w:color="auto"/>
              </w:divBdr>
            </w:div>
          </w:divsChild>
        </w:div>
        <w:div w:id="1690643204">
          <w:marLeft w:val="0"/>
          <w:marRight w:val="0"/>
          <w:marTop w:val="0"/>
          <w:marBottom w:val="0"/>
          <w:divBdr>
            <w:top w:val="none" w:sz="0" w:space="0" w:color="auto"/>
            <w:left w:val="none" w:sz="0" w:space="0" w:color="auto"/>
            <w:bottom w:val="none" w:sz="0" w:space="0" w:color="auto"/>
            <w:right w:val="none" w:sz="0" w:space="0" w:color="auto"/>
          </w:divBdr>
          <w:divsChild>
            <w:div w:id="1344085470">
              <w:marLeft w:val="0"/>
              <w:marRight w:val="0"/>
              <w:marTop w:val="0"/>
              <w:marBottom w:val="0"/>
              <w:divBdr>
                <w:top w:val="none" w:sz="0" w:space="0" w:color="auto"/>
                <w:left w:val="none" w:sz="0" w:space="0" w:color="auto"/>
                <w:bottom w:val="none" w:sz="0" w:space="0" w:color="auto"/>
                <w:right w:val="none" w:sz="0" w:space="0" w:color="auto"/>
              </w:divBdr>
            </w:div>
          </w:divsChild>
        </w:div>
        <w:div w:id="1869709179">
          <w:marLeft w:val="0"/>
          <w:marRight w:val="0"/>
          <w:marTop w:val="0"/>
          <w:marBottom w:val="0"/>
          <w:divBdr>
            <w:top w:val="none" w:sz="0" w:space="0" w:color="auto"/>
            <w:left w:val="none" w:sz="0" w:space="0" w:color="auto"/>
            <w:bottom w:val="none" w:sz="0" w:space="0" w:color="auto"/>
            <w:right w:val="none" w:sz="0" w:space="0" w:color="auto"/>
          </w:divBdr>
          <w:divsChild>
            <w:div w:id="566690882">
              <w:marLeft w:val="0"/>
              <w:marRight w:val="0"/>
              <w:marTop w:val="0"/>
              <w:marBottom w:val="0"/>
              <w:divBdr>
                <w:top w:val="none" w:sz="0" w:space="0" w:color="auto"/>
                <w:left w:val="none" w:sz="0" w:space="0" w:color="auto"/>
                <w:bottom w:val="none" w:sz="0" w:space="0" w:color="auto"/>
                <w:right w:val="none" w:sz="0" w:space="0" w:color="auto"/>
              </w:divBdr>
            </w:div>
          </w:divsChild>
        </w:div>
        <w:div w:id="1875649354">
          <w:marLeft w:val="0"/>
          <w:marRight w:val="0"/>
          <w:marTop w:val="0"/>
          <w:marBottom w:val="0"/>
          <w:divBdr>
            <w:top w:val="none" w:sz="0" w:space="0" w:color="auto"/>
            <w:left w:val="none" w:sz="0" w:space="0" w:color="auto"/>
            <w:bottom w:val="none" w:sz="0" w:space="0" w:color="auto"/>
            <w:right w:val="none" w:sz="0" w:space="0" w:color="auto"/>
          </w:divBdr>
          <w:divsChild>
            <w:div w:id="1862471187">
              <w:marLeft w:val="0"/>
              <w:marRight w:val="0"/>
              <w:marTop w:val="0"/>
              <w:marBottom w:val="0"/>
              <w:divBdr>
                <w:top w:val="none" w:sz="0" w:space="0" w:color="auto"/>
                <w:left w:val="none" w:sz="0" w:space="0" w:color="auto"/>
                <w:bottom w:val="none" w:sz="0" w:space="0" w:color="auto"/>
                <w:right w:val="none" w:sz="0" w:space="0" w:color="auto"/>
              </w:divBdr>
            </w:div>
          </w:divsChild>
        </w:div>
        <w:div w:id="1881627201">
          <w:marLeft w:val="0"/>
          <w:marRight w:val="0"/>
          <w:marTop w:val="0"/>
          <w:marBottom w:val="0"/>
          <w:divBdr>
            <w:top w:val="none" w:sz="0" w:space="0" w:color="auto"/>
            <w:left w:val="none" w:sz="0" w:space="0" w:color="auto"/>
            <w:bottom w:val="none" w:sz="0" w:space="0" w:color="auto"/>
            <w:right w:val="none" w:sz="0" w:space="0" w:color="auto"/>
          </w:divBdr>
          <w:divsChild>
            <w:div w:id="248464455">
              <w:marLeft w:val="0"/>
              <w:marRight w:val="0"/>
              <w:marTop w:val="0"/>
              <w:marBottom w:val="0"/>
              <w:divBdr>
                <w:top w:val="none" w:sz="0" w:space="0" w:color="auto"/>
                <w:left w:val="none" w:sz="0" w:space="0" w:color="auto"/>
                <w:bottom w:val="none" w:sz="0" w:space="0" w:color="auto"/>
                <w:right w:val="none" w:sz="0" w:space="0" w:color="auto"/>
              </w:divBdr>
            </w:div>
            <w:div w:id="17907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6172">
      <w:bodyDiv w:val="1"/>
      <w:marLeft w:val="0"/>
      <w:marRight w:val="0"/>
      <w:marTop w:val="0"/>
      <w:marBottom w:val="0"/>
      <w:divBdr>
        <w:top w:val="none" w:sz="0" w:space="0" w:color="auto"/>
        <w:left w:val="none" w:sz="0" w:space="0" w:color="auto"/>
        <w:bottom w:val="none" w:sz="0" w:space="0" w:color="auto"/>
        <w:right w:val="none" w:sz="0" w:space="0" w:color="auto"/>
      </w:divBdr>
    </w:div>
    <w:div w:id="2057313002">
      <w:bodyDiv w:val="1"/>
      <w:marLeft w:val="0"/>
      <w:marRight w:val="0"/>
      <w:marTop w:val="0"/>
      <w:marBottom w:val="0"/>
      <w:divBdr>
        <w:top w:val="none" w:sz="0" w:space="0" w:color="auto"/>
        <w:left w:val="none" w:sz="0" w:space="0" w:color="auto"/>
        <w:bottom w:val="none" w:sz="0" w:space="0" w:color="auto"/>
        <w:right w:val="none" w:sz="0" w:space="0" w:color="auto"/>
      </w:divBdr>
      <w:divsChild>
        <w:div w:id="6627268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6/nejmoa1913556" TargetMode="External"/><Relationship Id="rId18" Type="http://schemas.openxmlformats.org/officeDocument/2006/relationships/hyperlink" Target="https://doi.org/10.1056/nejmc2112186" TargetMode="External"/><Relationship Id="rId26" Type="http://schemas.openxmlformats.org/officeDocument/2006/relationships/hyperlink" Target="https://doi.org/10.1016/s1473-3099(24)00215-9" TargetMode="External"/><Relationship Id="rId39" Type="http://schemas.openxmlformats.org/officeDocument/2006/relationships/footer" Target="footer3.xml"/><Relationship Id="rId21" Type="http://schemas.openxmlformats.org/officeDocument/2006/relationships/hyperlink" Target="https://doi.org/10.3389/fpubh.2024.1441786" TargetMode="External"/><Relationship Id="rId34" Type="http://schemas.openxmlformats.org/officeDocument/2006/relationships/header" Target="header1.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56/nejmoa2309189" TargetMode="External"/><Relationship Id="rId20" Type="http://schemas.openxmlformats.org/officeDocument/2006/relationships/hyperlink" Target="https://doi.org/10.3390/vaccines12060640" TargetMode="External"/><Relationship Id="rId29" Type="http://schemas.openxmlformats.org/officeDocument/2006/relationships/hyperlink" Target="https://doi.org/10.1055/s-0033-135648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6/NEJMc2214773" TargetMode="External"/><Relationship Id="rId24" Type="http://schemas.openxmlformats.org/officeDocument/2006/relationships/hyperlink" Target="https://doi.org/10.1111/pai.14175" TargetMode="External"/><Relationship Id="rId32" Type="http://schemas.openxmlformats.org/officeDocument/2006/relationships/image" Target="media/image3.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fped.2023.1132740" TargetMode="External"/><Relationship Id="rId23" Type="http://schemas.openxmlformats.org/officeDocument/2006/relationships/hyperlink" Target="https://doi.org/10.1016/s2352-4642(24)00171-8" TargetMode="External"/><Relationship Id="rId28" Type="http://schemas.openxmlformats.org/officeDocument/2006/relationships/hyperlink" Target="https://publications.aap.org/pediatrics/article-pdf/887238/531.pdf" TargetMode="External"/><Relationship Id="rId36" Type="http://schemas.openxmlformats.org/officeDocument/2006/relationships/footer" Target="footer1.xml"/><Relationship Id="rId10" Type="http://schemas.openxmlformats.org/officeDocument/2006/relationships/hyperlink" Target="https://doi.org/10.1056/nejmoa2110275" TargetMode="External"/><Relationship Id="rId19" Type="http://schemas.openxmlformats.org/officeDocument/2006/relationships/hyperlink" Target="https://doi.org/10.1093/jpids/piad052" TargetMode="External"/><Relationship Id="rId31" Type="http://schemas.openxmlformats.org/officeDocument/2006/relationships/hyperlink" Target="https://doi.org/10.1016/j.jinf.2025.106466"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s2352-4642(22)00321-2" TargetMode="External"/><Relationship Id="rId22" Type="http://schemas.openxmlformats.org/officeDocument/2006/relationships/hyperlink" Target="https://doi.org/10.1056/nejmoa2314885" TargetMode="External"/><Relationship Id="rId27" Type="http://schemas.openxmlformats.org/officeDocument/2006/relationships/hyperlink" Target="https://doi.org/10.1067/s0022-3476(03)00454-2" TargetMode="External"/><Relationship Id="rId30" Type="http://schemas.openxmlformats.org/officeDocument/2006/relationships/image" Target="media/image2.png"/><Relationship Id="rId35" Type="http://schemas.openxmlformats.org/officeDocument/2006/relationships/header" Target="header2.xml"/><Relationship Id="rId43" Type="http://schemas.openxmlformats.org/officeDocument/2006/relationships/customXml" Target="../customXml/item3.xml"/><Relationship Id="rId8" Type="http://schemas.openxmlformats.org/officeDocument/2006/relationships/hyperlink" Target="https://immunisationhandbook.health.gov.au/contents/vaccine-preventable-diseases/respiratory-syncytial-virus-rsv" TargetMode="External"/><Relationship Id="rId3" Type="http://schemas.openxmlformats.org/officeDocument/2006/relationships/styles" Target="styles.xml"/><Relationship Id="rId12" Type="http://schemas.openxmlformats.org/officeDocument/2006/relationships/hyperlink" Target="https://doi.org/10.1093/jpids/piad113" TargetMode="External"/><Relationship Id="rId17" Type="http://schemas.openxmlformats.org/officeDocument/2006/relationships/hyperlink" Target="https://doi.org/10.1056/nejmoa2216480" TargetMode="External"/><Relationship Id="rId25" Type="http://schemas.openxmlformats.org/officeDocument/2006/relationships/hyperlink" Target="https://doi.org/10.1016/j.lanepe.2024.101007" TargetMode="External"/><Relationship Id="rId33" Type="http://schemas.openxmlformats.org/officeDocument/2006/relationships/image" Target="media/image4.png"/><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immunisationhandbook.health.gov.au/contents/vaccine-preventable-diseases/respiratory-syncytial-virus-rsv" TargetMode="External"/><Relationship Id="rId13" Type="http://schemas.openxmlformats.org/officeDocument/2006/relationships/hyperlink" Target="https://doi.org/10.1016/j.jinf.2025.106466" TargetMode="External"/><Relationship Id="rId3" Type="http://schemas.openxmlformats.org/officeDocument/2006/relationships/hyperlink" Target="https://www.health.gov.au/ministers/the-hon-mark-butler-mp/media/protection-against-rsv-for-mums-and-bubs-with-free-vaccine-available-from-3-february-0" TargetMode="External"/><Relationship Id="rId7" Type="http://schemas.openxmlformats.org/officeDocument/2006/relationships/hyperlink" Target="https://doi.org/10.3389/fped.2022.1004739" TargetMode="External"/><Relationship Id="rId12" Type="http://schemas.openxmlformats.org/officeDocument/2006/relationships/hyperlink" Target="https://doi.org/10.1016/S0895-4356(97)00049-8" TargetMode="External"/><Relationship Id="rId2" Type="http://schemas.openxmlformats.org/officeDocument/2006/relationships/hyperlink" Target="https://ncirs.org.au/ncirs-releases-suite-new-and-updated-rsv-resources-infant-protection-programs-launched-across" TargetMode="External"/><Relationship Id="rId1" Type="http://schemas.openxmlformats.org/officeDocument/2006/relationships/hyperlink" Target="https://immunisationhandbook.health.gov.au/contents/vaccine-preventable-diseases/respiratory-syncytial-virus-rsv" TargetMode="External"/><Relationship Id="rId6" Type="http://schemas.openxmlformats.org/officeDocument/2006/relationships/hyperlink" Target="https://www.aafp.org/pubs/afp/issues/2017/0115/p94.pdf" TargetMode="External"/><Relationship Id="rId11" Type="http://schemas.openxmlformats.org/officeDocument/2006/relationships/hyperlink" Target="https://www.aihw.gov.au/reports/mothers-babies/australias-mothers-babies/contents/baby-outcomes/gestational-age" TargetMode="External"/><Relationship Id="rId5" Type="http://schemas.openxmlformats.org/officeDocument/2006/relationships/hyperlink" Target="https://www1.health.gov.au/internet/main/publishing.nsf/Content/cda-cdi3502h.htm" TargetMode="External"/><Relationship Id="rId10" Type="http://schemas.openxmlformats.org/officeDocument/2006/relationships/hyperlink" Target="https://doi.org/10.2147/idr.s396434" TargetMode="External"/><Relationship Id="rId4" Type="http://schemas.openxmlformats.org/officeDocument/2006/relationships/hyperlink" Target="https://immunisationhandbook.health.gov.au/contents/vaccine-preventable-diseases/respiratory-syncytial-virus-rsv" TargetMode="External"/><Relationship Id="rId9" Type="http://schemas.openxmlformats.org/officeDocument/2006/relationships/hyperlink" Target="https://doi.org/10.1017/s0950268816002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07423DCA-4D9B-49D8-BD92-A392E4263048}">
  <ds:schemaRefs>
    <ds:schemaRef ds:uri="http://schemas.openxmlformats.org/officeDocument/2006/bibliography"/>
  </ds:schemaRefs>
</ds:datastoreItem>
</file>

<file path=customXml/itemProps2.xml><?xml version="1.0" encoding="utf-8"?>
<ds:datastoreItem xmlns:ds="http://schemas.openxmlformats.org/officeDocument/2006/customXml" ds:itemID="{024A267A-58F6-4381-AE9C-93989B1CE384}"/>
</file>

<file path=customXml/itemProps3.xml><?xml version="1.0" encoding="utf-8"?>
<ds:datastoreItem xmlns:ds="http://schemas.openxmlformats.org/officeDocument/2006/customXml" ds:itemID="{874EAFCC-7F4A-4BDF-A814-54A48E3C8514}"/>
</file>

<file path=customXml/itemProps4.xml><?xml version="1.0" encoding="utf-8"?>
<ds:datastoreItem xmlns:ds="http://schemas.openxmlformats.org/officeDocument/2006/customXml" ds:itemID="{F8561664-4252-4FB1-87BC-EF703412CCE2}"/>
</file>

<file path=docProps/app.xml><?xml version="1.0" encoding="utf-8"?>
<Properties xmlns="http://schemas.openxmlformats.org/officeDocument/2006/extended-properties" xmlns:vt="http://schemas.openxmlformats.org/officeDocument/2006/docPropsVTypes">
  <Template>Normal.dotm</Template>
  <TotalTime>0</TotalTime>
  <Pages>70</Pages>
  <Words>29140</Words>
  <Characters>166102</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194853</CharactersWithSpaces>
  <SharedDoc>false</SharedDoc>
  <HLinks>
    <vt:vector size="198" baseType="variant">
      <vt:variant>
        <vt:i4>3997759</vt:i4>
      </vt:variant>
      <vt:variant>
        <vt:i4>168</vt:i4>
      </vt:variant>
      <vt:variant>
        <vt:i4>0</vt:i4>
      </vt:variant>
      <vt:variant>
        <vt:i4>5</vt:i4>
      </vt:variant>
      <vt:variant>
        <vt:lpwstr>https://doi.org/10.1055/s-0033-1356485</vt:lpwstr>
      </vt:variant>
      <vt:variant>
        <vt:lpwstr/>
      </vt:variant>
      <vt:variant>
        <vt:i4>6291564</vt:i4>
      </vt:variant>
      <vt:variant>
        <vt:i4>165</vt:i4>
      </vt:variant>
      <vt:variant>
        <vt:i4>0</vt:i4>
      </vt:variant>
      <vt:variant>
        <vt:i4>5</vt:i4>
      </vt:variant>
      <vt:variant>
        <vt:lpwstr>https://publications.aap.org/pediatrics/article-pdf/887238/531.pdf</vt:lpwstr>
      </vt:variant>
      <vt:variant>
        <vt:lpwstr/>
      </vt:variant>
      <vt:variant>
        <vt:i4>589827</vt:i4>
      </vt:variant>
      <vt:variant>
        <vt:i4>162</vt:i4>
      </vt:variant>
      <vt:variant>
        <vt:i4>0</vt:i4>
      </vt:variant>
      <vt:variant>
        <vt:i4>5</vt:i4>
      </vt:variant>
      <vt:variant>
        <vt:lpwstr>https://doi.org/10.1067/s0022-3476(03)00454-2</vt:lpwstr>
      </vt:variant>
      <vt:variant>
        <vt:lpwstr/>
      </vt:variant>
      <vt:variant>
        <vt:i4>458761</vt:i4>
      </vt:variant>
      <vt:variant>
        <vt:i4>144</vt:i4>
      </vt:variant>
      <vt:variant>
        <vt:i4>0</vt:i4>
      </vt:variant>
      <vt:variant>
        <vt:i4>5</vt:i4>
      </vt:variant>
      <vt:variant>
        <vt:lpwstr>https://doi.org/10.1016/s1473-3099(24)00215-9</vt:lpwstr>
      </vt:variant>
      <vt:variant>
        <vt:lpwstr/>
      </vt:variant>
      <vt:variant>
        <vt:i4>4456542</vt:i4>
      </vt:variant>
      <vt:variant>
        <vt:i4>141</vt:i4>
      </vt:variant>
      <vt:variant>
        <vt:i4>0</vt:i4>
      </vt:variant>
      <vt:variant>
        <vt:i4>5</vt:i4>
      </vt:variant>
      <vt:variant>
        <vt:lpwstr>https://doi.org/10.1016/j.lanepe.2024.101007</vt:lpwstr>
      </vt:variant>
      <vt:variant>
        <vt:lpwstr/>
      </vt:variant>
      <vt:variant>
        <vt:i4>6160451</vt:i4>
      </vt:variant>
      <vt:variant>
        <vt:i4>138</vt:i4>
      </vt:variant>
      <vt:variant>
        <vt:i4>0</vt:i4>
      </vt:variant>
      <vt:variant>
        <vt:i4>5</vt:i4>
      </vt:variant>
      <vt:variant>
        <vt:lpwstr>https://doi.org/10.1111/pai.14175</vt:lpwstr>
      </vt:variant>
      <vt:variant>
        <vt:lpwstr/>
      </vt:variant>
      <vt:variant>
        <vt:i4>851970</vt:i4>
      </vt:variant>
      <vt:variant>
        <vt:i4>135</vt:i4>
      </vt:variant>
      <vt:variant>
        <vt:i4>0</vt:i4>
      </vt:variant>
      <vt:variant>
        <vt:i4>5</vt:i4>
      </vt:variant>
      <vt:variant>
        <vt:lpwstr>https://doi.org/10.1016/s2352-4642(24)00171-8</vt:lpwstr>
      </vt:variant>
      <vt:variant>
        <vt:lpwstr/>
      </vt:variant>
      <vt:variant>
        <vt:i4>4194316</vt:i4>
      </vt:variant>
      <vt:variant>
        <vt:i4>132</vt:i4>
      </vt:variant>
      <vt:variant>
        <vt:i4>0</vt:i4>
      </vt:variant>
      <vt:variant>
        <vt:i4>5</vt:i4>
      </vt:variant>
      <vt:variant>
        <vt:lpwstr>https://doi.org/10.1056/nejmoa2314885</vt:lpwstr>
      </vt:variant>
      <vt:variant>
        <vt:lpwstr/>
      </vt:variant>
      <vt:variant>
        <vt:i4>2424888</vt:i4>
      </vt:variant>
      <vt:variant>
        <vt:i4>129</vt:i4>
      </vt:variant>
      <vt:variant>
        <vt:i4>0</vt:i4>
      </vt:variant>
      <vt:variant>
        <vt:i4>5</vt:i4>
      </vt:variant>
      <vt:variant>
        <vt:lpwstr>https://doi.org/10.3389/fpubh.2024.1441786</vt:lpwstr>
      </vt:variant>
      <vt:variant>
        <vt:lpwstr/>
      </vt:variant>
      <vt:variant>
        <vt:i4>327749</vt:i4>
      </vt:variant>
      <vt:variant>
        <vt:i4>126</vt:i4>
      </vt:variant>
      <vt:variant>
        <vt:i4>0</vt:i4>
      </vt:variant>
      <vt:variant>
        <vt:i4>5</vt:i4>
      </vt:variant>
      <vt:variant>
        <vt:lpwstr>https://doi.org/10.3390/vaccines12060640</vt:lpwstr>
      </vt:variant>
      <vt:variant>
        <vt:lpwstr/>
      </vt:variant>
      <vt:variant>
        <vt:i4>1638408</vt:i4>
      </vt:variant>
      <vt:variant>
        <vt:i4>123</vt:i4>
      </vt:variant>
      <vt:variant>
        <vt:i4>0</vt:i4>
      </vt:variant>
      <vt:variant>
        <vt:i4>5</vt:i4>
      </vt:variant>
      <vt:variant>
        <vt:lpwstr>https://doi.org/10.1093/jpids/piad052</vt:lpwstr>
      </vt:variant>
      <vt:variant>
        <vt:lpwstr/>
      </vt:variant>
      <vt:variant>
        <vt:i4>1703936</vt:i4>
      </vt:variant>
      <vt:variant>
        <vt:i4>120</vt:i4>
      </vt:variant>
      <vt:variant>
        <vt:i4>0</vt:i4>
      </vt:variant>
      <vt:variant>
        <vt:i4>5</vt:i4>
      </vt:variant>
      <vt:variant>
        <vt:lpwstr>https://doi.org/10.1056/nejmc2112186</vt:lpwstr>
      </vt:variant>
      <vt:variant>
        <vt:lpwstr/>
      </vt:variant>
      <vt:variant>
        <vt:i4>4390912</vt:i4>
      </vt:variant>
      <vt:variant>
        <vt:i4>117</vt:i4>
      </vt:variant>
      <vt:variant>
        <vt:i4>0</vt:i4>
      </vt:variant>
      <vt:variant>
        <vt:i4>5</vt:i4>
      </vt:variant>
      <vt:variant>
        <vt:lpwstr>https://doi.org/10.1056/nejmoa2216480</vt:lpwstr>
      </vt:variant>
      <vt:variant>
        <vt:lpwstr/>
      </vt:variant>
      <vt:variant>
        <vt:i4>5046276</vt:i4>
      </vt:variant>
      <vt:variant>
        <vt:i4>114</vt:i4>
      </vt:variant>
      <vt:variant>
        <vt:i4>0</vt:i4>
      </vt:variant>
      <vt:variant>
        <vt:i4>5</vt:i4>
      </vt:variant>
      <vt:variant>
        <vt:lpwstr>https://doi.org/10.1056/nejmoa2309189</vt:lpwstr>
      </vt:variant>
      <vt:variant>
        <vt:lpwstr/>
      </vt:variant>
      <vt:variant>
        <vt:i4>1310795</vt:i4>
      </vt:variant>
      <vt:variant>
        <vt:i4>111</vt:i4>
      </vt:variant>
      <vt:variant>
        <vt:i4>0</vt:i4>
      </vt:variant>
      <vt:variant>
        <vt:i4>5</vt:i4>
      </vt:variant>
      <vt:variant>
        <vt:lpwstr>https://doi.org/10.3389/fped.2023.1132740</vt:lpwstr>
      </vt:variant>
      <vt:variant>
        <vt:lpwstr/>
      </vt:variant>
      <vt:variant>
        <vt:i4>524294</vt:i4>
      </vt:variant>
      <vt:variant>
        <vt:i4>108</vt:i4>
      </vt:variant>
      <vt:variant>
        <vt:i4>0</vt:i4>
      </vt:variant>
      <vt:variant>
        <vt:i4>5</vt:i4>
      </vt:variant>
      <vt:variant>
        <vt:lpwstr>https://doi.org/10.1016/s2352-4642(22)00321-2</vt:lpwstr>
      </vt:variant>
      <vt:variant>
        <vt:lpwstr/>
      </vt:variant>
      <vt:variant>
        <vt:i4>4194306</vt:i4>
      </vt:variant>
      <vt:variant>
        <vt:i4>105</vt:i4>
      </vt:variant>
      <vt:variant>
        <vt:i4>0</vt:i4>
      </vt:variant>
      <vt:variant>
        <vt:i4>5</vt:i4>
      </vt:variant>
      <vt:variant>
        <vt:lpwstr>https://doi.org/10.1056/nejmoa1913556</vt:lpwstr>
      </vt:variant>
      <vt:variant>
        <vt:lpwstr/>
      </vt:variant>
      <vt:variant>
        <vt:i4>1900553</vt:i4>
      </vt:variant>
      <vt:variant>
        <vt:i4>102</vt:i4>
      </vt:variant>
      <vt:variant>
        <vt:i4>0</vt:i4>
      </vt:variant>
      <vt:variant>
        <vt:i4>5</vt:i4>
      </vt:variant>
      <vt:variant>
        <vt:lpwstr>https://doi.org/10.1093/jpids/piad113</vt:lpwstr>
      </vt:variant>
      <vt:variant>
        <vt:lpwstr/>
      </vt:variant>
      <vt:variant>
        <vt:i4>1638410</vt:i4>
      </vt:variant>
      <vt:variant>
        <vt:i4>99</vt:i4>
      </vt:variant>
      <vt:variant>
        <vt:i4>0</vt:i4>
      </vt:variant>
      <vt:variant>
        <vt:i4>5</vt:i4>
      </vt:variant>
      <vt:variant>
        <vt:lpwstr>https://doi.org/10.1056/NEJMc2214773</vt:lpwstr>
      </vt:variant>
      <vt:variant>
        <vt:lpwstr/>
      </vt:variant>
      <vt:variant>
        <vt:i4>4784134</vt:i4>
      </vt:variant>
      <vt:variant>
        <vt:i4>96</vt:i4>
      </vt:variant>
      <vt:variant>
        <vt:i4>0</vt:i4>
      </vt:variant>
      <vt:variant>
        <vt:i4>5</vt:i4>
      </vt:variant>
      <vt:variant>
        <vt:lpwstr>https://doi.org/10.1056/nejmoa2110275</vt:lpwstr>
      </vt:variant>
      <vt:variant>
        <vt:lpwstr/>
      </vt:variant>
      <vt:variant>
        <vt:i4>5832789</vt:i4>
      </vt:variant>
      <vt:variant>
        <vt:i4>54</vt:i4>
      </vt:variant>
      <vt:variant>
        <vt:i4>0</vt:i4>
      </vt:variant>
      <vt:variant>
        <vt:i4>5</vt:i4>
      </vt:variant>
      <vt:variant>
        <vt:lpwstr>https://immunisationhandbook.health.gov.au/contents/vaccine-preventable-diseases/respiratory-syncytial-virus-rsv</vt:lpwstr>
      </vt:variant>
      <vt:variant>
        <vt:lpwstr/>
      </vt:variant>
      <vt:variant>
        <vt:i4>655365</vt:i4>
      </vt:variant>
      <vt:variant>
        <vt:i4>33</vt:i4>
      </vt:variant>
      <vt:variant>
        <vt:i4>0</vt:i4>
      </vt:variant>
      <vt:variant>
        <vt:i4>5</vt:i4>
      </vt:variant>
      <vt:variant>
        <vt:lpwstr>https://doi.org/10.1016/S0895-4356(97)00049-8</vt:lpwstr>
      </vt:variant>
      <vt:variant>
        <vt:lpwstr/>
      </vt:variant>
      <vt:variant>
        <vt:i4>2883702</vt:i4>
      </vt:variant>
      <vt:variant>
        <vt:i4>30</vt:i4>
      </vt:variant>
      <vt:variant>
        <vt:i4>0</vt:i4>
      </vt:variant>
      <vt:variant>
        <vt:i4>5</vt:i4>
      </vt:variant>
      <vt:variant>
        <vt:lpwstr>https://www.aihw.gov.au/reports/mothers-babies/australias-mothers-babies/contents/baby-outcomes/gestational-age</vt:lpwstr>
      </vt:variant>
      <vt:variant>
        <vt:lpwstr/>
      </vt:variant>
      <vt:variant>
        <vt:i4>6815801</vt:i4>
      </vt:variant>
      <vt:variant>
        <vt:i4>27</vt:i4>
      </vt:variant>
      <vt:variant>
        <vt:i4>0</vt:i4>
      </vt:variant>
      <vt:variant>
        <vt:i4>5</vt:i4>
      </vt:variant>
      <vt:variant>
        <vt:lpwstr>https://doi.org/10.2147/idr.s396434</vt:lpwstr>
      </vt:variant>
      <vt:variant>
        <vt:lpwstr/>
      </vt:variant>
      <vt:variant>
        <vt:i4>1703962</vt:i4>
      </vt:variant>
      <vt:variant>
        <vt:i4>24</vt:i4>
      </vt:variant>
      <vt:variant>
        <vt:i4>0</vt:i4>
      </vt:variant>
      <vt:variant>
        <vt:i4>5</vt:i4>
      </vt:variant>
      <vt:variant>
        <vt:lpwstr>https://doi.org/10.1017/s0950268816002545</vt:lpwstr>
      </vt:variant>
      <vt:variant>
        <vt:lpwstr/>
      </vt:variant>
      <vt:variant>
        <vt:i4>5242897</vt:i4>
      </vt:variant>
      <vt:variant>
        <vt:i4>21</vt:i4>
      </vt:variant>
      <vt:variant>
        <vt:i4>0</vt:i4>
      </vt:variant>
      <vt:variant>
        <vt:i4>5</vt:i4>
      </vt:variant>
      <vt:variant>
        <vt:lpwstr>https://immunisationhandbook.health.gov.au/contents/vaccine-preventable-diseases/respiratory-syncytial-virus-rsv</vt:lpwstr>
      </vt:variant>
      <vt:variant>
        <vt:lpwstr>nature-of-the-disease</vt:lpwstr>
      </vt:variant>
      <vt:variant>
        <vt:i4>1310793</vt:i4>
      </vt:variant>
      <vt:variant>
        <vt:i4>18</vt:i4>
      </vt:variant>
      <vt:variant>
        <vt:i4>0</vt:i4>
      </vt:variant>
      <vt:variant>
        <vt:i4>5</vt:i4>
      </vt:variant>
      <vt:variant>
        <vt:lpwstr>https://doi.org/10.3389/fped.2022.1004739</vt:lpwstr>
      </vt:variant>
      <vt:variant>
        <vt:lpwstr/>
      </vt:variant>
      <vt:variant>
        <vt:i4>2752553</vt:i4>
      </vt:variant>
      <vt:variant>
        <vt:i4>15</vt:i4>
      </vt:variant>
      <vt:variant>
        <vt:i4>0</vt:i4>
      </vt:variant>
      <vt:variant>
        <vt:i4>5</vt:i4>
      </vt:variant>
      <vt:variant>
        <vt:lpwstr>https://www.aafp.org/pubs/afp/issues/2017/0115/p94.pdf</vt:lpwstr>
      </vt:variant>
      <vt:variant>
        <vt:lpwstr/>
      </vt:variant>
      <vt:variant>
        <vt:i4>786511</vt:i4>
      </vt:variant>
      <vt:variant>
        <vt:i4>12</vt:i4>
      </vt:variant>
      <vt:variant>
        <vt:i4>0</vt:i4>
      </vt:variant>
      <vt:variant>
        <vt:i4>5</vt:i4>
      </vt:variant>
      <vt:variant>
        <vt:lpwstr>https://www1.health.gov.au/internet/main/publishing.nsf/Content/cda-cdi3502h.htm</vt:lpwstr>
      </vt:variant>
      <vt:variant>
        <vt:lpwstr/>
      </vt:variant>
      <vt:variant>
        <vt:i4>5832789</vt:i4>
      </vt:variant>
      <vt:variant>
        <vt:i4>9</vt:i4>
      </vt:variant>
      <vt:variant>
        <vt:i4>0</vt:i4>
      </vt:variant>
      <vt:variant>
        <vt:i4>5</vt:i4>
      </vt:variant>
      <vt:variant>
        <vt:lpwstr>https://immunisationhandbook.health.gov.au/contents/vaccine-preventable-diseases/respiratory-syncytial-virus-rsv</vt:lpwstr>
      </vt:variant>
      <vt:variant>
        <vt:lpwstr/>
      </vt:variant>
      <vt:variant>
        <vt:i4>6881315</vt:i4>
      </vt:variant>
      <vt:variant>
        <vt:i4>6</vt:i4>
      </vt:variant>
      <vt:variant>
        <vt:i4>0</vt:i4>
      </vt:variant>
      <vt:variant>
        <vt:i4>5</vt:i4>
      </vt:variant>
      <vt:variant>
        <vt:lpwstr>https://www.health.gov.au/ministers/the-hon-mark-butler-mp/media/protection-against-rsv-for-mums-and-bubs-with-free-vaccine-available-from-3-february-0</vt:lpwstr>
      </vt:variant>
      <vt:variant>
        <vt:lpwstr/>
      </vt:variant>
      <vt:variant>
        <vt:i4>2687020</vt:i4>
      </vt:variant>
      <vt:variant>
        <vt:i4>3</vt:i4>
      </vt:variant>
      <vt:variant>
        <vt:i4>0</vt:i4>
      </vt:variant>
      <vt:variant>
        <vt:i4>5</vt:i4>
      </vt:variant>
      <vt:variant>
        <vt:lpwstr>https://ncirs.org.au/ncirs-releases-suite-new-and-updated-rsv-resources-infant-protection-programs-launched-across</vt:lpwstr>
      </vt:variant>
      <vt:variant>
        <vt:lpwstr/>
      </vt:variant>
      <vt:variant>
        <vt:i4>5832789</vt:i4>
      </vt:variant>
      <vt:variant>
        <vt:i4>0</vt:i4>
      </vt:variant>
      <vt:variant>
        <vt:i4>0</vt:i4>
      </vt:variant>
      <vt:variant>
        <vt:i4>5</vt:i4>
      </vt:variant>
      <vt:variant>
        <vt:lpwstr>https://immunisationhandbook.health.gov.au/contents/vaccine-preventable-diseases/respiratory-syncytial-virus-rsv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2025-08-27T04:37:00Z</dcterms:created>
  <dcterms:modified xsi:type="dcterms:W3CDTF">2025-08-27T04:40:00Z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f7f9538,9e4d0f3,1eaa49dd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323e0e7,2f806ad7,3cee2d8d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2025-08-27T04:37:53Z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f18ec775-0850-45dd-8390-07817730442b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MSIP_Label_9e3dcb88-8425-4e1d-b1a3-bd5572915bbc_Name">
    <vt:lpwstr>Internal</vt:lpwstr>
  </property>
  <property fmtid="{D5CDD505-2E9C-101B-9397-08002B2CF9AE}" pid="19" name="MSIP_Label_9e3dcb88-8425-4e1d-b1a3-bd5572915bbc_ActionId">
    <vt:lpwstr>0f08f272-935b-4c02-85f8-178e32380a17</vt:lpwstr>
  </property>
  <property fmtid="{D5CDD505-2E9C-101B-9397-08002B2CF9AE}" pid="20" name="MSIP_Label_9e3dcb88-8425-4e1d-b1a3-bd5572915bbc_ContentBits">
    <vt:lpwstr>1</vt:lpwstr>
  </property>
  <property fmtid="{D5CDD505-2E9C-101B-9397-08002B2CF9AE}" pid="21" name="MSIP_Label_9e3dcb88-8425-4e1d-b1a3-bd5572915bbc_Method">
    <vt:lpwstr>Privileged</vt:lpwstr>
  </property>
  <property fmtid="{D5CDD505-2E9C-101B-9397-08002B2CF9AE}" pid="22" name="MSIP_Label_9e3dcb88-8425-4e1d-b1a3-bd5572915bbc_SiteId">
    <vt:lpwstr>aca3c8d6-aa71-4e1a-a10e-03572fc58c0b</vt:lpwstr>
  </property>
  <property fmtid="{D5CDD505-2E9C-101B-9397-08002B2CF9AE}" pid="23" name="MSIP_Label_9e3dcb88-8425-4e1d-b1a3-bd5572915bbc_Enabled">
    <vt:lpwstr>true</vt:lpwstr>
  </property>
  <property fmtid="{D5CDD505-2E9C-101B-9397-08002B2CF9AE}" pid="24" name="GrammarlyDocumentId">
    <vt:lpwstr>f0339044-2b37-484c-b917-f72205a3edc0</vt:lpwstr>
  </property>
  <property fmtid="{D5CDD505-2E9C-101B-9397-08002B2CF9AE}" pid="25" name="MSIP_Label_9e3dcb88-8425-4e1d-b1a3-bd5572915bbc_SetDate">
    <vt:lpwstr>2025-07-18T04:29:03Z</vt:lpwstr>
  </property>
</Properties>
</file>