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76FA2B02" w:rsidR="00B60939" w:rsidRPr="0098262F" w:rsidRDefault="00A176E5" w:rsidP="004A6040">
      <w:pPr>
        <w:pStyle w:val="1-MainHeading"/>
      </w:pPr>
      <w:bookmarkStart w:id="0" w:name="_Toc193454808"/>
      <w:r>
        <w:t>5</w:t>
      </w:r>
      <w:r w:rsidR="4AAF413F" w:rsidRPr="0B5D70EC">
        <w:t>.</w:t>
      </w:r>
      <w:r>
        <w:t>03</w:t>
      </w:r>
      <w:r w:rsidR="00433044">
        <w:tab/>
      </w:r>
      <w:r w:rsidR="52CFEDFC" w:rsidRPr="0B5D70EC">
        <w:t>ETONOGESTREL</w:t>
      </w:r>
      <w:r w:rsidR="76974B8A" w:rsidRPr="0B5D70EC">
        <w:t xml:space="preserve"> </w:t>
      </w:r>
      <w:r w:rsidR="6F3A9110" w:rsidRPr="0B5D70EC">
        <w:t>with</w:t>
      </w:r>
      <w:r w:rsidR="52CFEDFC" w:rsidRPr="0B5D70EC">
        <w:t xml:space="preserve"> ETH</w:t>
      </w:r>
      <w:r w:rsidR="0006515A">
        <w:t>IN</w:t>
      </w:r>
      <w:r w:rsidR="52CFEDFC" w:rsidRPr="0B5D70EC">
        <w:t>YLESTRADIOL</w:t>
      </w:r>
      <w:r w:rsidR="001063F7" w:rsidRPr="0B5D70EC">
        <w:t>,</w:t>
      </w:r>
      <w:r w:rsidR="00433044">
        <w:br/>
      </w:r>
      <w:r w:rsidR="00674FDC">
        <w:t>V</w:t>
      </w:r>
      <w:r w:rsidR="52CFEDFC" w:rsidRPr="0B5D70EC">
        <w:t>aginal ring</w:t>
      </w:r>
      <w:r w:rsidR="6F3A9110" w:rsidRPr="0B5D70EC">
        <w:t xml:space="preserve"> containing etonogestrel 11.7 mg with ethinylestradiol 2.7 mg</w:t>
      </w:r>
      <w:r w:rsidR="00433044" w:rsidRPr="0B5D70EC">
        <w:t>,</w:t>
      </w:r>
      <w:r w:rsidR="00433044">
        <w:br/>
      </w:r>
      <w:r w:rsidR="52CFEDFC" w:rsidRPr="0B5D70EC">
        <w:t>NuvaRing</w:t>
      </w:r>
      <w:r w:rsidR="35E376B5" w:rsidRPr="0B5D70EC">
        <w:rPr>
          <w:vertAlign w:val="superscript"/>
        </w:rPr>
        <w:t>®</w:t>
      </w:r>
      <w:r w:rsidR="654C4596" w:rsidRPr="0B5D70EC">
        <w:t>,</w:t>
      </w:r>
      <w:r w:rsidR="00433044">
        <w:br/>
      </w:r>
      <w:r w:rsidR="52CFEDFC" w:rsidRPr="0B5D70EC">
        <w:t>Organon Pharma Pty Ltd.</w:t>
      </w:r>
      <w:bookmarkEnd w:id="0"/>
    </w:p>
    <w:p w14:paraId="11C00795" w14:textId="3DFB6D23" w:rsidR="00B50DB8" w:rsidRPr="0098262F" w:rsidRDefault="00B50DB8" w:rsidP="004A6040">
      <w:pPr>
        <w:pStyle w:val="2-SectionHeading"/>
      </w:pPr>
      <w:bookmarkStart w:id="1" w:name="_Toc193454810"/>
      <w:r w:rsidRPr="0098262F">
        <w:t xml:space="preserve">Purpose of </w:t>
      </w:r>
      <w:r w:rsidR="00CD7193" w:rsidRPr="0098262F">
        <w:t>s</w:t>
      </w:r>
      <w:r w:rsidR="00BB3A45" w:rsidRPr="0098262F">
        <w:t>ubmission</w:t>
      </w:r>
      <w:bookmarkEnd w:id="1"/>
    </w:p>
    <w:p w14:paraId="4E576D80" w14:textId="7650EEB3" w:rsidR="001435FE" w:rsidRDefault="670D0E44" w:rsidP="0B5D70EC">
      <w:pPr>
        <w:pStyle w:val="3-BodyText"/>
      </w:pPr>
      <w:r w:rsidRPr="0B5D70EC">
        <w:t xml:space="preserve">The </w:t>
      </w:r>
      <w:r w:rsidR="16BFF805" w:rsidRPr="0B5D70EC">
        <w:t xml:space="preserve">Category </w:t>
      </w:r>
      <w:r w:rsidR="52CFEDFC" w:rsidRPr="0B5D70EC">
        <w:t xml:space="preserve">2 </w:t>
      </w:r>
      <w:r w:rsidRPr="0B5D70EC">
        <w:t xml:space="preserve">submission requested </w:t>
      </w:r>
      <w:r w:rsidR="15EDC8C8" w:rsidRPr="0B5D70EC">
        <w:t xml:space="preserve">a </w:t>
      </w:r>
      <w:r w:rsidR="002E09FE">
        <w:t xml:space="preserve">General Schedule </w:t>
      </w:r>
      <w:r w:rsidR="1797C14F" w:rsidRPr="0B5D70EC">
        <w:t>Restricted Benefit</w:t>
      </w:r>
      <w:r w:rsidR="52CFEDFC" w:rsidRPr="0B5D70EC">
        <w:t xml:space="preserve"> </w:t>
      </w:r>
      <w:r w:rsidR="1797C14F" w:rsidRPr="0B5D70EC">
        <w:t xml:space="preserve">listing for </w:t>
      </w:r>
      <w:r w:rsidR="52CFEDFC" w:rsidRPr="0B5D70EC">
        <w:t xml:space="preserve">etonogestrel 11.7 mg </w:t>
      </w:r>
      <w:r w:rsidR="00F251DA">
        <w:t>with</w:t>
      </w:r>
      <w:r w:rsidR="00F251DA" w:rsidRPr="0B5D70EC">
        <w:t xml:space="preserve"> </w:t>
      </w:r>
      <w:r w:rsidR="52CFEDFC" w:rsidRPr="0B5D70EC">
        <w:t xml:space="preserve">ethinylestradiol 2.7 mg </w:t>
      </w:r>
      <w:r w:rsidR="5DEF6376" w:rsidRPr="0B5D70EC">
        <w:t xml:space="preserve">contraceptive </w:t>
      </w:r>
      <w:r w:rsidR="52CFEDFC" w:rsidRPr="0B5D70EC">
        <w:t>vaginal ring</w:t>
      </w:r>
      <w:r w:rsidR="6D986C9D" w:rsidRPr="0B5D70EC">
        <w:t xml:space="preserve"> </w:t>
      </w:r>
      <w:r w:rsidR="5DEF6376" w:rsidRPr="0B5D70EC">
        <w:t>(CVR)</w:t>
      </w:r>
      <w:r w:rsidR="52CFEDFC" w:rsidRPr="0B5D70EC">
        <w:t xml:space="preserve"> </w:t>
      </w:r>
      <w:r w:rsidR="00F251DA">
        <w:t>(NuvaRing</w:t>
      </w:r>
      <w:r w:rsidR="00F251DA" w:rsidRPr="6BFF1E87">
        <w:t>®</w:t>
      </w:r>
      <w:r w:rsidR="00F251DA">
        <w:t xml:space="preserve">) </w:t>
      </w:r>
      <w:r w:rsidR="1797C14F" w:rsidRPr="0B5D70EC">
        <w:t xml:space="preserve">for </w:t>
      </w:r>
      <w:r w:rsidR="52CFEDFC" w:rsidRPr="0B5D70EC">
        <w:t xml:space="preserve">contraception for women </w:t>
      </w:r>
      <w:r w:rsidR="00E6598E">
        <w:t>seeking</w:t>
      </w:r>
      <w:r w:rsidR="4306C56F" w:rsidRPr="0B5D70EC">
        <w:t xml:space="preserve"> contracepti</w:t>
      </w:r>
      <w:r w:rsidR="00E6598E">
        <w:t>on</w:t>
      </w:r>
      <w:r w:rsidR="4306C56F" w:rsidRPr="0B5D70EC">
        <w:t xml:space="preserve"> but </w:t>
      </w:r>
      <w:r w:rsidR="52CFEDFC" w:rsidRPr="0B5D70EC">
        <w:t>requir</w:t>
      </w:r>
      <w:r w:rsidR="004D0A1D">
        <w:t>ing</w:t>
      </w:r>
      <w:r w:rsidR="52CFEDFC" w:rsidRPr="0B5D70EC">
        <w:t xml:space="preserve"> a non-oral</w:t>
      </w:r>
      <w:r w:rsidR="4306C56F" w:rsidRPr="0B5D70EC">
        <w:t xml:space="preserve"> preparation</w:t>
      </w:r>
      <w:r w:rsidR="000C0578">
        <w:t xml:space="preserve">. The submission proposed that the target population would be women who must meet at least one of the following criteria: </w:t>
      </w:r>
      <w:r w:rsidR="0033500D">
        <w:t xml:space="preserve">difficulty swallowing tablets, </w:t>
      </w:r>
      <w:r w:rsidR="003C0B75">
        <w:t xml:space="preserve">gastrointestinal disturbances </w:t>
      </w:r>
      <w:r w:rsidR="000C0578">
        <w:t xml:space="preserve">(e.g. </w:t>
      </w:r>
      <w:r w:rsidR="003C0B75">
        <w:t>malabsorption</w:t>
      </w:r>
      <w:r w:rsidR="000C0578">
        <w:t>)</w:t>
      </w:r>
      <w:r w:rsidR="003C0B75">
        <w:t xml:space="preserve">, or </w:t>
      </w:r>
      <w:r w:rsidR="00AB4400">
        <w:t xml:space="preserve">undesirable </w:t>
      </w:r>
      <w:r w:rsidR="000C0578">
        <w:t xml:space="preserve">side </w:t>
      </w:r>
      <w:r w:rsidR="00AB4400">
        <w:t>effects with oral contraceptives</w:t>
      </w:r>
      <w:r w:rsidR="52CFEDFC" w:rsidRPr="005C3A66">
        <w:t xml:space="preserve">. </w:t>
      </w:r>
      <w:r w:rsidR="00BE7AB6" w:rsidRPr="005C3A66">
        <w:t>The ESC considered the criterion ‘undesirable side effects with oral contraceptives’ to be imprecise.</w:t>
      </w:r>
    </w:p>
    <w:p w14:paraId="4E9FBCB5" w14:textId="5D2E253D" w:rsidR="00C2778B" w:rsidRPr="0098262F" w:rsidRDefault="13F4B76E" w:rsidP="00DF3662">
      <w:pPr>
        <w:pStyle w:val="3-BodyText"/>
      </w:pPr>
      <w:r w:rsidRPr="0B5D70EC">
        <w:t>Listing was requested on the basis of a cost-minimisation</w:t>
      </w:r>
      <w:r w:rsidR="6AB8F21C" w:rsidRPr="0B5D70EC">
        <w:t xml:space="preserve"> approach</w:t>
      </w:r>
      <w:r w:rsidR="4B35325E" w:rsidRPr="0B5D70EC">
        <w:t xml:space="preserve"> </w:t>
      </w:r>
      <w:r w:rsidRPr="0B5D70EC">
        <w:t xml:space="preserve">versus </w:t>
      </w:r>
      <w:r w:rsidR="4B35325E" w:rsidRPr="0B5D70EC">
        <w:t>depot medroxyprogesterone acetate injection (</w:t>
      </w:r>
      <w:r w:rsidR="76974B8A" w:rsidRPr="0B5D70EC">
        <w:t>DMPA</w:t>
      </w:r>
      <w:r w:rsidR="4B35325E" w:rsidRPr="0B5D70EC">
        <w:t>).</w:t>
      </w:r>
    </w:p>
    <w:p w14:paraId="3718DE61" w14:textId="04A28050" w:rsidR="008B1757" w:rsidRPr="0098262F" w:rsidRDefault="03B40EC3" w:rsidP="0B5D70EC">
      <w:pPr>
        <w:pStyle w:val="TableFigureHeading"/>
        <w:rPr>
          <w:rStyle w:val="CommentReference"/>
          <w:b/>
        </w:rPr>
      </w:pPr>
      <w:r w:rsidRPr="0B5D70EC">
        <w:t xml:space="preserve">Table </w:t>
      </w:r>
      <w:r w:rsidR="00696EF9" w:rsidRPr="0B5D70EC">
        <w:fldChar w:fldCharType="begin"/>
      </w:r>
      <w:r w:rsidR="00696EF9">
        <w:instrText xml:space="preserve"> SEQ Table \* ARABIC </w:instrText>
      </w:r>
      <w:r w:rsidR="00696EF9" w:rsidRPr="0B5D70EC">
        <w:fldChar w:fldCharType="separate"/>
      </w:r>
      <w:r w:rsidR="00896E34">
        <w:rPr>
          <w:noProof/>
        </w:rPr>
        <w:t>1</w:t>
      </w:r>
      <w:r w:rsidR="00696EF9" w:rsidRPr="0B5D70EC">
        <w:rPr>
          <w:noProof/>
        </w:rPr>
        <w:fldChar w:fldCharType="end"/>
      </w:r>
      <w:r w:rsidRPr="0B5D70EC">
        <w:t>:</w:t>
      </w:r>
      <w:r w:rsidR="2EAF04EB" w:rsidRPr="0B5D70EC">
        <w:rPr>
          <w:rStyle w:val="CommentReference"/>
          <w:b/>
        </w:rPr>
        <w:t xml:space="preserve"> </w:t>
      </w:r>
      <w:r w:rsidR="1797C14F" w:rsidRPr="0B5D70EC">
        <w:rPr>
          <w:rStyle w:val="CommentReference"/>
          <w:b/>
        </w:rPr>
        <w:t>Key components of the clinical issue addressed by the submission</w:t>
      </w:r>
      <w:r w:rsidR="670D0E44" w:rsidRPr="0B5D70EC">
        <w:rPr>
          <w:rStyle w:val="CommentReference"/>
          <w:b/>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98262F" w14:paraId="569F5103" w14:textId="77777777" w:rsidTr="002A2ADE">
        <w:trPr>
          <w:cantSplit/>
          <w:tblHeader/>
        </w:trPr>
        <w:tc>
          <w:tcPr>
            <w:tcW w:w="924" w:type="pct"/>
            <w:shd w:val="clear" w:color="auto" w:fill="auto"/>
          </w:tcPr>
          <w:p w14:paraId="501803FB" w14:textId="77777777" w:rsidR="008B1757" w:rsidRPr="0098262F" w:rsidRDefault="008B1757" w:rsidP="004A6040">
            <w:pPr>
              <w:pStyle w:val="In-tableHeading"/>
              <w:rPr>
                <w:szCs w:val="20"/>
                <w:lang w:val="en-AU"/>
              </w:rPr>
            </w:pPr>
            <w:r w:rsidRPr="0098262F">
              <w:rPr>
                <w:lang w:val="en-AU"/>
              </w:rPr>
              <w:t>Component</w:t>
            </w:r>
          </w:p>
        </w:tc>
        <w:tc>
          <w:tcPr>
            <w:tcW w:w="4076" w:type="pct"/>
            <w:shd w:val="clear" w:color="auto" w:fill="auto"/>
          </w:tcPr>
          <w:p w14:paraId="445D9EBB" w14:textId="77777777" w:rsidR="008B1757" w:rsidRPr="0098262F" w:rsidRDefault="008B1757" w:rsidP="004A6040">
            <w:pPr>
              <w:pStyle w:val="In-tableHeading"/>
              <w:rPr>
                <w:lang w:val="en-AU"/>
              </w:rPr>
            </w:pPr>
            <w:r w:rsidRPr="0098262F">
              <w:rPr>
                <w:lang w:val="en-AU"/>
              </w:rPr>
              <w:t>Description</w:t>
            </w:r>
          </w:p>
        </w:tc>
      </w:tr>
      <w:tr w:rsidR="008B1757" w:rsidRPr="0098262F" w14:paraId="2EB546E2" w14:textId="77777777" w:rsidTr="002A2ADE">
        <w:trPr>
          <w:cantSplit/>
        </w:trPr>
        <w:tc>
          <w:tcPr>
            <w:tcW w:w="924" w:type="pct"/>
            <w:shd w:val="clear" w:color="auto" w:fill="auto"/>
          </w:tcPr>
          <w:p w14:paraId="38F3BB34" w14:textId="77777777" w:rsidR="008B1757" w:rsidRPr="0098262F" w:rsidRDefault="008B1757" w:rsidP="004A6040">
            <w:pPr>
              <w:pStyle w:val="TableText0"/>
            </w:pPr>
            <w:r w:rsidRPr="0098262F">
              <w:t>Population</w:t>
            </w:r>
          </w:p>
        </w:tc>
        <w:tc>
          <w:tcPr>
            <w:tcW w:w="4076" w:type="pct"/>
            <w:shd w:val="clear" w:color="auto" w:fill="auto"/>
          </w:tcPr>
          <w:p w14:paraId="2336E161" w14:textId="77777777" w:rsidR="00421C50" w:rsidRPr="00421C50" w:rsidRDefault="00421C50" w:rsidP="00421C50">
            <w:pPr>
              <w:pStyle w:val="TableText0"/>
              <w:rPr>
                <w:szCs w:val="20"/>
              </w:rPr>
            </w:pPr>
            <w:r w:rsidRPr="00421C50">
              <w:rPr>
                <w:szCs w:val="20"/>
              </w:rPr>
              <w:t>Women seeking contraception with at least one of the following conditions:</w:t>
            </w:r>
          </w:p>
          <w:p w14:paraId="0B711478" w14:textId="77777777" w:rsidR="00421C50" w:rsidRPr="00421C50" w:rsidRDefault="00421C50" w:rsidP="00421C50">
            <w:pPr>
              <w:pStyle w:val="TableText0"/>
              <w:rPr>
                <w:szCs w:val="20"/>
              </w:rPr>
            </w:pPr>
            <w:r w:rsidRPr="00421C50">
              <w:rPr>
                <w:szCs w:val="20"/>
              </w:rPr>
              <w:t>•</w:t>
            </w:r>
            <w:r w:rsidRPr="00421C50">
              <w:rPr>
                <w:szCs w:val="20"/>
              </w:rPr>
              <w:tab/>
              <w:t>Difficulty swallowing pills,</w:t>
            </w:r>
          </w:p>
          <w:p w14:paraId="0C2AE4FD" w14:textId="52FF8BC1" w:rsidR="00421C50" w:rsidRPr="00421C50" w:rsidRDefault="00421C50" w:rsidP="00421C50">
            <w:pPr>
              <w:pStyle w:val="TableText0"/>
              <w:rPr>
                <w:szCs w:val="20"/>
              </w:rPr>
            </w:pPr>
            <w:r w:rsidRPr="00421C50">
              <w:rPr>
                <w:szCs w:val="20"/>
              </w:rPr>
              <w:t>•</w:t>
            </w:r>
            <w:r w:rsidRPr="00421C50">
              <w:rPr>
                <w:szCs w:val="20"/>
              </w:rPr>
              <w:tab/>
              <w:t>Gastrointestinal disturbances (e.g., malabsorption),</w:t>
            </w:r>
          </w:p>
          <w:p w14:paraId="79618EEE" w14:textId="649F6386" w:rsidR="00233C01" w:rsidRPr="0098262F" w:rsidRDefault="00421C50" w:rsidP="00421C50">
            <w:pPr>
              <w:pStyle w:val="TableText0"/>
              <w:rPr>
                <w:szCs w:val="20"/>
              </w:rPr>
            </w:pPr>
            <w:r w:rsidRPr="00421C50">
              <w:rPr>
                <w:szCs w:val="20"/>
              </w:rPr>
              <w:t>•</w:t>
            </w:r>
            <w:r w:rsidRPr="00421C50">
              <w:rPr>
                <w:szCs w:val="20"/>
              </w:rPr>
              <w:tab/>
              <w:t>Undesirable side effects with oral contraceptives</w:t>
            </w:r>
          </w:p>
        </w:tc>
      </w:tr>
      <w:tr w:rsidR="008B1757" w:rsidRPr="0098262F" w14:paraId="0CA523AF" w14:textId="77777777" w:rsidTr="002A2ADE">
        <w:trPr>
          <w:cantSplit/>
        </w:trPr>
        <w:tc>
          <w:tcPr>
            <w:tcW w:w="924" w:type="pct"/>
            <w:shd w:val="clear" w:color="auto" w:fill="auto"/>
          </w:tcPr>
          <w:p w14:paraId="7B6D20D8" w14:textId="77777777" w:rsidR="008B1757" w:rsidRPr="0098262F" w:rsidRDefault="008B1757" w:rsidP="004A6040">
            <w:pPr>
              <w:pStyle w:val="TableText0"/>
            </w:pPr>
            <w:r w:rsidRPr="0098262F">
              <w:t>Intervention</w:t>
            </w:r>
          </w:p>
        </w:tc>
        <w:tc>
          <w:tcPr>
            <w:tcW w:w="4076" w:type="pct"/>
            <w:shd w:val="clear" w:color="auto" w:fill="auto"/>
          </w:tcPr>
          <w:p w14:paraId="2491E905" w14:textId="115BCD5E" w:rsidR="00233C01" w:rsidRPr="0098262F" w:rsidRDefault="00421C50" w:rsidP="00D43D83">
            <w:pPr>
              <w:pStyle w:val="TableText0"/>
            </w:pPr>
            <w:r>
              <w:rPr>
                <w:rFonts w:eastAsia="SimSun"/>
                <w:color w:val="000000" w:themeColor="text1"/>
              </w:rPr>
              <w:t>E</w:t>
            </w:r>
            <w:r w:rsidRPr="00BD4A2A">
              <w:rPr>
                <w:rFonts w:eastAsia="SimSun"/>
                <w:color w:val="000000" w:themeColor="text1"/>
              </w:rPr>
              <w:t xml:space="preserve">tonogestrel 11.7 mg </w:t>
            </w:r>
            <w:r w:rsidR="00214724">
              <w:rPr>
                <w:rFonts w:eastAsia="SimSun"/>
                <w:color w:val="000000" w:themeColor="text1"/>
              </w:rPr>
              <w:t>with</w:t>
            </w:r>
            <w:r w:rsidR="00214724" w:rsidRPr="00BD4A2A">
              <w:rPr>
                <w:rFonts w:eastAsia="SimSun"/>
                <w:color w:val="000000" w:themeColor="text1"/>
              </w:rPr>
              <w:t xml:space="preserve"> </w:t>
            </w:r>
            <w:r w:rsidRPr="00BD4A2A">
              <w:rPr>
                <w:rFonts w:eastAsia="SimSun"/>
                <w:color w:val="000000" w:themeColor="text1"/>
              </w:rPr>
              <w:t>ethinylestradiol 2.7 mg per vaginal ring</w:t>
            </w:r>
            <w:r w:rsidR="00716B98">
              <w:rPr>
                <w:rFonts w:eastAsia="SimSun"/>
                <w:color w:val="000000" w:themeColor="text1"/>
              </w:rPr>
              <w:t xml:space="preserve"> (NuvaRing)</w:t>
            </w:r>
            <w:r>
              <w:rPr>
                <w:rFonts w:eastAsia="SimSun"/>
                <w:color w:val="000000" w:themeColor="text1"/>
              </w:rPr>
              <w:t xml:space="preserve"> </w:t>
            </w:r>
            <w:r w:rsidRPr="00BD4A2A">
              <w:rPr>
                <w:rFonts w:eastAsia="SimSun"/>
                <w:color w:val="000000" w:themeColor="text1"/>
              </w:rPr>
              <w:t>every 4 weeks</w:t>
            </w:r>
          </w:p>
        </w:tc>
      </w:tr>
      <w:tr w:rsidR="008B1757" w:rsidRPr="0098262F" w14:paraId="0F81EBE4" w14:textId="77777777" w:rsidTr="002A2ADE">
        <w:trPr>
          <w:cantSplit/>
        </w:trPr>
        <w:tc>
          <w:tcPr>
            <w:tcW w:w="924" w:type="pct"/>
            <w:shd w:val="clear" w:color="auto" w:fill="auto"/>
          </w:tcPr>
          <w:p w14:paraId="3656B343" w14:textId="77777777" w:rsidR="008B1757" w:rsidRPr="0098262F" w:rsidRDefault="008B1757" w:rsidP="004A6040">
            <w:pPr>
              <w:pStyle w:val="TableText0"/>
            </w:pPr>
            <w:r w:rsidRPr="0098262F">
              <w:t>Comparator</w:t>
            </w:r>
          </w:p>
        </w:tc>
        <w:tc>
          <w:tcPr>
            <w:tcW w:w="4076" w:type="pct"/>
            <w:shd w:val="clear" w:color="auto" w:fill="auto"/>
          </w:tcPr>
          <w:p w14:paraId="3727DE24" w14:textId="72FC0421" w:rsidR="00233C01" w:rsidRPr="0098262F" w:rsidRDefault="00421C50" w:rsidP="001E1E86">
            <w:pPr>
              <w:pStyle w:val="TableText0"/>
            </w:pPr>
            <w:r w:rsidRPr="00421C50">
              <w:t>DMPA</w:t>
            </w:r>
            <w:r w:rsidR="002553E6">
              <w:t xml:space="preserve"> </w:t>
            </w:r>
            <w:r w:rsidRPr="00421C50">
              <w:t>intramuscular injection every 12 weeks</w:t>
            </w:r>
          </w:p>
        </w:tc>
      </w:tr>
      <w:tr w:rsidR="008B1757" w:rsidRPr="0098262F" w14:paraId="02F86F0D" w14:textId="77777777" w:rsidTr="002A2ADE">
        <w:trPr>
          <w:cantSplit/>
        </w:trPr>
        <w:tc>
          <w:tcPr>
            <w:tcW w:w="924" w:type="pct"/>
            <w:shd w:val="clear" w:color="auto" w:fill="auto"/>
          </w:tcPr>
          <w:p w14:paraId="06433105" w14:textId="77777777" w:rsidR="008B1757" w:rsidRPr="0098262F" w:rsidRDefault="008B1757" w:rsidP="004A6040">
            <w:pPr>
              <w:pStyle w:val="TableText0"/>
            </w:pPr>
            <w:r w:rsidRPr="0098262F">
              <w:t>Outcomes</w:t>
            </w:r>
          </w:p>
        </w:tc>
        <w:tc>
          <w:tcPr>
            <w:tcW w:w="4076" w:type="pct"/>
            <w:shd w:val="clear" w:color="auto" w:fill="auto"/>
          </w:tcPr>
          <w:p w14:paraId="5EB4F74B" w14:textId="77777777" w:rsidR="00421C50" w:rsidRPr="00421C50" w:rsidRDefault="00421C50" w:rsidP="00421C50">
            <w:pPr>
              <w:pStyle w:val="TableText0"/>
              <w:rPr>
                <w:rFonts w:eastAsia="Times New Roman" w:cs="Arial"/>
                <w:bCs w:val="0"/>
                <w:snapToGrid w:val="0"/>
                <w:szCs w:val="20"/>
              </w:rPr>
            </w:pPr>
            <w:r w:rsidRPr="00421C50">
              <w:rPr>
                <w:rFonts w:eastAsia="Times New Roman" w:cs="Arial"/>
                <w:bCs w:val="0"/>
                <w:snapToGrid w:val="0"/>
                <w:szCs w:val="20"/>
              </w:rPr>
              <w:t>Unintended pregnancy</w:t>
            </w:r>
          </w:p>
          <w:p w14:paraId="5F7FD18F" w14:textId="77777777" w:rsidR="00421C50" w:rsidRPr="00421C50" w:rsidRDefault="00421C50" w:rsidP="00421C50">
            <w:pPr>
              <w:pStyle w:val="TableText0"/>
              <w:rPr>
                <w:rFonts w:eastAsia="Times New Roman" w:cs="Arial"/>
                <w:bCs w:val="0"/>
                <w:snapToGrid w:val="0"/>
                <w:szCs w:val="20"/>
              </w:rPr>
            </w:pPr>
            <w:r w:rsidRPr="00421C50">
              <w:rPr>
                <w:rFonts w:eastAsia="Times New Roman" w:cs="Arial"/>
                <w:bCs w:val="0"/>
                <w:snapToGrid w:val="0"/>
                <w:szCs w:val="20"/>
              </w:rPr>
              <w:t xml:space="preserve">Adverse effects </w:t>
            </w:r>
          </w:p>
          <w:p w14:paraId="5ABC4037" w14:textId="45974892" w:rsidR="00233C01" w:rsidRPr="0098262F" w:rsidRDefault="00421C50" w:rsidP="00421C50">
            <w:pPr>
              <w:pStyle w:val="TableText0"/>
              <w:rPr>
                <w:rFonts w:eastAsia="Times New Roman" w:cs="Arial"/>
                <w:bCs w:val="0"/>
                <w:snapToGrid w:val="0"/>
                <w:color w:val="0066FF"/>
                <w:szCs w:val="20"/>
              </w:rPr>
            </w:pPr>
            <w:r w:rsidRPr="00421C50">
              <w:rPr>
                <w:rFonts w:eastAsia="Times New Roman" w:cs="Arial"/>
                <w:bCs w:val="0"/>
                <w:snapToGrid w:val="0"/>
                <w:szCs w:val="20"/>
              </w:rPr>
              <w:t>Discontinuation/adherence</w:t>
            </w:r>
          </w:p>
        </w:tc>
      </w:tr>
      <w:tr w:rsidR="008B1757" w:rsidRPr="0098262F" w14:paraId="22223890" w14:textId="77777777" w:rsidTr="002A2ADE">
        <w:trPr>
          <w:cantSplit/>
        </w:trPr>
        <w:tc>
          <w:tcPr>
            <w:tcW w:w="924" w:type="pct"/>
            <w:shd w:val="clear" w:color="auto" w:fill="auto"/>
          </w:tcPr>
          <w:p w14:paraId="0FC8FCE0" w14:textId="77777777" w:rsidR="008B1757" w:rsidRPr="0098262F" w:rsidRDefault="008B1757" w:rsidP="004A6040">
            <w:pPr>
              <w:pStyle w:val="TableText0"/>
            </w:pPr>
            <w:r w:rsidRPr="0098262F">
              <w:t>Clinical claim</w:t>
            </w:r>
          </w:p>
        </w:tc>
        <w:tc>
          <w:tcPr>
            <w:tcW w:w="4076" w:type="pct"/>
            <w:shd w:val="clear" w:color="auto" w:fill="auto"/>
          </w:tcPr>
          <w:p w14:paraId="41E26A36" w14:textId="6D7699DE" w:rsidR="00421C50" w:rsidRPr="00421C50" w:rsidRDefault="00421C50" w:rsidP="00421C50">
            <w:pPr>
              <w:pStyle w:val="TableText0"/>
              <w:rPr>
                <w:rFonts w:eastAsia="Times New Roman" w:cs="Arial"/>
                <w:snapToGrid w:val="0"/>
              </w:rPr>
            </w:pPr>
            <w:r>
              <w:rPr>
                <w:rFonts w:eastAsia="SimSun"/>
                <w:color w:val="000000" w:themeColor="text1"/>
              </w:rPr>
              <w:t>E</w:t>
            </w:r>
            <w:r w:rsidRPr="00BD4A2A">
              <w:rPr>
                <w:rFonts w:eastAsia="SimSun"/>
                <w:color w:val="000000" w:themeColor="text1"/>
              </w:rPr>
              <w:t xml:space="preserve">tonogestrel 11.7 mg </w:t>
            </w:r>
            <w:r w:rsidR="00607637">
              <w:rPr>
                <w:rFonts w:eastAsia="SimSun"/>
                <w:color w:val="000000" w:themeColor="text1"/>
              </w:rPr>
              <w:t>with</w:t>
            </w:r>
            <w:r w:rsidR="00607637" w:rsidRPr="00BD4A2A">
              <w:rPr>
                <w:rFonts w:eastAsia="SimSun"/>
                <w:color w:val="000000" w:themeColor="text1"/>
              </w:rPr>
              <w:t xml:space="preserve"> </w:t>
            </w:r>
            <w:r w:rsidRPr="00BD4A2A">
              <w:rPr>
                <w:rFonts w:eastAsia="SimSun"/>
                <w:color w:val="000000" w:themeColor="text1"/>
              </w:rPr>
              <w:t>ethinylestradiol 2.7 mg vaginal ring</w:t>
            </w:r>
            <w:r>
              <w:rPr>
                <w:rFonts w:eastAsia="SimSun"/>
                <w:color w:val="000000" w:themeColor="text1"/>
              </w:rPr>
              <w:t xml:space="preserve"> </w:t>
            </w:r>
            <w:r w:rsidRPr="2D1C9057">
              <w:rPr>
                <w:rFonts w:eastAsia="Times New Roman" w:cs="Arial"/>
                <w:snapToGrid w:val="0"/>
              </w:rPr>
              <w:t>is as effective as DMPA at preventing unintended pregnancies</w:t>
            </w:r>
          </w:p>
          <w:p w14:paraId="2C99C4DE" w14:textId="79F9CB89" w:rsidR="00233C01" w:rsidRPr="0098262F" w:rsidRDefault="00421C50" w:rsidP="00421C50">
            <w:pPr>
              <w:pStyle w:val="TableText0"/>
              <w:rPr>
                <w:rFonts w:eastAsia="Times New Roman" w:cs="Arial"/>
                <w:snapToGrid w:val="0"/>
                <w:color w:val="0066FF"/>
              </w:rPr>
            </w:pPr>
            <w:r>
              <w:rPr>
                <w:rFonts w:eastAsia="SimSun"/>
                <w:color w:val="000000" w:themeColor="text1"/>
              </w:rPr>
              <w:t>E</w:t>
            </w:r>
            <w:r w:rsidRPr="00BD4A2A">
              <w:rPr>
                <w:rFonts w:eastAsia="SimSun"/>
                <w:color w:val="000000" w:themeColor="text1"/>
              </w:rPr>
              <w:t xml:space="preserve">tonogestrel 11.7 mg </w:t>
            </w:r>
            <w:r w:rsidR="00EE10F4">
              <w:rPr>
                <w:rFonts w:eastAsia="SimSun"/>
                <w:color w:val="000000" w:themeColor="text1"/>
              </w:rPr>
              <w:t>with</w:t>
            </w:r>
            <w:r w:rsidRPr="00BD4A2A">
              <w:rPr>
                <w:rFonts w:eastAsia="SimSun"/>
                <w:color w:val="000000" w:themeColor="text1"/>
              </w:rPr>
              <w:t xml:space="preserve"> ethinylestradiol 2.7 mg vaginal ring</w:t>
            </w:r>
            <w:r>
              <w:rPr>
                <w:rFonts w:eastAsia="SimSun"/>
                <w:color w:val="000000" w:themeColor="text1"/>
              </w:rPr>
              <w:t xml:space="preserve"> </w:t>
            </w:r>
            <w:r w:rsidRPr="2D1C9057">
              <w:rPr>
                <w:rFonts w:eastAsia="Times New Roman" w:cs="Arial"/>
                <w:snapToGrid w:val="0"/>
              </w:rPr>
              <w:t>has a similar safety profile to DMPA.</w:t>
            </w:r>
          </w:p>
        </w:tc>
      </w:tr>
    </w:tbl>
    <w:p w14:paraId="527CA7F0" w14:textId="55CF501B" w:rsidR="004E43B2" w:rsidRDefault="008B1757" w:rsidP="004A6040">
      <w:pPr>
        <w:pStyle w:val="FooterTableFigure"/>
      </w:pPr>
      <w:r w:rsidRPr="0098262F">
        <w:t>Source: Table</w:t>
      </w:r>
      <w:r w:rsidR="00421C50">
        <w:t xml:space="preserve"> 1.1.1</w:t>
      </w:r>
      <w:r w:rsidRPr="0098262F">
        <w:t>, p</w:t>
      </w:r>
      <w:r w:rsidR="00421C50">
        <w:t>17</w:t>
      </w:r>
      <w:r w:rsidR="00921FFB">
        <w:t xml:space="preserve"> </w:t>
      </w:r>
      <w:r w:rsidRPr="0098262F">
        <w:t>of the submission</w:t>
      </w:r>
      <w:r w:rsidR="00921FFB">
        <w:t xml:space="preserve"> main body</w:t>
      </w:r>
      <w:r w:rsidR="00421C50">
        <w:t>.</w:t>
      </w:r>
    </w:p>
    <w:p w14:paraId="12EB520B" w14:textId="324A7AD4" w:rsidR="00C1603A" w:rsidRPr="0098262F" w:rsidRDefault="002553E6" w:rsidP="00D51CDD">
      <w:pPr>
        <w:pStyle w:val="FooterTableFigure"/>
      </w:pPr>
      <w:r>
        <w:t>DMPA = d</w:t>
      </w:r>
      <w:r w:rsidRPr="00421C50">
        <w:t>epot medroxyprogesterone acetate</w:t>
      </w:r>
    </w:p>
    <w:p w14:paraId="6B4AB6C2" w14:textId="7F01D731" w:rsidR="005C25FF" w:rsidRPr="0098262F" w:rsidRDefault="005C25FF" w:rsidP="004A6040">
      <w:pPr>
        <w:pStyle w:val="2-SectionHeading"/>
      </w:pPr>
      <w:bookmarkStart w:id="2" w:name="_Toc193454811"/>
      <w:r w:rsidRPr="0098262F">
        <w:t>Background</w:t>
      </w:r>
      <w:bookmarkEnd w:id="2"/>
    </w:p>
    <w:p w14:paraId="2C521D6D" w14:textId="78CF03EE" w:rsidR="005C25FF" w:rsidRPr="0098262F" w:rsidRDefault="005C25FF" w:rsidP="004A6040">
      <w:pPr>
        <w:pStyle w:val="4-SubsectionHeading"/>
      </w:pPr>
      <w:bookmarkStart w:id="3" w:name="_Toc22897638"/>
      <w:bookmarkStart w:id="4" w:name="_Toc193454812"/>
      <w:r w:rsidRPr="0098262F">
        <w:t>Registration status</w:t>
      </w:r>
      <w:bookmarkEnd w:id="3"/>
      <w:bookmarkEnd w:id="4"/>
    </w:p>
    <w:p w14:paraId="5374AD55" w14:textId="4B2D51EA" w:rsidR="005C25FF" w:rsidRDefault="008D3F31" w:rsidP="00755CDE">
      <w:pPr>
        <w:pStyle w:val="3-BodyText"/>
      </w:pPr>
      <w:r>
        <w:t xml:space="preserve">NuvaRing </w:t>
      </w:r>
      <w:r w:rsidR="005C25FF" w:rsidRPr="0098262F">
        <w:t xml:space="preserve">was </w:t>
      </w:r>
      <w:r w:rsidR="0062315A">
        <w:t>Therapeutic Goods Administration (</w:t>
      </w:r>
      <w:r w:rsidR="005C25FF" w:rsidRPr="0098262F">
        <w:t>TGA</w:t>
      </w:r>
      <w:r w:rsidR="0062315A">
        <w:t>)</w:t>
      </w:r>
      <w:r w:rsidR="005C25FF" w:rsidRPr="0098262F">
        <w:t xml:space="preserve"> registered on </w:t>
      </w:r>
      <w:r w:rsidR="00755CDE">
        <w:t>9 July 2008</w:t>
      </w:r>
      <w:r w:rsidR="005C25FF" w:rsidRPr="0098262F">
        <w:t xml:space="preserve"> for </w:t>
      </w:r>
      <w:r w:rsidR="00755CDE">
        <w:t xml:space="preserve">use for contraception. </w:t>
      </w:r>
    </w:p>
    <w:p w14:paraId="3E2A6EAB" w14:textId="469C8C0C" w:rsidR="005C25FF" w:rsidRPr="0098262F" w:rsidRDefault="24AD3B65" w:rsidP="004E18E9">
      <w:pPr>
        <w:pStyle w:val="4-SubsectionHeading"/>
      </w:pPr>
      <w:bookmarkStart w:id="5" w:name="_Toc22897639"/>
      <w:bookmarkStart w:id="6" w:name="_Toc193454813"/>
      <w:r w:rsidRPr="0B5D70EC">
        <w:lastRenderedPageBreak/>
        <w:t>Previous PBAC consideration</w:t>
      </w:r>
      <w:bookmarkEnd w:id="5"/>
      <w:bookmarkEnd w:id="6"/>
    </w:p>
    <w:p w14:paraId="451D7156" w14:textId="545E0212" w:rsidR="005C25FF" w:rsidRDefault="00755CDE" w:rsidP="00DF3662">
      <w:pPr>
        <w:pStyle w:val="3-BodyText"/>
      </w:pPr>
      <w:r w:rsidRPr="00755CDE">
        <w:t>The</w:t>
      </w:r>
      <w:r w:rsidR="0083710E">
        <w:t xml:space="preserve"> Pharmaceutical Benefits Advisory Committee</w:t>
      </w:r>
      <w:r w:rsidRPr="00755CDE">
        <w:t xml:space="preserve"> </w:t>
      </w:r>
      <w:r w:rsidR="0083710E">
        <w:t>(</w:t>
      </w:r>
      <w:r w:rsidRPr="00755CDE">
        <w:t>PBA</w:t>
      </w:r>
      <w:r>
        <w:t>C</w:t>
      </w:r>
      <w:r w:rsidR="0083710E">
        <w:t>)</w:t>
      </w:r>
      <w:r>
        <w:t xml:space="preserve"> </w:t>
      </w:r>
      <w:r w:rsidRPr="00755CDE">
        <w:t>has not previously considered</w:t>
      </w:r>
      <w:r w:rsidR="008D3F31">
        <w:t xml:space="preserve"> a</w:t>
      </w:r>
      <w:r w:rsidR="00595C7B">
        <w:t>n application to list</w:t>
      </w:r>
      <w:r w:rsidRPr="00755CDE">
        <w:t xml:space="preserve"> </w:t>
      </w:r>
      <w:r w:rsidR="005D3953">
        <w:t>CVR</w:t>
      </w:r>
      <w:r w:rsidRPr="00755CDE">
        <w:t xml:space="preserve">. </w:t>
      </w:r>
    </w:p>
    <w:p w14:paraId="3FD6ABB7" w14:textId="5F09DC2C" w:rsidR="00755CDE" w:rsidRDefault="00755CDE" w:rsidP="00DF3662">
      <w:pPr>
        <w:pStyle w:val="3-BodyText"/>
      </w:pPr>
      <w:r>
        <w:t xml:space="preserve">The submission was made in response to an </w:t>
      </w:r>
      <w:r w:rsidR="00E62663">
        <w:t>I</w:t>
      </w:r>
      <w:r>
        <w:t>nquiry into universal access to reproductive health care undertaken by the Senate Community Affairs Reference Committee</w:t>
      </w:r>
      <w:r w:rsidR="00CF6947">
        <w:t>.</w:t>
      </w:r>
      <w:r w:rsidR="00CE3ED4">
        <w:t xml:space="preserve"> </w:t>
      </w:r>
      <w:r w:rsidR="00A725C9">
        <w:t>One recommendation from t</w:t>
      </w:r>
      <w:r w:rsidR="00CF6947">
        <w:t xml:space="preserve">he Report from the </w:t>
      </w:r>
      <w:r w:rsidR="00FD0943">
        <w:t>i</w:t>
      </w:r>
      <w:r w:rsidR="00CF6947">
        <w:t xml:space="preserve">nquiry </w:t>
      </w:r>
      <w:r w:rsidR="00A725C9">
        <w:t xml:space="preserve">was </w:t>
      </w:r>
      <w:r w:rsidR="00CE3ED4" w:rsidRPr="00CE3ED4">
        <w:t>“</w:t>
      </w:r>
      <w:r w:rsidR="00596311">
        <w:t>….that t</w:t>
      </w:r>
      <w:r w:rsidR="00CE3ED4" w:rsidRPr="00CE3ED4">
        <w:t xml:space="preserve">he Department of Health and Aged Care and the Pharmaceutical Benefits Advisory </w:t>
      </w:r>
      <w:r w:rsidR="00CE3ED4" w:rsidRPr="005C3A66">
        <w:t>Council</w:t>
      </w:r>
      <w:r w:rsidR="00A40B4F" w:rsidRPr="005C3A66">
        <w:t xml:space="preserve"> </w:t>
      </w:r>
      <w:r w:rsidR="00FD4FE3" w:rsidRPr="005C3A66">
        <w:t>[</w:t>
      </w:r>
      <w:r w:rsidR="008D3F31" w:rsidRPr="005C3A66">
        <w:t xml:space="preserve">sic; </w:t>
      </w:r>
      <w:r w:rsidR="00A40B4F" w:rsidRPr="005C3A66">
        <w:t>Committee</w:t>
      </w:r>
      <w:r w:rsidR="00FD4FE3" w:rsidRPr="005C3A66">
        <w:t>]</w:t>
      </w:r>
      <w:r w:rsidR="00CE3ED4" w:rsidRPr="005C3A66">
        <w:t xml:space="preserve"> work with the pharmaceutical industry to consider options to improve access to a broader</w:t>
      </w:r>
      <w:r w:rsidR="00CE3ED4" w:rsidRPr="00CE3ED4">
        <w:t xml:space="preserve"> range of hormonal contraceptives that are not currently Pharmaceutical Benefits Scheme subsidised, including newer forms of the </w:t>
      </w:r>
      <w:r w:rsidR="008C588C">
        <w:t>oral contraceptive pill</w:t>
      </w:r>
      <w:r w:rsidR="00973F7C">
        <w:t xml:space="preserve">, the emergency </w:t>
      </w:r>
      <w:r w:rsidR="00A13A89">
        <w:t>oral contraceptive pills</w:t>
      </w:r>
      <w:r w:rsidR="00CE3ED4" w:rsidRPr="00CE3ED4">
        <w:t xml:space="preserve"> and the vaginal ring” (Recommendation 6</w:t>
      </w:r>
      <w:r w:rsidR="00CE3ED4">
        <w:t>)</w:t>
      </w:r>
      <w:r w:rsidR="00DB1842">
        <w:t>.</w:t>
      </w:r>
      <w:r w:rsidR="00E12750">
        <w:rPr>
          <w:rStyle w:val="FootnoteReference"/>
        </w:rPr>
        <w:footnoteReference w:id="2"/>
      </w:r>
    </w:p>
    <w:p w14:paraId="12675751" w14:textId="50E11A16" w:rsidR="0088777B" w:rsidRDefault="686DAE0E" w:rsidP="0B5D70EC">
      <w:pPr>
        <w:pStyle w:val="3-BodyText"/>
      </w:pPr>
      <w:r w:rsidRPr="001F4499">
        <w:t>The PBAC held a</w:t>
      </w:r>
      <w:r w:rsidR="00466376" w:rsidRPr="001F4499">
        <w:t>n Oral Contraceptives</w:t>
      </w:r>
      <w:r w:rsidRPr="001F4499">
        <w:t xml:space="preserve"> Stakeholder Meeting in October 2024, to discuss </w:t>
      </w:r>
      <w:r w:rsidR="00A43EFA" w:rsidRPr="001F4499">
        <w:t xml:space="preserve">evidence available </w:t>
      </w:r>
      <w:r w:rsidR="00EF0A23" w:rsidRPr="001F4499">
        <w:t xml:space="preserve">that may demonstrate </w:t>
      </w:r>
      <w:r w:rsidR="4306C56F" w:rsidRPr="001F4499">
        <w:t xml:space="preserve">the </w:t>
      </w:r>
      <w:r w:rsidR="00AB1E7E" w:rsidRPr="001F4499">
        <w:t xml:space="preserve">additional </w:t>
      </w:r>
      <w:r w:rsidR="4306C56F" w:rsidRPr="001F4499">
        <w:t xml:space="preserve">benefits </w:t>
      </w:r>
      <w:r w:rsidR="00EF0A23" w:rsidRPr="001F4499">
        <w:t xml:space="preserve">of </w:t>
      </w:r>
      <w:r w:rsidRPr="001F4499">
        <w:t>new</w:t>
      </w:r>
      <w:r w:rsidR="4306C56F" w:rsidRPr="001F4499">
        <w:t>er</w:t>
      </w:r>
      <w:r w:rsidR="00743278" w:rsidRPr="001F4499">
        <w:t xml:space="preserve"> oral</w:t>
      </w:r>
      <w:r w:rsidRPr="001F4499">
        <w:t xml:space="preserve"> contraceptives</w:t>
      </w:r>
      <w:r w:rsidR="4306C56F" w:rsidRPr="001F4499">
        <w:t xml:space="preserve"> </w:t>
      </w:r>
      <w:r w:rsidR="004275DC" w:rsidRPr="001F4499">
        <w:t xml:space="preserve">compared to </w:t>
      </w:r>
      <w:r w:rsidR="001A7610" w:rsidRPr="001F4499">
        <w:t>older generation oral contraceptives</w:t>
      </w:r>
      <w:r w:rsidRPr="001F4499">
        <w:t xml:space="preserve">. </w:t>
      </w:r>
      <w:r w:rsidR="000A38F0" w:rsidRPr="001F4499">
        <w:t>It was identified</w:t>
      </w:r>
      <w:r w:rsidR="4306C56F" w:rsidRPr="001F4499">
        <w:t xml:space="preserve"> </w:t>
      </w:r>
      <w:r w:rsidRPr="001F4499">
        <w:t xml:space="preserve">that </w:t>
      </w:r>
      <w:r w:rsidR="00FD0943" w:rsidRPr="001F4499">
        <w:t xml:space="preserve">it is important to </w:t>
      </w:r>
      <w:r w:rsidRPr="001F4499">
        <w:t>hav</w:t>
      </w:r>
      <w:r w:rsidR="00FD0943" w:rsidRPr="001F4499">
        <w:t>e</w:t>
      </w:r>
      <w:r w:rsidRPr="001F4499">
        <w:t xml:space="preserve"> a range of contraceptive options</w:t>
      </w:r>
      <w:r w:rsidR="00A55B8A" w:rsidRPr="001F4499">
        <w:t>, including non-oral options,</w:t>
      </w:r>
      <w:r w:rsidRPr="001F4499">
        <w:t xml:space="preserve"> </w:t>
      </w:r>
      <w:r w:rsidR="4306C56F" w:rsidRPr="001F4499">
        <w:t>so that</w:t>
      </w:r>
      <w:r w:rsidRPr="001F4499">
        <w:t xml:space="preserve"> </w:t>
      </w:r>
      <w:r w:rsidR="14F8E909" w:rsidRPr="001F4499">
        <w:t>a woman</w:t>
      </w:r>
      <w:r w:rsidR="4306C56F" w:rsidRPr="001F4499">
        <w:t xml:space="preserve"> </w:t>
      </w:r>
      <w:r w:rsidR="14F8E909" w:rsidRPr="001F4499">
        <w:t>can choose</w:t>
      </w:r>
      <w:r w:rsidR="4306C56F" w:rsidRPr="001F4499">
        <w:t xml:space="preserve"> </w:t>
      </w:r>
      <w:r w:rsidRPr="001F4499">
        <w:t xml:space="preserve">the most appropriate contraceptive at various points in </w:t>
      </w:r>
      <w:r w:rsidR="14F8E909" w:rsidRPr="001F4499">
        <w:t>her</w:t>
      </w:r>
      <w:r w:rsidRPr="001F4499">
        <w:t xml:space="preserve"> life</w:t>
      </w:r>
      <w:r w:rsidR="003E41E4" w:rsidRPr="001F4499">
        <w:t>.</w:t>
      </w:r>
      <w:r w:rsidRPr="001F4499">
        <w:t xml:space="preserve"> </w:t>
      </w:r>
      <w:r w:rsidR="002D264D" w:rsidRPr="001F4499">
        <w:t xml:space="preserve">It was also noted </w:t>
      </w:r>
      <w:r w:rsidRPr="001F4499">
        <w:t xml:space="preserve">that </w:t>
      </w:r>
      <w:r w:rsidR="4306C56F" w:rsidRPr="001F4499">
        <w:t xml:space="preserve">there are </w:t>
      </w:r>
      <w:r w:rsidR="00791A00" w:rsidRPr="001F4499">
        <w:t xml:space="preserve">some </w:t>
      </w:r>
      <w:r w:rsidRPr="001F4499">
        <w:t xml:space="preserve">circumstances in </w:t>
      </w:r>
      <w:r w:rsidR="4306C56F" w:rsidRPr="001F4499">
        <w:t xml:space="preserve">which a CVR </w:t>
      </w:r>
      <w:r w:rsidRPr="001F4499">
        <w:t xml:space="preserve">may be preferable to </w:t>
      </w:r>
      <w:r w:rsidR="4306C56F" w:rsidRPr="001F4499">
        <w:t>combined oral contraceptives (COC</w:t>
      </w:r>
      <w:r w:rsidRPr="001F4499">
        <w:t>s</w:t>
      </w:r>
      <w:r w:rsidR="4306C56F" w:rsidRPr="001F4499">
        <w:t>)</w:t>
      </w:r>
      <w:r w:rsidRPr="001F4499">
        <w:t>.</w:t>
      </w:r>
      <w:r w:rsidR="002D26B0" w:rsidRPr="001F4499">
        <w:rPr>
          <w:rStyle w:val="FootnoteReference"/>
        </w:rPr>
        <w:footnoteReference w:id="3"/>
      </w:r>
    </w:p>
    <w:p w14:paraId="6A93BC3B" w14:textId="619B6BAC" w:rsidR="0080043C" w:rsidRPr="0080043C" w:rsidRDefault="0080043C" w:rsidP="0080043C">
      <w:pPr>
        <w:pStyle w:val="3-BodyText"/>
        <w:numPr>
          <w:ilvl w:val="0"/>
          <w:numId w:val="0"/>
        </w:numPr>
        <w:ind w:left="720"/>
        <w:rPr>
          <w:i/>
          <w:iCs/>
        </w:rPr>
      </w:pPr>
      <w:r w:rsidRPr="0080043C">
        <w:rPr>
          <w:i/>
          <w:iCs/>
        </w:rPr>
        <w:t>For more detail on PBAC’s view, see section 7 PBAC outcome.</w:t>
      </w:r>
    </w:p>
    <w:p w14:paraId="76E4EF3C" w14:textId="7580EDA4" w:rsidR="00B60939" w:rsidRDefault="00B50DB8" w:rsidP="004E18E9">
      <w:pPr>
        <w:pStyle w:val="2-SectionHeading"/>
      </w:pPr>
      <w:bookmarkStart w:id="7" w:name="_Toc107902078"/>
      <w:bookmarkStart w:id="8" w:name="_Toc193454814"/>
      <w:bookmarkEnd w:id="7"/>
      <w:r w:rsidRPr="0098262F">
        <w:t>Requested listing</w:t>
      </w:r>
      <w:bookmarkEnd w:id="8"/>
    </w:p>
    <w:p w14:paraId="4D71CD47" w14:textId="64A0F5AA" w:rsidR="00114E09" w:rsidRDefault="00CE3ED4" w:rsidP="00DF3662">
      <w:pPr>
        <w:pStyle w:val="3-BodyText"/>
      </w:pPr>
      <w:bookmarkStart w:id="9" w:name="_Ref193120973"/>
      <w:r>
        <w:t xml:space="preserve">The </w:t>
      </w:r>
      <w:r w:rsidR="00BC33CD">
        <w:t xml:space="preserve">submission </w:t>
      </w:r>
      <w:r>
        <w:t xml:space="preserve">requested </w:t>
      </w:r>
      <w:r w:rsidR="00BC33CD">
        <w:t>the following new listing</w:t>
      </w:r>
      <w:r w:rsidR="00D2136C">
        <w:t>:</w:t>
      </w:r>
      <w:r w:rsidR="00BC33CD">
        <w:t xml:space="preserve"> </w:t>
      </w:r>
      <w:bookmarkEnd w:id="9"/>
    </w:p>
    <w:p w14:paraId="1B6CA2C6" w14:textId="34FC7D13" w:rsidR="00114E09" w:rsidRPr="00D00774" w:rsidRDefault="00114E09" w:rsidP="00114E09">
      <w:pPr>
        <w:spacing w:after="120"/>
        <w:rPr>
          <w:rFonts w:eastAsia="Calibri" w:cs="Calibri"/>
          <w:lang w:eastAsia="en-US"/>
        </w:rPr>
      </w:pPr>
      <w:r w:rsidRPr="00D00774">
        <w:rPr>
          <w:rFonts w:eastAsia="Calibri" w:cs="Calibri"/>
          <w:lang w:eastAsia="en-US"/>
        </w:rPr>
        <w:t>Suggest</w:t>
      </w:r>
      <w:r w:rsidR="007E00CD">
        <w:rPr>
          <w:rFonts w:eastAsia="Calibri" w:cs="Calibri"/>
          <w:lang w:eastAsia="en-US"/>
        </w:rPr>
        <w:t xml:space="preserve">ions and </w:t>
      </w:r>
      <w:r w:rsidRPr="00D00774">
        <w:rPr>
          <w:rFonts w:eastAsia="Calibri" w:cs="Calibri"/>
          <w:lang w:eastAsia="en-US"/>
        </w:rPr>
        <w:t>additions</w:t>
      </w:r>
      <w:r w:rsidR="007E00CD">
        <w:rPr>
          <w:rFonts w:eastAsia="Calibri" w:cs="Calibri"/>
          <w:lang w:eastAsia="en-US"/>
        </w:rPr>
        <w:t xml:space="preserve"> proposed by the Secretariat</w:t>
      </w:r>
      <w:r w:rsidRPr="00D00774">
        <w:rPr>
          <w:rFonts w:eastAsia="Calibri" w:cs="Calibri"/>
          <w:lang w:eastAsia="en-US"/>
        </w:rPr>
        <w:t xml:space="preserve"> are</w:t>
      </w:r>
      <w:r w:rsidR="007E00CD">
        <w:rPr>
          <w:rFonts w:eastAsia="Calibri" w:cs="Calibri"/>
          <w:lang w:eastAsia="en-US"/>
        </w:rPr>
        <w:t xml:space="preserve"> added</w:t>
      </w:r>
      <w:r w:rsidRPr="00D00774">
        <w:rPr>
          <w:rFonts w:eastAsia="Calibri" w:cs="Calibri"/>
          <w:lang w:eastAsia="en-US"/>
        </w:rPr>
        <w:t xml:space="preserve"> in </w:t>
      </w:r>
      <w:r w:rsidRPr="00D00774">
        <w:rPr>
          <w:rFonts w:eastAsia="Calibri" w:cs="Calibri"/>
          <w:iCs/>
          <w:lang w:eastAsia="en-US"/>
        </w:rPr>
        <w:t>italics</w:t>
      </w:r>
      <w:r w:rsidRPr="00D00774">
        <w:rPr>
          <w:rFonts w:eastAsia="Calibri" w:cs="Calibri"/>
          <w:lang w:eastAsia="en-US"/>
        </w:rPr>
        <w:t xml:space="preserve"> and </w:t>
      </w:r>
      <w:r w:rsidR="009400AC">
        <w:rPr>
          <w:rFonts w:eastAsia="Calibri" w:cs="Calibri"/>
          <w:lang w:eastAsia="en-US"/>
        </w:rPr>
        <w:t xml:space="preserve">suggested </w:t>
      </w:r>
      <w:r w:rsidRPr="00D00774">
        <w:rPr>
          <w:rFonts w:eastAsia="Calibri" w:cs="Calibri"/>
          <w:lang w:eastAsia="en-US"/>
        </w:rPr>
        <w:t>deletions are</w:t>
      </w:r>
      <w:r w:rsidR="009400AC">
        <w:rPr>
          <w:rFonts w:eastAsia="Calibri" w:cs="Calibri"/>
          <w:lang w:eastAsia="en-US"/>
        </w:rPr>
        <w:t xml:space="preserve"> crossed out</w:t>
      </w:r>
      <w:r w:rsidRPr="00D00774">
        <w:rPr>
          <w:rFonts w:eastAsia="Calibri" w:cs="Calibri"/>
          <w:lang w:eastAsia="en-US"/>
        </w:rPr>
        <w:t xml:space="preserv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11"/>
        <w:gridCol w:w="812"/>
        <w:gridCol w:w="811"/>
        <w:gridCol w:w="812"/>
        <w:gridCol w:w="1824"/>
        <w:gridCol w:w="7"/>
      </w:tblGrid>
      <w:tr w:rsidR="00114E09" w:rsidRPr="00D00774" w14:paraId="0FB86CB2" w14:textId="77777777" w:rsidTr="0068400B">
        <w:trPr>
          <w:cantSplit/>
          <w:trHeight w:val="20"/>
        </w:trPr>
        <w:tc>
          <w:tcPr>
            <w:tcW w:w="3940" w:type="dxa"/>
            <w:vAlign w:val="center"/>
          </w:tcPr>
          <w:p w14:paraId="31AD4685" w14:textId="77777777" w:rsidR="00114E09" w:rsidRPr="00D00774" w:rsidRDefault="00114E09" w:rsidP="00E242A4">
            <w:pPr>
              <w:keepLines/>
              <w:jc w:val="left"/>
              <w:rPr>
                <w:rFonts w:ascii="Arial Narrow" w:eastAsia="Calibri" w:hAnsi="Arial Narrow"/>
                <w:b/>
                <w:bCs/>
                <w:sz w:val="20"/>
                <w:szCs w:val="20"/>
                <w:lang w:eastAsia="en-US"/>
              </w:rPr>
            </w:pPr>
            <w:r w:rsidRPr="00D00774">
              <w:rPr>
                <w:rFonts w:ascii="Arial Narrow" w:eastAsia="Calibri" w:hAnsi="Arial Narrow"/>
                <w:b/>
                <w:bCs/>
                <w:sz w:val="20"/>
                <w:szCs w:val="20"/>
                <w:lang w:eastAsia="en-US"/>
              </w:rPr>
              <w:t>MEDICINAL PRODUCT</w:t>
            </w:r>
          </w:p>
          <w:p w14:paraId="5F7725D2" w14:textId="77777777" w:rsidR="00114E09" w:rsidRPr="00D00774" w:rsidRDefault="00114E09" w:rsidP="00E242A4">
            <w:pPr>
              <w:keepLines/>
              <w:jc w:val="left"/>
              <w:rPr>
                <w:rFonts w:ascii="Arial Narrow" w:eastAsia="Calibri" w:hAnsi="Arial Narrow"/>
                <w:b/>
                <w:sz w:val="20"/>
                <w:szCs w:val="20"/>
                <w:lang w:eastAsia="en-US"/>
              </w:rPr>
            </w:pPr>
            <w:r w:rsidRPr="00D00774">
              <w:rPr>
                <w:rFonts w:ascii="Arial Narrow" w:eastAsia="Calibri" w:hAnsi="Arial Narrow"/>
                <w:b/>
                <w:bCs/>
                <w:sz w:val="20"/>
                <w:szCs w:val="20"/>
                <w:lang w:eastAsia="en-US"/>
              </w:rPr>
              <w:t>medicinal product pack</w:t>
            </w:r>
          </w:p>
        </w:tc>
        <w:tc>
          <w:tcPr>
            <w:tcW w:w="811" w:type="dxa"/>
            <w:vAlign w:val="center"/>
          </w:tcPr>
          <w:p w14:paraId="78F2CA65" w14:textId="77777777" w:rsidR="00114E09" w:rsidRPr="00D00774" w:rsidRDefault="00114E09" w:rsidP="00E242A4">
            <w:pPr>
              <w:keepLines/>
              <w:jc w:val="center"/>
              <w:rPr>
                <w:rFonts w:ascii="Arial Narrow" w:eastAsia="Calibri" w:hAnsi="Arial Narrow"/>
                <w:b/>
                <w:sz w:val="20"/>
                <w:szCs w:val="20"/>
                <w:lang w:eastAsia="en-US"/>
              </w:rPr>
            </w:pPr>
            <w:r w:rsidRPr="00D00774">
              <w:rPr>
                <w:rFonts w:ascii="Arial Narrow" w:eastAsia="Calibri" w:hAnsi="Arial Narrow"/>
                <w:b/>
                <w:sz w:val="20"/>
                <w:szCs w:val="20"/>
                <w:lang w:eastAsia="en-US"/>
              </w:rPr>
              <w:t>PBS item code</w:t>
            </w:r>
          </w:p>
        </w:tc>
        <w:tc>
          <w:tcPr>
            <w:tcW w:w="812" w:type="dxa"/>
            <w:vAlign w:val="center"/>
          </w:tcPr>
          <w:p w14:paraId="154B6E1E" w14:textId="77777777" w:rsidR="00114E09" w:rsidRPr="00D00774" w:rsidRDefault="00114E09" w:rsidP="00E242A4">
            <w:pPr>
              <w:keepLines/>
              <w:jc w:val="center"/>
              <w:rPr>
                <w:rFonts w:ascii="Arial Narrow" w:eastAsia="Calibri" w:hAnsi="Arial Narrow"/>
                <w:b/>
                <w:sz w:val="20"/>
                <w:szCs w:val="20"/>
                <w:lang w:eastAsia="en-US"/>
              </w:rPr>
            </w:pPr>
            <w:r w:rsidRPr="00D00774">
              <w:rPr>
                <w:rFonts w:ascii="Arial Narrow" w:eastAsia="Calibri" w:hAnsi="Arial Narrow"/>
                <w:b/>
                <w:sz w:val="20"/>
                <w:szCs w:val="20"/>
                <w:lang w:eastAsia="en-US"/>
              </w:rPr>
              <w:t>Max. qty packs</w:t>
            </w:r>
          </w:p>
        </w:tc>
        <w:tc>
          <w:tcPr>
            <w:tcW w:w="811" w:type="dxa"/>
            <w:vAlign w:val="center"/>
          </w:tcPr>
          <w:p w14:paraId="09CC3E42" w14:textId="77777777" w:rsidR="00114E09" w:rsidRPr="00D00774" w:rsidRDefault="00114E09" w:rsidP="00E242A4">
            <w:pPr>
              <w:keepLines/>
              <w:jc w:val="center"/>
              <w:rPr>
                <w:rFonts w:ascii="Arial Narrow" w:eastAsia="Calibri" w:hAnsi="Arial Narrow"/>
                <w:b/>
                <w:sz w:val="20"/>
                <w:szCs w:val="20"/>
                <w:lang w:eastAsia="en-US"/>
              </w:rPr>
            </w:pPr>
            <w:r w:rsidRPr="00D00774">
              <w:rPr>
                <w:rFonts w:ascii="Arial Narrow" w:eastAsia="Calibri" w:hAnsi="Arial Narrow"/>
                <w:b/>
                <w:sz w:val="20"/>
                <w:szCs w:val="20"/>
                <w:lang w:eastAsia="en-US"/>
              </w:rPr>
              <w:t>Max. qty units</w:t>
            </w:r>
          </w:p>
        </w:tc>
        <w:tc>
          <w:tcPr>
            <w:tcW w:w="812" w:type="dxa"/>
            <w:vAlign w:val="center"/>
          </w:tcPr>
          <w:p w14:paraId="7B7D16C8" w14:textId="77777777" w:rsidR="00114E09" w:rsidRPr="00D00774" w:rsidRDefault="00114E09" w:rsidP="00E242A4">
            <w:pPr>
              <w:keepLines/>
              <w:jc w:val="center"/>
              <w:rPr>
                <w:rFonts w:ascii="Arial Narrow" w:eastAsia="Calibri" w:hAnsi="Arial Narrow"/>
                <w:b/>
                <w:bCs/>
                <w:sz w:val="20"/>
                <w:szCs w:val="20"/>
                <w:lang w:eastAsia="en-US"/>
              </w:rPr>
            </w:pPr>
            <w:r w:rsidRPr="00D00774">
              <w:rPr>
                <w:rFonts w:ascii="Arial Narrow" w:eastAsia="Calibri" w:hAnsi="Arial Narrow"/>
                <w:b/>
                <w:bCs/>
                <w:sz w:val="20"/>
                <w:szCs w:val="20"/>
                <w:lang w:eastAsia="en-US"/>
              </w:rPr>
              <w:t>№.of</w:t>
            </w:r>
          </w:p>
          <w:p w14:paraId="08DFE853" w14:textId="77777777" w:rsidR="00114E09" w:rsidRPr="00D00774" w:rsidRDefault="00114E09" w:rsidP="00E242A4">
            <w:pPr>
              <w:keepLines/>
              <w:jc w:val="center"/>
              <w:rPr>
                <w:rFonts w:ascii="Arial Narrow" w:eastAsia="Calibri" w:hAnsi="Arial Narrow"/>
                <w:b/>
                <w:bCs/>
                <w:sz w:val="20"/>
                <w:szCs w:val="20"/>
                <w:lang w:eastAsia="en-US"/>
              </w:rPr>
            </w:pPr>
            <w:proofErr w:type="spellStart"/>
            <w:r w:rsidRPr="00D00774">
              <w:rPr>
                <w:rFonts w:ascii="Arial Narrow" w:eastAsia="Calibri" w:hAnsi="Arial Narrow"/>
                <w:b/>
                <w:bCs/>
                <w:sz w:val="20"/>
                <w:szCs w:val="20"/>
                <w:lang w:eastAsia="en-US"/>
              </w:rPr>
              <w:t>Rpts</w:t>
            </w:r>
            <w:proofErr w:type="spellEnd"/>
          </w:p>
        </w:tc>
        <w:tc>
          <w:tcPr>
            <w:tcW w:w="1831" w:type="dxa"/>
            <w:gridSpan w:val="2"/>
            <w:vAlign w:val="center"/>
          </w:tcPr>
          <w:p w14:paraId="10E080C3" w14:textId="77777777" w:rsidR="00114E09" w:rsidRPr="00D00774" w:rsidRDefault="00114E09" w:rsidP="00E242A4">
            <w:pPr>
              <w:keepLines/>
              <w:jc w:val="left"/>
              <w:rPr>
                <w:rFonts w:ascii="Arial Narrow" w:eastAsia="Calibri" w:hAnsi="Arial Narrow"/>
                <w:b/>
                <w:sz w:val="20"/>
                <w:szCs w:val="20"/>
                <w:lang w:val="fr-FR" w:eastAsia="en-US"/>
              </w:rPr>
            </w:pPr>
            <w:r w:rsidRPr="00D00774">
              <w:rPr>
                <w:rFonts w:ascii="Arial Narrow" w:eastAsia="Calibri" w:hAnsi="Arial Narrow"/>
                <w:b/>
                <w:sz w:val="20"/>
                <w:szCs w:val="20"/>
                <w:lang w:eastAsia="en-US"/>
              </w:rPr>
              <w:t>Available brands</w:t>
            </w:r>
          </w:p>
        </w:tc>
      </w:tr>
      <w:tr w:rsidR="00114E09" w:rsidRPr="00D00774" w14:paraId="626876EC" w14:textId="77777777" w:rsidTr="0068400B">
        <w:trPr>
          <w:cantSplit/>
          <w:trHeight w:val="20"/>
        </w:trPr>
        <w:tc>
          <w:tcPr>
            <w:tcW w:w="9017" w:type="dxa"/>
            <w:gridSpan w:val="7"/>
            <w:vAlign w:val="center"/>
          </w:tcPr>
          <w:p w14:paraId="312E9074" w14:textId="77777777" w:rsidR="00114E09" w:rsidRPr="00D00774" w:rsidRDefault="00114E09" w:rsidP="00E242A4">
            <w:pPr>
              <w:keepLines/>
              <w:jc w:val="left"/>
              <w:rPr>
                <w:rFonts w:ascii="Arial Narrow" w:eastAsia="Calibri" w:hAnsi="Arial Narrow"/>
                <w:sz w:val="20"/>
                <w:szCs w:val="20"/>
                <w:lang w:eastAsia="en-US"/>
              </w:rPr>
            </w:pPr>
            <w:r w:rsidRPr="00D00774">
              <w:rPr>
                <w:rFonts w:ascii="Arial Narrow" w:eastAsia="Calibri" w:hAnsi="Arial Narrow"/>
                <w:bCs/>
                <w:sz w:val="20"/>
                <w:szCs w:val="20"/>
                <w:lang w:eastAsia="en-US"/>
              </w:rPr>
              <w:t>ETONOGESTREL + ETHINYLESTRADIOL</w:t>
            </w:r>
          </w:p>
        </w:tc>
      </w:tr>
      <w:tr w:rsidR="00114E09" w:rsidRPr="00D00774" w14:paraId="5FC9F87E" w14:textId="77777777" w:rsidTr="0068400B">
        <w:trPr>
          <w:cantSplit/>
          <w:trHeight w:val="20"/>
        </w:trPr>
        <w:tc>
          <w:tcPr>
            <w:tcW w:w="3940" w:type="dxa"/>
            <w:vAlign w:val="center"/>
          </w:tcPr>
          <w:p w14:paraId="5CA73232" w14:textId="77777777" w:rsidR="00114E09" w:rsidRPr="00D00774" w:rsidRDefault="00114E09" w:rsidP="00E242A4">
            <w:pPr>
              <w:keepLines/>
              <w:jc w:val="left"/>
              <w:rPr>
                <w:rFonts w:ascii="Arial Narrow" w:eastAsia="Calibri" w:hAnsi="Arial Narrow"/>
                <w:sz w:val="20"/>
                <w:szCs w:val="20"/>
                <w:lang w:eastAsia="en-US"/>
              </w:rPr>
            </w:pPr>
            <w:r w:rsidRPr="00D00774">
              <w:rPr>
                <w:rFonts w:ascii="Arial Narrow" w:eastAsia="Calibri" w:hAnsi="Arial Narrow"/>
                <w:sz w:val="20"/>
                <w:szCs w:val="20"/>
                <w:lang w:eastAsia="en-US"/>
              </w:rPr>
              <w:t>etonogestrel 120 microgram/24 hours + ethinylestradiol 15 microgram/24 hours vaginal drug delivery system, 3 rings</w:t>
            </w:r>
          </w:p>
        </w:tc>
        <w:tc>
          <w:tcPr>
            <w:tcW w:w="811" w:type="dxa"/>
            <w:vAlign w:val="center"/>
          </w:tcPr>
          <w:p w14:paraId="153D88AD" w14:textId="77777777" w:rsidR="00114E09" w:rsidRPr="00D00774" w:rsidRDefault="00114E09" w:rsidP="00E242A4">
            <w:pPr>
              <w:keepLines/>
              <w:jc w:val="center"/>
              <w:rPr>
                <w:rFonts w:ascii="Arial Narrow" w:eastAsia="Calibri" w:hAnsi="Arial Narrow"/>
                <w:sz w:val="20"/>
                <w:szCs w:val="20"/>
                <w:lang w:eastAsia="en-US"/>
              </w:rPr>
            </w:pPr>
            <w:r w:rsidRPr="00D00774">
              <w:rPr>
                <w:rFonts w:ascii="Arial Narrow" w:eastAsia="Calibri" w:hAnsi="Arial Narrow"/>
                <w:sz w:val="20"/>
                <w:szCs w:val="20"/>
                <w:lang w:eastAsia="en-US"/>
              </w:rPr>
              <w:t>NEW</w:t>
            </w:r>
          </w:p>
          <w:p w14:paraId="74B10686" w14:textId="4FE3F01C" w:rsidR="00114E09" w:rsidRPr="00D00774" w:rsidRDefault="00114E09" w:rsidP="00E242A4">
            <w:pPr>
              <w:keepLines/>
              <w:jc w:val="center"/>
              <w:rPr>
                <w:rFonts w:ascii="Arial Narrow" w:eastAsia="Calibri" w:hAnsi="Arial Narrow"/>
                <w:sz w:val="14"/>
                <w:szCs w:val="14"/>
                <w:lang w:eastAsia="en-US"/>
              </w:rPr>
            </w:pPr>
            <w:r w:rsidRPr="00D00774">
              <w:rPr>
                <w:rFonts w:ascii="Arial Narrow" w:eastAsia="Calibri" w:hAnsi="Arial Narrow"/>
                <w:sz w:val="14"/>
                <w:szCs w:val="14"/>
                <w:lang w:eastAsia="en-US"/>
              </w:rPr>
              <w:t>MP NP M</w:t>
            </w:r>
            <w:r w:rsidR="007E4BC4">
              <w:rPr>
                <w:rFonts w:ascii="Arial Narrow" w:eastAsia="Calibri" w:hAnsi="Arial Narrow"/>
                <w:sz w:val="14"/>
                <w:szCs w:val="14"/>
                <w:lang w:eastAsia="en-US"/>
              </w:rPr>
              <w:t>W</w:t>
            </w:r>
          </w:p>
        </w:tc>
        <w:tc>
          <w:tcPr>
            <w:tcW w:w="812" w:type="dxa"/>
            <w:vAlign w:val="center"/>
          </w:tcPr>
          <w:p w14:paraId="46542CEE" w14:textId="77777777" w:rsidR="00114E09" w:rsidRPr="00D00774" w:rsidRDefault="00114E09" w:rsidP="00E242A4">
            <w:pPr>
              <w:keepLines/>
              <w:jc w:val="center"/>
              <w:rPr>
                <w:rFonts w:ascii="Arial Narrow" w:eastAsia="Calibri" w:hAnsi="Arial Narrow"/>
                <w:sz w:val="20"/>
                <w:szCs w:val="20"/>
                <w:lang w:eastAsia="en-US"/>
              </w:rPr>
            </w:pPr>
            <w:r w:rsidRPr="00D00774">
              <w:rPr>
                <w:rFonts w:ascii="Arial Narrow" w:eastAsia="Calibri" w:hAnsi="Arial Narrow"/>
                <w:sz w:val="20"/>
                <w:szCs w:val="20"/>
                <w:lang w:eastAsia="en-US"/>
              </w:rPr>
              <w:t>1</w:t>
            </w:r>
          </w:p>
        </w:tc>
        <w:tc>
          <w:tcPr>
            <w:tcW w:w="811" w:type="dxa"/>
            <w:vAlign w:val="center"/>
          </w:tcPr>
          <w:p w14:paraId="264C6FD1" w14:textId="77777777" w:rsidR="00114E09" w:rsidRPr="00D00774" w:rsidRDefault="00114E09" w:rsidP="00E242A4">
            <w:pPr>
              <w:keepLines/>
              <w:jc w:val="center"/>
              <w:rPr>
                <w:rFonts w:ascii="Arial Narrow" w:eastAsia="Calibri" w:hAnsi="Arial Narrow"/>
                <w:sz w:val="20"/>
                <w:szCs w:val="20"/>
                <w:lang w:eastAsia="en-US"/>
              </w:rPr>
            </w:pPr>
            <w:r w:rsidRPr="00D00774">
              <w:rPr>
                <w:rFonts w:ascii="Arial Narrow" w:eastAsia="Calibri" w:hAnsi="Arial Narrow"/>
                <w:sz w:val="20"/>
                <w:szCs w:val="20"/>
                <w:lang w:eastAsia="en-US"/>
              </w:rPr>
              <w:t>3</w:t>
            </w:r>
          </w:p>
        </w:tc>
        <w:tc>
          <w:tcPr>
            <w:tcW w:w="812" w:type="dxa"/>
            <w:vAlign w:val="center"/>
          </w:tcPr>
          <w:p w14:paraId="5D6A7818" w14:textId="77777777" w:rsidR="00114E09" w:rsidRPr="00D00774" w:rsidRDefault="00114E09" w:rsidP="00E242A4">
            <w:pPr>
              <w:keepLines/>
              <w:jc w:val="center"/>
              <w:rPr>
                <w:rFonts w:ascii="Arial Narrow" w:eastAsia="Calibri" w:hAnsi="Arial Narrow"/>
                <w:sz w:val="20"/>
                <w:szCs w:val="20"/>
                <w:lang w:eastAsia="en-US"/>
              </w:rPr>
            </w:pPr>
            <w:r w:rsidRPr="00D00774">
              <w:rPr>
                <w:rFonts w:ascii="Arial Narrow" w:eastAsia="Calibri" w:hAnsi="Arial Narrow"/>
                <w:sz w:val="20"/>
                <w:szCs w:val="20"/>
                <w:lang w:eastAsia="en-US"/>
              </w:rPr>
              <w:t>3</w:t>
            </w:r>
          </w:p>
        </w:tc>
        <w:tc>
          <w:tcPr>
            <w:tcW w:w="1831" w:type="dxa"/>
            <w:gridSpan w:val="2"/>
            <w:vAlign w:val="center"/>
          </w:tcPr>
          <w:p w14:paraId="588E2262" w14:textId="77777777" w:rsidR="00114E09" w:rsidRPr="00D00774" w:rsidRDefault="00114E09" w:rsidP="00E242A4">
            <w:pPr>
              <w:keepLines/>
              <w:jc w:val="left"/>
              <w:rPr>
                <w:rFonts w:ascii="Arial Narrow" w:eastAsia="Calibri" w:hAnsi="Arial Narrow"/>
                <w:sz w:val="20"/>
                <w:szCs w:val="20"/>
                <w:lang w:eastAsia="en-US"/>
              </w:rPr>
            </w:pPr>
            <w:r w:rsidRPr="00D00774">
              <w:rPr>
                <w:rFonts w:ascii="Arial Narrow" w:eastAsia="Calibri" w:hAnsi="Arial Narrow"/>
                <w:sz w:val="20"/>
                <w:szCs w:val="20"/>
                <w:lang w:eastAsia="en-US"/>
              </w:rPr>
              <w:t>NuvaRing</w:t>
            </w:r>
          </w:p>
        </w:tc>
      </w:tr>
      <w:tr w:rsidR="00114E09" w:rsidRPr="00D00774" w14:paraId="09DBC8E0" w14:textId="77777777" w:rsidTr="0068400B">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624EF361" w14:textId="77777777" w:rsidR="00114E09" w:rsidRPr="00D00774" w:rsidRDefault="00114E09" w:rsidP="00E242A4">
            <w:pPr>
              <w:jc w:val="left"/>
              <w:rPr>
                <w:rFonts w:ascii="Arial Narrow" w:eastAsia="Calibri" w:hAnsi="Arial Narrow"/>
                <w:sz w:val="20"/>
                <w:szCs w:val="20"/>
                <w:lang w:eastAsia="en-US"/>
              </w:rPr>
            </w:pPr>
          </w:p>
        </w:tc>
      </w:tr>
      <w:tr w:rsidR="00114E09" w:rsidRPr="00D00774" w14:paraId="13D5DBA4" w14:textId="77777777" w:rsidTr="0068400B">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4FB5FDC9" w14:textId="77777777" w:rsidR="00114E09" w:rsidRPr="00D00774" w:rsidRDefault="00114E09" w:rsidP="00E242A4">
            <w:pPr>
              <w:keepLines/>
              <w:jc w:val="left"/>
              <w:rPr>
                <w:rFonts w:ascii="Arial Narrow" w:eastAsia="Calibri" w:hAnsi="Arial Narrow"/>
                <w:b/>
                <w:sz w:val="20"/>
                <w:szCs w:val="20"/>
                <w:lang w:eastAsia="en-US"/>
              </w:rPr>
            </w:pPr>
            <w:r w:rsidRPr="00D00774">
              <w:rPr>
                <w:rFonts w:ascii="Arial Narrow" w:eastAsia="Calibri" w:hAnsi="Arial Narrow" w:cs="Times New Roman"/>
                <w:b/>
                <w:sz w:val="20"/>
                <w:szCs w:val="20"/>
                <w:lang w:eastAsia="en-US"/>
              </w:rPr>
              <w:lastRenderedPageBreak/>
              <w:t>Restriction Summary [new1]</w:t>
            </w:r>
            <w:r w:rsidRPr="00D00774">
              <w:rPr>
                <w:rFonts w:ascii="Arial Narrow" w:eastAsia="Calibri" w:hAnsi="Arial Narrow" w:cs="Times New Roman"/>
                <w:b/>
                <w:color w:val="FF0000"/>
                <w:sz w:val="20"/>
                <w:szCs w:val="20"/>
                <w:lang w:eastAsia="en-US"/>
              </w:rPr>
              <w:t xml:space="preserve"> </w:t>
            </w:r>
            <w:r w:rsidRPr="00D00774">
              <w:rPr>
                <w:rFonts w:ascii="Arial Narrow" w:eastAsia="Calibri" w:hAnsi="Arial Narrow" w:cs="Times New Roman"/>
                <w:b/>
                <w:sz w:val="20"/>
                <w:szCs w:val="20"/>
                <w:lang w:eastAsia="en-US"/>
              </w:rPr>
              <w:t>/ Treatment of Concept: [new1A]</w:t>
            </w:r>
          </w:p>
        </w:tc>
      </w:tr>
      <w:tr w:rsidR="0068400B" w:rsidRPr="00D00774" w14:paraId="38648411" w14:textId="77777777" w:rsidTr="0068400B">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5ED1F9AE" w14:textId="77777777" w:rsidR="0068400B" w:rsidRPr="00D00774" w:rsidRDefault="0068400B" w:rsidP="00E242A4">
            <w:pPr>
              <w:keepLines/>
              <w:jc w:val="left"/>
              <w:rPr>
                <w:rFonts w:ascii="Arial Narrow" w:eastAsia="Calibri" w:hAnsi="Arial Narrow"/>
                <w:sz w:val="20"/>
                <w:szCs w:val="20"/>
                <w:lang w:eastAsia="en-US"/>
              </w:rPr>
            </w:pPr>
            <w:r w:rsidRPr="00D00774">
              <w:rPr>
                <w:rFonts w:ascii="Arial Narrow" w:eastAsia="Calibri" w:hAnsi="Arial Narrow"/>
                <w:b/>
                <w:sz w:val="20"/>
                <w:szCs w:val="20"/>
                <w:lang w:eastAsia="en-US"/>
              </w:rPr>
              <w:t>Category / Program:</w:t>
            </w:r>
            <w:r w:rsidRPr="00D00774">
              <w:rPr>
                <w:rFonts w:ascii="Arial Narrow" w:eastAsia="Calibri" w:hAnsi="Arial Narrow"/>
                <w:color w:val="FF0000"/>
                <w:sz w:val="20"/>
                <w:szCs w:val="20"/>
                <w:lang w:eastAsia="en-US"/>
              </w:rPr>
              <w:t xml:space="preserve"> </w:t>
            </w:r>
            <w:r w:rsidRPr="00D00774">
              <w:rPr>
                <w:rFonts w:ascii="Arial Narrow" w:eastAsia="Calibri" w:hAnsi="Arial Narrow"/>
                <w:sz w:val="20"/>
                <w:szCs w:val="20"/>
                <w:lang w:eastAsia="en-US"/>
              </w:rPr>
              <w:fldChar w:fldCharType="begin">
                <w:ffData>
                  <w:name w:val="Check1"/>
                  <w:enabled/>
                  <w:calcOnExit w:val="0"/>
                  <w:checkBox>
                    <w:sizeAuto/>
                    <w:default w:val="1"/>
                  </w:checkBox>
                </w:ffData>
              </w:fldChar>
            </w:r>
            <w:r w:rsidRPr="00D00774">
              <w:rPr>
                <w:rFonts w:ascii="Arial Narrow" w:eastAsia="Calibri" w:hAnsi="Arial Narrow"/>
                <w:sz w:val="20"/>
                <w:szCs w:val="20"/>
                <w:lang w:eastAsia="en-US"/>
              </w:rPr>
              <w:instrText xml:space="preserve"> FORMCHECKBOX </w:instrText>
            </w:r>
            <w:r w:rsidRPr="00D00774">
              <w:rPr>
                <w:rFonts w:ascii="Arial Narrow" w:eastAsia="Calibri" w:hAnsi="Arial Narrow"/>
                <w:sz w:val="20"/>
                <w:szCs w:val="20"/>
                <w:lang w:eastAsia="en-US"/>
              </w:rPr>
            </w:r>
            <w:r w:rsidRPr="00D00774">
              <w:rPr>
                <w:rFonts w:ascii="Arial Narrow" w:eastAsia="Calibri" w:hAnsi="Arial Narrow"/>
                <w:sz w:val="20"/>
                <w:szCs w:val="20"/>
                <w:lang w:eastAsia="en-US"/>
              </w:rPr>
              <w:fldChar w:fldCharType="separate"/>
            </w:r>
            <w:r w:rsidRPr="00D00774">
              <w:rPr>
                <w:rFonts w:ascii="Arial Narrow" w:eastAsia="Calibri" w:hAnsi="Arial Narrow"/>
                <w:sz w:val="20"/>
                <w:szCs w:val="20"/>
                <w:lang w:eastAsia="en-US"/>
              </w:rPr>
              <w:fldChar w:fldCharType="end"/>
            </w:r>
            <w:r w:rsidRPr="00D00774">
              <w:rPr>
                <w:rFonts w:ascii="Arial Narrow" w:eastAsia="Calibri" w:hAnsi="Arial Narrow"/>
                <w:sz w:val="20"/>
                <w:szCs w:val="20"/>
                <w:lang w:eastAsia="en-US"/>
              </w:rPr>
              <w:t xml:space="preserve"> GENERAL - General Schedule (Code GE) </w:t>
            </w:r>
          </w:p>
        </w:tc>
      </w:tr>
      <w:tr w:rsidR="0068400B" w:rsidRPr="00D00774" w14:paraId="22CA89EA" w14:textId="77777777" w:rsidTr="0068400B">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329BEC71" w14:textId="77777777" w:rsidR="0068400B" w:rsidRPr="00D00774" w:rsidRDefault="0068400B" w:rsidP="00E242A4">
            <w:pPr>
              <w:keepLines/>
              <w:rPr>
                <w:rFonts w:ascii="Arial Narrow" w:eastAsia="Calibri" w:hAnsi="Arial Narrow"/>
                <w:b/>
                <w:sz w:val="20"/>
                <w:szCs w:val="20"/>
                <w:lang w:eastAsia="en-US"/>
              </w:rPr>
            </w:pPr>
            <w:r w:rsidRPr="00D00774">
              <w:rPr>
                <w:rFonts w:ascii="Arial Narrow" w:eastAsia="Calibri" w:hAnsi="Arial Narrow"/>
                <w:b/>
                <w:sz w:val="20"/>
                <w:szCs w:val="20"/>
                <w:lang w:eastAsia="en-US"/>
              </w:rPr>
              <w:t xml:space="preserve">Prescriber type: </w:t>
            </w:r>
            <w:r w:rsidRPr="00D00774">
              <w:rPr>
                <w:rFonts w:ascii="Arial Narrow" w:eastAsia="Calibri" w:hAnsi="Arial Narrow"/>
                <w:sz w:val="20"/>
                <w:szCs w:val="20"/>
                <w:lang w:eastAsia="en-US"/>
              </w:rPr>
              <w:fldChar w:fldCharType="begin">
                <w:ffData>
                  <w:name w:val=""/>
                  <w:enabled/>
                  <w:calcOnExit w:val="0"/>
                  <w:checkBox>
                    <w:sizeAuto/>
                    <w:default w:val="1"/>
                  </w:checkBox>
                </w:ffData>
              </w:fldChar>
            </w:r>
            <w:r w:rsidRPr="00D00774">
              <w:rPr>
                <w:rFonts w:ascii="Arial Narrow" w:eastAsia="Calibri" w:hAnsi="Arial Narrow"/>
                <w:sz w:val="20"/>
                <w:szCs w:val="20"/>
                <w:lang w:eastAsia="en-US"/>
              </w:rPr>
              <w:instrText xml:space="preserve"> FORMCHECKBOX </w:instrText>
            </w:r>
            <w:r w:rsidRPr="00D00774">
              <w:rPr>
                <w:rFonts w:ascii="Arial Narrow" w:eastAsia="Calibri" w:hAnsi="Arial Narrow"/>
                <w:sz w:val="20"/>
                <w:szCs w:val="20"/>
                <w:lang w:eastAsia="en-US"/>
              </w:rPr>
            </w:r>
            <w:r w:rsidRPr="00D00774">
              <w:rPr>
                <w:rFonts w:ascii="Arial Narrow" w:eastAsia="Calibri" w:hAnsi="Arial Narrow"/>
                <w:sz w:val="20"/>
                <w:szCs w:val="20"/>
                <w:lang w:eastAsia="en-US"/>
              </w:rPr>
              <w:fldChar w:fldCharType="separate"/>
            </w:r>
            <w:r w:rsidRPr="00D00774">
              <w:rPr>
                <w:rFonts w:ascii="Arial Narrow" w:eastAsia="Calibri" w:hAnsi="Arial Narrow"/>
                <w:sz w:val="20"/>
                <w:szCs w:val="20"/>
                <w:lang w:eastAsia="en-US"/>
              </w:rPr>
              <w:fldChar w:fldCharType="end"/>
            </w:r>
            <w:r w:rsidRPr="00D00774">
              <w:rPr>
                <w:rFonts w:ascii="Arial Narrow" w:eastAsia="Calibri" w:hAnsi="Arial Narrow"/>
                <w:sz w:val="20"/>
                <w:szCs w:val="20"/>
                <w:lang w:eastAsia="en-US"/>
              </w:rPr>
              <w:t xml:space="preserve">Medical Practitioners </w:t>
            </w:r>
            <w:r w:rsidRPr="00D00774">
              <w:rPr>
                <w:rFonts w:ascii="Arial Narrow" w:eastAsia="Calibri" w:hAnsi="Arial Narrow"/>
                <w:sz w:val="20"/>
                <w:szCs w:val="20"/>
                <w:lang w:eastAsia="en-US"/>
              </w:rPr>
              <w:fldChar w:fldCharType="begin">
                <w:ffData>
                  <w:name w:val="Check3"/>
                  <w:enabled/>
                  <w:calcOnExit w:val="0"/>
                  <w:checkBox>
                    <w:sizeAuto/>
                    <w:default w:val="1"/>
                  </w:checkBox>
                </w:ffData>
              </w:fldChar>
            </w:r>
            <w:r w:rsidRPr="00D00774">
              <w:rPr>
                <w:rFonts w:ascii="Arial Narrow" w:eastAsia="Calibri" w:hAnsi="Arial Narrow"/>
                <w:sz w:val="20"/>
                <w:szCs w:val="20"/>
                <w:lang w:eastAsia="en-US"/>
              </w:rPr>
              <w:instrText xml:space="preserve"> FORMCHECKBOX </w:instrText>
            </w:r>
            <w:r w:rsidRPr="00D00774">
              <w:rPr>
                <w:rFonts w:ascii="Arial Narrow" w:eastAsia="Calibri" w:hAnsi="Arial Narrow"/>
                <w:sz w:val="20"/>
                <w:szCs w:val="20"/>
                <w:lang w:eastAsia="en-US"/>
              </w:rPr>
            </w:r>
            <w:r w:rsidRPr="00D00774">
              <w:rPr>
                <w:rFonts w:ascii="Arial Narrow" w:eastAsia="Calibri" w:hAnsi="Arial Narrow"/>
                <w:sz w:val="20"/>
                <w:szCs w:val="20"/>
                <w:lang w:eastAsia="en-US"/>
              </w:rPr>
              <w:fldChar w:fldCharType="separate"/>
            </w:r>
            <w:r w:rsidRPr="00D00774">
              <w:rPr>
                <w:rFonts w:ascii="Arial Narrow" w:eastAsia="Calibri" w:hAnsi="Arial Narrow"/>
                <w:sz w:val="20"/>
                <w:szCs w:val="20"/>
                <w:lang w:eastAsia="en-US"/>
              </w:rPr>
              <w:fldChar w:fldCharType="end"/>
            </w:r>
            <w:r w:rsidRPr="00D00774">
              <w:rPr>
                <w:rFonts w:ascii="Arial Narrow" w:eastAsia="Calibri" w:hAnsi="Arial Narrow"/>
                <w:sz w:val="20"/>
                <w:szCs w:val="20"/>
                <w:lang w:eastAsia="en-US"/>
              </w:rPr>
              <w:t xml:space="preserve">Nurse practitioners </w:t>
            </w:r>
            <w:r w:rsidRPr="00D00774">
              <w:rPr>
                <w:rFonts w:ascii="Arial Narrow" w:eastAsia="Calibri" w:hAnsi="Arial Narrow"/>
                <w:sz w:val="20"/>
                <w:szCs w:val="20"/>
                <w:lang w:eastAsia="en-US"/>
              </w:rPr>
              <w:fldChar w:fldCharType="begin">
                <w:ffData>
                  <w:name w:val="Check5"/>
                  <w:enabled/>
                  <w:calcOnExit w:val="0"/>
                  <w:checkBox>
                    <w:sizeAuto/>
                    <w:default w:val="1"/>
                  </w:checkBox>
                </w:ffData>
              </w:fldChar>
            </w:r>
            <w:r w:rsidRPr="00D00774">
              <w:rPr>
                <w:rFonts w:ascii="Arial Narrow" w:eastAsia="Calibri" w:hAnsi="Arial Narrow"/>
                <w:sz w:val="20"/>
                <w:szCs w:val="20"/>
                <w:lang w:eastAsia="en-US"/>
              </w:rPr>
              <w:instrText xml:space="preserve"> FORMCHECKBOX </w:instrText>
            </w:r>
            <w:r w:rsidRPr="00D00774">
              <w:rPr>
                <w:rFonts w:ascii="Arial Narrow" w:eastAsia="Calibri" w:hAnsi="Arial Narrow"/>
                <w:sz w:val="20"/>
                <w:szCs w:val="20"/>
                <w:lang w:eastAsia="en-US"/>
              </w:rPr>
            </w:r>
            <w:r w:rsidRPr="00D00774">
              <w:rPr>
                <w:rFonts w:ascii="Arial Narrow" w:eastAsia="Calibri" w:hAnsi="Arial Narrow"/>
                <w:sz w:val="20"/>
                <w:szCs w:val="20"/>
                <w:lang w:eastAsia="en-US"/>
              </w:rPr>
              <w:fldChar w:fldCharType="separate"/>
            </w:r>
            <w:r w:rsidRPr="00D00774">
              <w:rPr>
                <w:rFonts w:ascii="Arial Narrow" w:eastAsia="Calibri" w:hAnsi="Arial Narrow"/>
                <w:sz w:val="20"/>
                <w:szCs w:val="20"/>
                <w:lang w:eastAsia="en-US"/>
              </w:rPr>
              <w:fldChar w:fldCharType="end"/>
            </w:r>
            <w:r w:rsidRPr="00D00774">
              <w:rPr>
                <w:rFonts w:ascii="Arial Narrow" w:eastAsia="Calibri" w:hAnsi="Arial Narrow"/>
                <w:sz w:val="20"/>
                <w:szCs w:val="20"/>
                <w:lang w:eastAsia="en-US"/>
              </w:rPr>
              <w:t>Midwives</w:t>
            </w:r>
            <w:r w:rsidRPr="00D00774">
              <w:rPr>
                <w:rFonts w:ascii="Arial Narrow" w:eastAsia="Calibri" w:hAnsi="Arial Narrow"/>
                <w:color w:val="FF0000"/>
                <w:sz w:val="20"/>
                <w:szCs w:val="20"/>
                <w:lang w:eastAsia="en-US"/>
              </w:rPr>
              <w:t xml:space="preserve"> </w:t>
            </w:r>
          </w:p>
        </w:tc>
      </w:tr>
      <w:tr w:rsidR="0068400B" w:rsidRPr="00D00774" w14:paraId="0F49EE13" w14:textId="77777777" w:rsidTr="0068400B">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24EF66DD" w14:textId="77777777" w:rsidR="0068400B" w:rsidRPr="00D00774" w:rsidRDefault="0068400B" w:rsidP="00E242A4">
            <w:pPr>
              <w:keepLines/>
              <w:jc w:val="left"/>
              <w:rPr>
                <w:rFonts w:ascii="Arial Narrow" w:eastAsia="Calibri" w:hAnsi="Arial Narrow"/>
                <w:color w:val="FF0000"/>
                <w:sz w:val="20"/>
                <w:szCs w:val="20"/>
                <w:lang w:eastAsia="en-US"/>
              </w:rPr>
            </w:pPr>
            <w:r w:rsidRPr="00D00774">
              <w:rPr>
                <w:rFonts w:ascii="Arial Narrow" w:eastAsia="Calibri" w:hAnsi="Arial Narrow"/>
                <w:b/>
                <w:sz w:val="20"/>
                <w:szCs w:val="20"/>
                <w:lang w:eastAsia="en-US"/>
              </w:rPr>
              <w:t xml:space="preserve">Restriction type: </w:t>
            </w:r>
            <w:r w:rsidRPr="00D00774">
              <w:rPr>
                <w:rFonts w:ascii="Arial Narrow" w:eastAsia="Calibri" w:hAnsi="Arial Narrow"/>
                <w:strike/>
                <w:sz w:val="20"/>
                <w:szCs w:val="20"/>
                <w:lang w:eastAsia="en-US"/>
              </w:rPr>
              <w:fldChar w:fldCharType="begin">
                <w:ffData>
                  <w:name w:val=""/>
                  <w:enabled/>
                  <w:calcOnExit w:val="0"/>
                  <w:checkBox>
                    <w:sizeAuto/>
                    <w:default w:val="1"/>
                  </w:checkBox>
                </w:ffData>
              </w:fldChar>
            </w:r>
            <w:r w:rsidRPr="00D00774">
              <w:rPr>
                <w:rFonts w:ascii="Arial Narrow" w:eastAsia="Calibri" w:hAnsi="Arial Narrow"/>
                <w:strike/>
                <w:sz w:val="20"/>
                <w:szCs w:val="20"/>
                <w:lang w:eastAsia="en-US"/>
              </w:rPr>
              <w:instrText xml:space="preserve"> FORMCHECKBOX </w:instrText>
            </w:r>
            <w:r w:rsidRPr="00D00774">
              <w:rPr>
                <w:rFonts w:ascii="Arial Narrow" w:eastAsia="Calibri" w:hAnsi="Arial Narrow"/>
                <w:strike/>
                <w:sz w:val="20"/>
                <w:szCs w:val="20"/>
                <w:lang w:eastAsia="en-US"/>
              </w:rPr>
            </w:r>
            <w:r w:rsidRPr="00D00774">
              <w:rPr>
                <w:rFonts w:ascii="Arial Narrow" w:eastAsia="Calibri" w:hAnsi="Arial Narrow"/>
                <w:strike/>
                <w:sz w:val="20"/>
                <w:szCs w:val="20"/>
                <w:lang w:eastAsia="en-US"/>
              </w:rPr>
              <w:fldChar w:fldCharType="separate"/>
            </w:r>
            <w:r w:rsidRPr="00D00774">
              <w:rPr>
                <w:rFonts w:ascii="Arial Narrow" w:eastAsia="Calibri" w:hAnsi="Arial Narrow"/>
                <w:strike/>
                <w:sz w:val="20"/>
                <w:szCs w:val="20"/>
                <w:lang w:eastAsia="en-US"/>
              </w:rPr>
              <w:fldChar w:fldCharType="end"/>
            </w:r>
            <w:r w:rsidRPr="00D00774">
              <w:rPr>
                <w:rFonts w:ascii="Arial Narrow" w:eastAsia="Calibri" w:hAnsi="Arial Narrow"/>
                <w:sz w:val="20"/>
                <w:szCs w:val="20"/>
                <w:lang w:eastAsia="en-US"/>
              </w:rPr>
              <w:t>Restricted benefit</w:t>
            </w:r>
          </w:p>
        </w:tc>
      </w:tr>
      <w:tr w:rsidR="0068400B" w:rsidRPr="00D00774" w14:paraId="6117C923" w14:textId="77777777" w:rsidTr="0068400B">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690E3518" w14:textId="77777777" w:rsidR="0068400B" w:rsidRPr="00D00774" w:rsidRDefault="0068400B" w:rsidP="00E242A4">
            <w:pPr>
              <w:keepLines/>
              <w:jc w:val="left"/>
              <w:rPr>
                <w:rFonts w:ascii="Arial Narrow" w:hAnsi="Arial Narrow" w:cs="Times New Roman"/>
                <w:color w:val="333333"/>
                <w:sz w:val="20"/>
                <w:szCs w:val="20"/>
              </w:rPr>
            </w:pPr>
            <w:r w:rsidRPr="00D00774">
              <w:rPr>
                <w:rFonts w:ascii="Arial Narrow" w:hAnsi="Arial Narrow" w:cs="Times New Roman"/>
                <w:b/>
                <w:bCs/>
                <w:color w:val="333333"/>
                <w:sz w:val="20"/>
                <w:szCs w:val="20"/>
              </w:rPr>
              <w:t>Indication:</w:t>
            </w:r>
            <w:r w:rsidRPr="00D00774">
              <w:rPr>
                <w:rFonts w:ascii="Arial Narrow" w:hAnsi="Arial Narrow" w:cs="Times New Roman"/>
                <w:color w:val="333333"/>
                <w:sz w:val="20"/>
                <w:szCs w:val="20"/>
              </w:rPr>
              <w:t xml:space="preserve"> Contraception</w:t>
            </w:r>
          </w:p>
        </w:tc>
      </w:tr>
      <w:tr w:rsidR="0068400B" w:rsidRPr="00D00774" w14:paraId="28A2AFCB" w14:textId="77777777" w:rsidTr="0068400B">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62E93BA9" w14:textId="77777777" w:rsidR="0068400B" w:rsidRPr="00D00774" w:rsidRDefault="0068400B" w:rsidP="00E242A4">
            <w:pPr>
              <w:jc w:val="left"/>
              <w:rPr>
                <w:rFonts w:ascii="Arial Narrow" w:hAnsi="Arial Narrow" w:cs="Times New Roman"/>
                <w:sz w:val="20"/>
                <w:szCs w:val="20"/>
              </w:rPr>
            </w:pPr>
            <w:r w:rsidRPr="00D00774">
              <w:rPr>
                <w:rFonts w:ascii="Arial Narrow" w:hAnsi="Arial Narrow" w:cs="Times New Roman"/>
                <w:b/>
                <w:bCs/>
                <w:color w:val="333333"/>
                <w:sz w:val="20"/>
                <w:szCs w:val="20"/>
              </w:rPr>
              <w:t xml:space="preserve">Clinical criteria: </w:t>
            </w:r>
          </w:p>
        </w:tc>
      </w:tr>
      <w:tr w:rsidR="0068400B" w:rsidRPr="00D00774" w14:paraId="21C51F76" w14:textId="77777777" w:rsidTr="0068400B">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75677971" w14:textId="77777777" w:rsidR="0068400B" w:rsidRPr="00D00774" w:rsidRDefault="0068400B" w:rsidP="00E242A4">
            <w:pPr>
              <w:keepNext/>
              <w:keepLines/>
              <w:autoSpaceDE w:val="0"/>
              <w:autoSpaceDN w:val="0"/>
              <w:adjustRightInd w:val="0"/>
              <w:jc w:val="left"/>
              <w:rPr>
                <w:rFonts w:ascii="Arial Narrow" w:eastAsia="Calibri" w:hAnsi="Arial Narrow" w:cs="Arial Narrow"/>
                <w:strike/>
                <w:sz w:val="20"/>
                <w:szCs w:val="20"/>
                <w:lang w:eastAsia="en-US"/>
              </w:rPr>
            </w:pPr>
            <w:r w:rsidRPr="00D00774">
              <w:rPr>
                <w:rFonts w:ascii="Arial Narrow" w:eastAsia="Calibri" w:hAnsi="Arial Narrow" w:cs="Arial Narrow"/>
                <w:strike/>
                <w:sz w:val="20"/>
                <w:szCs w:val="20"/>
                <w:lang w:eastAsia="en-US"/>
              </w:rPr>
              <w:t>Woman must have at least one of the following:</w:t>
            </w:r>
          </w:p>
          <w:p w14:paraId="1DAAEDB2" w14:textId="77777777" w:rsidR="0068400B" w:rsidRPr="00D00774" w:rsidRDefault="0068400B" w:rsidP="00E242A4">
            <w:pPr>
              <w:keepNext/>
              <w:keepLines/>
              <w:numPr>
                <w:ilvl w:val="0"/>
                <w:numId w:val="13"/>
              </w:numPr>
              <w:autoSpaceDE w:val="0"/>
              <w:autoSpaceDN w:val="0"/>
              <w:adjustRightInd w:val="0"/>
              <w:spacing w:after="160" w:line="259" w:lineRule="auto"/>
              <w:ind w:left="414" w:hanging="284"/>
              <w:contextualSpacing/>
              <w:jc w:val="left"/>
              <w:rPr>
                <w:rFonts w:ascii="Arial Narrow" w:eastAsia="Calibri" w:hAnsi="Arial Narrow" w:cs="Arial Narrow"/>
                <w:strike/>
                <w:sz w:val="20"/>
                <w:szCs w:val="20"/>
                <w:lang w:eastAsia="en-US"/>
              </w:rPr>
            </w:pPr>
            <w:r w:rsidRPr="00D00774">
              <w:rPr>
                <w:rFonts w:ascii="Arial Narrow" w:eastAsia="Calibri" w:hAnsi="Arial Narrow" w:cs="Arial Narrow"/>
                <w:strike/>
                <w:sz w:val="20"/>
                <w:szCs w:val="20"/>
                <w:lang w:eastAsia="en-US"/>
              </w:rPr>
              <w:t xml:space="preserve">Difficulty swallowing pills; </w:t>
            </w:r>
          </w:p>
          <w:p w14:paraId="416D9311" w14:textId="77777777" w:rsidR="0068400B" w:rsidRPr="00D00774" w:rsidRDefault="0068400B" w:rsidP="00E242A4">
            <w:pPr>
              <w:keepNext/>
              <w:keepLines/>
              <w:numPr>
                <w:ilvl w:val="0"/>
                <w:numId w:val="13"/>
              </w:numPr>
              <w:autoSpaceDE w:val="0"/>
              <w:autoSpaceDN w:val="0"/>
              <w:adjustRightInd w:val="0"/>
              <w:spacing w:after="160" w:line="259" w:lineRule="auto"/>
              <w:ind w:left="414" w:hanging="284"/>
              <w:contextualSpacing/>
              <w:jc w:val="left"/>
              <w:rPr>
                <w:rFonts w:ascii="Arial Narrow" w:eastAsia="Calibri" w:hAnsi="Arial Narrow" w:cs="Arial Narrow"/>
                <w:strike/>
                <w:sz w:val="20"/>
                <w:szCs w:val="20"/>
                <w:lang w:eastAsia="en-US"/>
              </w:rPr>
            </w:pPr>
            <w:r w:rsidRPr="00D00774">
              <w:rPr>
                <w:rFonts w:ascii="Arial Narrow" w:eastAsia="Calibri" w:hAnsi="Arial Narrow" w:cs="Arial Narrow"/>
                <w:strike/>
                <w:sz w:val="20"/>
                <w:szCs w:val="20"/>
                <w:lang w:eastAsia="en-US"/>
              </w:rPr>
              <w:t>Gastrointestinal disturbance or malabsorption;</w:t>
            </w:r>
          </w:p>
          <w:p w14:paraId="23AFBF01" w14:textId="77777777" w:rsidR="0068400B" w:rsidRPr="00D00774" w:rsidRDefault="0068400B" w:rsidP="00E242A4">
            <w:pPr>
              <w:keepNext/>
              <w:keepLines/>
              <w:numPr>
                <w:ilvl w:val="0"/>
                <w:numId w:val="13"/>
              </w:numPr>
              <w:autoSpaceDE w:val="0"/>
              <w:autoSpaceDN w:val="0"/>
              <w:adjustRightInd w:val="0"/>
              <w:spacing w:after="160" w:line="259" w:lineRule="auto"/>
              <w:ind w:left="414" w:hanging="284"/>
              <w:contextualSpacing/>
              <w:jc w:val="left"/>
              <w:rPr>
                <w:rFonts w:ascii="Arial Narrow" w:eastAsia="Calibri" w:hAnsi="Arial Narrow" w:cs="Arial Narrow"/>
                <w:strike/>
                <w:sz w:val="20"/>
                <w:szCs w:val="20"/>
                <w:lang w:eastAsia="en-US"/>
              </w:rPr>
            </w:pPr>
            <w:r w:rsidRPr="00D00774">
              <w:rPr>
                <w:rFonts w:ascii="Arial Narrow" w:eastAsia="Calibri" w:hAnsi="Arial Narrow" w:cs="Arial Narrow"/>
                <w:strike/>
                <w:sz w:val="20"/>
                <w:szCs w:val="20"/>
                <w:lang w:eastAsia="en-US"/>
              </w:rPr>
              <w:t>Experienced undesirable side effects with oral contraceptives.</w:t>
            </w:r>
          </w:p>
          <w:p w14:paraId="283F5C50" w14:textId="77777777" w:rsidR="0068400B" w:rsidRPr="00D00774" w:rsidRDefault="0068400B" w:rsidP="00E242A4">
            <w:pPr>
              <w:keepNext/>
              <w:keepLines/>
              <w:autoSpaceDE w:val="0"/>
              <w:autoSpaceDN w:val="0"/>
              <w:adjustRightInd w:val="0"/>
              <w:jc w:val="left"/>
              <w:rPr>
                <w:rFonts w:ascii="Arial Narrow" w:eastAsia="Calibri" w:hAnsi="Arial Narrow" w:cs="Arial Narrow"/>
                <w:i/>
                <w:iCs/>
                <w:sz w:val="20"/>
                <w:szCs w:val="20"/>
                <w:lang w:eastAsia="en-US"/>
              </w:rPr>
            </w:pPr>
            <w:r w:rsidRPr="00D00774">
              <w:rPr>
                <w:rFonts w:ascii="Arial Narrow" w:eastAsia="Calibri" w:hAnsi="Arial Narrow" w:cs="Arial Narrow"/>
                <w:i/>
                <w:iCs/>
                <w:sz w:val="20"/>
                <w:szCs w:val="20"/>
                <w:lang w:eastAsia="en-US"/>
              </w:rPr>
              <w:t>Patient must have experienced at least one of the following: (</w:t>
            </w:r>
            <w:proofErr w:type="spellStart"/>
            <w:r w:rsidRPr="00D00774">
              <w:rPr>
                <w:rFonts w:ascii="Arial Narrow" w:eastAsia="Calibri" w:hAnsi="Arial Narrow" w:cs="Arial Narrow"/>
                <w:i/>
                <w:iCs/>
                <w:sz w:val="20"/>
                <w:szCs w:val="20"/>
                <w:lang w:eastAsia="en-US"/>
              </w:rPr>
              <w:t>i</w:t>
            </w:r>
            <w:proofErr w:type="spellEnd"/>
            <w:r w:rsidRPr="00D00774">
              <w:rPr>
                <w:rFonts w:ascii="Arial Narrow" w:eastAsia="Calibri" w:hAnsi="Arial Narrow" w:cs="Arial Narrow"/>
                <w:i/>
                <w:iCs/>
                <w:sz w:val="20"/>
                <w:szCs w:val="20"/>
                <w:lang w:eastAsia="en-US"/>
              </w:rPr>
              <w:t>) difficulty swallowing pills (ii) gastrointestinal disorder (iii) gastrointestinal malabsorption (iv) undesirable side effects with oral hormonal contraceptives.</w:t>
            </w:r>
          </w:p>
        </w:tc>
      </w:tr>
    </w:tbl>
    <w:p w14:paraId="78EDA7E7" w14:textId="7E921C0B" w:rsidR="00144089" w:rsidRPr="00144089" w:rsidRDefault="2C6DE56E" w:rsidP="0B5D70EC">
      <w:pPr>
        <w:pStyle w:val="3-BodyText"/>
        <w:rPr>
          <w:i/>
          <w:iCs/>
        </w:rPr>
      </w:pPr>
      <w:r w:rsidRPr="0B5D70EC">
        <w:t xml:space="preserve">The </w:t>
      </w:r>
      <w:r w:rsidR="00DE64D5">
        <w:t>submission</w:t>
      </w:r>
      <w:r w:rsidR="00DE64D5" w:rsidRPr="0B5D70EC">
        <w:t xml:space="preserve"> </w:t>
      </w:r>
      <w:r w:rsidRPr="0B5D70EC">
        <w:t>indicated that the</w:t>
      </w:r>
      <w:r w:rsidR="00DE64D5">
        <w:t xml:space="preserve"> sponsor</w:t>
      </w:r>
      <w:r w:rsidRPr="0B5D70EC">
        <w:t xml:space="preserve"> </w:t>
      </w:r>
      <w:r w:rsidR="1FBFB50E" w:rsidRPr="0B5D70EC">
        <w:t>w</w:t>
      </w:r>
      <w:r w:rsidR="00DE64D5">
        <w:t>as</w:t>
      </w:r>
      <w:r w:rsidRPr="0B5D70EC">
        <w:t xml:space="preserve"> willing to negotiate changes to the wording of the restriction to reduce the risk of use beyond the restriction</w:t>
      </w:r>
      <w:r w:rsidR="00B3373E">
        <w:t>.</w:t>
      </w:r>
      <w:r w:rsidRPr="0B5D70EC">
        <w:t xml:space="preserve"> </w:t>
      </w:r>
    </w:p>
    <w:p w14:paraId="3EAC8CF3" w14:textId="700BFF0C" w:rsidR="009C7C4F" w:rsidRPr="00F572E7" w:rsidRDefault="2C6DE56E" w:rsidP="0B5D70EC">
      <w:pPr>
        <w:pStyle w:val="3-BodyText"/>
      </w:pPr>
      <w:r w:rsidRPr="00F572E7">
        <w:t xml:space="preserve">It </w:t>
      </w:r>
      <w:r w:rsidR="007550D2">
        <w:t>was</w:t>
      </w:r>
      <w:r w:rsidRPr="00F572E7">
        <w:t xml:space="preserve"> </w:t>
      </w:r>
      <w:r w:rsidR="00562635" w:rsidRPr="00F572E7">
        <w:t>unclear whether changes to the restriction wording would mitigate the risk of leakage outside the PBS restriction, especially in the context of a restricted benefit</w:t>
      </w:r>
      <w:r w:rsidR="004D476C" w:rsidRPr="00F572E7">
        <w:t xml:space="preserve">. </w:t>
      </w:r>
      <w:r w:rsidR="1E9ACFB0" w:rsidRPr="00F572E7">
        <w:t xml:space="preserve"> </w:t>
      </w:r>
      <w:r w:rsidR="4A0779BC" w:rsidRPr="00F572E7">
        <w:t xml:space="preserve">The risk of use outside the </w:t>
      </w:r>
      <w:r w:rsidR="004D476C" w:rsidRPr="00F572E7">
        <w:t>proposed</w:t>
      </w:r>
      <w:r w:rsidR="4A0779BC" w:rsidRPr="00F572E7">
        <w:t xml:space="preserve"> restriction is high.</w:t>
      </w:r>
    </w:p>
    <w:p w14:paraId="17BEED3D" w14:textId="29639142" w:rsidR="009C7C4F" w:rsidRPr="00023B2B" w:rsidRDefault="009C7C4F" w:rsidP="00DF3662">
      <w:pPr>
        <w:pStyle w:val="3-BodyText"/>
        <w:numPr>
          <w:ilvl w:val="1"/>
          <w:numId w:val="1"/>
        </w:numPr>
      </w:pPr>
      <w:r w:rsidRPr="00023B2B">
        <w:t xml:space="preserve">The letters of support from </w:t>
      </w:r>
      <w:r w:rsidR="002A5EA9">
        <w:t>clinical experts</w:t>
      </w:r>
      <w:r w:rsidRPr="00023B2B">
        <w:t xml:space="preserve"> included in the submission d</w:t>
      </w:r>
      <w:r w:rsidR="00903478">
        <w:t>id</w:t>
      </w:r>
      <w:r w:rsidRPr="00023B2B">
        <w:t xml:space="preserve"> not mention difficulty swallowing pills or malabsorption, but</w:t>
      </w:r>
      <w:r w:rsidR="00AC5B25">
        <w:t xml:space="preserve"> suggested that </w:t>
      </w:r>
      <w:r w:rsidR="00871638" w:rsidRPr="00023B2B">
        <w:t xml:space="preserve">women who </w:t>
      </w:r>
      <w:r w:rsidR="00F70E76">
        <w:t>may prefer</w:t>
      </w:r>
      <w:r w:rsidRPr="00023B2B">
        <w:t xml:space="preserve"> </w:t>
      </w:r>
      <w:r w:rsidR="005172EB">
        <w:t>CVR</w:t>
      </w:r>
      <w:r w:rsidR="00E61CF2">
        <w:t xml:space="preserve"> include</w:t>
      </w:r>
      <w:r w:rsidRPr="00023B2B">
        <w:t>:</w:t>
      </w:r>
    </w:p>
    <w:p w14:paraId="1B9F8D55" w14:textId="45DDDC0F" w:rsidR="009C7C4F" w:rsidRPr="00023B2B" w:rsidRDefault="00871638" w:rsidP="00C8623C">
      <w:pPr>
        <w:pStyle w:val="3-BodyText"/>
        <w:numPr>
          <w:ilvl w:val="3"/>
          <w:numId w:val="10"/>
        </w:numPr>
        <w:ind w:left="1418" w:hanging="425"/>
      </w:pPr>
      <w:r w:rsidRPr="00023B2B">
        <w:t>those with</w:t>
      </w:r>
      <w:r w:rsidR="009C7C4F" w:rsidRPr="00023B2B">
        <w:t xml:space="preserve"> side effects </w:t>
      </w:r>
      <w:r w:rsidR="008D3F31" w:rsidRPr="00E14664">
        <w:t>due to ethinylestradiol</w:t>
      </w:r>
      <w:r w:rsidR="0021171E" w:rsidRPr="000D15C7">
        <w:rPr>
          <w:i/>
          <w:iCs/>
        </w:rPr>
        <w:t xml:space="preserve"> </w:t>
      </w:r>
      <w:r w:rsidR="0021171E">
        <w:t>(CVR avoids first</w:t>
      </w:r>
      <w:r w:rsidR="00044531">
        <w:t>-</w:t>
      </w:r>
      <w:r w:rsidR="0021171E">
        <w:t>pass metabolism)</w:t>
      </w:r>
      <w:r w:rsidR="009C7C4F" w:rsidRPr="00023B2B">
        <w:t>;</w:t>
      </w:r>
    </w:p>
    <w:p w14:paraId="79ED4CD8" w14:textId="7E46D273" w:rsidR="009C7C4F" w:rsidRDefault="009C7C4F" w:rsidP="00C8623C">
      <w:pPr>
        <w:pStyle w:val="3-BodyText"/>
        <w:numPr>
          <w:ilvl w:val="3"/>
          <w:numId w:val="10"/>
        </w:numPr>
        <w:ind w:firstLine="633"/>
      </w:pPr>
      <w:r w:rsidRPr="00023B2B">
        <w:t>breastfeeding</w:t>
      </w:r>
      <w:r w:rsidR="00871638" w:rsidRPr="00023B2B">
        <w:t xml:space="preserve"> women</w:t>
      </w:r>
      <w:r w:rsidRPr="00023B2B">
        <w:t>;</w:t>
      </w:r>
    </w:p>
    <w:p w14:paraId="5427C3E4" w14:textId="2B64BCAB" w:rsidR="009C7C4F" w:rsidRPr="00077B79" w:rsidRDefault="009C7C4F" w:rsidP="00C8623C">
      <w:pPr>
        <w:pStyle w:val="3-BodyText"/>
        <w:numPr>
          <w:ilvl w:val="3"/>
          <w:numId w:val="10"/>
        </w:numPr>
        <w:ind w:left="1418" w:hanging="425"/>
        <w:rPr>
          <w:lang w:val="en-GB"/>
        </w:rPr>
      </w:pPr>
      <w:r w:rsidRPr="00023B2B">
        <w:rPr>
          <w:lang w:val="en-GB"/>
        </w:rPr>
        <w:t xml:space="preserve">women who would prefer not to take </w:t>
      </w:r>
      <w:r w:rsidR="005C5AEF">
        <w:rPr>
          <w:lang w:val="en-GB"/>
        </w:rPr>
        <w:t>medication</w:t>
      </w:r>
      <w:r w:rsidRPr="00023B2B">
        <w:rPr>
          <w:lang w:val="en-GB"/>
        </w:rPr>
        <w:t xml:space="preserve"> every </w:t>
      </w:r>
      <w:proofErr w:type="gramStart"/>
      <w:r w:rsidRPr="00023B2B">
        <w:rPr>
          <w:lang w:val="en-GB"/>
        </w:rPr>
        <w:t>day</w:t>
      </w:r>
      <w:r w:rsidR="00250E33">
        <w:rPr>
          <w:lang w:val="en-GB"/>
        </w:rPr>
        <w:t>, but</w:t>
      </w:r>
      <w:proofErr w:type="gramEnd"/>
      <w:r w:rsidR="00250E33">
        <w:rPr>
          <w:lang w:val="en-GB"/>
        </w:rPr>
        <w:t xml:space="preserve"> equally </w:t>
      </w:r>
      <w:r w:rsidR="00AD2C53">
        <w:rPr>
          <w:lang w:val="en-GB"/>
        </w:rPr>
        <w:t xml:space="preserve">would prefer not to use </w:t>
      </w:r>
      <w:r w:rsidR="00450E7C">
        <w:rPr>
          <w:lang w:val="en-GB"/>
        </w:rPr>
        <w:t xml:space="preserve">a </w:t>
      </w:r>
      <w:r w:rsidR="00AD2C53">
        <w:rPr>
          <w:lang w:val="en-GB"/>
        </w:rPr>
        <w:t>long</w:t>
      </w:r>
      <w:r w:rsidR="00130C42">
        <w:rPr>
          <w:lang w:val="en-GB"/>
        </w:rPr>
        <w:t>-</w:t>
      </w:r>
      <w:r w:rsidR="00AD2C53">
        <w:rPr>
          <w:lang w:val="en-GB"/>
        </w:rPr>
        <w:t>acting contraceptiv</w:t>
      </w:r>
      <w:r w:rsidR="00450E7C">
        <w:rPr>
          <w:lang w:val="en-GB"/>
        </w:rPr>
        <w:t>e</w:t>
      </w:r>
      <w:r w:rsidR="00B676EB">
        <w:rPr>
          <w:lang w:val="en-GB"/>
        </w:rPr>
        <w:t>.</w:t>
      </w:r>
    </w:p>
    <w:p w14:paraId="4FA2AC51" w14:textId="546AB967" w:rsidR="00561E52" w:rsidRPr="00561E52" w:rsidRDefault="00561E52" w:rsidP="00561E52">
      <w:pPr>
        <w:pStyle w:val="3-BodyText"/>
        <w:numPr>
          <w:ilvl w:val="0"/>
          <w:numId w:val="0"/>
        </w:numPr>
        <w:ind w:left="720"/>
      </w:pPr>
      <w:r>
        <w:t xml:space="preserve">One letter also stated that </w:t>
      </w:r>
      <w:r w:rsidR="00FA4F90">
        <w:t>NuvaRing offered good cycle control.</w:t>
      </w:r>
    </w:p>
    <w:p w14:paraId="154D70C6" w14:textId="06F066C1" w:rsidR="00DE1A67" w:rsidRPr="00F572E7" w:rsidRDefault="564C9816" w:rsidP="0B5D70EC">
      <w:pPr>
        <w:pStyle w:val="3-BodyText"/>
      </w:pPr>
      <w:r w:rsidRPr="00F572E7">
        <w:t xml:space="preserve">Only the first of these would confer eligibility under the proposed restriction. </w:t>
      </w:r>
      <w:r w:rsidR="0B69FDF0" w:rsidRPr="00F572E7">
        <w:t xml:space="preserve">Other </w:t>
      </w:r>
      <w:r w:rsidR="104DEF9E" w:rsidRPr="00F572E7">
        <w:t xml:space="preserve">common </w:t>
      </w:r>
      <w:r w:rsidR="0B69FDF0" w:rsidRPr="00F572E7">
        <w:t xml:space="preserve">circumstances which would not confer eligibility under the proposed restriction but in which CVR may be </w:t>
      </w:r>
      <w:r w:rsidR="075B869F" w:rsidRPr="00F572E7">
        <w:t>preferable to COCs</w:t>
      </w:r>
      <w:r w:rsidR="0B69FDF0" w:rsidRPr="00F572E7">
        <w:t xml:space="preserve"> have been identified, such as women travelling across</w:t>
      </w:r>
      <w:r w:rsidR="075B869F" w:rsidRPr="00F572E7">
        <w:t xml:space="preserve"> multiple</w:t>
      </w:r>
      <w:r w:rsidR="0B69FDF0" w:rsidRPr="00F572E7">
        <w:t xml:space="preserve"> time-zones, and women travelling to areas where acute vomiting and diarrhoeal illness is common.</w:t>
      </w:r>
      <w:r w:rsidR="007F0BDC" w:rsidRPr="00F572E7">
        <w:rPr>
          <w:rStyle w:val="FootnoteReference"/>
        </w:rPr>
        <w:footnoteReference w:id="4"/>
      </w:r>
      <w:r w:rsidR="0B69FDF0" w:rsidRPr="00F572E7">
        <w:t xml:space="preserve"> </w:t>
      </w:r>
    </w:p>
    <w:p w14:paraId="6277D6AC" w14:textId="18E907BC" w:rsidR="005172EB" w:rsidRPr="00994B84" w:rsidRDefault="1E9ACFB0" w:rsidP="0B5D70EC">
      <w:pPr>
        <w:pStyle w:val="3-BodyText"/>
      </w:pPr>
      <w:r w:rsidRPr="00994B84">
        <w:t xml:space="preserve">It </w:t>
      </w:r>
      <w:r w:rsidR="00462083" w:rsidRPr="00994B84">
        <w:t>was</w:t>
      </w:r>
      <w:r w:rsidRPr="00994B84">
        <w:t xml:space="preserve"> not clear why reasons to prefer CVR</w:t>
      </w:r>
      <w:r w:rsidR="4A0779BC" w:rsidRPr="00994B84">
        <w:t xml:space="preserve"> other than those listed in the proposed restriction</w:t>
      </w:r>
      <w:r w:rsidRPr="00994B84">
        <w:t xml:space="preserve"> </w:t>
      </w:r>
      <w:r w:rsidR="1FBFB50E" w:rsidRPr="00994B84">
        <w:t xml:space="preserve">were </w:t>
      </w:r>
      <w:r w:rsidR="004E4AEC" w:rsidRPr="00994B84">
        <w:t>not included</w:t>
      </w:r>
      <w:r w:rsidRPr="00994B84">
        <w:t xml:space="preserve">. </w:t>
      </w:r>
    </w:p>
    <w:p w14:paraId="7996812F" w14:textId="30045BE7" w:rsidR="005E5F58" w:rsidRPr="00903478" w:rsidRDefault="564C9816" w:rsidP="0B5D70EC">
      <w:pPr>
        <w:pStyle w:val="3-BodyText"/>
        <w:rPr>
          <w:i/>
          <w:iCs/>
        </w:rPr>
      </w:pPr>
      <w:r w:rsidRPr="00F572E7">
        <w:t>Use of oral contraceptives increases the risk of venous thromboembolism (VTE).</w:t>
      </w:r>
      <w:r w:rsidR="246D5425" w:rsidRPr="00F572E7">
        <w:t xml:space="preserve"> </w:t>
      </w:r>
      <w:r w:rsidR="00B32471" w:rsidRPr="00F572E7">
        <w:t xml:space="preserve">Combined hormonal contraceptives </w:t>
      </w:r>
      <w:r w:rsidR="246D5425" w:rsidRPr="00F572E7">
        <w:t>containing e</w:t>
      </w:r>
      <w:r w:rsidRPr="00F572E7">
        <w:t xml:space="preserve">tonogestrel </w:t>
      </w:r>
      <w:r w:rsidR="246D5425" w:rsidRPr="00F572E7">
        <w:t>are</w:t>
      </w:r>
      <w:r w:rsidRPr="00F572E7">
        <w:t xml:space="preserve"> associated with a </w:t>
      </w:r>
      <w:r w:rsidRPr="00F572E7">
        <w:lastRenderedPageBreak/>
        <w:t xml:space="preserve">greater risk of VTE than </w:t>
      </w:r>
      <w:r w:rsidR="246D5425" w:rsidRPr="00F572E7">
        <w:t xml:space="preserve">those containing </w:t>
      </w:r>
      <w:r w:rsidRPr="00F572E7">
        <w:t>levonorgestrel or norethisteron</w:t>
      </w:r>
      <w:r w:rsidR="246D5425" w:rsidRPr="00F572E7">
        <w:t>e</w:t>
      </w:r>
      <w:r w:rsidR="008F5C36" w:rsidRPr="00F572E7">
        <w:t>)</w:t>
      </w:r>
      <w:r w:rsidR="246D5425" w:rsidRPr="00F572E7">
        <w:t>,</w:t>
      </w:r>
      <w:r w:rsidR="001D30AE" w:rsidRPr="00F572E7">
        <w:rPr>
          <w:rStyle w:val="FootnoteReference"/>
        </w:rPr>
        <w:footnoteReference w:id="5"/>
      </w:r>
      <w:r w:rsidR="246D5425" w:rsidRPr="00F572E7">
        <w:t xml:space="preserve"> and this increased risk appears to apply to CVR as well as to COCs</w:t>
      </w:r>
      <w:r w:rsidR="00E22D7B" w:rsidRPr="00F572E7">
        <w:t>.</w:t>
      </w:r>
      <w:r w:rsidR="004F74B9" w:rsidRPr="00F572E7">
        <w:rPr>
          <w:rStyle w:val="FootnoteReference"/>
        </w:rPr>
        <w:footnoteReference w:id="6"/>
      </w:r>
      <w:r w:rsidR="004F74B9" w:rsidRPr="00F572E7">
        <w:rPr>
          <w:vertAlign w:val="superscript"/>
        </w:rPr>
        <w:t>,</w:t>
      </w:r>
      <w:r w:rsidR="00A54079" w:rsidRPr="00F572E7">
        <w:rPr>
          <w:rStyle w:val="FootnoteReference"/>
        </w:rPr>
        <w:footnoteReference w:id="7"/>
      </w:r>
      <w:r w:rsidRPr="00F572E7">
        <w:t xml:space="preserve"> </w:t>
      </w:r>
    </w:p>
    <w:p w14:paraId="0A6F592C" w14:textId="20EBF1FE" w:rsidR="00C45B01" w:rsidRPr="00903478" w:rsidRDefault="7F365ACE" w:rsidP="0B5D70EC">
      <w:pPr>
        <w:pStyle w:val="3-BodyText"/>
        <w:rPr>
          <w:color w:val="0066FF"/>
        </w:rPr>
      </w:pPr>
      <w:r w:rsidRPr="0B5D70EC">
        <w:t xml:space="preserve">The proposed restriction </w:t>
      </w:r>
      <w:r w:rsidR="00A06432">
        <w:t xml:space="preserve">and treatment population </w:t>
      </w:r>
      <w:r w:rsidR="00462083">
        <w:t>was</w:t>
      </w:r>
      <w:r w:rsidR="00506213">
        <w:t xml:space="preserve"> narrower than </w:t>
      </w:r>
      <w:r w:rsidRPr="0B5D70EC">
        <w:t>the TGA approved indication</w:t>
      </w:r>
      <w:r w:rsidR="00506213">
        <w:t xml:space="preserve"> </w:t>
      </w:r>
      <w:r w:rsidR="00506213" w:rsidRPr="00036EE4">
        <w:t xml:space="preserve">(the TGA approved indication is ‘contraception’, however the proposed restriction </w:t>
      </w:r>
      <w:r w:rsidR="00E46082" w:rsidRPr="00036EE4">
        <w:t xml:space="preserve">is for women who meet the criteria set out in paragraph </w:t>
      </w:r>
      <w:r w:rsidR="00C43202" w:rsidRPr="00036EE4">
        <w:fldChar w:fldCharType="begin"/>
      </w:r>
      <w:r w:rsidR="00C43202" w:rsidRPr="00036EE4">
        <w:instrText xml:space="preserve"> REF _Ref193120973 \r \h </w:instrText>
      </w:r>
      <w:r w:rsidR="00036EE4">
        <w:instrText xml:space="preserve"> \* MERGEFORMAT </w:instrText>
      </w:r>
      <w:r w:rsidR="00C43202" w:rsidRPr="00036EE4">
        <w:fldChar w:fldCharType="separate"/>
      </w:r>
      <w:r w:rsidR="00896E34">
        <w:t>3.1</w:t>
      </w:r>
      <w:r w:rsidR="00C43202" w:rsidRPr="00036EE4">
        <w:fldChar w:fldCharType="end"/>
      </w:r>
      <w:r w:rsidR="00E46082" w:rsidRPr="00036EE4">
        <w:t>)</w:t>
      </w:r>
      <w:r w:rsidRPr="00036EE4">
        <w:t xml:space="preserve">. </w:t>
      </w:r>
    </w:p>
    <w:p w14:paraId="50DF3000" w14:textId="2F1AE9E8" w:rsidR="00CC35EA" w:rsidRPr="006D5675" w:rsidRDefault="008E6032" w:rsidP="008E6032">
      <w:pPr>
        <w:pStyle w:val="3-BodyText"/>
        <w:rPr>
          <w:color w:val="0066FF"/>
        </w:rPr>
      </w:pPr>
      <w:r w:rsidRPr="00903478">
        <w:t xml:space="preserve">The </w:t>
      </w:r>
      <w:r w:rsidR="00C45B01" w:rsidRPr="00903478">
        <w:t>PBS listing for</w:t>
      </w:r>
      <w:r w:rsidR="00367283">
        <w:t xml:space="preserve"> the nominated comparator, DMPA,</w:t>
      </w:r>
      <w:r w:rsidR="00C45B01" w:rsidRPr="00903478">
        <w:t xml:space="preserve"> is </w:t>
      </w:r>
      <w:r w:rsidR="001A62E6">
        <w:t>U</w:t>
      </w:r>
      <w:r w:rsidR="00C45B01" w:rsidRPr="00903478">
        <w:t>nrestricted</w:t>
      </w:r>
      <w:r w:rsidR="00903478">
        <w:t xml:space="preserve"> </w:t>
      </w:r>
      <w:r w:rsidR="001A62E6">
        <w:t>B</w:t>
      </w:r>
      <w:r w:rsidR="00903478">
        <w:t>enefit</w:t>
      </w:r>
      <w:r w:rsidR="00116F25" w:rsidRPr="00171A04">
        <w:t xml:space="preserve">, as are current PBS listings for </w:t>
      </w:r>
      <w:r w:rsidR="00A3195D" w:rsidRPr="00171A04">
        <w:t>the</w:t>
      </w:r>
      <w:r w:rsidR="00AD55EE" w:rsidRPr="00171A04">
        <w:t xml:space="preserve"> hormonal contraceptive</w:t>
      </w:r>
      <w:r w:rsidR="00A3195D" w:rsidRPr="00171A04">
        <w:t xml:space="preserve"> </w:t>
      </w:r>
      <w:r w:rsidR="00AD55EE" w:rsidRPr="00171A04">
        <w:t>oral pills</w:t>
      </w:r>
      <w:r w:rsidR="00654855" w:rsidRPr="00171A04">
        <w:t xml:space="preserve"> and</w:t>
      </w:r>
      <w:r w:rsidR="00AD55EE" w:rsidRPr="00171A04">
        <w:t xml:space="preserve"> implant</w:t>
      </w:r>
      <w:r w:rsidR="00903478" w:rsidRPr="00171A04">
        <w:t>.</w:t>
      </w:r>
      <w:r w:rsidR="008F7BAA" w:rsidRPr="00171A04">
        <w:t xml:space="preserve"> Levonorgestrel intrauterine devices (19.5 mg and 52 mg) are Restricted Benefit listings for ‘Contraception’.</w:t>
      </w:r>
      <w:r w:rsidR="00C45B01" w:rsidRPr="00171A04">
        <w:t xml:space="preserve"> </w:t>
      </w:r>
    </w:p>
    <w:p w14:paraId="5F36EF0D" w14:textId="749D4EF8" w:rsidR="006D5675" w:rsidRPr="00C82DFA" w:rsidRDefault="006D5675" w:rsidP="008E6032">
      <w:pPr>
        <w:pStyle w:val="3-BodyText"/>
        <w:rPr>
          <w:color w:val="0066FF"/>
        </w:rPr>
      </w:pPr>
      <w:r w:rsidRPr="0053245C">
        <w:rPr>
          <w:iCs/>
          <w:lang w:eastAsia="en-US"/>
        </w:rPr>
        <w:t xml:space="preserve">The requested listing </w:t>
      </w:r>
      <w:r>
        <w:rPr>
          <w:iCs/>
          <w:lang w:eastAsia="en-US"/>
        </w:rPr>
        <w:t xml:space="preserve">provides </w:t>
      </w:r>
      <w:r w:rsidRPr="0053245C">
        <w:rPr>
          <w:iCs/>
          <w:lang w:eastAsia="en-US"/>
        </w:rPr>
        <w:t>approximately 12 month’s supply, at the TGA approved dosing. This is consistent with the PBS listings of oral contraceptive medicines. The PBS listing for the nominated comparator, DMPA, provides for up to 6 month’s supply per prescription (1 injection with a maximum of 1 repeat, injection administered every 3 months).</w:t>
      </w:r>
    </w:p>
    <w:p w14:paraId="7879CF06" w14:textId="2A40F92D" w:rsidR="00C82DFA" w:rsidRPr="004819A9" w:rsidRDefault="00C82DFA" w:rsidP="008E6032">
      <w:pPr>
        <w:pStyle w:val="3-BodyText"/>
        <w:rPr>
          <w:color w:val="0066FF"/>
        </w:rPr>
      </w:pPr>
      <w:r w:rsidRPr="0053245C">
        <w:rPr>
          <w:iCs/>
          <w:lang w:eastAsia="en-US"/>
        </w:rPr>
        <w:t>The submission requested that medical practitioners, nurse practitioners and midwives be included as authorised prescribers</w:t>
      </w:r>
      <w:r w:rsidR="00C639B1">
        <w:rPr>
          <w:iCs/>
          <w:lang w:eastAsia="en-US"/>
        </w:rPr>
        <w:t>.</w:t>
      </w:r>
      <w:r w:rsidRPr="0053245C">
        <w:rPr>
          <w:iCs/>
          <w:lang w:eastAsia="en-US"/>
        </w:rPr>
        <w:t xml:space="preserve"> This is consistent with the PBS listing for DMPA and the listings for the etonogestrel implant, levonorgestrel intrauterine device and progestogen only pills. Combined oral contraceptives listed on the PBS have medical practitioners and nurse practitioners as authorised prescribers</w:t>
      </w:r>
      <w:r w:rsidR="003610D5">
        <w:rPr>
          <w:iCs/>
          <w:lang w:eastAsia="en-US"/>
        </w:rPr>
        <w:t>, however at its March 2025 meeting, the PBAC</w:t>
      </w:r>
      <w:r w:rsidR="00401167">
        <w:rPr>
          <w:iCs/>
          <w:lang w:eastAsia="en-US"/>
        </w:rPr>
        <w:t xml:space="preserve"> recommended </w:t>
      </w:r>
      <w:r w:rsidR="00401167" w:rsidRPr="00401167">
        <w:rPr>
          <w:iCs/>
          <w:lang w:eastAsia="en-US"/>
        </w:rPr>
        <w:t>amending all PBS listings for combined oral contraceptives to include endorsed midwives as authorised prescribers</w:t>
      </w:r>
      <w:r w:rsidRPr="0053245C">
        <w:rPr>
          <w:iCs/>
          <w:lang w:eastAsia="en-US"/>
        </w:rPr>
        <w:t>.</w:t>
      </w:r>
    </w:p>
    <w:p w14:paraId="584ED17B" w14:textId="7FD3E6D5" w:rsidR="009827FD" w:rsidRPr="000607CA" w:rsidRDefault="004819A9" w:rsidP="00A9364F">
      <w:pPr>
        <w:pStyle w:val="3-BodyText"/>
      </w:pPr>
      <w:r w:rsidRPr="005C3A66">
        <w:t xml:space="preserve">The Pre-Sub-Committee Response (PSCR) stated that the </w:t>
      </w:r>
      <w:r w:rsidR="00006FDB" w:rsidRPr="005C3A66">
        <w:t xml:space="preserve">proposed restriction is deliberately narrow to limit access under the PBS to women who meet </w:t>
      </w:r>
      <w:r w:rsidR="000860D9" w:rsidRPr="005C3A66">
        <w:t xml:space="preserve">the proposed clinical criteria. The PSCR </w:t>
      </w:r>
      <w:r w:rsidR="00B22C97" w:rsidRPr="005C3A66">
        <w:t xml:space="preserve">stated </w:t>
      </w:r>
      <w:r w:rsidR="000860D9" w:rsidRPr="005C3A66">
        <w:t xml:space="preserve">that these </w:t>
      </w:r>
      <w:r w:rsidR="009C5E48" w:rsidRPr="005C3A66">
        <w:t xml:space="preserve">criteria are based on situations where the bioavailability or tolerability of oral contraceptives are </w:t>
      </w:r>
      <w:proofErr w:type="gramStart"/>
      <w:r w:rsidR="00B22C97" w:rsidRPr="005C3A66">
        <w:t>impacted, and</w:t>
      </w:r>
      <w:proofErr w:type="gramEnd"/>
      <w:r w:rsidR="00B22C97" w:rsidRPr="005C3A66">
        <w:t xml:space="preserve"> claimed that it was unlikely women who did not </w:t>
      </w:r>
      <w:r w:rsidR="00E4264F" w:rsidRPr="005C3A66">
        <w:t>meet these criteria would be prescribed CVR under the PBS</w:t>
      </w:r>
      <w:r w:rsidR="00D671EC" w:rsidRPr="005C3A66">
        <w:t xml:space="preserve">. The PSCR acknowledged the criterion ‘experienced undesirable side effects with oral </w:t>
      </w:r>
      <w:proofErr w:type="gramStart"/>
      <w:r w:rsidR="00D671EC" w:rsidRPr="005C3A66">
        <w:t>contraceptives’</w:t>
      </w:r>
      <w:proofErr w:type="gramEnd"/>
      <w:r w:rsidR="00D671EC" w:rsidRPr="005C3A66">
        <w:t xml:space="preserve"> </w:t>
      </w:r>
      <w:r w:rsidR="009827FD" w:rsidRPr="005C3A66">
        <w:t>can include a broad range of symptoms.</w:t>
      </w:r>
      <w:r w:rsidR="00146808">
        <w:t xml:space="preserve"> The pre-PBAC response maintained that the </w:t>
      </w:r>
      <w:r w:rsidR="005D40E1">
        <w:t>requested restriction was designed to target a specific population with clinical barriers to the use of oral contraceptives, and claimed the criteria requested are supported by clinical evidence demonstrat</w:t>
      </w:r>
      <w:r w:rsidR="00DB2334">
        <w:t xml:space="preserve">ing </w:t>
      </w:r>
      <w:r w:rsidR="005D40E1">
        <w:t xml:space="preserve">reduced bioavailability or tolerability of oral contraceptives in these </w:t>
      </w:r>
      <w:r w:rsidR="005D40E1" w:rsidRPr="000607CA">
        <w:t>groups.</w:t>
      </w:r>
    </w:p>
    <w:p w14:paraId="4DCBAB3F" w14:textId="5C1A838D" w:rsidR="0080043C" w:rsidRPr="000607CA" w:rsidRDefault="0080043C" w:rsidP="0080043C">
      <w:pPr>
        <w:pStyle w:val="3-BodyText"/>
        <w:numPr>
          <w:ilvl w:val="0"/>
          <w:numId w:val="0"/>
        </w:numPr>
        <w:ind w:firstLine="720"/>
        <w:rPr>
          <w:i/>
          <w:iCs/>
        </w:rPr>
      </w:pPr>
      <w:r w:rsidRPr="000607CA">
        <w:rPr>
          <w:i/>
          <w:iCs/>
        </w:rPr>
        <w:t>For more detail on PBAC’s view, see section 7 PBAC outcome.</w:t>
      </w:r>
    </w:p>
    <w:p w14:paraId="7075B85C" w14:textId="62A47B7B" w:rsidR="00B50DB8" w:rsidRPr="0098262F" w:rsidDel="00195452" w:rsidRDefault="00203181" w:rsidP="004E18E9">
      <w:pPr>
        <w:pStyle w:val="2-SectionHeading"/>
      </w:pPr>
      <w:bookmarkStart w:id="10" w:name="_Toc193454815"/>
      <w:r w:rsidRPr="0098262F" w:rsidDel="00195452">
        <w:lastRenderedPageBreak/>
        <w:t xml:space="preserve">Population and </w:t>
      </w:r>
      <w:r w:rsidR="008E0D3C" w:rsidRPr="0098262F" w:rsidDel="00195452">
        <w:t>d</w:t>
      </w:r>
      <w:r w:rsidRPr="0098262F" w:rsidDel="00195452">
        <w:t>isease</w:t>
      </w:r>
      <w:bookmarkEnd w:id="10"/>
    </w:p>
    <w:p w14:paraId="7FEB0627" w14:textId="7BB20A65" w:rsidR="00437EAD" w:rsidRPr="007A6720" w:rsidRDefault="2A5C552F" w:rsidP="0B5D70EC">
      <w:pPr>
        <w:pStyle w:val="3-BodyText"/>
        <w:rPr>
          <w:color w:val="000000" w:themeColor="text1"/>
        </w:rPr>
      </w:pPr>
      <w:r w:rsidRPr="0B5D70EC">
        <w:rPr>
          <w:color w:val="000000" w:themeColor="text1"/>
        </w:rPr>
        <w:t xml:space="preserve">The </w:t>
      </w:r>
      <w:r w:rsidR="5DEF6376" w:rsidRPr="0B5D70EC">
        <w:rPr>
          <w:color w:val="000000" w:themeColor="text1"/>
        </w:rPr>
        <w:t>CVR</w:t>
      </w:r>
      <w:r w:rsidRPr="0B5D70EC">
        <w:rPr>
          <w:color w:val="000000" w:themeColor="text1"/>
        </w:rPr>
        <w:t xml:space="preserve"> is a plastic (latex free) ring</w:t>
      </w:r>
      <w:r w:rsidR="00762152">
        <w:rPr>
          <w:color w:val="000000" w:themeColor="text1"/>
        </w:rPr>
        <w:t>,</w:t>
      </w:r>
      <w:r w:rsidRPr="0B5D70EC">
        <w:rPr>
          <w:color w:val="000000" w:themeColor="text1"/>
        </w:rPr>
        <w:t xml:space="preserve"> 54</w:t>
      </w:r>
      <w:r w:rsidR="00042E59">
        <w:rPr>
          <w:color w:val="000000" w:themeColor="text1"/>
        </w:rPr>
        <w:t> </w:t>
      </w:r>
      <w:r w:rsidRPr="0B5D70EC">
        <w:rPr>
          <w:color w:val="000000" w:themeColor="text1"/>
        </w:rPr>
        <w:t>mm in diameter and 4</w:t>
      </w:r>
      <w:r w:rsidR="0008429E">
        <w:rPr>
          <w:color w:val="000000" w:themeColor="text1"/>
        </w:rPr>
        <w:t> </w:t>
      </w:r>
      <w:r w:rsidRPr="0B5D70EC">
        <w:rPr>
          <w:color w:val="000000" w:themeColor="text1"/>
        </w:rPr>
        <w:t>mm in cross-section</w:t>
      </w:r>
      <w:r w:rsidR="00762152">
        <w:rPr>
          <w:color w:val="000000" w:themeColor="text1"/>
        </w:rPr>
        <w:t>,</w:t>
      </w:r>
      <w:r w:rsidR="7AF0A6ED" w:rsidRPr="0B5D70EC">
        <w:rPr>
          <w:color w:val="000000" w:themeColor="text1"/>
        </w:rPr>
        <w:t xml:space="preserve"> that </w:t>
      </w:r>
      <w:r w:rsidR="45A2669F" w:rsidRPr="0B5D70EC">
        <w:rPr>
          <w:color w:val="000000" w:themeColor="text1"/>
        </w:rPr>
        <w:t xml:space="preserve">is placed in the vagina by the user, left in place </w:t>
      </w:r>
      <w:r w:rsidR="7AF0A6ED" w:rsidRPr="0B5D70EC">
        <w:rPr>
          <w:color w:val="000000" w:themeColor="text1"/>
        </w:rPr>
        <w:t>for three weeks</w:t>
      </w:r>
      <w:r w:rsidR="45A2669F" w:rsidRPr="0B5D70EC">
        <w:rPr>
          <w:color w:val="000000" w:themeColor="text1"/>
        </w:rPr>
        <w:t>,</w:t>
      </w:r>
      <w:r w:rsidR="7AF0A6ED" w:rsidRPr="0B5D70EC">
        <w:rPr>
          <w:color w:val="000000" w:themeColor="text1"/>
        </w:rPr>
        <w:t xml:space="preserve"> </w:t>
      </w:r>
      <w:r w:rsidR="45A2669F" w:rsidRPr="0B5D70EC">
        <w:rPr>
          <w:color w:val="000000" w:themeColor="text1"/>
        </w:rPr>
        <w:t xml:space="preserve">and </w:t>
      </w:r>
      <w:r w:rsidR="7AF0A6ED" w:rsidRPr="0B5D70EC">
        <w:rPr>
          <w:color w:val="000000" w:themeColor="text1"/>
        </w:rPr>
        <w:t>then removed and discarded</w:t>
      </w:r>
      <w:r w:rsidR="45A2669F" w:rsidRPr="0B5D70EC">
        <w:rPr>
          <w:color w:val="000000" w:themeColor="text1"/>
        </w:rPr>
        <w:t>. The CVR</w:t>
      </w:r>
      <w:r w:rsidR="4C784BCC" w:rsidRPr="0B5D70EC">
        <w:rPr>
          <w:color w:val="000000" w:themeColor="text1"/>
        </w:rPr>
        <w:t xml:space="preserve"> contains ethinylestradiol (EE) and etonogestrel (ENG), a metabolite of </w:t>
      </w:r>
      <w:proofErr w:type="spellStart"/>
      <w:r w:rsidR="4C784BCC" w:rsidRPr="0B5D70EC">
        <w:rPr>
          <w:color w:val="000000" w:themeColor="text1"/>
        </w:rPr>
        <w:t>desogestrel</w:t>
      </w:r>
      <w:proofErr w:type="spellEnd"/>
      <w:r w:rsidR="4C784BCC" w:rsidRPr="0B5D70EC">
        <w:rPr>
          <w:color w:val="000000" w:themeColor="text1"/>
        </w:rPr>
        <w:t xml:space="preserve">. </w:t>
      </w:r>
      <w:r w:rsidR="7AF0A6ED" w:rsidRPr="0B5D70EC">
        <w:rPr>
          <w:color w:val="000000" w:themeColor="text1"/>
        </w:rPr>
        <w:t>The device releases an average of 15 microgram/day of EE and 120 microgram/day of</w:t>
      </w:r>
      <w:r w:rsidR="45A2669F" w:rsidRPr="0B5D70EC">
        <w:rPr>
          <w:color w:val="000000" w:themeColor="text1"/>
        </w:rPr>
        <w:t xml:space="preserve"> </w:t>
      </w:r>
      <w:r w:rsidR="7AF0A6ED" w:rsidRPr="0B5D70EC">
        <w:rPr>
          <w:color w:val="000000" w:themeColor="text1"/>
        </w:rPr>
        <w:t>ENG</w:t>
      </w:r>
      <w:r w:rsidR="1BF6E26C" w:rsidRPr="0B5D70EC">
        <w:rPr>
          <w:color w:val="000000" w:themeColor="text1"/>
        </w:rPr>
        <w:t>, which are absorbed through the vaginal mucosa.</w:t>
      </w:r>
      <w:r w:rsidR="2085FC49" w:rsidRPr="0B5D70EC">
        <w:rPr>
          <w:color w:val="000000" w:themeColor="text1"/>
        </w:rPr>
        <w:t xml:space="preserve"> Peak concentrations are reached soon after insertion</w:t>
      </w:r>
      <w:r w:rsidR="1BF6E26C" w:rsidRPr="0B5D70EC">
        <w:rPr>
          <w:color w:val="000000" w:themeColor="text1"/>
        </w:rPr>
        <w:t xml:space="preserve"> and</w:t>
      </w:r>
      <w:r w:rsidR="2085FC49" w:rsidRPr="0B5D70EC">
        <w:rPr>
          <w:color w:val="000000" w:themeColor="text1"/>
        </w:rPr>
        <w:t xml:space="preserve"> </w:t>
      </w:r>
      <w:r w:rsidR="51869EEF" w:rsidRPr="0B5D70EC">
        <w:rPr>
          <w:color w:val="000000" w:themeColor="text1"/>
        </w:rPr>
        <w:t xml:space="preserve">then </w:t>
      </w:r>
      <w:r w:rsidR="2085FC49" w:rsidRPr="0B5D70EC">
        <w:rPr>
          <w:color w:val="000000" w:themeColor="text1"/>
        </w:rPr>
        <w:t>decline</w:t>
      </w:r>
      <w:r w:rsidR="51869EEF" w:rsidRPr="0B5D70EC">
        <w:rPr>
          <w:color w:val="000000" w:themeColor="text1"/>
        </w:rPr>
        <w:t>, but contraceptive efficacy is maintained for four weeks</w:t>
      </w:r>
      <w:r w:rsidR="5B46A15F" w:rsidRPr="0B5D70EC">
        <w:rPr>
          <w:color w:val="000000" w:themeColor="text1"/>
        </w:rPr>
        <w:t xml:space="preserve"> (though not longer)</w:t>
      </w:r>
      <w:r w:rsidR="2085FC49" w:rsidRPr="0B5D70EC">
        <w:rPr>
          <w:color w:val="000000" w:themeColor="text1"/>
        </w:rPr>
        <w:t>. Compared to users of oral contraceptives with 30 microgram</w:t>
      </w:r>
      <w:r w:rsidR="43EC6809" w:rsidRPr="0B5D70EC">
        <w:rPr>
          <w:color w:val="000000" w:themeColor="text1"/>
        </w:rPr>
        <w:t>s</w:t>
      </w:r>
      <w:r w:rsidR="2085FC49" w:rsidRPr="0B5D70EC">
        <w:rPr>
          <w:color w:val="000000" w:themeColor="text1"/>
        </w:rPr>
        <w:t xml:space="preserve"> of EE and 150 micrograms of </w:t>
      </w:r>
      <w:proofErr w:type="spellStart"/>
      <w:r w:rsidR="2085FC49" w:rsidRPr="0B5D70EC">
        <w:rPr>
          <w:color w:val="000000" w:themeColor="text1"/>
        </w:rPr>
        <w:t>desogestrel</w:t>
      </w:r>
      <w:proofErr w:type="spellEnd"/>
      <w:r w:rsidR="2085FC49" w:rsidRPr="0B5D70EC">
        <w:rPr>
          <w:color w:val="000000" w:themeColor="text1"/>
        </w:rPr>
        <w:t>, the peak</w:t>
      </w:r>
      <w:r w:rsidR="1BF6E26C" w:rsidRPr="0B5D70EC">
        <w:rPr>
          <w:color w:val="000000" w:themeColor="text1"/>
        </w:rPr>
        <w:t xml:space="preserve"> serum</w:t>
      </w:r>
      <w:r w:rsidR="2085FC49" w:rsidRPr="0B5D70EC">
        <w:rPr>
          <w:color w:val="000000" w:themeColor="text1"/>
        </w:rPr>
        <w:t xml:space="preserve"> EE concentration is about one third</w:t>
      </w:r>
      <w:r w:rsidR="7AF0A6ED" w:rsidRPr="0B5D70EC">
        <w:rPr>
          <w:color w:val="000000" w:themeColor="text1"/>
        </w:rPr>
        <w:t xml:space="preserve">, and </w:t>
      </w:r>
      <w:r w:rsidR="1BF6E26C" w:rsidRPr="0B5D70EC">
        <w:rPr>
          <w:color w:val="000000" w:themeColor="text1"/>
        </w:rPr>
        <w:t xml:space="preserve">the mean concentration </w:t>
      </w:r>
      <w:r w:rsidR="7AF0A6ED" w:rsidRPr="0B5D70EC">
        <w:rPr>
          <w:color w:val="000000" w:themeColor="text1"/>
        </w:rPr>
        <w:t>is about half</w:t>
      </w:r>
      <w:r w:rsidR="43EC6809" w:rsidRPr="0B5D70EC">
        <w:rPr>
          <w:color w:val="000000" w:themeColor="text1"/>
        </w:rPr>
        <w:t>, while</w:t>
      </w:r>
      <w:r w:rsidR="7AF0A6ED" w:rsidRPr="0B5D70EC">
        <w:rPr>
          <w:color w:val="000000" w:themeColor="text1"/>
        </w:rPr>
        <w:t xml:space="preserve"> </w:t>
      </w:r>
      <w:r w:rsidR="1BF6E26C" w:rsidRPr="0B5D70EC">
        <w:rPr>
          <w:color w:val="000000" w:themeColor="text1"/>
        </w:rPr>
        <w:t>concentrations of</w:t>
      </w:r>
      <w:r w:rsidR="7AF0A6ED" w:rsidRPr="0B5D70EC">
        <w:rPr>
          <w:color w:val="000000" w:themeColor="text1"/>
        </w:rPr>
        <w:t xml:space="preserve"> ENG </w:t>
      </w:r>
      <w:r w:rsidR="1BF6E26C" w:rsidRPr="0B5D70EC">
        <w:rPr>
          <w:color w:val="000000" w:themeColor="text1"/>
        </w:rPr>
        <w:t>are</w:t>
      </w:r>
      <w:r w:rsidR="7AF0A6ED" w:rsidRPr="0B5D70EC">
        <w:rPr>
          <w:color w:val="000000" w:themeColor="text1"/>
        </w:rPr>
        <w:t xml:space="preserve"> similar to th</w:t>
      </w:r>
      <w:r w:rsidR="1BF6E26C" w:rsidRPr="0B5D70EC">
        <w:rPr>
          <w:color w:val="000000" w:themeColor="text1"/>
        </w:rPr>
        <w:t>ose of</w:t>
      </w:r>
      <w:r w:rsidR="43EC6809" w:rsidRPr="0B5D70EC">
        <w:rPr>
          <w:color w:val="000000" w:themeColor="text1"/>
        </w:rPr>
        <w:t xml:space="preserve"> </w:t>
      </w:r>
      <w:proofErr w:type="spellStart"/>
      <w:r w:rsidR="43EC6809" w:rsidRPr="0B5D70EC">
        <w:rPr>
          <w:color w:val="000000" w:themeColor="text1"/>
        </w:rPr>
        <w:t>desogestrel</w:t>
      </w:r>
      <w:proofErr w:type="spellEnd"/>
      <w:r w:rsidR="7AF0A6ED" w:rsidRPr="0B5D70EC">
        <w:rPr>
          <w:color w:val="000000" w:themeColor="text1"/>
        </w:rPr>
        <w:t xml:space="preserve">.   </w:t>
      </w:r>
    </w:p>
    <w:p w14:paraId="11FCAAEE" w14:textId="701E1141" w:rsidR="007627BE" w:rsidRDefault="00437EAD" w:rsidP="004E18E9">
      <w:pPr>
        <w:pStyle w:val="3-BodyText"/>
        <w:rPr>
          <w:color w:val="000000" w:themeColor="text1"/>
        </w:rPr>
      </w:pPr>
      <w:r w:rsidRPr="007A6720">
        <w:rPr>
          <w:color w:val="000000" w:themeColor="text1"/>
        </w:rPr>
        <w:t xml:space="preserve">ENG/EE </w:t>
      </w:r>
      <w:r w:rsidR="00C663DF">
        <w:rPr>
          <w:color w:val="000000" w:themeColor="text1"/>
        </w:rPr>
        <w:t>CVR</w:t>
      </w:r>
      <w:r w:rsidRPr="007A6720">
        <w:rPr>
          <w:color w:val="000000" w:themeColor="text1"/>
        </w:rPr>
        <w:t xml:space="preserve"> has the same mechanism of action as </w:t>
      </w:r>
      <w:r w:rsidR="00C663DF">
        <w:rPr>
          <w:color w:val="000000" w:themeColor="text1"/>
        </w:rPr>
        <w:t>COCs</w:t>
      </w:r>
      <w:r w:rsidRPr="007A6720">
        <w:rPr>
          <w:color w:val="000000" w:themeColor="text1"/>
        </w:rPr>
        <w:t xml:space="preserve"> and</w:t>
      </w:r>
      <w:r w:rsidR="007A6720" w:rsidRPr="007A6720">
        <w:rPr>
          <w:color w:val="000000" w:themeColor="text1"/>
        </w:rPr>
        <w:t xml:space="preserve"> </w:t>
      </w:r>
      <w:r w:rsidR="00C663DF">
        <w:rPr>
          <w:color w:val="000000" w:themeColor="text1"/>
        </w:rPr>
        <w:t xml:space="preserve">has </w:t>
      </w:r>
      <w:r w:rsidR="007A6720" w:rsidRPr="007A6720">
        <w:rPr>
          <w:color w:val="000000" w:themeColor="text1"/>
        </w:rPr>
        <w:t>similar adverse event risks</w:t>
      </w:r>
      <w:r w:rsidR="00C663DF">
        <w:rPr>
          <w:color w:val="000000" w:themeColor="text1"/>
        </w:rPr>
        <w:t xml:space="preserve"> and contraindications</w:t>
      </w:r>
      <w:r w:rsidR="007A6720" w:rsidRPr="007A6720">
        <w:rPr>
          <w:color w:val="000000" w:themeColor="text1"/>
        </w:rPr>
        <w:t xml:space="preserve">. </w:t>
      </w:r>
    </w:p>
    <w:p w14:paraId="1713C560" w14:textId="0A13BF98" w:rsidR="0080043C" w:rsidRPr="0080043C" w:rsidRDefault="0080043C" w:rsidP="0080043C">
      <w:pPr>
        <w:pStyle w:val="3-BodyText"/>
        <w:numPr>
          <w:ilvl w:val="0"/>
          <w:numId w:val="0"/>
        </w:numPr>
        <w:ind w:left="720"/>
        <w:rPr>
          <w:i/>
          <w:iCs/>
          <w:color w:val="000000" w:themeColor="text1"/>
        </w:rPr>
      </w:pPr>
      <w:r w:rsidRPr="0080043C">
        <w:rPr>
          <w:i/>
          <w:iCs/>
          <w:color w:val="000000" w:themeColor="text1"/>
        </w:rPr>
        <w:t>For more detail on PBAC’s view, see section 7 PBAC outcome.</w:t>
      </w:r>
    </w:p>
    <w:p w14:paraId="51E5AE96" w14:textId="136A63B1" w:rsidR="00B50DB8" w:rsidRPr="0098262F" w:rsidRDefault="00B50DB8" w:rsidP="004E18E9">
      <w:pPr>
        <w:pStyle w:val="2-SectionHeading"/>
      </w:pPr>
      <w:bookmarkStart w:id="11" w:name="_Toc193454816"/>
      <w:r w:rsidRPr="0098262F">
        <w:t>Comparator</w:t>
      </w:r>
      <w:bookmarkEnd w:id="11"/>
    </w:p>
    <w:p w14:paraId="4F9F8F61" w14:textId="35FFBDCD" w:rsidR="00AB3852" w:rsidRDefault="350354D5" w:rsidP="00882E3C">
      <w:pPr>
        <w:pStyle w:val="3-BodyText"/>
      </w:pPr>
      <w:r w:rsidRPr="0B5D70EC">
        <w:t xml:space="preserve">The submission nominated </w:t>
      </w:r>
      <w:r w:rsidR="76974B8A" w:rsidRPr="0B5D70EC">
        <w:t>DMPA</w:t>
      </w:r>
      <w:r w:rsidRPr="0B5D70EC">
        <w:t xml:space="preserve"> as the primary comparator. </w:t>
      </w:r>
    </w:p>
    <w:p w14:paraId="5F416773" w14:textId="635EAE54" w:rsidR="00CC0A61" w:rsidRDefault="00CC0A61" w:rsidP="00CC0A61">
      <w:pPr>
        <w:pStyle w:val="3-BodyText"/>
      </w:pPr>
      <w:r>
        <w:t xml:space="preserve">The submission stated: </w:t>
      </w:r>
    </w:p>
    <w:p w14:paraId="2CB641F3" w14:textId="680E7BAC" w:rsidR="00CC0A61" w:rsidRPr="00BD4A2A" w:rsidRDefault="00E5662B" w:rsidP="00AB3852">
      <w:pPr>
        <w:ind w:left="720"/>
      </w:pPr>
      <w:r>
        <w:t>“</w:t>
      </w:r>
      <w:r w:rsidR="00CC0A61" w:rsidRPr="00BD4A2A">
        <w:t>The choice of DMPA as the primary comparator is justified by several key clinical and practical factors:</w:t>
      </w:r>
    </w:p>
    <w:p w14:paraId="670CC205" w14:textId="43E2FD2F" w:rsidR="00CC0A61" w:rsidRPr="00BD4A2A" w:rsidRDefault="00CC0A61" w:rsidP="000A3B81">
      <w:pPr>
        <w:numPr>
          <w:ilvl w:val="0"/>
          <w:numId w:val="11"/>
        </w:numPr>
        <w:tabs>
          <w:tab w:val="clear" w:pos="720"/>
        </w:tabs>
        <w:spacing w:before="120" w:after="120"/>
        <w:ind w:left="1134"/>
      </w:pPr>
      <w:r w:rsidRPr="00017B6F">
        <w:rPr>
          <w:b/>
          <w:bCs/>
        </w:rPr>
        <w:t xml:space="preserve">Alternative for </w:t>
      </w:r>
      <w:r w:rsidR="00E22D7B" w:rsidRPr="00017B6F">
        <w:rPr>
          <w:b/>
          <w:bCs/>
        </w:rPr>
        <w:t>w</w:t>
      </w:r>
      <w:r w:rsidRPr="00017B6F">
        <w:rPr>
          <w:b/>
          <w:bCs/>
        </w:rPr>
        <w:t>omen with GI and swallowing issues</w:t>
      </w:r>
      <w:r w:rsidRPr="00CC0A61">
        <w:t xml:space="preserve">: DMPA is often used as an alternative for women who cannot use </w:t>
      </w:r>
      <w:r w:rsidR="0036401C">
        <w:t>oral contraceptives</w:t>
      </w:r>
      <w:r w:rsidRPr="00CC0A61">
        <w:t xml:space="preserve"> due to GI disturbances or malabsorption </w:t>
      </w:r>
      <w:r w:rsidRPr="00BD4A2A">
        <w:t xml:space="preserve">syndromes, conditions that impact the bioavailability of oral medications. Similarly, NuvaRing's vaginal administration bypasses the gastrointestinal tract, making it suitable for women with these conditions. </w:t>
      </w:r>
    </w:p>
    <w:p w14:paraId="6F7C233D" w14:textId="2A3105E2" w:rsidR="00CC0A61" w:rsidRPr="00BD4A2A" w:rsidRDefault="00CC0A61" w:rsidP="000A3B81">
      <w:pPr>
        <w:numPr>
          <w:ilvl w:val="0"/>
          <w:numId w:val="11"/>
        </w:numPr>
        <w:tabs>
          <w:tab w:val="clear" w:pos="720"/>
        </w:tabs>
        <w:spacing w:before="120" w:after="120"/>
        <w:ind w:left="1134"/>
      </w:pPr>
      <w:r w:rsidRPr="00BD4A2A">
        <w:rPr>
          <w:b/>
        </w:rPr>
        <w:t xml:space="preserve">Side </w:t>
      </w:r>
      <w:r w:rsidR="00F029B6">
        <w:rPr>
          <w:b/>
        </w:rPr>
        <w:t>e</w:t>
      </w:r>
      <w:r w:rsidRPr="00BD4A2A">
        <w:rPr>
          <w:b/>
        </w:rPr>
        <w:t xml:space="preserve">ffect </w:t>
      </w:r>
      <w:r w:rsidR="00F029B6">
        <w:rPr>
          <w:b/>
        </w:rPr>
        <w:t>p</w:t>
      </w:r>
      <w:r w:rsidRPr="00BD4A2A">
        <w:rPr>
          <w:b/>
        </w:rPr>
        <w:t>rofile:</w:t>
      </w:r>
      <w:r w:rsidRPr="00BD4A2A">
        <w:t xml:space="preserve"> Women often discontinue </w:t>
      </w:r>
      <w:r w:rsidR="00F029B6">
        <w:t>oral contraceptives</w:t>
      </w:r>
      <w:r w:rsidRPr="00BD4A2A">
        <w:t xml:space="preserve"> due to side effects such as nausea, vomiting, or breakthrough bleeding. DMPA and NuvaRing, being non-oral, non-surgical alternatives, are commonly used as second-line methods when side effects prevent the use of </w:t>
      </w:r>
      <w:r w:rsidR="00C97E21">
        <w:t>oral contraceptives</w:t>
      </w:r>
      <w:r w:rsidRPr="00BD4A2A">
        <w:t xml:space="preserve">. NuvaRing’s hormonal profile is associated with lower hormone exposure, leading to better cycle control and fewer side effects, a crucial point for women who have already experienced undesirable effects with </w:t>
      </w:r>
      <w:r w:rsidR="00F10346">
        <w:t>oral contraceptives</w:t>
      </w:r>
      <w:r w:rsidRPr="00BD4A2A">
        <w:t>.</w:t>
      </w:r>
      <w:r w:rsidR="00E5662B">
        <w:t>”</w:t>
      </w:r>
    </w:p>
    <w:p w14:paraId="525F212A" w14:textId="77777777" w:rsidR="0048211E" w:rsidRPr="005C3A66" w:rsidRDefault="00223685" w:rsidP="00882E3C">
      <w:pPr>
        <w:pStyle w:val="3-BodyText"/>
      </w:pPr>
      <w:r w:rsidRPr="005C3A66">
        <w:t>The ESC noted there was a lack of evidence to support the claim that DMPA i</w:t>
      </w:r>
      <w:r w:rsidR="004F5ACB" w:rsidRPr="005C3A66">
        <w:t>s often used as an alternative for women who cannot use oral contraceptives due to GI disturbance</w:t>
      </w:r>
      <w:r w:rsidR="0028322C" w:rsidRPr="005C3A66">
        <w:t xml:space="preserve"> or malabsorption syndromes. </w:t>
      </w:r>
    </w:p>
    <w:p w14:paraId="44F3E8A5" w14:textId="4037829E" w:rsidR="00A03909" w:rsidRPr="005C3A66" w:rsidRDefault="00D43DFA" w:rsidP="00882E3C">
      <w:pPr>
        <w:pStyle w:val="3-BodyText"/>
      </w:pPr>
      <w:r w:rsidRPr="005C3A66">
        <w:t xml:space="preserve">The ESC </w:t>
      </w:r>
      <w:r w:rsidR="008C66B3" w:rsidRPr="005C3A66">
        <w:t xml:space="preserve">noted that guideline recommendations stated that COCs and CVR </w:t>
      </w:r>
      <w:r w:rsidR="0048211E" w:rsidRPr="005C3A66">
        <w:t xml:space="preserve">are </w:t>
      </w:r>
      <w:r w:rsidR="004F734B" w:rsidRPr="005C3A66">
        <w:t>equivalent</w:t>
      </w:r>
      <w:r w:rsidR="0048211E" w:rsidRPr="005C3A66">
        <w:t xml:space="preserve"> in terms of effectiveness, contraindications/precautions, drug interactions </w:t>
      </w:r>
      <w:r w:rsidR="0048211E" w:rsidRPr="005C3A66">
        <w:lastRenderedPageBreak/>
        <w:t>and adverse effects</w:t>
      </w:r>
      <w:r w:rsidR="00505EE3" w:rsidRPr="005C3A66">
        <w:t>.</w:t>
      </w:r>
      <w:r w:rsidR="00B81C61" w:rsidRPr="005C3A66">
        <w:rPr>
          <w:rStyle w:val="FootnoteReference"/>
        </w:rPr>
        <w:footnoteReference w:id="8"/>
      </w:r>
      <w:r w:rsidR="00505EE3" w:rsidRPr="005C3A66">
        <w:t xml:space="preserve"> The ESC</w:t>
      </w:r>
      <w:r w:rsidR="00B25DA4" w:rsidRPr="005C3A66">
        <w:t xml:space="preserve"> considered the claim </w:t>
      </w:r>
      <w:r w:rsidR="00C95527" w:rsidRPr="005C3A66">
        <w:t>that CVR can assist with better cycle control and reduce breakthrough bleeding is supported by clinical guidelines.</w:t>
      </w:r>
      <w:r w:rsidR="00B15061" w:rsidRPr="005C3A66">
        <w:rPr>
          <w:vertAlign w:val="superscript"/>
        </w:rPr>
        <w:t>7</w:t>
      </w:r>
      <w:r w:rsidR="00505EE3" w:rsidRPr="005C3A66">
        <w:t xml:space="preserve"> </w:t>
      </w:r>
    </w:p>
    <w:p w14:paraId="415C3795" w14:textId="4252C380" w:rsidR="000613E9" w:rsidRPr="00946434" w:rsidRDefault="416CDE14" w:rsidP="0B5D70EC">
      <w:pPr>
        <w:pStyle w:val="3-BodyText"/>
      </w:pPr>
      <w:r>
        <w:t xml:space="preserve">The submission also nominated </w:t>
      </w:r>
      <w:r w:rsidR="79A01614">
        <w:t>COCs</w:t>
      </w:r>
      <w:r>
        <w:t xml:space="preserve"> as ‘exploratory’ comparators, </w:t>
      </w:r>
      <w:r w:rsidR="00725C71">
        <w:t xml:space="preserve">including </w:t>
      </w:r>
      <w:r w:rsidR="79A01614">
        <w:t>drospirenone with ethinylestradiol (</w:t>
      </w:r>
      <w:r>
        <w:t>Yaz</w:t>
      </w:r>
      <w:r w:rsidR="00BE5E08" w:rsidRPr="2823E5C6">
        <w:t>®</w:t>
      </w:r>
      <w:r>
        <w:t xml:space="preserve"> and Yasmin</w:t>
      </w:r>
      <w:r w:rsidR="00BE5E08" w:rsidRPr="2823E5C6">
        <w:t>®</w:t>
      </w:r>
      <w:r w:rsidR="79A01614">
        <w:t xml:space="preserve">), </w:t>
      </w:r>
      <w:r>
        <w:t xml:space="preserve">recommended </w:t>
      </w:r>
      <w:r w:rsidR="1D9F533A">
        <w:t xml:space="preserve">for listing </w:t>
      </w:r>
      <w:r>
        <w:t>by the PBAC</w:t>
      </w:r>
      <w:r w:rsidR="1D9F533A">
        <w:t xml:space="preserve"> </w:t>
      </w:r>
      <w:r w:rsidR="00CA5C68">
        <w:t>at its</w:t>
      </w:r>
      <w:r w:rsidR="1D9F533A">
        <w:t xml:space="preserve"> July 2024 </w:t>
      </w:r>
      <w:r w:rsidR="00CA5C68">
        <w:t xml:space="preserve">meeting and </w:t>
      </w:r>
      <w:r w:rsidR="00E86A80">
        <w:t>listed on the PBS in March 2025</w:t>
      </w:r>
      <w:r w:rsidR="00C53F1B">
        <w:t xml:space="preserve">. The submission stated that </w:t>
      </w:r>
      <w:proofErr w:type="spellStart"/>
      <w:r w:rsidR="79A01614">
        <w:t>drosp</w:t>
      </w:r>
      <w:r w:rsidR="00AD22F7">
        <w:t>i</w:t>
      </w:r>
      <w:r w:rsidR="79A01614">
        <w:t>r</w:t>
      </w:r>
      <w:r w:rsidR="00AD22F7">
        <w:t>e</w:t>
      </w:r>
      <w:r w:rsidR="79A01614">
        <w:t>none</w:t>
      </w:r>
      <w:proofErr w:type="spellEnd"/>
      <w:r w:rsidR="79A01614">
        <w:t xml:space="preserve"> (</w:t>
      </w:r>
      <w:proofErr w:type="spellStart"/>
      <w:r>
        <w:t>Slinda</w:t>
      </w:r>
      <w:proofErr w:type="spellEnd"/>
      <w:r w:rsidR="00C53F1B" w:rsidRPr="2823E5C6">
        <w:t>®</w:t>
      </w:r>
      <w:r w:rsidR="79A01614">
        <w:t>)</w:t>
      </w:r>
      <w:r w:rsidR="1D9F533A">
        <w:t>,</w:t>
      </w:r>
      <w:r>
        <w:t xml:space="preserve"> recommended for listing at the November 2024 PBAC meeting</w:t>
      </w:r>
      <w:r w:rsidR="001F6D06">
        <w:t>,</w:t>
      </w:r>
      <w:r w:rsidR="00C53F1B">
        <w:t xml:space="preserve"> was not included as a</w:t>
      </w:r>
      <w:r w:rsidR="00107B16">
        <w:t>n</w:t>
      </w:r>
      <w:r w:rsidR="00C53F1B">
        <w:t xml:space="preserve"> exploratory comparator as no direct clinical data comparing it with the CVR </w:t>
      </w:r>
      <w:r w:rsidR="00C53F1B" w:rsidRPr="005C3A66">
        <w:t>w</w:t>
      </w:r>
      <w:r w:rsidR="001F6D06" w:rsidRPr="005C3A66">
        <w:t>as</w:t>
      </w:r>
      <w:r w:rsidR="00C53F1B" w:rsidRPr="005C3A66">
        <w:t xml:space="preserve"> available.</w:t>
      </w:r>
      <w:r w:rsidR="00227C35" w:rsidRPr="005C3A66">
        <w:t xml:space="preserve"> </w:t>
      </w:r>
      <w:r w:rsidR="00316E2D" w:rsidRPr="005C3A66">
        <w:t>The</w:t>
      </w:r>
      <w:r w:rsidR="007464E3" w:rsidRPr="005C3A66">
        <w:t xml:space="preserve"> PSCR reiterated its claim that CVR </w:t>
      </w:r>
      <w:r w:rsidR="00E836DD" w:rsidRPr="005C3A66">
        <w:t xml:space="preserve">showed non-inferior safety and efficacy compared to </w:t>
      </w:r>
      <w:r w:rsidR="007D4CF8">
        <w:t xml:space="preserve">the </w:t>
      </w:r>
      <w:r w:rsidR="00E836DD" w:rsidRPr="005C3A66">
        <w:t xml:space="preserve">COCs EE/DRSP and EE/LNG. </w:t>
      </w:r>
    </w:p>
    <w:p w14:paraId="0CDEA381" w14:textId="37ECA1B5" w:rsidR="0033114A" w:rsidRPr="0033114A" w:rsidRDefault="00865E39" w:rsidP="00865E39">
      <w:pPr>
        <w:pStyle w:val="3-BodyText"/>
        <w:rPr>
          <w:i/>
          <w:iCs/>
        </w:rPr>
      </w:pPr>
      <w:r>
        <w:t>T</w:t>
      </w:r>
      <w:r w:rsidR="416CDE14" w:rsidRPr="0B5D70EC">
        <w:t xml:space="preserve">he submission presented </w:t>
      </w:r>
      <w:r w:rsidR="001E150B">
        <w:t xml:space="preserve">the results of </w:t>
      </w:r>
      <w:r>
        <w:t xml:space="preserve">an online survey of 101 Australian </w:t>
      </w:r>
      <w:r w:rsidR="001E150B">
        <w:t>health care providers to understand their prescribing patterns for CVR and DMPA</w:t>
      </w:r>
      <w:r w:rsidR="00640916">
        <w:t xml:space="preserve"> for the proposed PBS population. </w:t>
      </w:r>
      <w:r w:rsidR="00640916" w:rsidRPr="00171A04">
        <w:t>The questions asked did not address</w:t>
      </w:r>
      <w:r w:rsidR="0033114A" w:rsidRPr="00171A04">
        <w:t xml:space="preserve"> whether DMPA was the treatment most likely to be displaced by the listing of CVR and therefore whether it was appropriate as</w:t>
      </w:r>
      <w:r w:rsidR="00F17128">
        <w:t xml:space="preserve"> the</w:t>
      </w:r>
      <w:r w:rsidR="0033114A" w:rsidRPr="00171A04">
        <w:t xml:space="preserve"> primary comparator.</w:t>
      </w:r>
      <w:r w:rsidR="00640916">
        <w:t xml:space="preserve"> </w:t>
      </w:r>
    </w:p>
    <w:p w14:paraId="08B8A3AA" w14:textId="7C22F06B" w:rsidR="0058281C" w:rsidRPr="00865E39" w:rsidRDefault="0033114A" w:rsidP="00865E39">
      <w:pPr>
        <w:pStyle w:val="3-BodyText"/>
        <w:rPr>
          <w:i/>
          <w:iCs/>
        </w:rPr>
      </w:pPr>
      <w:r>
        <w:t xml:space="preserve">The submission also presented </w:t>
      </w:r>
      <w:r w:rsidR="3953513B" w:rsidRPr="0B5D70EC">
        <w:t xml:space="preserve">sales </w:t>
      </w:r>
      <w:r w:rsidR="416CDE14" w:rsidRPr="0B5D70EC">
        <w:t xml:space="preserve">data </w:t>
      </w:r>
      <w:r w:rsidR="3953513B" w:rsidRPr="0B5D70EC">
        <w:t>for NuvaR</w:t>
      </w:r>
      <w:r w:rsidR="075B869F" w:rsidRPr="0B5D70EC">
        <w:t>i</w:t>
      </w:r>
      <w:r w:rsidR="3953513B" w:rsidRPr="0B5D70EC">
        <w:t xml:space="preserve">ng that identified the type of contraceptive </w:t>
      </w:r>
      <w:r w:rsidR="7913407F" w:rsidRPr="0B5D70EC">
        <w:t xml:space="preserve">previously </w:t>
      </w:r>
      <w:r w:rsidR="3953513B" w:rsidRPr="0B5D70EC">
        <w:t>use</w:t>
      </w:r>
      <w:r w:rsidR="2D060D8D" w:rsidRPr="0B5D70EC">
        <w:t>d</w:t>
      </w:r>
      <w:r w:rsidR="3953513B" w:rsidRPr="0B5D70EC">
        <w:t xml:space="preserve"> by a cohort of 1</w:t>
      </w:r>
      <w:r w:rsidR="00946CC5">
        <w:t>,</w:t>
      </w:r>
      <w:r w:rsidR="3953513B" w:rsidRPr="0B5D70EC">
        <w:t>720 patients who use</w:t>
      </w:r>
      <w:r w:rsidR="4F1B67F9" w:rsidRPr="0B5D70EC">
        <w:t>d</w:t>
      </w:r>
      <w:r w:rsidR="3953513B" w:rsidRPr="0B5D70EC">
        <w:t xml:space="preserve"> NuvaRing</w:t>
      </w:r>
      <w:r w:rsidR="4F1B67F9" w:rsidRPr="0B5D70EC">
        <w:t xml:space="preserve"> through</w:t>
      </w:r>
      <w:r w:rsidR="3953513B" w:rsidRPr="0B5D70EC">
        <w:t xml:space="preserve"> private script</w:t>
      </w:r>
      <w:r w:rsidR="4F1B67F9" w:rsidRPr="0B5D70EC">
        <w:t>s.</w:t>
      </w:r>
      <w:r w:rsidR="3953513B" w:rsidRPr="0B5D70EC">
        <w:t xml:space="preserve"> </w:t>
      </w:r>
      <w:r w:rsidR="7913407F" w:rsidRPr="00171A04">
        <w:t>T</w:t>
      </w:r>
      <w:r w:rsidR="3953513B" w:rsidRPr="00171A04">
        <w:t xml:space="preserve">he largest </w:t>
      </w:r>
      <w:r w:rsidR="7913407F" w:rsidRPr="00171A04">
        <w:t>group</w:t>
      </w:r>
      <w:r w:rsidR="3953513B" w:rsidRPr="00171A04">
        <w:t xml:space="preserve"> of</w:t>
      </w:r>
      <w:r w:rsidR="7913407F" w:rsidRPr="00171A04">
        <w:t xml:space="preserve"> NuvaRing users</w:t>
      </w:r>
      <w:r w:rsidR="3953513B" w:rsidRPr="00171A04">
        <w:t xml:space="preserve"> (26.1%) had no prior contraceptive use recorded</w:t>
      </w:r>
      <w:r w:rsidR="2085FC49" w:rsidRPr="00171A04">
        <w:t xml:space="preserve">, </w:t>
      </w:r>
      <w:r w:rsidR="000A4837" w:rsidRPr="00171A04">
        <w:t>suggesting they were not</w:t>
      </w:r>
      <w:r w:rsidR="2085FC49" w:rsidRPr="00171A04">
        <w:t xml:space="preserve"> patients unable to tolerate oral contraceptives</w:t>
      </w:r>
      <w:r w:rsidR="3953513B" w:rsidRPr="00171A04">
        <w:t xml:space="preserve">. The next </w:t>
      </w:r>
      <w:r w:rsidR="2D060D8D" w:rsidRPr="00171A04">
        <w:t>two</w:t>
      </w:r>
      <w:r w:rsidR="3953513B" w:rsidRPr="00171A04">
        <w:t xml:space="preserve"> largest groups (approximately 6% each) were users of </w:t>
      </w:r>
      <w:r w:rsidR="4F1B67F9" w:rsidRPr="00171A04">
        <w:t>progestogen-releasing IUD and progestogen implant</w:t>
      </w:r>
      <w:r w:rsidR="79A01614" w:rsidRPr="00171A04">
        <w:t xml:space="preserve">, which were not </w:t>
      </w:r>
      <w:r w:rsidR="00546762">
        <w:t>included</w:t>
      </w:r>
      <w:r w:rsidR="00546762" w:rsidRPr="00171A04">
        <w:t xml:space="preserve"> </w:t>
      </w:r>
      <w:r w:rsidR="79A01614" w:rsidRPr="00171A04">
        <w:t xml:space="preserve">as comparators </w:t>
      </w:r>
      <w:r w:rsidR="00546762">
        <w:t>in</w:t>
      </w:r>
      <w:r w:rsidR="79A01614" w:rsidRPr="00171A04">
        <w:t xml:space="preserve"> the submission</w:t>
      </w:r>
      <w:r w:rsidR="3953513B" w:rsidRPr="00171A04">
        <w:t>. Other products listed were a variety of oral contraceptives</w:t>
      </w:r>
      <w:r w:rsidR="2085FC49" w:rsidRPr="00171A04">
        <w:t>, but the reasons patients switched from these were not provided</w:t>
      </w:r>
      <w:r w:rsidR="4F1B67F9" w:rsidRPr="00171A04">
        <w:t xml:space="preserve"> </w:t>
      </w:r>
      <w:r w:rsidR="008455D5" w:rsidRPr="00171A04">
        <w:t>–</w:t>
      </w:r>
      <w:r w:rsidR="4F1B67F9" w:rsidRPr="00171A04">
        <w:t xml:space="preserve"> i</w:t>
      </w:r>
      <w:r w:rsidR="008455D5" w:rsidRPr="00171A04">
        <w:t>.</w:t>
      </w:r>
      <w:r w:rsidR="4F1B67F9" w:rsidRPr="00171A04">
        <w:t>e</w:t>
      </w:r>
      <w:r w:rsidR="008455D5" w:rsidRPr="00171A04">
        <w:t>.</w:t>
      </w:r>
      <w:r w:rsidR="4F1B67F9" w:rsidRPr="00171A04">
        <w:t xml:space="preserve">, there is no evidence </w:t>
      </w:r>
      <w:r w:rsidR="00F07EEF" w:rsidRPr="00171A04">
        <w:t xml:space="preserve">provided </w:t>
      </w:r>
      <w:r w:rsidR="4F1B67F9" w:rsidRPr="00171A04">
        <w:t>that they would have been eligible under the proposed restriction.</w:t>
      </w:r>
      <w:r w:rsidR="2085FC49" w:rsidRPr="00865E39">
        <w:rPr>
          <w:i/>
          <w:iCs/>
        </w:rPr>
        <w:t xml:space="preserve"> </w:t>
      </w:r>
    </w:p>
    <w:p w14:paraId="4E55BE9F" w14:textId="7CAEFAF6" w:rsidR="00F6796D" w:rsidRPr="00171A04" w:rsidRDefault="416CDE14" w:rsidP="0058281C">
      <w:pPr>
        <w:pStyle w:val="3-BodyText"/>
      </w:pPr>
      <w:r w:rsidRPr="00171A04">
        <w:t>The</w:t>
      </w:r>
      <w:r w:rsidR="00B169A1">
        <w:t xml:space="preserve"> primary</w:t>
      </w:r>
      <w:r w:rsidRPr="00171A04">
        <w:t xml:space="preserve"> comparator</w:t>
      </w:r>
      <w:r w:rsidR="3953513B" w:rsidRPr="00171A04">
        <w:t xml:space="preserve"> nominated by the submission</w:t>
      </w:r>
      <w:r w:rsidR="00B169A1">
        <w:t xml:space="preserve"> (DMPA)</w:t>
      </w:r>
      <w:r w:rsidR="3953513B" w:rsidRPr="00171A04">
        <w:t xml:space="preserve"> </w:t>
      </w:r>
      <w:r w:rsidR="13F0EE88" w:rsidRPr="00171A04">
        <w:t>w</w:t>
      </w:r>
      <w:r w:rsidR="00B169A1">
        <w:t>as</w:t>
      </w:r>
      <w:r w:rsidR="3BA9F909" w:rsidRPr="00171A04">
        <w:t xml:space="preserve"> not appropriate</w:t>
      </w:r>
      <w:r w:rsidR="5F4133B6" w:rsidRPr="00171A04">
        <w:t>.</w:t>
      </w:r>
      <w:r w:rsidR="3BA9F909" w:rsidRPr="00171A04">
        <w:t xml:space="preserve"> </w:t>
      </w:r>
      <w:r w:rsidR="5F4133B6" w:rsidRPr="00171A04">
        <w:t>T</w:t>
      </w:r>
      <w:r w:rsidR="3953513B" w:rsidRPr="00171A04">
        <w:t xml:space="preserve">he </w:t>
      </w:r>
      <w:r w:rsidR="6E9E06AB" w:rsidRPr="00171A04">
        <w:t xml:space="preserve">submitted </w:t>
      </w:r>
      <w:r w:rsidR="3953513B" w:rsidRPr="00171A04">
        <w:t>usage data</w:t>
      </w:r>
      <w:r w:rsidR="45A2669F" w:rsidRPr="00171A04">
        <w:t>, and the advantages of</w:t>
      </w:r>
      <w:r w:rsidR="7F3126FB" w:rsidRPr="00171A04">
        <w:t xml:space="preserve"> CVR</w:t>
      </w:r>
      <w:r w:rsidR="45A2669F" w:rsidRPr="00171A04">
        <w:t xml:space="preserve"> listed by the </w:t>
      </w:r>
      <w:r w:rsidR="5985CC9C" w:rsidRPr="00171A04">
        <w:t>clinical experts</w:t>
      </w:r>
      <w:r w:rsidR="45A2669F" w:rsidRPr="00171A04">
        <w:t xml:space="preserve"> in </w:t>
      </w:r>
      <w:r w:rsidR="00855CAB" w:rsidRPr="00171A04">
        <w:t xml:space="preserve">input provided </w:t>
      </w:r>
      <w:r w:rsidR="45A2669F" w:rsidRPr="00171A04">
        <w:t>in the submission,</w:t>
      </w:r>
      <w:r w:rsidR="3953513B" w:rsidRPr="00171A04">
        <w:t xml:space="preserve"> suggest</w:t>
      </w:r>
      <w:r w:rsidR="005018E1" w:rsidRPr="00171A04">
        <w:t>ed</w:t>
      </w:r>
      <w:r w:rsidR="3953513B" w:rsidRPr="00171A04">
        <w:t xml:space="preserve"> that </w:t>
      </w:r>
      <w:r w:rsidR="7F3126FB" w:rsidRPr="00171A04">
        <w:t xml:space="preserve">CVR </w:t>
      </w:r>
      <w:r w:rsidR="3953513B" w:rsidRPr="00171A04">
        <w:t xml:space="preserve">will </w:t>
      </w:r>
      <w:r w:rsidR="45A2669F" w:rsidRPr="00171A04">
        <w:t>dis</w:t>
      </w:r>
      <w:r w:rsidR="3953513B" w:rsidRPr="00171A04">
        <w:t>place</w:t>
      </w:r>
      <w:r w:rsidR="45A2669F" w:rsidRPr="00171A04">
        <w:t xml:space="preserve"> not only </w:t>
      </w:r>
      <w:r w:rsidR="76974B8A" w:rsidRPr="00171A04">
        <w:t>DMPA</w:t>
      </w:r>
      <w:r w:rsidR="3953513B" w:rsidRPr="00171A04">
        <w:t xml:space="preserve"> but </w:t>
      </w:r>
      <w:r w:rsidR="005018E1" w:rsidRPr="00171A04">
        <w:t>also</w:t>
      </w:r>
      <w:r w:rsidR="3953513B" w:rsidRPr="00171A04">
        <w:t xml:space="preserve"> other </w:t>
      </w:r>
      <w:r w:rsidR="005018E1" w:rsidRPr="00171A04">
        <w:t>hormonal</w:t>
      </w:r>
      <w:r w:rsidR="3953513B" w:rsidRPr="00171A04">
        <w:t xml:space="preserve"> contraceptive options</w:t>
      </w:r>
      <w:r w:rsidR="005018E1" w:rsidRPr="00171A04">
        <w:t xml:space="preserve"> listed on the PBS</w:t>
      </w:r>
      <w:r w:rsidR="3953513B" w:rsidRPr="00171A04">
        <w:t>.</w:t>
      </w:r>
      <w:r w:rsidR="3BA9F909" w:rsidRPr="00171A04">
        <w:t xml:space="preserve"> </w:t>
      </w:r>
    </w:p>
    <w:p w14:paraId="1E5CA968" w14:textId="643564F6" w:rsidR="002E1071" w:rsidRPr="00171A04" w:rsidRDefault="00AA6BD8" w:rsidP="00A70D12">
      <w:pPr>
        <w:pStyle w:val="3-BodyText"/>
      </w:pPr>
      <w:bookmarkStart w:id="12" w:name="_Ref107305379"/>
      <w:r w:rsidRPr="00171A04">
        <w:t xml:space="preserve">In the context of the cost-minimisation approach taken by the submission, a further consideration for </w:t>
      </w:r>
      <w:r w:rsidR="0029365E" w:rsidRPr="00171A04">
        <w:t>the</w:t>
      </w:r>
      <w:r w:rsidRPr="00171A04">
        <w:t xml:space="preserve"> PBAC is that, under Section 101(3B) of the </w:t>
      </w:r>
      <w:r w:rsidRPr="00CC6ECF">
        <w:rPr>
          <w:i/>
          <w:iCs/>
        </w:rPr>
        <w:t>National Health Act</w:t>
      </w:r>
      <w:r w:rsidR="00D21A61" w:rsidRPr="00CC6ECF">
        <w:rPr>
          <w:i/>
          <w:iCs/>
        </w:rPr>
        <w:t> </w:t>
      </w:r>
      <w:r w:rsidRPr="00CC6ECF">
        <w:rPr>
          <w:i/>
          <w:iCs/>
        </w:rPr>
        <w:t>1953</w:t>
      </w:r>
      <w:r w:rsidRPr="00171A04">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12"/>
      <w:r w:rsidR="004859E1" w:rsidRPr="00171A04">
        <w:t xml:space="preserve"> </w:t>
      </w:r>
    </w:p>
    <w:p w14:paraId="34D8F3F1" w14:textId="636E40CA" w:rsidR="00BE0DE7" w:rsidRPr="00DB720B" w:rsidRDefault="062C5A5D" w:rsidP="0B5D70EC">
      <w:pPr>
        <w:pStyle w:val="3-BodyText"/>
        <w:rPr>
          <w:color w:val="0066FF"/>
        </w:rPr>
      </w:pPr>
      <w:bookmarkStart w:id="13" w:name="_Ref107305381"/>
      <w:r w:rsidRPr="00171A04">
        <w:t>For the requested population,</w:t>
      </w:r>
      <w:r w:rsidR="2354B928" w:rsidRPr="00171A04">
        <w:t xml:space="preserve"> allowing for the likelihood of use outside the restriction, </w:t>
      </w:r>
      <w:r w:rsidR="075B869F" w:rsidRPr="00171A04">
        <w:t>all currently listed COCs</w:t>
      </w:r>
      <w:r w:rsidR="001E150B" w:rsidRPr="00171A04">
        <w:t xml:space="preserve"> and progestogen</w:t>
      </w:r>
      <w:r w:rsidR="0033114A" w:rsidRPr="00171A04">
        <w:t>-</w:t>
      </w:r>
      <w:r w:rsidR="001E150B" w:rsidRPr="00171A04">
        <w:t>only pills</w:t>
      </w:r>
      <w:r w:rsidRPr="00171A04">
        <w:t xml:space="preserve"> may be considered alternative therapies because they could be replaced in practice</w:t>
      </w:r>
      <w:r w:rsidR="487755CD" w:rsidRPr="00171A04">
        <w:t>.</w:t>
      </w:r>
      <w:r w:rsidR="2354B928" w:rsidRPr="00171A04">
        <w:t xml:space="preserve"> If use is expected to be effectively limited</w:t>
      </w:r>
      <w:r w:rsidR="075B869F" w:rsidRPr="00171A04">
        <w:t xml:space="preserve"> by the restriction</w:t>
      </w:r>
      <w:r w:rsidR="2354B928" w:rsidRPr="00171A04">
        <w:t xml:space="preserve">, levonorgestrel IUD and etonogestrel implant may </w:t>
      </w:r>
      <w:r w:rsidR="2354B928" w:rsidRPr="00171A04">
        <w:lastRenderedPageBreak/>
        <w:t xml:space="preserve">be considered alternative therapies. </w:t>
      </w:r>
      <w:r w:rsidRPr="00171A04">
        <w:t xml:space="preserve">Some of these alternative therapies may be less costly than </w:t>
      </w:r>
      <w:r w:rsidR="487755CD" w:rsidRPr="00171A04">
        <w:t>NuvaRing.</w:t>
      </w:r>
    </w:p>
    <w:p w14:paraId="19B74528" w14:textId="4B76D39F" w:rsidR="001F5DBF" w:rsidRPr="005C3A66" w:rsidRDefault="005C0CF7" w:rsidP="0B5D70EC">
      <w:pPr>
        <w:pStyle w:val="3-BodyText"/>
        <w:rPr>
          <w:color w:val="0066FF"/>
        </w:rPr>
      </w:pPr>
      <w:r w:rsidRPr="005C3A66">
        <w:t xml:space="preserve">The PSCR </w:t>
      </w:r>
      <w:r w:rsidR="008865B6">
        <w:t xml:space="preserve">and </w:t>
      </w:r>
      <w:r w:rsidR="00855B02">
        <w:t>p</w:t>
      </w:r>
      <w:r w:rsidR="008865B6">
        <w:t xml:space="preserve">re-PBAC response </w:t>
      </w:r>
      <w:r w:rsidRPr="005C3A66">
        <w:t xml:space="preserve">maintained that DMPA was an appropriate comparator, </w:t>
      </w:r>
      <w:r w:rsidR="007F2C50" w:rsidRPr="005C3A66">
        <w:t xml:space="preserve">especially in the proposed restriction population, as both CVR and DMPA </w:t>
      </w:r>
      <w:r w:rsidR="00AD6C90" w:rsidRPr="005C3A66">
        <w:t>are non-oral, non-daily hormonal contraceptive options. The PSCR</w:t>
      </w:r>
      <w:r w:rsidR="008865B6">
        <w:t xml:space="preserve"> and </w:t>
      </w:r>
      <w:r w:rsidR="00777A8A">
        <w:t>p</w:t>
      </w:r>
      <w:r w:rsidR="008865B6">
        <w:t>re-PBAC response</w:t>
      </w:r>
      <w:r w:rsidR="00AD6C90" w:rsidRPr="005C3A66">
        <w:t xml:space="preserve"> claimed both these hormonal contraceptives are used in women </w:t>
      </w:r>
      <w:r w:rsidR="00735EC0" w:rsidRPr="005C3A66">
        <w:t>who cannot tolerate COCs due to GI disturbances, malabsorption or side effects</w:t>
      </w:r>
      <w:r w:rsidR="00A27451" w:rsidRPr="005C3A66">
        <w:t>, and they therefore have a role as alternatives where oral contraceptives are unsuitable.</w:t>
      </w:r>
      <w:r w:rsidR="00793BA0" w:rsidRPr="005C3A66">
        <w:t xml:space="preserve"> </w:t>
      </w:r>
    </w:p>
    <w:p w14:paraId="3635F3BE" w14:textId="77777777" w:rsidR="00791E54" w:rsidRPr="005C3A66" w:rsidRDefault="00793BA0" w:rsidP="0B5D70EC">
      <w:pPr>
        <w:pStyle w:val="3-BodyText"/>
        <w:rPr>
          <w:color w:val="0066FF"/>
        </w:rPr>
      </w:pPr>
      <w:r w:rsidRPr="005C3A66">
        <w:t xml:space="preserve">The PSCR stated that </w:t>
      </w:r>
      <w:r w:rsidR="00FE3903" w:rsidRPr="005C3A66">
        <w:t xml:space="preserve">LARCs, such </w:t>
      </w:r>
      <w:r w:rsidR="001F5DBF" w:rsidRPr="005C3A66">
        <w:t xml:space="preserve">as </w:t>
      </w:r>
      <w:r w:rsidR="00FE3903" w:rsidRPr="005C3A66">
        <w:t>implants and IUDs, are usually used by women seeking extended-duration, low-maintenance</w:t>
      </w:r>
      <w:r w:rsidR="00A25643" w:rsidRPr="005C3A66">
        <w:t xml:space="preserve"> contraception, and require procedural insertion.</w:t>
      </w:r>
      <w:r w:rsidR="001F5DBF" w:rsidRPr="005C3A66">
        <w:t xml:space="preserve"> In contrast, CVR is a monthly self-administered option, </w:t>
      </w:r>
      <w:r w:rsidR="00E521C5" w:rsidRPr="005C3A66">
        <w:t>and can be used by women seeking a shorter-term, non-oral alternative</w:t>
      </w:r>
      <w:r w:rsidR="00065B71" w:rsidRPr="005C3A66">
        <w:t xml:space="preserve"> without invasive intervention. </w:t>
      </w:r>
    </w:p>
    <w:p w14:paraId="4629C1A3" w14:textId="4D81C6EC" w:rsidR="00DB720B" w:rsidRPr="0080043C" w:rsidRDefault="00065B71" w:rsidP="0B5D70EC">
      <w:pPr>
        <w:pStyle w:val="3-BodyText"/>
        <w:rPr>
          <w:color w:val="0066FF"/>
        </w:rPr>
      </w:pPr>
      <w:r w:rsidRPr="005C3A66">
        <w:t>The PSCR</w:t>
      </w:r>
      <w:r w:rsidR="00EF60DE">
        <w:t xml:space="preserve"> and </w:t>
      </w:r>
      <w:r w:rsidR="00BB3E13">
        <w:t>p</w:t>
      </w:r>
      <w:r w:rsidR="00EF60DE">
        <w:t>re-PBAC response</w:t>
      </w:r>
      <w:r w:rsidRPr="005C3A66">
        <w:t xml:space="preserve"> claimed that it would be unlikely the CVR would </w:t>
      </w:r>
      <w:r w:rsidR="00791E54" w:rsidRPr="005C3A66">
        <w:t>significantly displace LARC or COC use.</w:t>
      </w:r>
    </w:p>
    <w:p w14:paraId="150F84F4" w14:textId="103C6FA8" w:rsidR="0080043C" w:rsidRPr="00994B84" w:rsidRDefault="0080043C" w:rsidP="0080043C">
      <w:pPr>
        <w:pStyle w:val="3-BodyText"/>
        <w:numPr>
          <w:ilvl w:val="0"/>
          <w:numId w:val="0"/>
        </w:numPr>
        <w:ind w:left="720"/>
        <w:rPr>
          <w:i/>
          <w:iCs/>
        </w:rPr>
      </w:pPr>
      <w:r w:rsidRPr="00994B84">
        <w:rPr>
          <w:i/>
          <w:iCs/>
        </w:rPr>
        <w:t>For more detail on PBAC’s view, see section 7 PBAC outcome.</w:t>
      </w:r>
    </w:p>
    <w:p w14:paraId="7F9C27C8" w14:textId="77777777" w:rsidR="00223D5A" w:rsidRDefault="00223D5A" w:rsidP="00223D5A">
      <w:pPr>
        <w:pStyle w:val="2-SectionHeading"/>
        <w:numPr>
          <w:ilvl w:val="0"/>
          <w:numId w:val="1"/>
        </w:numPr>
      </w:pPr>
      <w:bookmarkStart w:id="14" w:name="_Toc193454817"/>
      <w:bookmarkStart w:id="15" w:name="_Toc22897640"/>
      <w:bookmarkEnd w:id="13"/>
      <w:r w:rsidRPr="0098262F">
        <w:t>Consideration of the evidence</w:t>
      </w:r>
      <w:bookmarkEnd w:id="14"/>
    </w:p>
    <w:p w14:paraId="286467E8" w14:textId="30C4CDA1" w:rsidR="005D272B" w:rsidRDefault="00FD56AD" w:rsidP="005D272B">
      <w:pPr>
        <w:pStyle w:val="4-SubsectionHeading"/>
      </w:pPr>
      <w:r w:rsidRPr="006E1229">
        <w:t>Sponsor hearing</w:t>
      </w:r>
    </w:p>
    <w:p w14:paraId="42E3D4C5" w14:textId="7E64E410" w:rsidR="005B4C03" w:rsidRPr="005B4C03" w:rsidRDefault="005D272B" w:rsidP="005B4C03">
      <w:pPr>
        <w:pStyle w:val="3-BodyText"/>
        <w:rPr>
          <w:lang w:eastAsia="en-US"/>
        </w:rPr>
      </w:pPr>
      <w:r>
        <w:t>There was no hearing for this item</w:t>
      </w:r>
      <w:r w:rsidR="001E2A1E">
        <w:t>.</w:t>
      </w:r>
      <w:r w:rsidR="00A93146">
        <w:t xml:space="preserve"> </w:t>
      </w:r>
    </w:p>
    <w:p w14:paraId="2A2B7A47" w14:textId="77777777" w:rsidR="002D5070" w:rsidRDefault="002D5070" w:rsidP="002D5070">
      <w:pPr>
        <w:pStyle w:val="4-SubsectionHeading"/>
      </w:pPr>
      <w:r w:rsidRPr="00CB688E">
        <w:t>Consumer</w:t>
      </w:r>
      <w:r w:rsidRPr="006E1229">
        <w:t xml:space="preserve"> </w:t>
      </w:r>
      <w:r w:rsidRPr="00590638">
        <w:t>comments</w:t>
      </w:r>
    </w:p>
    <w:p w14:paraId="55515F50" w14:textId="28A159B3" w:rsidR="005053B5" w:rsidRDefault="00783481" w:rsidP="002D5070">
      <w:pPr>
        <w:pStyle w:val="3-BodyText"/>
        <w:rPr>
          <w:lang w:eastAsia="en-US"/>
        </w:rPr>
      </w:pPr>
      <w:r w:rsidRPr="002D5070">
        <w:rPr>
          <w:lang w:eastAsia="en-US"/>
        </w:rPr>
        <w:t>The</w:t>
      </w:r>
      <w:r w:rsidR="00EF60DE" w:rsidRPr="002D5070">
        <w:rPr>
          <w:lang w:eastAsia="en-US"/>
        </w:rPr>
        <w:t xml:space="preserve"> </w:t>
      </w:r>
      <w:r w:rsidRPr="002D5070">
        <w:rPr>
          <w:lang w:eastAsia="en-US"/>
        </w:rPr>
        <w:t>PBAC noted and welcomed</w:t>
      </w:r>
      <w:r w:rsidR="000C64DE">
        <w:rPr>
          <w:lang w:eastAsia="en-US"/>
        </w:rPr>
        <w:t xml:space="preserve"> the</w:t>
      </w:r>
      <w:r w:rsidRPr="002D5070">
        <w:rPr>
          <w:lang w:eastAsia="en-US"/>
        </w:rPr>
        <w:t xml:space="preserve"> input from health care professionals (1) and organisations (</w:t>
      </w:r>
      <w:r w:rsidR="00590638" w:rsidRPr="002D5070">
        <w:rPr>
          <w:lang w:eastAsia="en-US"/>
        </w:rPr>
        <w:t>3)</w:t>
      </w:r>
      <w:r w:rsidR="006E300B" w:rsidRPr="002D5070">
        <w:rPr>
          <w:lang w:eastAsia="en-US"/>
        </w:rPr>
        <w:t>.</w:t>
      </w:r>
      <w:r w:rsidR="004018CF" w:rsidRPr="002D5070">
        <w:rPr>
          <w:lang w:eastAsia="en-US"/>
        </w:rPr>
        <w:t xml:space="preserve"> The comments </w:t>
      </w:r>
      <w:r w:rsidR="00843B2B">
        <w:rPr>
          <w:lang w:eastAsia="en-US"/>
        </w:rPr>
        <w:t>stated</w:t>
      </w:r>
      <w:r w:rsidR="008673B1" w:rsidRPr="002D5070">
        <w:rPr>
          <w:lang w:eastAsia="en-US"/>
        </w:rPr>
        <w:t xml:space="preserve"> that </w:t>
      </w:r>
      <w:r w:rsidR="00EF60DE" w:rsidRPr="002D5070">
        <w:rPr>
          <w:lang w:eastAsia="en-US"/>
        </w:rPr>
        <w:t>CVR</w:t>
      </w:r>
      <w:r w:rsidR="004E12F7">
        <w:rPr>
          <w:lang w:eastAsia="en-US"/>
        </w:rPr>
        <w:t xml:space="preserve"> is a unique contraceptive and</w:t>
      </w:r>
      <w:r w:rsidR="0065030B">
        <w:rPr>
          <w:lang w:eastAsia="en-US"/>
        </w:rPr>
        <w:t xml:space="preserve"> </w:t>
      </w:r>
      <w:r w:rsidR="004018CF" w:rsidRPr="002D5070">
        <w:rPr>
          <w:lang w:eastAsia="en-US"/>
        </w:rPr>
        <w:t>provide</w:t>
      </w:r>
      <w:r w:rsidR="0065030B">
        <w:rPr>
          <w:lang w:eastAsia="en-US"/>
        </w:rPr>
        <w:t>s</w:t>
      </w:r>
      <w:r w:rsidR="004018CF" w:rsidRPr="002D5070">
        <w:rPr>
          <w:lang w:eastAsia="en-US"/>
        </w:rPr>
        <w:t xml:space="preserve"> an</w:t>
      </w:r>
      <w:r w:rsidR="008673B1" w:rsidRPr="002D5070">
        <w:rPr>
          <w:lang w:eastAsia="en-US"/>
        </w:rPr>
        <w:t>other contraceptive</w:t>
      </w:r>
      <w:r w:rsidR="006E1042">
        <w:rPr>
          <w:lang w:eastAsia="en-US"/>
        </w:rPr>
        <w:t xml:space="preserve"> option for </w:t>
      </w:r>
      <w:r w:rsidR="0070133B">
        <w:rPr>
          <w:lang w:eastAsia="en-US"/>
        </w:rPr>
        <w:t>individuals</w:t>
      </w:r>
      <w:r w:rsidR="008673B1" w:rsidRPr="002D5070">
        <w:rPr>
          <w:lang w:eastAsia="en-US"/>
        </w:rPr>
        <w:t xml:space="preserve"> </w:t>
      </w:r>
      <w:r w:rsidR="005451BD" w:rsidRPr="002D5070">
        <w:rPr>
          <w:lang w:eastAsia="en-US"/>
        </w:rPr>
        <w:t>(including, but not limited to, the groups of women specified in the submission),</w:t>
      </w:r>
      <w:r w:rsidR="008673B1" w:rsidRPr="002D5070">
        <w:rPr>
          <w:lang w:eastAsia="en-US"/>
        </w:rPr>
        <w:t xml:space="preserve"> providing choice. The input </w:t>
      </w:r>
      <w:r w:rsidR="005451BD" w:rsidRPr="002D5070">
        <w:rPr>
          <w:lang w:eastAsia="en-US"/>
        </w:rPr>
        <w:t xml:space="preserve">stated that ENG/EE </w:t>
      </w:r>
      <w:r w:rsidR="00EF60DE" w:rsidRPr="002D5070">
        <w:rPr>
          <w:lang w:eastAsia="en-US"/>
        </w:rPr>
        <w:t>CVR</w:t>
      </w:r>
      <w:r w:rsidR="005451BD" w:rsidRPr="002D5070">
        <w:rPr>
          <w:lang w:eastAsia="en-US"/>
        </w:rPr>
        <w:t xml:space="preserve"> may be particularly beneficial for women who face challenges with daily medication routines for various reasons. The input </w:t>
      </w:r>
      <w:r w:rsidR="00BC2E58">
        <w:rPr>
          <w:lang w:eastAsia="en-US"/>
        </w:rPr>
        <w:t xml:space="preserve">stated </w:t>
      </w:r>
      <w:r w:rsidR="005451BD" w:rsidRPr="002D5070">
        <w:rPr>
          <w:lang w:eastAsia="en-US"/>
        </w:rPr>
        <w:t xml:space="preserve">that </w:t>
      </w:r>
      <w:r w:rsidR="00DA6F11" w:rsidRPr="002D5070">
        <w:rPr>
          <w:lang w:eastAsia="en-US"/>
        </w:rPr>
        <w:t xml:space="preserve">cost is a barrier for many women who </w:t>
      </w:r>
      <w:r w:rsidR="00BC2E58">
        <w:rPr>
          <w:lang w:eastAsia="en-US"/>
        </w:rPr>
        <w:t xml:space="preserve">might </w:t>
      </w:r>
      <w:r w:rsidR="00DA6F11" w:rsidRPr="002D5070">
        <w:rPr>
          <w:lang w:eastAsia="en-US"/>
        </w:rPr>
        <w:t>choose this method of contraception</w:t>
      </w:r>
      <w:r w:rsidR="0022281B">
        <w:rPr>
          <w:lang w:eastAsia="en-US"/>
        </w:rPr>
        <w:t>,</w:t>
      </w:r>
      <w:r w:rsidR="00EF60DE" w:rsidRPr="002D5070">
        <w:rPr>
          <w:lang w:eastAsia="en-US"/>
        </w:rPr>
        <w:t xml:space="preserve"> and that</w:t>
      </w:r>
      <w:r w:rsidR="00DA6F11" w:rsidRPr="002D5070">
        <w:rPr>
          <w:lang w:eastAsia="en-US"/>
        </w:rPr>
        <w:t xml:space="preserve"> </w:t>
      </w:r>
      <w:r w:rsidR="00EF60DE" w:rsidRPr="002D5070">
        <w:rPr>
          <w:lang w:eastAsia="en-US"/>
        </w:rPr>
        <w:t>l</w:t>
      </w:r>
      <w:r w:rsidR="005451BD" w:rsidRPr="002D5070">
        <w:rPr>
          <w:lang w:eastAsia="en-US"/>
        </w:rPr>
        <w:t xml:space="preserve">isting </w:t>
      </w:r>
      <w:r w:rsidR="00EF60DE" w:rsidRPr="002D5070">
        <w:rPr>
          <w:lang w:eastAsia="en-US"/>
        </w:rPr>
        <w:t>CVR</w:t>
      </w:r>
      <w:r w:rsidR="005451BD" w:rsidRPr="002D5070">
        <w:rPr>
          <w:lang w:eastAsia="en-US"/>
        </w:rPr>
        <w:t xml:space="preserve"> on the PBS</w:t>
      </w:r>
      <w:r w:rsidR="00DA6F11" w:rsidRPr="002D5070">
        <w:rPr>
          <w:lang w:eastAsia="en-US"/>
        </w:rPr>
        <w:t xml:space="preserve"> would improve affordability and equity of access.</w:t>
      </w:r>
      <w:r w:rsidR="005451BD" w:rsidRPr="002D5070">
        <w:rPr>
          <w:lang w:eastAsia="en-US"/>
        </w:rPr>
        <w:t xml:space="preserve"> </w:t>
      </w:r>
      <w:r w:rsidR="008673B1" w:rsidRPr="002D5070">
        <w:rPr>
          <w:lang w:eastAsia="en-US"/>
        </w:rPr>
        <w:t xml:space="preserve"> </w:t>
      </w:r>
    </w:p>
    <w:p w14:paraId="1B9BEE65" w14:textId="50FAF7D3" w:rsidR="004376B3" w:rsidRPr="00DA6F11" w:rsidRDefault="0022281B" w:rsidP="0002683F">
      <w:pPr>
        <w:pStyle w:val="3-BodyText"/>
      </w:pPr>
      <w:r>
        <w:rPr>
          <w:lang w:eastAsia="en-US"/>
        </w:rPr>
        <w:t>T</w:t>
      </w:r>
      <w:r w:rsidR="00DA6F11" w:rsidRPr="002D5070">
        <w:rPr>
          <w:lang w:eastAsia="en-US"/>
        </w:rPr>
        <w:t xml:space="preserve">he National Aboriginal Community Controlled Health Organisation (NACCHO) stated that </w:t>
      </w:r>
      <w:r w:rsidR="00257642">
        <w:rPr>
          <w:lang w:eastAsia="en-US"/>
        </w:rPr>
        <w:t xml:space="preserve">an advantage of </w:t>
      </w:r>
      <w:r w:rsidR="00B13856">
        <w:rPr>
          <w:lang w:eastAsia="en-US"/>
        </w:rPr>
        <w:t>CVR</w:t>
      </w:r>
      <w:r w:rsidR="00DA6F11" w:rsidRPr="002D5070">
        <w:rPr>
          <w:lang w:eastAsia="en-US"/>
        </w:rPr>
        <w:t xml:space="preserve"> </w:t>
      </w:r>
      <w:r w:rsidR="00257642">
        <w:rPr>
          <w:lang w:eastAsia="en-US"/>
        </w:rPr>
        <w:t>is that it is</w:t>
      </w:r>
      <w:r w:rsidR="00DA6F11" w:rsidRPr="002D5070">
        <w:rPr>
          <w:lang w:eastAsia="en-US"/>
        </w:rPr>
        <w:t xml:space="preserve"> discretely placed for </w:t>
      </w:r>
      <w:r w:rsidR="00257642">
        <w:rPr>
          <w:lang w:eastAsia="en-US"/>
        </w:rPr>
        <w:t>three</w:t>
      </w:r>
      <w:r w:rsidR="00DA6F11" w:rsidRPr="002D5070">
        <w:rPr>
          <w:lang w:eastAsia="en-US"/>
        </w:rPr>
        <w:t xml:space="preserve"> weeks, which can benefit people who may not want to be seen taking a tablet daily, or having a visible implant like an </w:t>
      </w:r>
      <w:r w:rsidR="00C74393" w:rsidRPr="002D5070">
        <w:rPr>
          <w:lang w:eastAsia="en-US"/>
        </w:rPr>
        <w:t>etonogestrel</w:t>
      </w:r>
      <w:r w:rsidR="00DA6F11" w:rsidRPr="002D5070">
        <w:rPr>
          <w:lang w:eastAsia="en-US"/>
        </w:rPr>
        <w:t xml:space="preserve"> rod</w:t>
      </w:r>
      <w:r w:rsidR="00BB01F6">
        <w:rPr>
          <w:lang w:eastAsia="en-US"/>
        </w:rPr>
        <w:t xml:space="preserve">, </w:t>
      </w:r>
      <w:r w:rsidR="00765DF7">
        <w:rPr>
          <w:lang w:eastAsia="en-US"/>
        </w:rPr>
        <w:t>however patients require education to ensure correct usage and effective contraception</w:t>
      </w:r>
      <w:r w:rsidR="00DA6F11" w:rsidRPr="002D5070">
        <w:rPr>
          <w:lang w:eastAsia="en-US"/>
        </w:rPr>
        <w:t>.</w:t>
      </w:r>
      <w:r w:rsidR="0002683F">
        <w:rPr>
          <w:lang w:eastAsia="en-US"/>
        </w:rPr>
        <w:t xml:space="preserve"> </w:t>
      </w:r>
      <w:r w:rsidR="004376B3" w:rsidRPr="0002683F">
        <w:rPr>
          <w:color w:val="000000" w:themeColor="text1"/>
        </w:rPr>
        <w:t xml:space="preserve">NACCHO </w:t>
      </w:r>
      <w:r w:rsidR="008E0124">
        <w:rPr>
          <w:color w:val="000000" w:themeColor="text1"/>
        </w:rPr>
        <w:t xml:space="preserve">also commented that where medicines are not listed on the PBS, </w:t>
      </w:r>
      <w:r w:rsidR="00DD0F4A">
        <w:rPr>
          <w:color w:val="000000" w:themeColor="text1"/>
        </w:rPr>
        <w:t xml:space="preserve">Aboriginal and Torres Strait Islander peoples eligible for the Closing the Gap (CTG) PBS Co-payment </w:t>
      </w:r>
      <w:r w:rsidR="003A73EB">
        <w:rPr>
          <w:color w:val="000000" w:themeColor="text1"/>
        </w:rPr>
        <w:t>p</w:t>
      </w:r>
      <w:r w:rsidR="00DD0F4A">
        <w:rPr>
          <w:color w:val="000000" w:themeColor="text1"/>
        </w:rPr>
        <w:t>rogram</w:t>
      </w:r>
      <w:r w:rsidR="003A73EB">
        <w:rPr>
          <w:color w:val="000000" w:themeColor="text1"/>
        </w:rPr>
        <w:t xml:space="preserve">, there is </w:t>
      </w:r>
      <w:r w:rsidR="00FA5966">
        <w:rPr>
          <w:color w:val="000000" w:themeColor="text1"/>
        </w:rPr>
        <w:t xml:space="preserve">a significant increase in costs to patients, which can </w:t>
      </w:r>
      <w:r w:rsidR="00F208CF">
        <w:rPr>
          <w:color w:val="000000" w:themeColor="text1"/>
        </w:rPr>
        <w:t>risk reduced adherence and subsequent unintended pregnancy</w:t>
      </w:r>
      <w:r w:rsidR="00831704">
        <w:rPr>
          <w:color w:val="000000" w:themeColor="text1"/>
        </w:rPr>
        <w:t>. In remote areas</w:t>
      </w:r>
      <w:r w:rsidR="00A860E6">
        <w:rPr>
          <w:color w:val="000000" w:themeColor="text1"/>
        </w:rPr>
        <w:t xml:space="preserve"> where patients access medicines through the Remote Area Aboriginal Health Service S100 Scheme</w:t>
      </w:r>
      <w:r w:rsidR="006577D2">
        <w:rPr>
          <w:color w:val="000000" w:themeColor="text1"/>
        </w:rPr>
        <w:t>, not having a medicine listed on the PBS can be a barrier to access</w:t>
      </w:r>
      <w:r w:rsidR="004972C4">
        <w:rPr>
          <w:color w:val="000000" w:themeColor="text1"/>
        </w:rPr>
        <w:t xml:space="preserve"> for these patients.</w:t>
      </w:r>
      <w:r w:rsidR="00DD0F4A">
        <w:rPr>
          <w:color w:val="000000" w:themeColor="text1"/>
        </w:rPr>
        <w:t xml:space="preserve"> </w:t>
      </w:r>
    </w:p>
    <w:p w14:paraId="2F9344F5" w14:textId="0E673235" w:rsidR="00DA6F11" w:rsidRPr="006E300B" w:rsidRDefault="00DA6F11" w:rsidP="00590638">
      <w:pPr>
        <w:pStyle w:val="3-BodyText"/>
      </w:pPr>
      <w:r>
        <w:rPr>
          <w:color w:val="000000" w:themeColor="text1"/>
        </w:rPr>
        <w:lastRenderedPageBreak/>
        <w:t xml:space="preserve">The Royal Australian and New Zealand College of Obstetricians and Gynaecologists (RANZCOG) </w:t>
      </w:r>
      <w:r w:rsidR="00E36295">
        <w:rPr>
          <w:color w:val="000000" w:themeColor="text1"/>
        </w:rPr>
        <w:t>commented</w:t>
      </w:r>
      <w:r>
        <w:rPr>
          <w:color w:val="000000" w:themeColor="text1"/>
        </w:rPr>
        <w:t xml:space="preserve"> that</w:t>
      </w:r>
      <w:r w:rsidR="006952EA">
        <w:rPr>
          <w:color w:val="000000" w:themeColor="text1"/>
        </w:rPr>
        <w:t xml:space="preserve"> CVR</w:t>
      </w:r>
      <w:r w:rsidR="006D03CD">
        <w:rPr>
          <w:color w:val="000000" w:themeColor="text1"/>
        </w:rPr>
        <w:t xml:space="preserve"> may result in a lower incidence of breakthrough bleeding</w:t>
      </w:r>
      <w:r w:rsidR="00C14992">
        <w:rPr>
          <w:color w:val="000000" w:themeColor="text1"/>
        </w:rPr>
        <w:t xml:space="preserve">, </w:t>
      </w:r>
      <w:r w:rsidR="00E4551D">
        <w:rPr>
          <w:color w:val="000000" w:themeColor="text1"/>
        </w:rPr>
        <w:t xml:space="preserve">and the </w:t>
      </w:r>
      <w:r w:rsidR="00A656EB">
        <w:rPr>
          <w:color w:val="000000" w:themeColor="text1"/>
        </w:rPr>
        <w:t>lower estrogen dose may reduce estrogen-related side effects</w:t>
      </w:r>
      <w:r w:rsidR="00C14992">
        <w:rPr>
          <w:color w:val="000000" w:themeColor="text1"/>
        </w:rPr>
        <w:t>,</w:t>
      </w:r>
      <w:r w:rsidR="00A656EB">
        <w:rPr>
          <w:color w:val="000000" w:themeColor="text1"/>
        </w:rPr>
        <w:t xml:space="preserve"> compared to </w:t>
      </w:r>
      <w:r w:rsidR="00904A3B">
        <w:rPr>
          <w:color w:val="000000" w:themeColor="text1"/>
        </w:rPr>
        <w:t>combined oral contraceptives</w:t>
      </w:r>
      <w:r w:rsidR="002D00D1">
        <w:rPr>
          <w:color w:val="000000" w:themeColor="text1"/>
        </w:rPr>
        <w:t>.</w:t>
      </w:r>
      <w:r>
        <w:rPr>
          <w:color w:val="000000" w:themeColor="text1"/>
        </w:rPr>
        <w:t xml:space="preserve"> </w:t>
      </w:r>
    </w:p>
    <w:p w14:paraId="16B35448" w14:textId="77777777" w:rsidR="006E300B" w:rsidRPr="006E300B" w:rsidRDefault="006E300B" w:rsidP="006E300B">
      <w:pPr>
        <w:pStyle w:val="4-SubsectionHeading"/>
      </w:pPr>
      <w:r>
        <w:t>Evidence</w:t>
      </w:r>
    </w:p>
    <w:bookmarkEnd w:id="15"/>
    <w:p w14:paraId="7238E010" w14:textId="73CBC705" w:rsidR="00023B2B" w:rsidRPr="00B91B91" w:rsidRDefault="00A8576D" w:rsidP="002E4F02">
      <w:pPr>
        <w:pStyle w:val="3-BodyText"/>
        <w:rPr>
          <w:color w:val="0066FF"/>
        </w:rPr>
      </w:pPr>
      <w:r w:rsidRPr="00171A04">
        <w:rPr>
          <w:color w:val="000000" w:themeColor="text1"/>
        </w:rPr>
        <w:t>N</w:t>
      </w:r>
      <w:r w:rsidR="00272010" w:rsidRPr="00171A04">
        <w:rPr>
          <w:color w:val="000000" w:themeColor="text1"/>
        </w:rPr>
        <w:t xml:space="preserve">o evidence was presented to support the </w:t>
      </w:r>
      <w:r w:rsidR="008F0E9F" w:rsidRPr="00171A04">
        <w:rPr>
          <w:color w:val="000000" w:themeColor="text1"/>
        </w:rPr>
        <w:t xml:space="preserve">efficacy </w:t>
      </w:r>
      <w:r w:rsidR="00290170" w:rsidRPr="00171A04">
        <w:rPr>
          <w:color w:val="000000" w:themeColor="text1"/>
        </w:rPr>
        <w:t>and</w:t>
      </w:r>
      <w:r w:rsidR="008F0E9F" w:rsidRPr="00171A04">
        <w:rPr>
          <w:color w:val="000000" w:themeColor="text1"/>
        </w:rPr>
        <w:t xml:space="preserve"> safety of CVR in the population proposed for PBS-subsidised use. For example, breast tenderness </w:t>
      </w:r>
      <w:r w:rsidR="00A00E98" w:rsidRPr="00171A04">
        <w:rPr>
          <w:color w:val="000000" w:themeColor="text1"/>
        </w:rPr>
        <w:t>may</w:t>
      </w:r>
      <w:r w:rsidR="005E5F58" w:rsidRPr="00171A04">
        <w:rPr>
          <w:color w:val="000000" w:themeColor="text1"/>
        </w:rPr>
        <w:t xml:space="preserve"> be</w:t>
      </w:r>
      <w:r w:rsidR="00BF5C77" w:rsidRPr="00171A04">
        <w:rPr>
          <w:color w:val="000000" w:themeColor="text1"/>
        </w:rPr>
        <w:t xml:space="preserve"> </w:t>
      </w:r>
      <w:r w:rsidR="008F0E9F" w:rsidRPr="00171A04">
        <w:rPr>
          <w:color w:val="000000" w:themeColor="text1"/>
        </w:rPr>
        <w:t>less common with CVR than with COCs, but</w:t>
      </w:r>
      <w:r w:rsidR="00632E3B" w:rsidRPr="00171A04">
        <w:rPr>
          <w:color w:val="000000" w:themeColor="text1"/>
        </w:rPr>
        <w:t xml:space="preserve"> it does occur,</w:t>
      </w:r>
      <w:r w:rsidR="00A00E98" w:rsidRPr="00171A04">
        <w:rPr>
          <w:rStyle w:val="FootnoteReference"/>
          <w:color w:val="000000" w:themeColor="text1"/>
        </w:rPr>
        <w:footnoteReference w:id="9"/>
      </w:r>
      <w:r w:rsidR="00632E3B" w:rsidRPr="00171A04">
        <w:rPr>
          <w:color w:val="000000" w:themeColor="text1"/>
        </w:rPr>
        <w:t xml:space="preserve"> and</w:t>
      </w:r>
      <w:r w:rsidR="008F0E9F" w:rsidRPr="00171A04">
        <w:rPr>
          <w:color w:val="000000" w:themeColor="text1"/>
        </w:rPr>
        <w:t xml:space="preserve"> no evidence was presented to show that women with troublesome breast tenderness with COCs do not have troublesome breast tenderness with CVR.</w:t>
      </w:r>
      <w:r w:rsidR="00C257A7" w:rsidRPr="00171A04">
        <w:rPr>
          <w:color w:val="000000" w:themeColor="text1"/>
        </w:rPr>
        <w:t xml:space="preserve"> No evidence was presented that women who had difficulties with adherence to COCs had less frequent or less severe difficulties with adherence to CVR.</w:t>
      </w:r>
      <w:r w:rsidR="00454F72" w:rsidRPr="001D30AE">
        <w:rPr>
          <w:i/>
          <w:iCs/>
          <w:color w:val="000000" w:themeColor="text1"/>
        </w:rPr>
        <w:t xml:space="preserve"> </w:t>
      </w:r>
      <w:r w:rsidR="00454F72">
        <w:rPr>
          <w:color w:val="000000" w:themeColor="text1"/>
        </w:rPr>
        <w:t>This was acknowledged by the submission</w:t>
      </w:r>
      <w:r w:rsidR="00BF5C77">
        <w:rPr>
          <w:color w:val="000000" w:themeColor="text1"/>
        </w:rPr>
        <w:t xml:space="preserve">. </w:t>
      </w:r>
    </w:p>
    <w:p w14:paraId="1C281109" w14:textId="3FC1A16B" w:rsidR="004C6818" w:rsidRPr="001D30AE" w:rsidRDefault="075B869F" w:rsidP="0B5D70EC">
      <w:pPr>
        <w:pStyle w:val="3-BodyText"/>
        <w:rPr>
          <w:i/>
          <w:iCs/>
          <w:color w:val="0066FF"/>
        </w:rPr>
      </w:pPr>
      <w:r w:rsidRPr="0B5D70EC">
        <w:rPr>
          <w:color w:val="000000" w:themeColor="text1"/>
        </w:rPr>
        <w:t>As well as the formal claims of non-inferiority in contraceptive efficacy and safety, t</w:t>
      </w:r>
      <w:r w:rsidR="3B93C0D5" w:rsidRPr="0B5D70EC">
        <w:rPr>
          <w:color w:val="000000" w:themeColor="text1"/>
        </w:rPr>
        <w:t xml:space="preserve">he submission </w:t>
      </w:r>
      <w:r w:rsidR="58076C95" w:rsidRPr="0B5D70EC">
        <w:rPr>
          <w:color w:val="000000" w:themeColor="text1"/>
        </w:rPr>
        <w:t>made</w:t>
      </w:r>
      <w:r w:rsidR="1D9BF081" w:rsidRPr="0B5D70EC">
        <w:rPr>
          <w:color w:val="000000" w:themeColor="text1"/>
        </w:rPr>
        <w:t xml:space="preserve"> a number of </w:t>
      </w:r>
      <w:r w:rsidR="58076C95" w:rsidRPr="0B5D70EC">
        <w:rPr>
          <w:color w:val="000000" w:themeColor="text1"/>
        </w:rPr>
        <w:t>claims of superiority of CVR to COCs or DMPA</w:t>
      </w:r>
      <w:r w:rsidRPr="0B5D70EC">
        <w:rPr>
          <w:color w:val="000000" w:themeColor="text1"/>
        </w:rPr>
        <w:t>.</w:t>
      </w:r>
      <w:r w:rsidRPr="00171A04">
        <w:rPr>
          <w:color w:val="000000" w:themeColor="text1"/>
        </w:rPr>
        <w:t xml:space="preserve"> T</w:t>
      </w:r>
      <w:r w:rsidR="1B2C0ACF" w:rsidRPr="00171A04">
        <w:rPr>
          <w:color w:val="000000" w:themeColor="text1"/>
        </w:rPr>
        <w:t>hese were not well-supported by evidence.</w:t>
      </w:r>
    </w:p>
    <w:p w14:paraId="5FDAF003" w14:textId="7B459F8C" w:rsidR="00B91B91" w:rsidRPr="00C30158" w:rsidRDefault="1D9BF081" w:rsidP="0B5D70EC">
      <w:pPr>
        <w:pStyle w:val="3-BodyText"/>
        <w:rPr>
          <w:i/>
          <w:iCs/>
          <w:color w:val="0066FF"/>
        </w:rPr>
      </w:pPr>
      <w:r w:rsidRPr="0B5D70EC">
        <w:rPr>
          <w:color w:val="000000" w:themeColor="text1"/>
        </w:rPr>
        <w:t xml:space="preserve">The submission </w:t>
      </w:r>
      <w:r w:rsidR="3B93C0D5" w:rsidRPr="0B5D70EC">
        <w:rPr>
          <w:color w:val="000000" w:themeColor="text1"/>
        </w:rPr>
        <w:t xml:space="preserve">stated that </w:t>
      </w:r>
      <w:r w:rsidR="7F3126FB" w:rsidRPr="0B5D70EC">
        <w:rPr>
          <w:color w:val="000000" w:themeColor="text1"/>
        </w:rPr>
        <w:t>the CVR</w:t>
      </w:r>
      <w:r w:rsidR="3B93C0D5" w:rsidRPr="0B5D70EC">
        <w:rPr>
          <w:color w:val="000000" w:themeColor="text1"/>
        </w:rPr>
        <w:t xml:space="preserve"> has been associated with high</w:t>
      </w:r>
      <w:r w:rsidR="075B869F" w:rsidRPr="0B5D70EC">
        <w:rPr>
          <w:color w:val="000000" w:themeColor="text1"/>
        </w:rPr>
        <w:t>er</w:t>
      </w:r>
      <w:r w:rsidR="3B93C0D5" w:rsidRPr="0B5D70EC">
        <w:rPr>
          <w:color w:val="000000" w:themeColor="text1"/>
        </w:rPr>
        <w:t xml:space="preserve"> levels of patient satisfaction</w:t>
      </w:r>
      <w:r w:rsidR="286D6505" w:rsidRPr="0B5D70EC">
        <w:rPr>
          <w:color w:val="000000" w:themeColor="text1"/>
        </w:rPr>
        <w:t xml:space="preserve"> and tolerability</w:t>
      </w:r>
      <w:r w:rsidR="3B93C0D5" w:rsidRPr="0B5D70EC">
        <w:rPr>
          <w:color w:val="000000" w:themeColor="text1"/>
        </w:rPr>
        <w:t xml:space="preserve">, citing Zapata </w:t>
      </w:r>
      <w:r w:rsidR="00273FF3">
        <w:rPr>
          <w:color w:val="000000" w:themeColor="text1"/>
        </w:rPr>
        <w:t>(</w:t>
      </w:r>
      <w:r w:rsidR="3B93C0D5" w:rsidRPr="0B5D70EC">
        <w:rPr>
          <w:color w:val="000000" w:themeColor="text1"/>
        </w:rPr>
        <w:t>2024</w:t>
      </w:r>
      <w:r w:rsidR="00273FF3">
        <w:rPr>
          <w:color w:val="000000" w:themeColor="text1"/>
        </w:rPr>
        <w:t>)</w:t>
      </w:r>
      <w:r w:rsidR="00A0393F">
        <w:rPr>
          <w:rStyle w:val="FootnoteReference"/>
          <w:color w:val="000000" w:themeColor="text1"/>
        </w:rPr>
        <w:footnoteReference w:id="10"/>
      </w:r>
      <w:r w:rsidR="3B93C0D5" w:rsidRPr="0B5D70EC">
        <w:rPr>
          <w:color w:val="000000" w:themeColor="text1"/>
        </w:rPr>
        <w:t xml:space="preserve"> </w:t>
      </w:r>
      <w:r w:rsidR="00757400">
        <w:rPr>
          <w:color w:val="000000" w:themeColor="text1"/>
        </w:rPr>
        <w:t>which stated</w:t>
      </w:r>
      <w:r w:rsidR="00757400" w:rsidRPr="0B5D70EC">
        <w:rPr>
          <w:color w:val="000000" w:themeColor="text1"/>
        </w:rPr>
        <w:t xml:space="preserve"> </w:t>
      </w:r>
      <w:r w:rsidR="3B93C0D5" w:rsidRPr="0B5D70EC">
        <w:rPr>
          <w:color w:val="000000" w:themeColor="text1"/>
        </w:rPr>
        <w:t>that "</w:t>
      </w:r>
      <w:r w:rsidR="3B93C0D5" w:rsidRPr="0B5D70EC">
        <w:rPr>
          <w:lang w:eastAsia="zh-CN"/>
        </w:rPr>
        <w:t xml:space="preserve">90% of NuvaRing users reported being "very satisfied" with the method at 6 months, compared to 73.7% of DMPA users". </w:t>
      </w:r>
      <w:r w:rsidR="3B93C0D5" w:rsidRPr="00171A04">
        <w:rPr>
          <w:lang w:eastAsia="zh-CN"/>
        </w:rPr>
        <w:t xml:space="preserve">This </w:t>
      </w:r>
      <w:r w:rsidR="1FBFB50E" w:rsidRPr="00171A04">
        <w:rPr>
          <w:lang w:eastAsia="zh-CN"/>
        </w:rPr>
        <w:t>was</w:t>
      </w:r>
      <w:r w:rsidR="3B93C0D5" w:rsidRPr="00171A04">
        <w:rPr>
          <w:lang w:eastAsia="zh-CN"/>
        </w:rPr>
        <w:t xml:space="preserve"> not correct: Zapata </w:t>
      </w:r>
      <w:r w:rsidR="00994F9E" w:rsidRPr="00171A04">
        <w:rPr>
          <w:lang w:eastAsia="zh-CN"/>
        </w:rPr>
        <w:t>(</w:t>
      </w:r>
      <w:r w:rsidR="3B93C0D5" w:rsidRPr="00171A04">
        <w:rPr>
          <w:lang w:eastAsia="zh-CN"/>
        </w:rPr>
        <w:t>2024</w:t>
      </w:r>
      <w:r w:rsidR="00994F9E" w:rsidRPr="00171A04">
        <w:rPr>
          <w:lang w:eastAsia="zh-CN"/>
        </w:rPr>
        <w:t>)</w:t>
      </w:r>
      <w:r w:rsidR="3B93C0D5" w:rsidRPr="00171A04">
        <w:rPr>
          <w:lang w:eastAsia="zh-CN"/>
        </w:rPr>
        <w:t xml:space="preserve"> reports </w:t>
      </w:r>
      <w:r w:rsidR="20309613" w:rsidRPr="00171A04">
        <w:rPr>
          <w:lang w:eastAsia="zh-CN"/>
        </w:rPr>
        <w:t xml:space="preserve">continuing use and </w:t>
      </w:r>
      <w:r w:rsidR="2B0E66A7" w:rsidRPr="00171A04">
        <w:rPr>
          <w:lang w:eastAsia="zh-CN"/>
        </w:rPr>
        <w:t xml:space="preserve">satisfaction </w:t>
      </w:r>
      <w:r w:rsidR="3B93C0D5" w:rsidRPr="00171A04">
        <w:rPr>
          <w:lang w:eastAsia="zh-CN"/>
        </w:rPr>
        <w:t xml:space="preserve">data for CVR and </w:t>
      </w:r>
      <w:r w:rsidR="1FD45D73" w:rsidRPr="00171A04">
        <w:rPr>
          <w:lang w:eastAsia="zh-CN"/>
        </w:rPr>
        <w:t>contraceptive</w:t>
      </w:r>
      <w:r w:rsidR="3B93C0D5" w:rsidRPr="00171A04">
        <w:rPr>
          <w:lang w:eastAsia="zh-CN"/>
        </w:rPr>
        <w:t xml:space="preserve"> patch together</w:t>
      </w:r>
      <w:r w:rsidR="0033114A" w:rsidRPr="00171A04">
        <w:rPr>
          <w:lang w:eastAsia="zh-CN"/>
        </w:rPr>
        <w:t xml:space="preserve"> (numbers were relatively small)</w:t>
      </w:r>
      <w:r w:rsidR="3B93C0D5" w:rsidRPr="00171A04">
        <w:rPr>
          <w:lang w:eastAsia="zh-CN"/>
        </w:rPr>
        <w:t xml:space="preserve"> and only </w:t>
      </w:r>
      <w:r w:rsidR="20309613" w:rsidRPr="00171A04">
        <w:rPr>
          <w:lang w:eastAsia="zh-CN"/>
        </w:rPr>
        <w:t>46.4% of</w:t>
      </w:r>
      <w:r w:rsidR="2B0E66A7" w:rsidRPr="00171A04">
        <w:rPr>
          <w:lang w:eastAsia="zh-CN"/>
        </w:rPr>
        <w:t xml:space="preserve"> </w:t>
      </w:r>
      <w:r w:rsidR="3B93C0D5" w:rsidRPr="00171A04">
        <w:rPr>
          <w:lang w:eastAsia="zh-CN"/>
        </w:rPr>
        <w:t>women started on CVR or patch</w:t>
      </w:r>
      <w:r w:rsidR="2B0E66A7" w:rsidRPr="00171A04">
        <w:rPr>
          <w:lang w:eastAsia="zh-CN"/>
        </w:rPr>
        <w:t xml:space="preserve"> </w:t>
      </w:r>
      <w:r w:rsidR="3B93C0D5" w:rsidRPr="00171A04">
        <w:rPr>
          <w:lang w:eastAsia="zh-CN"/>
        </w:rPr>
        <w:t>were still using that method</w:t>
      </w:r>
      <w:r w:rsidRPr="00171A04">
        <w:rPr>
          <w:lang w:eastAsia="zh-CN"/>
        </w:rPr>
        <w:t xml:space="preserve"> after 6 months</w:t>
      </w:r>
      <w:r w:rsidR="3B93C0D5" w:rsidRPr="00171A04">
        <w:rPr>
          <w:lang w:eastAsia="zh-CN"/>
        </w:rPr>
        <w:t>, of whom 9</w:t>
      </w:r>
      <w:r w:rsidR="075B869F" w:rsidRPr="00171A04">
        <w:rPr>
          <w:lang w:eastAsia="zh-CN"/>
        </w:rPr>
        <w:t>3.8</w:t>
      </w:r>
      <w:r w:rsidR="3B93C0D5" w:rsidRPr="00171A04">
        <w:rPr>
          <w:lang w:eastAsia="zh-CN"/>
        </w:rPr>
        <w:t>% were "very satisfied"</w:t>
      </w:r>
      <w:r w:rsidR="0026676A">
        <w:rPr>
          <w:lang w:eastAsia="zh-CN"/>
        </w:rPr>
        <w:t>.</w:t>
      </w:r>
      <w:r w:rsidR="0094736B" w:rsidRPr="00171A04">
        <w:rPr>
          <w:lang w:eastAsia="zh-CN"/>
        </w:rPr>
        <w:t xml:space="preserve"> Furthermore, the participants in the study were not limited to the population requested in the proposed PBS restriction</w:t>
      </w:r>
      <w:r w:rsidR="075B869F" w:rsidRPr="00171A04">
        <w:rPr>
          <w:lang w:eastAsia="zh-CN"/>
        </w:rPr>
        <w:t xml:space="preserve">. </w:t>
      </w:r>
    </w:p>
    <w:p w14:paraId="741D99DC" w14:textId="7354C809" w:rsidR="00EE1F50" w:rsidRPr="00D76ED1" w:rsidRDefault="43AA209C" w:rsidP="0B5D70EC">
      <w:pPr>
        <w:pStyle w:val="3-BodyText"/>
        <w:rPr>
          <w:i/>
          <w:iCs/>
          <w:color w:val="0066FF"/>
        </w:rPr>
      </w:pPr>
      <w:r w:rsidRPr="0B5D70EC">
        <w:rPr>
          <w:lang w:eastAsia="zh-CN"/>
        </w:rPr>
        <w:t xml:space="preserve">The submission stated that </w:t>
      </w:r>
      <w:r w:rsidR="4EF7626C" w:rsidRPr="0B5D70EC">
        <w:rPr>
          <w:lang w:eastAsia="zh-CN"/>
        </w:rPr>
        <w:t xml:space="preserve">Indigenous women were more likely to use DMPA, because of limited access to alternatives, </w:t>
      </w:r>
      <w:r w:rsidR="2ABA4CF3" w:rsidRPr="0B5D70EC">
        <w:rPr>
          <w:lang w:eastAsia="zh-CN"/>
        </w:rPr>
        <w:t>and</w:t>
      </w:r>
      <w:r w:rsidR="4EF7626C" w:rsidRPr="0B5D70EC">
        <w:rPr>
          <w:lang w:eastAsia="zh-CN"/>
        </w:rPr>
        <w:t xml:space="preserve"> that Indigenous women were reluctant to use </w:t>
      </w:r>
      <w:r w:rsidR="00AE3EDA">
        <w:rPr>
          <w:lang w:eastAsia="zh-CN"/>
        </w:rPr>
        <w:t>a</w:t>
      </w:r>
      <w:r w:rsidR="4EF7626C" w:rsidRPr="0B5D70EC">
        <w:rPr>
          <w:lang w:eastAsia="zh-CN"/>
        </w:rPr>
        <w:t xml:space="preserve"> LARC because of their experiences of coerc</w:t>
      </w:r>
      <w:r w:rsidR="7E4E206D" w:rsidRPr="0B5D70EC">
        <w:rPr>
          <w:lang w:eastAsia="zh-CN"/>
        </w:rPr>
        <w:t>ive</w:t>
      </w:r>
      <w:r w:rsidR="4EF7626C" w:rsidRPr="0B5D70EC">
        <w:rPr>
          <w:lang w:eastAsia="zh-CN"/>
        </w:rPr>
        <w:t xml:space="preserve"> or non-consensual implanted or permanent contraception. </w:t>
      </w:r>
      <w:r w:rsidR="4EF7626C" w:rsidRPr="00171A04">
        <w:rPr>
          <w:lang w:eastAsia="zh-CN"/>
        </w:rPr>
        <w:t xml:space="preserve">The cited reference (Griffiths </w:t>
      </w:r>
      <w:r w:rsidR="0007062E" w:rsidRPr="00171A04">
        <w:rPr>
          <w:lang w:eastAsia="zh-CN"/>
        </w:rPr>
        <w:t>(</w:t>
      </w:r>
      <w:r w:rsidR="4EF7626C" w:rsidRPr="00171A04">
        <w:rPr>
          <w:lang w:eastAsia="zh-CN"/>
        </w:rPr>
        <w:t>2016</w:t>
      </w:r>
      <w:r w:rsidR="0007062E" w:rsidRPr="00171A04">
        <w:rPr>
          <w:lang w:eastAsia="zh-CN"/>
        </w:rPr>
        <w:t>)</w:t>
      </w:r>
      <w:r w:rsidR="4EF7626C" w:rsidRPr="00171A04">
        <w:rPr>
          <w:lang w:eastAsia="zh-CN"/>
        </w:rPr>
        <w:t>)</w:t>
      </w:r>
      <w:r w:rsidR="00C4496E" w:rsidRPr="00171A04">
        <w:rPr>
          <w:rStyle w:val="FootnoteReference"/>
          <w:lang w:eastAsia="zh-CN"/>
        </w:rPr>
        <w:footnoteReference w:id="11"/>
      </w:r>
      <w:r w:rsidR="26E0733F" w:rsidRPr="00171A04">
        <w:rPr>
          <w:lang w:eastAsia="zh-CN"/>
        </w:rPr>
        <w:t xml:space="preserve"> studied Indigenous women in three remote Weste</w:t>
      </w:r>
      <w:r w:rsidR="2ABA4CF3" w:rsidRPr="00171A04">
        <w:rPr>
          <w:lang w:eastAsia="zh-CN"/>
        </w:rPr>
        <w:t>rn</w:t>
      </w:r>
      <w:r w:rsidR="26E0733F" w:rsidRPr="00171A04">
        <w:rPr>
          <w:lang w:eastAsia="zh-CN"/>
        </w:rPr>
        <w:t xml:space="preserve"> Australian communities</w:t>
      </w:r>
      <w:r w:rsidR="2DE7AA79" w:rsidRPr="00171A04">
        <w:rPr>
          <w:lang w:eastAsia="zh-CN"/>
        </w:rPr>
        <w:t>. They</w:t>
      </w:r>
      <w:r w:rsidR="4EF7626C" w:rsidRPr="00171A04">
        <w:rPr>
          <w:lang w:eastAsia="zh-CN"/>
        </w:rPr>
        <w:t xml:space="preserve"> </w:t>
      </w:r>
      <w:r w:rsidR="26E0733F" w:rsidRPr="00171A04">
        <w:rPr>
          <w:lang w:eastAsia="zh-CN"/>
        </w:rPr>
        <w:t xml:space="preserve">reported that </w:t>
      </w:r>
      <w:r w:rsidR="4263265F" w:rsidRPr="00171A04">
        <w:rPr>
          <w:lang w:eastAsia="zh-CN"/>
        </w:rPr>
        <w:t xml:space="preserve">191/566 (33.7%) </w:t>
      </w:r>
      <w:r w:rsidR="26E0733F" w:rsidRPr="00171A04">
        <w:rPr>
          <w:lang w:eastAsia="zh-CN"/>
        </w:rPr>
        <w:t xml:space="preserve">women had used high-efficacy contraception </w:t>
      </w:r>
      <w:r w:rsidR="00E47B86" w:rsidRPr="00171A04">
        <w:rPr>
          <w:lang w:eastAsia="zh-CN"/>
        </w:rPr>
        <w:t>during the study period</w:t>
      </w:r>
      <w:r w:rsidR="005F2F27" w:rsidRPr="00171A04">
        <w:rPr>
          <w:lang w:eastAsia="zh-CN"/>
        </w:rPr>
        <w:t xml:space="preserve"> (1 November 2010 – 1 September 2014)</w:t>
      </w:r>
      <w:r w:rsidR="2DE7AA79" w:rsidRPr="00171A04">
        <w:rPr>
          <w:lang w:eastAsia="zh-CN"/>
        </w:rPr>
        <w:t xml:space="preserve"> and 113 (20%) were using it at the date of survey;</w:t>
      </w:r>
      <w:r w:rsidR="4263265F" w:rsidRPr="00171A04">
        <w:rPr>
          <w:lang w:eastAsia="zh-CN"/>
        </w:rPr>
        <w:t xml:space="preserve"> </w:t>
      </w:r>
      <w:r w:rsidR="2DE7AA79" w:rsidRPr="00171A04">
        <w:rPr>
          <w:lang w:eastAsia="zh-CN"/>
        </w:rPr>
        <w:t>93/113</w:t>
      </w:r>
      <w:r w:rsidR="4263265F" w:rsidRPr="00171A04">
        <w:rPr>
          <w:lang w:eastAsia="zh-CN"/>
        </w:rPr>
        <w:t xml:space="preserve"> (</w:t>
      </w:r>
      <w:r w:rsidR="2DE7AA79" w:rsidRPr="00171A04">
        <w:rPr>
          <w:lang w:eastAsia="zh-CN"/>
        </w:rPr>
        <w:t>82.3</w:t>
      </w:r>
      <w:r w:rsidR="4263265F" w:rsidRPr="00171A04">
        <w:rPr>
          <w:lang w:eastAsia="zh-CN"/>
        </w:rPr>
        <w:t xml:space="preserve">%) </w:t>
      </w:r>
      <w:r w:rsidR="2DE7AA79" w:rsidRPr="00171A04">
        <w:rPr>
          <w:lang w:eastAsia="zh-CN"/>
        </w:rPr>
        <w:t>were using</w:t>
      </w:r>
      <w:r w:rsidR="4263265F" w:rsidRPr="00171A04">
        <w:rPr>
          <w:lang w:eastAsia="zh-CN"/>
        </w:rPr>
        <w:t xml:space="preserve"> etonogestrel implant and </w:t>
      </w:r>
      <w:r w:rsidR="2DE7AA79" w:rsidRPr="00171A04">
        <w:rPr>
          <w:lang w:eastAsia="zh-CN"/>
        </w:rPr>
        <w:t>9/113</w:t>
      </w:r>
      <w:r w:rsidR="4263265F" w:rsidRPr="00171A04">
        <w:rPr>
          <w:lang w:eastAsia="zh-CN"/>
        </w:rPr>
        <w:t xml:space="preserve"> (</w:t>
      </w:r>
      <w:r w:rsidR="2DE7AA79" w:rsidRPr="00171A04">
        <w:rPr>
          <w:lang w:eastAsia="zh-CN"/>
        </w:rPr>
        <w:t>8</w:t>
      </w:r>
      <w:r w:rsidR="4263265F" w:rsidRPr="00171A04">
        <w:rPr>
          <w:lang w:eastAsia="zh-CN"/>
        </w:rPr>
        <w:t xml:space="preserve">%) </w:t>
      </w:r>
      <w:r w:rsidR="2DE7AA79" w:rsidRPr="00171A04">
        <w:rPr>
          <w:lang w:eastAsia="zh-CN"/>
        </w:rPr>
        <w:t>were using</w:t>
      </w:r>
      <w:r w:rsidR="4263265F" w:rsidRPr="00171A04">
        <w:rPr>
          <w:lang w:eastAsia="zh-CN"/>
        </w:rPr>
        <w:t xml:space="preserve"> </w:t>
      </w:r>
      <w:r w:rsidR="4263265F" w:rsidRPr="00171A04">
        <w:rPr>
          <w:lang w:eastAsia="zh-CN"/>
        </w:rPr>
        <w:lastRenderedPageBreak/>
        <w:t>DMPA</w:t>
      </w:r>
      <w:r w:rsidR="2DE7AA79" w:rsidRPr="00171A04">
        <w:rPr>
          <w:lang w:eastAsia="zh-CN"/>
        </w:rPr>
        <w:t xml:space="preserve">; no woman was using </w:t>
      </w:r>
      <w:r w:rsidR="00236ACF" w:rsidRPr="00171A04">
        <w:rPr>
          <w:lang w:eastAsia="zh-CN"/>
        </w:rPr>
        <w:t>a</w:t>
      </w:r>
      <w:r w:rsidR="2DE7AA79" w:rsidRPr="00171A04">
        <w:rPr>
          <w:lang w:eastAsia="zh-CN"/>
        </w:rPr>
        <w:t xml:space="preserve"> COC</w:t>
      </w:r>
      <w:r w:rsidR="4263265F" w:rsidRPr="00171A04">
        <w:rPr>
          <w:lang w:eastAsia="zh-CN"/>
        </w:rPr>
        <w:t>.</w:t>
      </w:r>
      <w:r w:rsidR="2DE7AA79" w:rsidRPr="00171A04">
        <w:rPr>
          <w:lang w:eastAsia="zh-CN"/>
        </w:rPr>
        <w:t xml:space="preserve"> </w:t>
      </w:r>
      <w:r w:rsidR="075B869F" w:rsidRPr="00171A04">
        <w:rPr>
          <w:lang w:eastAsia="zh-CN"/>
        </w:rPr>
        <w:t>Satisfaction with the etonogestrel implant was high</w:t>
      </w:r>
      <w:r w:rsidR="001B70EF" w:rsidRPr="00171A04">
        <w:rPr>
          <w:lang w:eastAsia="zh-CN"/>
        </w:rPr>
        <w:t xml:space="preserve">, with most women </w:t>
      </w:r>
      <w:r w:rsidR="007C5328" w:rsidRPr="00171A04">
        <w:rPr>
          <w:lang w:eastAsia="zh-CN"/>
        </w:rPr>
        <w:t>providing positive feedback with its use</w:t>
      </w:r>
      <w:r w:rsidR="075B869F" w:rsidRPr="00171A04">
        <w:rPr>
          <w:lang w:eastAsia="zh-CN"/>
        </w:rPr>
        <w:t>.</w:t>
      </w:r>
      <w:r w:rsidR="0055223E" w:rsidRPr="00171A04">
        <w:rPr>
          <w:lang w:eastAsia="zh-CN"/>
        </w:rPr>
        <w:t xml:space="preserve"> One </w:t>
      </w:r>
      <w:r w:rsidR="008E5AD3" w:rsidRPr="00171A04">
        <w:rPr>
          <w:lang w:eastAsia="zh-CN"/>
        </w:rPr>
        <w:t xml:space="preserve">individual </w:t>
      </w:r>
      <w:r w:rsidR="007F35A2" w:rsidRPr="00171A04">
        <w:rPr>
          <w:lang w:eastAsia="zh-CN"/>
        </w:rPr>
        <w:t xml:space="preserve">‘reported suspicions </w:t>
      </w:r>
      <w:r w:rsidR="00A8318C" w:rsidRPr="00171A04">
        <w:rPr>
          <w:lang w:eastAsia="zh-CN"/>
        </w:rPr>
        <w:t xml:space="preserve">in the community that </w:t>
      </w:r>
      <w:r w:rsidR="003323BD" w:rsidRPr="00171A04">
        <w:rPr>
          <w:lang w:eastAsia="zh-CN"/>
        </w:rPr>
        <w:t>it had secondary purposes</w:t>
      </w:r>
      <w:r w:rsidR="00C13EFF" w:rsidRPr="00171A04">
        <w:rPr>
          <w:lang w:eastAsia="zh-CN"/>
        </w:rPr>
        <w:t>: “it controls them”’.</w:t>
      </w:r>
      <w:r w:rsidR="00CB2D4B" w:rsidRPr="00171A04">
        <w:rPr>
          <w:vertAlign w:val="superscript"/>
          <w:lang w:eastAsia="zh-CN"/>
        </w:rPr>
        <w:t>1</w:t>
      </w:r>
      <w:r w:rsidR="001D328D">
        <w:rPr>
          <w:vertAlign w:val="superscript"/>
          <w:lang w:eastAsia="zh-CN"/>
        </w:rPr>
        <w:t>0</w:t>
      </w:r>
      <w:r w:rsidR="075B869F" w:rsidRPr="00171A04">
        <w:rPr>
          <w:lang w:eastAsia="zh-CN"/>
        </w:rPr>
        <w:t xml:space="preserve"> </w:t>
      </w:r>
      <w:r w:rsidR="2DE7AA79" w:rsidRPr="00171A04">
        <w:rPr>
          <w:lang w:eastAsia="zh-CN"/>
        </w:rPr>
        <w:t>The cited evidence does not support a view that Indigenous women are reluctant to use</w:t>
      </w:r>
      <w:r w:rsidR="2C207DBC" w:rsidRPr="00171A04">
        <w:rPr>
          <w:lang w:eastAsia="zh-CN"/>
        </w:rPr>
        <w:t xml:space="preserve"> a</w:t>
      </w:r>
      <w:r w:rsidR="2DE7AA79" w:rsidRPr="00171A04">
        <w:rPr>
          <w:lang w:eastAsia="zh-CN"/>
        </w:rPr>
        <w:t xml:space="preserve"> LARC</w:t>
      </w:r>
      <w:r w:rsidR="6E9E06AB" w:rsidRPr="00171A04">
        <w:rPr>
          <w:lang w:eastAsia="zh-CN"/>
        </w:rPr>
        <w:t xml:space="preserve">, that they </w:t>
      </w:r>
      <w:r w:rsidR="075B869F" w:rsidRPr="00171A04">
        <w:rPr>
          <w:lang w:eastAsia="zh-CN"/>
        </w:rPr>
        <w:t>use</w:t>
      </w:r>
      <w:r w:rsidR="6E9E06AB" w:rsidRPr="00171A04">
        <w:rPr>
          <w:lang w:eastAsia="zh-CN"/>
        </w:rPr>
        <w:t xml:space="preserve"> DMPA</w:t>
      </w:r>
      <w:r w:rsidR="075B869F" w:rsidRPr="00171A04">
        <w:rPr>
          <w:lang w:eastAsia="zh-CN"/>
        </w:rPr>
        <w:t xml:space="preserve"> because they have no alternative if they cannot use COCs</w:t>
      </w:r>
      <w:r w:rsidR="6E9E06AB" w:rsidRPr="00171A04">
        <w:rPr>
          <w:lang w:eastAsia="zh-CN"/>
        </w:rPr>
        <w:t xml:space="preserve">, </w:t>
      </w:r>
      <w:r w:rsidR="2DE7AA79" w:rsidRPr="00171A04">
        <w:rPr>
          <w:lang w:eastAsia="zh-CN"/>
        </w:rPr>
        <w:t>or that they would switch to CVR</w:t>
      </w:r>
      <w:r w:rsidR="004905B1" w:rsidRPr="00171A04">
        <w:rPr>
          <w:lang w:eastAsia="zh-CN"/>
        </w:rPr>
        <w:t xml:space="preserve"> if it was PBS-listed</w:t>
      </w:r>
      <w:r w:rsidR="6E9E06AB" w:rsidRPr="00171A04">
        <w:rPr>
          <w:lang w:eastAsia="zh-CN"/>
        </w:rPr>
        <w:t>.</w:t>
      </w:r>
      <w:r w:rsidR="6E9E06AB" w:rsidRPr="0B5D70EC">
        <w:rPr>
          <w:i/>
          <w:iCs/>
          <w:lang w:eastAsia="zh-CN"/>
        </w:rPr>
        <w:t xml:space="preserve"> </w:t>
      </w:r>
    </w:p>
    <w:p w14:paraId="1F5420FC" w14:textId="168AFF3A" w:rsidR="00E11020" w:rsidRPr="005C3A66" w:rsidRDefault="00D76ED1" w:rsidP="0B5D70EC">
      <w:pPr>
        <w:pStyle w:val="3-BodyText"/>
        <w:rPr>
          <w:color w:val="0066FF"/>
        </w:rPr>
      </w:pPr>
      <w:r w:rsidRPr="005C3A66">
        <w:rPr>
          <w:lang w:eastAsia="zh-CN"/>
        </w:rPr>
        <w:t xml:space="preserve">The PSCR </w:t>
      </w:r>
      <w:r w:rsidR="00F01228" w:rsidRPr="005C3A66">
        <w:rPr>
          <w:lang w:eastAsia="zh-CN"/>
        </w:rPr>
        <w:t>maintained that Griffiths (2016) supported the claim that</w:t>
      </w:r>
      <w:r w:rsidR="00517CF7" w:rsidRPr="005C3A66">
        <w:rPr>
          <w:lang w:eastAsia="zh-CN"/>
        </w:rPr>
        <w:t xml:space="preserve"> there would be </w:t>
      </w:r>
      <w:r w:rsidR="009A0E31" w:rsidRPr="005C3A66">
        <w:rPr>
          <w:lang w:eastAsia="zh-CN"/>
        </w:rPr>
        <w:t>potential interest in the CVR by Indigenous women. The PSCR provided an additional reference (Harris (2021))</w:t>
      </w:r>
      <w:r w:rsidR="002E4D82">
        <w:rPr>
          <w:rStyle w:val="FootnoteReference"/>
          <w:lang w:eastAsia="zh-CN"/>
        </w:rPr>
        <w:footnoteReference w:id="12"/>
      </w:r>
      <w:r w:rsidR="009A0E31" w:rsidRPr="005C3A66">
        <w:rPr>
          <w:lang w:eastAsia="zh-CN"/>
        </w:rPr>
        <w:t xml:space="preserve"> and </w:t>
      </w:r>
      <w:r w:rsidR="008C2F64" w:rsidRPr="005C3A66">
        <w:rPr>
          <w:lang w:eastAsia="zh-CN"/>
        </w:rPr>
        <w:t xml:space="preserve">stated that </w:t>
      </w:r>
      <w:r w:rsidR="00ED2288" w:rsidRPr="005C3A66">
        <w:rPr>
          <w:lang w:eastAsia="zh-CN"/>
        </w:rPr>
        <w:t xml:space="preserve">this study found that </w:t>
      </w:r>
      <w:r w:rsidR="00BB4A4D" w:rsidRPr="005C3A66">
        <w:rPr>
          <w:lang w:eastAsia="zh-CN"/>
        </w:rPr>
        <w:t xml:space="preserve">women living in remote areas </w:t>
      </w:r>
      <w:r w:rsidR="004141CE" w:rsidRPr="005C3A66">
        <w:rPr>
          <w:lang w:eastAsia="zh-CN"/>
        </w:rPr>
        <w:t>were significantly more likely to use DMPA compared to women living in major cities</w:t>
      </w:r>
      <w:r w:rsidR="00F07177" w:rsidRPr="005C3A66">
        <w:rPr>
          <w:lang w:eastAsia="zh-CN"/>
        </w:rPr>
        <w:t xml:space="preserve"> (OR = 3.90, 95% CI: 1.84–6.19)</w:t>
      </w:r>
      <w:r w:rsidR="004141CE" w:rsidRPr="005C3A66">
        <w:rPr>
          <w:lang w:eastAsia="zh-CN"/>
        </w:rPr>
        <w:t xml:space="preserve">, </w:t>
      </w:r>
      <w:r w:rsidR="00CA03B1">
        <w:rPr>
          <w:lang w:eastAsia="zh-CN"/>
        </w:rPr>
        <w:t xml:space="preserve">and </w:t>
      </w:r>
      <w:r w:rsidR="00C901FE" w:rsidRPr="005C3A66">
        <w:rPr>
          <w:lang w:eastAsia="zh-CN"/>
        </w:rPr>
        <w:t>women with a history o</w:t>
      </w:r>
      <w:r w:rsidR="00E35503" w:rsidRPr="005C3A66">
        <w:rPr>
          <w:lang w:eastAsia="zh-CN"/>
        </w:rPr>
        <w:t>f</w:t>
      </w:r>
      <w:r w:rsidR="00C901FE" w:rsidRPr="005C3A66">
        <w:rPr>
          <w:lang w:eastAsia="zh-CN"/>
        </w:rPr>
        <w:t xml:space="preserve"> intimate partner violence were around 50% more likely to use DMPA compared to women without this history</w:t>
      </w:r>
      <w:r w:rsidR="00725E63" w:rsidRPr="005C3A66">
        <w:rPr>
          <w:lang w:eastAsia="zh-CN"/>
        </w:rPr>
        <w:t xml:space="preserve"> (OR = 1.57, 95% CI: 1.19–2.03)</w:t>
      </w:r>
      <w:r w:rsidR="00EF4021">
        <w:rPr>
          <w:lang w:eastAsia="zh-CN"/>
        </w:rPr>
        <w:t>.</w:t>
      </w:r>
      <w:r w:rsidR="00500DDA" w:rsidRPr="005C3A66">
        <w:rPr>
          <w:lang w:eastAsia="zh-CN"/>
        </w:rPr>
        <w:t xml:space="preserve"> </w:t>
      </w:r>
      <w:r w:rsidR="00EF4021">
        <w:rPr>
          <w:lang w:eastAsia="zh-CN"/>
        </w:rPr>
        <w:t>It</w:t>
      </w:r>
      <w:r w:rsidR="00500DDA" w:rsidRPr="005C3A66">
        <w:rPr>
          <w:lang w:eastAsia="zh-CN"/>
        </w:rPr>
        <w:t xml:space="preserve"> concluded that these findings </w:t>
      </w:r>
      <w:r w:rsidR="00640C01" w:rsidRPr="005C3A66">
        <w:rPr>
          <w:lang w:eastAsia="zh-CN"/>
        </w:rPr>
        <w:t xml:space="preserve">demonstrated constrained access to alternative methods (e.g. COCs, LARCs) </w:t>
      </w:r>
      <w:r w:rsidR="0025602D" w:rsidRPr="005C3A66">
        <w:rPr>
          <w:lang w:eastAsia="zh-CN"/>
        </w:rPr>
        <w:t>rather than true preference</w:t>
      </w:r>
      <w:r w:rsidR="00C901FE" w:rsidRPr="005C3A66">
        <w:rPr>
          <w:lang w:eastAsia="zh-CN"/>
        </w:rPr>
        <w:t>.</w:t>
      </w:r>
      <w:r w:rsidR="0025602D" w:rsidRPr="005C3A66">
        <w:rPr>
          <w:lang w:eastAsia="zh-CN"/>
        </w:rPr>
        <w:t xml:space="preserve"> The PSCR claimed that these findings sho</w:t>
      </w:r>
      <w:r w:rsidR="007A213A" w:rsidRPr="005C3A66">
        <w:rPr>
          <w:lang w:eastAsia="zh-CN"/>
        </w:rPr>
        <w:t>w a need for a wider range of non-oral, user controlled and reversible contraceptive methods</w:t>
      </w:r>
      <w:r w:rsidR="00866902" w:rsidRPr="005C3A66">
        <w:rPr>
          <w:lang w:eastAsia="zh-CN"/>
        </w:rPr>
        <w:t>, and that CVR is well positioned to address this gap</w:t>
      </w:r>
      <w:r w:rsidR="008A3EB6" w:rsidRPr="005C3A66">
        <w:rPr>
          <w:lang w:eastAsia="zh-CN"/>
        </w:rPr>
        <w:t>, especially for women who are unable or unwilling to use COCs or LARCs.</w:t>
      </w:r>
    </w:p>
    <w:p w14:paraId="2493DD71" w14:textId="4F42D42E" w:rsidR="00D76ED1" w:rsidRPr="005C3A66" w:rsidRDefault="00E11020" w:rsidP="0B5D70EC">
      <w:pPr>
        <w:pStyle w:val="3-BodyText"/>
        <w:rPr>
          <w:color w:val="0066FF"/>
        </w:rPr>
      </w:pPr>
      <w:r w:rsidRPr="005C3A66">
        <w:rPr>
          <w:lang w:eastAsia="zh-CN"/>
        </w:rPr>
        <w:t>The</w:t>
      </w:r>
      <w:r w:rsidR="005010D3" w:rsidRPr="005C3A66">
        <w:rPr>
          <w:lang w:eastAsia="zh-CN"/>
        </w:rPr>
        <w:t xml:space="preserve"> Harris (</w:t>
      </w:r>
      <w:r w:rsidR="002E4D82" w:rsidRPr="005C3A66">
        <w:rPr>
          <w:lang w:eastAsia="zh-CN"/>
        </w:rPr>
        <w:t>20</w:t>
      </w:r>
      <w:r w:rsidR="002E4D82">
        <w:rPr>
          <w:lang w:eastAsia="zh-CN"/>
        </w:rPr>
        <w:t>21</w:t>
      </w:r>
      <w:r w:rsidR="005010D3" w:rsidRPr="005C3A66">
        <w:rPr>
          <w:lang w:eastAsia="zh-CN"/>
        </w:rPr>
        <w:t>) study was a</w:t>
      </w:r>
      <w:r w:rsidR="00FC0792" w:rsidRPr="005C3A66">
        <w:rPr>
          <w:lang w:eastAsia="zh-CN"/>
        </w:rPr>
        <w:t xml:space="preserve">n Australian cohort study and </w:t>
      </w:r>
      <w:r w:rsidR="001E5F11" w:rsidRPr="005C3A66">
        <w:rPr>
          <w:lang w:eastAsia="zh-CN"/>
        </w:rPr>
        <w:t xml:space="preserve">did not report data for Indigenous women. </w:t>
      </w:r>
      <w:r w:rsidR="005E053D" w:rsidRPr="005C3A66">
        <w:rPr>
          <w:lang w:eastAsia="zh-CN"/>
        </w:rPr>
        <w:t xml:space="preserve">The </w:t>
      </w:r>
      <w:r w:rsidR="00F341EC" w:rsidRPr="005C3A66">
        <w:rPr>
          <w:lang w:eastAsia="zh-CN"/>
        </w:rPr>
        <w:t xml:space="preserve">odds ratios cited in the PSCR for women </w:t>
      </w:r>
      <w:r w:rsidR="00E35503" w:rsidRPr="005C3A66">
        <w:rPr>
          <w:lang w:eastAsia="zh-CN"/>
        </w:rPr>
        <w:t xml:space="preserve">living in remote areas and with a history of intimate partner violence </w:t>
      </w:r>
      <w:r w:rsidR="00356CC6" w:rsidRPr="005C3A66">
        <w:rPr>
          <w:lang w:eastAsia="zh-CN"/>
        </w:rPr>
        <w:t>were for the rate of using sterilisation methods</w:t>
      </w:r>
      <w:r w:rsidR="00846726" w:rsidRPr="005C3A66">
        <w:rPr>
          <w:lang w:eastAsia="zh-CN"/>
        </w:rPr>
        <w:t xml:space="preserve">, not the rate of using DMPA. </w:t>
      </w:r>
      <w:r w:rsidR="00155AE1" w:rsidRPr="005C3A66">
        <w:rPr>
          <w:lang w:eastAsia="zh-CN"/>
        </w:rPr>
        <w:t>The odds ratio for using sterilisation m</w:t>
      </w:r>
      <w:r w:rsidR="00BA0FBF" w:rsidRPr="005C3A66">
        <w:rPr>
          <w:lang w:eastAsia="zh-CN"/>
        </w:rPr>
        <w:t xml:space="preserve">ethods in women with intimate partner violence was compared to the rate of using </w:t>
      </w:r>
      <w:r w:rsidR="00255B1F" w:rsidRPr="005C3A66">
        <w:rPr>
          <w:lang w:eastAsia="zh-CN"/>
        </w:rPr>
        <w:t>short-acting contraceptives (which included DMPA) and condoms.</w:t>
      </w:r>
    </w:p>
    <w:p w14:paraId="0AF8B708" w14:textId="6D6E1495" w:rsidR="00023B2B" w:rsidRPr="00BA7AF9" w:rsidRDefault="00BF5C77" w:rsidP="00023B2B">
      <w:pPr>
        <w:pStyle w:val="3-BodyText"/>
        <w:rPr>
          <w:i/>
          <w:iCs/>
        </w:rPr>
      </w:pPr>
      <w:r>
        <w:t>A key claim of the submission was</w:t>
      </w:r>
      <w:r w:rsidR="00023B2B" w:rsidRPr="004422EE">
        <w:t xml:space="preserve"> that</w:t>
      </w:r>
      <w:r w:rsidR="00023B2B">
        <w:rPr>
          <w:i/>
          <w:iCs/>
        </w:rPr>
        <w:t xml:space="preserve"> "</w:t>
      </w:r>
      <w:r w:rsidR="00023B2B" w:rsidRPr="00BD4A2A">
        <w:rPr>
          <w:lang w:eastAsia="zh-CN"/>
        </w:rPr>
        <w:t xml:space="preserve">women with GI </w:t>
      </w:r>
      <w:r w:rsidR="00F735A7">
        <w:rPr>
          <w:lang w:eastAsia="zh-CN"/>
        </w:rPr>
        <w:t>(gastrointestinal)</w:t>
      </w:r>
      <w:r w:rsidR="00023B2B" w:rsidRPr="00BD4A2A">
        <w:rPr>
          <w:lang w:eastAsia="zh-CN"/>
        </w:rPr>
        <w:t xml:space="preserve"> conditions (such as malabsorption syndromes, inflammatory bowel disease, or post-bariatric surgery) face further challenges with OC efficacy, as these conditions impair the absorption of hormones from OCs, leading to reduced contraceptive effectiveness</w:t>
      </w:r>
      <w:r w:rsidR="00023B2B">
        <w:rPr>
          <w:lang w:eastAsia="zh-CN"/>
        </w:rPr>
        <w:t>".</w:t>
      </w:r>
    </w:p>
    <w:p w14:paraId="02927312" w14:textId="2715B3A7" w:rsidR="00023B2B" w:rsidRPr="00171A04" w:rsidRDefault="2ABA4CF3" w:rsidP="0B5D70EC">
      <w:pPr>
        <w:pStyle w:val="3-BodyText"/>
      </w:pPr>
      <w:r w:rsidRPr="00171A04">
        <w:rPr>
          <w:lang w:eastAsia="zh-CN"/>
        </w:rPr>
        <w:t>Although it is well known that vomiting and diarrhoea, whatever the cause, can reduce the effectiveness of COCs, t</w:t>
      </w:r>
      <w:r w:rsidR="286D6505" w:rsidRPr="00171A04">
        <w:rPr>
          <w:lang w:eastAsia="zh-CN"/>
        </w:rPr>
        <w:t xml:space="preserve">he submission presented no evidence </w:t>
      </w:r>
      <w:r w:rsidR="564C9816" w:rsidRPr="00171A04">
        <w:rPr>
          <w:lang w:eastAsia="zh-CN"/>
        </w:rPr>
        <w:t xml:space="preserve">of reduced oral contraceptive effectiveness </w:t>
      </w:r>
      <w:r w:rsidR="774FCC4F" w:rsidRPr="00171A04">
        <w:rPr>
          <w:lang w:eastAsia="zh-CN"/>
        </w:rPr>
        <w:t xml:space="preserve">in these patient groups. </w:t>
      </w:r>
      <w:r w:rsidR="6A6767E8" w:rsidRPr="00171A04">
        <w:rPr>
          <w:lang w:eastAsia="zh-CN"/>
        </w:rPr>
        <w:t xml:space="preserve">A non-systematic search during the evaluation did not find any </w:t>
      </w:r>
      <w:r w:rsidR="6E9E06AB" w:rsidRPr="00171A04">
        <w:rPr>
          <w:lang w:eastAsia="zh-CN"/>
        </w:rPr>
        <w:t>reports of</w:t>
      </w:r>
      <w:r w:rsidR="6A6767E8" w:rsidRPr="00171A04">
        <w:rPr>
          <w:lang w:eastAsia="zh-CN"/>
        </w:rPr>
        <w:t xml:space="preserve"> reduced effectiveness of COCs in trials or cohort studies </w:t>
      </w:r>
      <w:r w:rsidR="774FCC4F" w:rsidRPr="00171A04">
        <w:rPr>
          <w:lang w:eastAsia="zh-CN"/>
        </w:rPr>
        <w:t>enrolling</w:t>
      </w:r>
      <w:r w:rsidR="6A6767E8" w:rsidRPr="00171A04">
        <w:rPr>
          <w:lang w:eastAsia="zh-CN"/>
        </w:rPr>
        <w:t xml:space="preserve"> patients with these conditions</w:t>
      </w:r>
      <w:r w:rsidR="246D5425" w:rsidRPr="00171A04">
        <w:rPr>
          <w:lang w:eastAsia="zh-CN"/>
        </w:rPr>
        <w:t>, and some that found the contrary</w:t>
      </w:r>
      <w:r w:rsidR="6A6767E8" w:rsidRPr="00171A04">
        <w:rPr>
          <w:lang w:eastAsia="zh-CN"/>
        </w:rPr>
        <w:t>.</w:t>
      </w:r>
      <w:r w:rsidR="001D30AE" w:rsidRPr="00171A04">
        <w:rPr>
          <w:rStyle w:val="FootnoteReference"/>
          <w:lang w:eastAsia="zh-CN"/>
        </w:rPr>
        <w:footnoteReference w:id="13"/>
      </w:r>
      <w:r w:rsidR="00B0351D" w:rsidRPr="00171A04">
        <w:rPr>
          <w:vertAlign w:val="superscript"/>
          <w:lang w:eastAsia="zh-CN"/>
        </w:rPr>
        <w:t>,</w:t>
      </w:r>
      <w:r w:rsidR="00B0351D" w:rsidRPr="00171A04">
        <w:rPr>
          <w:rStyle w:val="FootnoteReference"/>
          <w:lang w:eastAsia="zh-CN"/>
        </w:rPr>
        <w:footnoteReference w:id="14"/>
      </w:r>
      <w:r w:rsidR="6A6767E8" w:rsidRPr="00171A04">
        <w:rPr>
          <w:lang w:eastAsia="zh-CN"/>
        </w:rPr>
        <w:t xml:space="preserve">  </w:t>
      </w:r>
    </w:p>
    <w:p w14:paraId="40665DB1" w14:textId="33188108" w:rsidR="00D03C00" w:rsidRPr="00171A04" w:rsidRDefault="6A6767E8" w:rsidP="0B5D70EC">
      <w:pPr>
        <w:pStyle w:val="3-BodyText"/>
      </w:pPr>
      <w:r w:rsidRPr="00171A04">
        <w:rPr>
          <w:lang w:eastAsia="zh-CN"/>
        </w:rPr>
        <w:lastRenderedPageBreak/>
        <w:t>COCs are not generally contraindicated in women with gastrointestinal disorders</w:t>
      </w:r>
      <w:r w:rsidR="00B0351D" w:rsidRPr="00171A04">
        <w:rPr>
          <w:lang w:eastAsia="zh-CN"/>
        </w:rPr>
        <w:t xml:space="preserve">. </w:t>
      </w:r>
      <w:r w:rsidRPr="00171A04">
        <w:t xml:space="preserve">Guidelines of the US </w:t>
      </w:r>
      <w:proofErr w:type="spellStart"/>
      <w:r w:rsidRPr="00171A04">
        <w:t>Centers</w:t>
      </w:r>
      <w:proofErr w:type="spellEnd"/>
      <w:r w:rsidRPr="00171A04">
        <w:t xml:space="preserve"> for Disease Control</w:t>
      </w:r>
      <w:r w:rsidR="00B0351D" w:rsidRPr="00171A04">
        <w:t>,</w:t>
      </w:r>
      <w:r w:rsidR="00B0351D" w:rsidRPr="00171A04">
        <w:rPr>
          <w:rStyle w:val="FootnoteReference"/>
        </w:rPr>
        <w:footnoteReference w:id="15"/>
      </w:r>
      <w:r w:rsidR="00B0351D" w:rsidRPr="00171A04">
        <w:t xml:space="preserve"> </w:t>
      </w:r>
      <w:r w:rsidRPr="00171A04">
        <w:t>World Health Organi</w:t>
      </w:r>
      <w:r w:rsidR="00EA5849">
        <w:t>z</w:t>
      </w:r>
      <w:r w:rsidRPr="00171A04">
        <w:t>ation,</w:t>
      </w:r>
      <w:r w:rsidR="00B0351D" w:rsidRPr="00171A04">
        <w:rPr>
          <w:rStyle w:val="FootnoteReference"/>
        </w:rPr>
        <w:footnoteReference w:id="16"/>
      </w:r>
      <w:r w:rsidRPr="00171A04">
        <w:t xml:space="preserve"> and UK Faculty of Sexual and Reproductive Health</w:t>
      </w:r>
      <w:r w:rsidR="00791076">
        <w:t xml:space="preserve"> (FSRH)</w:t>
      </w:r>
      <w:r w:rsidR="00B0351D" w:rsidRPr="00171A04">
        <w:rPr>
          <w:rStyle w:val="FootnoteReference"/>
        </w:rPr>
        <w:footnoteReference w:id="17"/>
      </w:r>
      <w:r w:rsidRPr="00171A04">
        <w:t xml:space="preserve"> (on which the RANZCOG guidelines are based) all treat CVR and COCs as interchangeable </w:t>
      </w:r>
      <w:r w:rsidR="00F2181B" w:rsidRPr="00171A04">
        <w:t>–</w:t>
      </w:r>
      <w:r w:rsidRPr="00171A04">
        <w:t xml:space="preserve"> i</w:t>
      </w:r>
      <w:r w:rsidR="00F2181B" w:rsidRPr="00171A04">
        <w:t>.</w:t>
      </w:r>
      <w:r w:rsidRPr="00171A04">
        <w:t>e</w:t>
      </w:r>
      <w:r w:rsidR="00F2181B" w:rsidRPr="00171A04">
        <w:t>.</w:t>
      </w:r>
      <w:r w:rsidRPr="00171A04">
        <w:t>,</w:t>
      </w:r>
      <w:r w:rsidR="00465EB3">
        <w:t xml:space="preserve"> </w:t>
      </w:r>
      <w:r w:rsidR="380BB817" w:rsidRPr="00171A04">
        <w:t>problems with</w:t>
      </w:r>
      <w:r w:rsidRPr="00171A04">
        <w:t xml:space="preserve"> </w:t>
      </w:r>
      <w:r w:rsidR="246D5425" w:rsidRPr="00171A04">
        <w:t>mal</w:t>
      </w:r>
      <w:r w:rsidRPr="00171A04">
        <w:t>absorption and efficacy</w:t>
      </w:r>
      <w:r w:rsidR="774FCC4F" w:rsidRPr="00171A04">
        <w:t xml:space="preserve"> ar</w:t>
      </w:r>
      <w:r w:rsidR="564C9816" w:rsidRPr="00171A04">
        <w:t xml:space="preserve">e </w:t>
      </w:r>
      <w:r w:rsidR="774FCC4F" w:rsidRPr="00171A04">
        <w:t>not</w:t>
      </w:r>
      <w:r w:rsidR="075B869F" w:rsidRPr="00171A04">
        <w:t xml:space="preserve"> common</w:t>
      </w:r>
      <w:r w:rsidR="21F3C4B0" w:rsidRPr="00171A04">
        <w:t xml:space="preserve"> or not supported by evidence</w:t>
      </w:r>
      <w:r w:rsidRPr="00171A04">
        <w:t xml:space="preserve">. None of these </w:t>
      </w:r>
      <w:r w:rsidR="1D9BF081" w:rsidRPr="00171A04">
        <w:t>guideline</w:t>
      </w:r>
      <w:r w:rsidRPr="00171A04">
        <w:t>s mentions dysphagia or c</w:t>
      </w:r>
      <w:r w:rsidR="00EA5849">
        <w:t>o</w:t>
      </w:r>
      <w:r w:rsidRPr="00171A04">
        <w:t>eliac disease.</w:t>
      </w:r>
      <w:r w:rsidR="21F3C4B0" w:rsidRPr="00171A04">
        <w:t xml:space="preserve"> </w:t>
      </w:r>
      <w:r w:rsidR="00F843FB" w:rsidRPr="00171A04">
        <w:t xml:space="preserve">The </w:t>
      </w:r>
      <w:r w:rsidR="002E0FE8" w:rsidRPr="00171A04">
        <w:t>UK Faculty of Sexual and Reproductive Health guidelines state</w:t>
      </w:r>
      <w:r w:rsidR="00817223" w:rsidRPr="00171A04">
        <w:t>s</w:t>
      </w:r>
      <w:r w:rsidR="002E0FE8" w:rsidRPr="00171A04">
        <w:t xml:space="preserve"> that </w:t>
      </w:r>
      <w:r w:rsidR="00674130" w:rsidRPr="00171A04">
        <w:t>the absorption of COCs in women with</w:t>
      </w:r>
      <w:r w:rsidR="00586637" w:rsidRPr="00171A04">
        <w:t xml:space="preserve"> ‘mild ulcerative colitis and no </w:t>
      </w:r>
      <w:r w:rsidR="00EE6D8E" w:rsidRPr="00171A04">
        <w:t>or small ileal resections is similar to the absorption among healthy women. Findings may not apply to women with Crohn’s disease or more extensive bowel res</w:t>
      </w:r>
      <w:r w:rsidR="004B4B26">
        <w:t>e</w:t>
      </w:r>
      <w:r w:rsidR="00EE6D8E" w:rsidRPr="00171A04">
        <w:t>ctions.’</w:t>
      </w:r>
      <w:r w:rsidR="00394D45">
        <w:rPr>
          <w:vertAlign w:val="superscript"/>
        </w:rPr>
        <w:t>1</w:t>
      </w:r>
      <w:r w:rsidR="002350FA">
        <w:rPr>
          <w:vertAlign w:val="superscript"/>
        </w:rPr>
        <w:t>6</w:t>
      </w:r>
      <w:r w:rsidR="21F3C4B0" w:rsidRPr="00171A04">
        <w:t xml:space="preserve"> </w:t>
      </w:r>
      <w:r w:rsidR="00F64EDF" w:rsidRPr="00171A04">
        <w:t xml:space="preserve">In inflammatory bowel disease, </w:t>
      </w:r>
      <w:r w:rsidR="21F3C4B0" w:rsidRPr="00171A04">
        <w:t>the concern is thromboembolic risk, and</w:t>
      </w:r>
      <w:r w:rsidRPr="00171A04">
        <w:t xml:space="preserve"> </w:t>
      </w:r>
      <w:r w:rsidR="007066E4" w:rsidRPr="00171A04">
        <w:t xml:space="preserve">for both </w:t>
      </w:r>
      <w:r w:rsidRPr="00171A04">
        <w:t xml:space="preserve">COCs and CVR </w:t>
      </w:r>
      <w:r w:rsidR="007066E4" w:rsidRPr="00171A04">
        <w:t>t</w:t>
      </w:r>
      <w:r w:rsidRPr="00171A04">
        <w:t>he advantages of using the method generally outweigh the risks</w:t>
      </w:r>
      <w:r w:rsidR="007066E4" w:rsidRPr="00171A04">
        <w:t xml:space="preserve"> </w:t>
      </w:r>
      <w:r w:rsidR="6E9E06AB" w:rsidRPr="00171A04">
        <w:t xml:space="preserve">except </w:t>
      </w:r>
      <w:r w:rsidRPr="00171A04">
        <w:t>whe</w:t>
      </w:r>
      <w:r w:rsidR="2ABA4CF3" w:rsidRPr="00171A04">
        <w:t>n</w:t>
      </w:r>
      <w:r w:rsidRPr="00171A04">
        <w:t xml:space="preserve"> the risk of venous thromboembolism is increased</w:t>
      </w:r>
      <w:r w:rsidR="008301E2">
        <w:t>,</w:t>
      </w:r>
      <w:r w:rsidR="00E5662B" w:rsidRPr="00171A04">
        <w:t xml:space="preserve"> for example, </w:t>
      </w:r>
      <w:r w:rsidR="00D03C00" w:rsidRPr="00171A04">
        <w:t xml:space="preserve">in patients having surgery or </w:t>
      </w:r>
      <w:r w:rsidR="00A72716">
        <w:t xml:space="preserve">are </w:t>
      </w:r>
      <w:r w:rsidR="00D03C00" w:rsidRPr="00171A04">
        <w:t>immobili</w:t>
      </w:r>
      <w:r w:rsidR="00A14FD4" w:rsidRPr="00171A04">
        <w:t>s</w:t>
      </w:r>
      <w:r w:rsidR="00A72716">
        <w:t>ed</w:t>
      </w:r>
      <w:r w:rsidR="00D03C00" w:rsidRPr="00171A04">
        <w:t xml:space="preserve">. </w:t>
      </w:r>
    </w:p>
    <w:p w14:paraId="60401E34" w14:textId="4E1ACEC5" w:rsidR="004C6818" w:rsidRPr="00171A04" w:rsidRDefault="21F3C4B0" w:rsidP="0B5D70EC">
      <w:pPr>
        <w:pStyle w:val="3-BodyText"/>
      </w:pPr>
      <w:r w:rsidRPr="00171A04">
        <w:t xml:space="preserve">With regard to bariatric surgery, </w:t>
      </w:r>
      <w:r w:rsidR="007066E4" w:rsidRPr="00171A04">
        <w:t xml:space="preserve">there is no concern with </w:t>
      </w:r>
      <w:r w:rsidR="007D5CAD">
        <w:t xml:space="preserve">the </w:t>
      </w:r>
      <w:r w:rsidR="007066E4" w:rsidRPr="00171A04">
        <w:t xml:space="preserve">use of </w:t>
      </w:r>
      <w:r w:rsidR="6A6767E8" w:rsidRPr="00171A04">
        <w:t xml:space="preserve">COCs in patients who have had restrictive </w:t>
      </w:r>
      <w:r w:rsidRPr="00171A04">
        <w:t>procedures</w:t>
      </w:r>
      <w:r w:rsidR="6A6767E8" w:rsidRPr="00171A04">
        <w:t>, including sleeve gastrectomy</w:t>
      </w:r>
      <w:r w:rsidRPr="00171A04">
        <w:t xml:space="preserve"> (</w:t>
      </w:r>
      <w:r w:rsidR="00D03C00" w:rsidRPr="00171A04">
        <w:t>stated in the submission to be the most</w:t>
      </w:r>
      <w:r w:rsidRPr="00171A04">
        <w:t xml:space="preserve"> commo</w:t>
      </w:r>
      <w:r w:rsidR="00D03C00" w:rsidRPr="00171A04">
        <w:t>n</w:t>
      </w:r>
      <w:r w:rsidRPr="00171A04">
        <w:t xml:space="preserve"> procedure in Australia)</w:t>
      </w:r>
      <w:r w:rsidR="6A6767E8" w:rsidRPr="00171A04">
        <w:t xml:space="preserve"> and </w:t>
      </w:r>
      <w:r w:rsidR="007066E4" w:rsidRPr="00171A04">
        <w:t>COC use is relatively contraindicated o</w:t>
      </w:r>
      <w:r w:rsidR="6A6767E8" w:rsidRPr="00171A04">
        <w:t>nly in patients who have had diversionary procedures.</w:t>
      </w:r>
      <w:r w:rsidR="00F230C8" w:rsidRPr="00171A04">
        <w:t xml:space="preserve"> For patients with a history of </w:t>
      </w:r>
      <w:r w:rsidR="001D3C1A" w:rsidRPr="00171A04">
        <w:t xml:space="preserve">bariatric surgery </w:t>
      </w:r>
      <w:r w:rsidR="00A80508" w:rsidRPr="00171A04">
        <w:t xml:space="preserve">malabsorptive procedures, </w:t>
      </w:r>
      <w:r w:rsidR="00807C7D" w:rsidRPr="00171A04">
        <w:t>th</w:t>
      </w:r>
      <w:r w:rsidR="001424D9" w:rsidRPr="00171A04">
        <w:t xml:space="preserve">ere </w:t>
      </w:r>
      <w:r w:rsidR="004F6C73" w:rsidRPr="00171A04">
        <w:t xml:space="preserve">are no restrictions </w:t>
      </w:r>
      <w:r w:rsidR="00C5722B" w:rsidRPr="00171A04">
        <w:t xml:space="preserve">for the use of the CVR, however </w:t>
      </w:r>
      <w:r w:rsidR="00BB08C8" w:rsidRPr="00171A04">
        <w:t>for COCs the</w:t>
      </w:r>
      <w:r w:rsidR="00A01754" w:rsidRPr="00171A04">
        <w:t xml:space="preserve"> risks </w:t>
      </w:r>
      <w:r w:rsidR="00CF53C5" w:rsidRPr="00171A04">
        <w:t>can outweigh the advantages of use</w:t>
      </w:r>
      <w:r w:rsidR="00361810" w:rsidRPr="00171A04">
        <w:t xml:space="preserve"> (the procedure </w:t>
      </w:r>
      <w:r w:rsidR="00ED1AE9" w:rsidRPr="00171A04">
        <w:t xml:space="preserve">has potential to </w:t>
      </w:r>
      <w:r w:rsidR="00963144" w:rsidRPr="00171A04">
        <w:t xml:space="preserve">reduce contraceptive effectiveness, </w:t>
      </w:r>
      <w:r w:rsidR="00AB52F9" w:rsidRPr="00171A04">
        <w:t>and this may be further decreased by post-operative complications such as diarrhoea or vomiting).</w:t>
      </w:r>
      <w:r w:rsidR="00AB52F9" w:rsidRPr="00171A04">
        <w:rPr>
          <w:vertAlign w:val="superscript"/>
        </w:rPr>
        <w:t>1</w:t>
      </w:r>
      <w:r w:rsidR="002D62FE">
        <w:rPr>
          <w:vertAlign w:val="superscript"/>
        </w:rPr>
        <w:t>3</w:t>
      </w:r>
    </w:p>
    <w:p w14:paraId="177D967A" w14:textId="15042E34" w:rsidR="002D62FE" w:rsidRPr="006B682B" w:rsidRDefault="002D62FE" w:rsidP="00DF3662">
      <w:pPr>
        <w:pStyle w:val="3-BodyText"/>
      </w:pPr>
      <w:r w:rsidRPr="006B682B">
        <w:t xml:space="preserve">The PSCR </w:t>
      </w:r>
      <w:r w:rsidR="00031346" w:rsidRPr="006B682B">
        <w:t xml:space="preserve">stated that the </w:t>
      </w:r>
      <w:r w:rsidR="00791076" w:rsidRPr="006B682B">
        <w:t>FSRH</w:t>
      </w:r>
      <w:r w:rsidR="005C7457" w:rsidRPr="006B682B">
        <w:t xml:space="preserve"> guidelines </w:t>
      </w:r>
      <w:r w:rsidR="002C3618" w:rsidRPr="006B682B">
        <w:t>recommend that women who have had bariatric surgery should be advised of potential reduced effectiveness of COCs and should consider a non-oral method of contraception.</w:t>
      </w:r>
      <w:r w:rsidR="00791076" w:rsidRPr="006B682B">
        <w:t xml:space="preserve"> </w:t>
      </w:r>
      <w:r w:rsidR="00C36A43" w:rsidRPr="006B682B">
        <w:t xml:space="preserve">With regards to </w:t>
      </w:r>
      <w:r w:rsidR="00D931C0" w:rsidRPr="006B682B">
        <w:t xml:space="preserve">bariatric surgery and combined hormonal contraception, the </w:t>
      </w:r>
      <w:r w:rsidR="00394D45" w:rsidRPr="006B682B">
        <w:t>UK Medical Eligibility Criteria for Contraceptive Use (UKMEC)</w:t>
      </w:r>
      <w:r w:rsidR="00D931C0" w:rsidRPr="006B682B">
        <w:t xml:space="preserve"> state that there is limited evidence </w:t>
      </w:r>
      <w:r w:rsidR="00D509EC" w:rsidRPr="006B682B">
        <w:t xml:space="preserve">which shows there is no substantial reduction in the effectiveness of oral contraception in women who have </w:t>
      </w:r>
      <w:r w:rsidR="001C37B9" w:rsidRPr="006B682B">
        <w:t>laparoscopic</w:t>
      </w:r>
      <w:r w:rsidR="00303680" w:rsidRPr="006B682B">
        <w:t xml:space="preserve"> placement of an adjustable gastric band or </w:t>
      </w:r>
      <w:r w:rsidR="00160585" w:rsidRPr="006B682B">
        <w:t xml:space="preserve">biliopancreatic diversion. However, there are conflicting results </w:t>
      </w:r>
      <w:r w:rsidR="007F412D" w:rsidRPr="006B682B">
        <w:t>from the</w:t>
      </w:r>
      <w:r w:rsidR="00160585" w:rsidRPr="006B682B">
        <w:t xml:space="preserve"> evidence </w:t>
      </w:r>
      <w:r w:rsidR="007F412D" w:rsidRPr="006B682B">
        <w:t xml:space="preserve">of </w:t>
      </w:r>
      <w:r w:rsidR="00F22BF1" w:rsidRPr="006B682B">
        <w:t>the effectiveness of oral contraception</w:t>
      </w:r>
      <w:r w:rsidR="003D6315">
        <w:t xml:space="preserve"> in patients</w:t>
      </w:r>
      <w:r w:rsidR="00F22BF1" w:rsidRPr="006B682B">
        <w:t xml:space="preserve"> who have had jejunoileal bypass.</w:t>
      </w:r>
      <w:r w:rsidR="00A5755D" w:rsidRPr="006B682B">
        <w:rPr>
          <w:vertAlign w:val="superscript"/>
        </w:rPr>
        <w:t>15</w:t>
      </w:r>
    </w:p>
    <w:p w14:paraId="3380C80D" w14:textId="6D38F266" w:rsidR="006974F9" w:rsidRDefault="1D9BF081" w:rsidP="00DF3662">
      <w:pPr>
        <w:pStyle w:val="3-BodyText"/>
      </w:pPr>
      <w:r w:rsidRPr="0B5D70EC">
        <w:t>The submission stated that rapid and reliable early return of fertility</w:t>
      </w:r>
      <w:r w:rsidR="000F4059">
        <w:t xml:space="preserve"> (within 3-4 weeks)</w:t>
      </w:r>
      <w:r w:rsidRPr="0B5D70EC">
        <w:t xml:space="preserve"> was an advantage of CVR, especially compared to DMPA. The </w:t>
      </w:r>
      <w:r w:rsidR="00981DD3">
        <w:t xml:space="preserve">submission </w:t>
      </w:r>
      <w:r w:rsidR="00F77D12">
        <w:t>cited</w:t>
      </w:r>
      <w:r w:rsidR="00981DD3">
        <w:t xml:space="preserve"> the</w:t>
      </w:r>
      <w:r w:rsidR="00F77D12">
        <w:t xml:space="preserve"> statement in the</w:t>
      </w:r>
      <w:r w:rsidR="00981DD3">
        <w:t xml:space="preserve"> </w:t>
      </w:r>
      <w:r w:rsidRPr="0B5D70EC">
        <w:t>P</w:t>
      </w:r>
      <w:r w:rsidR="00AA76F4">
        <w:t xml:space="preserve">roduct </w:t>
      </w:r>
      <w:r w:rsidRPr="0B5D70EC">
        <w:t>I</w:t>
      </w:r>
      <w:r w:rsidR="00AA76F4">
        <w:t>nformation</w:t>
      </w:r>
      <w:r w:rsidR="00A94BF1">
        <w:t xml:space="preserve"> (PI)</w:t>
      </w:r>
      <w:r w:rsidRPr="0B5D70EC">
        <w:t xml:space="preserve"> for Depo-Provera</w:t>
      </w:r>
      <w:r w:rsidR="00AA76F4">
        <w:rPr>
          <w:rFonts w:cstheme="minorHAnsi"/>
        </w:rPr>
        <w:t>®</w:t>
      </w:r>
      <w:r w:rsidRPr="0B5D70EC">
        <w:t xml:space="preserve"> that with DMPA "return </w:t>
      </w:r>
      <w:r w:rsidRPr="0B5D70EC">
        <w:lastRenderedPageBreak/>
        <w:t xml:space="preserve">to fertility can take up to 18 months following the last injection". </w:t>
      </w:r>
      <w:r w:rsidR="00F77D12">
        <w:t xml:space="preserve">Persistent amenorrhoea after stopping DMPA is a recognised adverse event, but the frequency is low: </w:t>
      </w:r>
      <w:r w:rsidR="2EB8FED2" w:rsidRPr="00171A04">
        <w:t>the PI</w:t>
      </w:r>
      <w:r w:rsidR="00F77D12" w:rsidRPr="00171A04">
        <w:t xml:space="preserve"> also</w:t>
      </w:r>
      <w:r w:rsidR="2EB8FED2" w:rsidRPr="00171A04">
        <w:t xml:space="preserve"> states</w:t>
      </w:r>
      <w:r w:rsidR="246D5425" w:rsidRPr="00171A04">
        <w:t xml:space="preserve"> </w:t>
      </w:r>
      <w:r w:rsidR="2EB8FED2" w:rsidRPr="00171A04">
        <w:t>that of women stopping Depo-Provera in order to become pregnant, 93% will have conceived within 18 months (p7)</w:t>
      </w:r>
      <w:r w:rsidR="0EA742AE" w:rsidRPr="00171A04">
        <w:t>.</w:t>
      </w:r>
      <w:r w:rsidR="00F77D12" w:rsidRPr="00171A04">
        <w:t xml:space="preserve"> U</w:t>
      </w:r>
      <w:r w:rsidR="0EA742AE" w:rsidRPr="00171A04">
        <w:t xml:space="preserve">sing the </w:t>
      </w:r>
      <w:r w:rsidR="21F3C4B0" w:rsidRPr="00171A04">
        <w:t>generally accepted</w:t>
      </w:r>
      <w:r w:rsidR="0EA742AE" w:rsidRPr="00171A04">
        <w:t xml:space="preserve"> figure of 80-90% for the proportion of women</w:t>
      </w:r>
      <w:r w:rsidR="0EA742AE" w:rsidRPr="0B5D70EC">
        <w:rPr>
          <w:i/>
          <w:iCs/>
        </w:rPr>
        <w:t xml:space="preserve"> </w:t>
      </w:r>
      <w:r w:rsidR="0EA742AE" w:rsidRPr="00171A04">
        <w:t>at risk of pregnancy who will conceive within one year,</w:t>
      </w:r>
      <w:r w:rsidR="00F2536A" w:rsidRPr="00171A04">
        <w:rPr>
          <w:rStyle w:val="FootnoteReference"/>
        </w:rPr>
        <w:footnoteReference w:id="18"/>
      </w:r>
      <w:r w:rsidR="0EA742AE" w:rsidRPr="00171A04">
        <w:t xml:space="preserve"> the proportion </w:t>
      </w:r>
      <w:r w:rsidR="758DE968" w:rsidRPr="00171A04">
        <w:t>expected</w:t>
      </w:r>
      <w:r w:rsidR="25F99091" w:rsidRPr="00171A04">
        <w:t xml:space="preserve"> not</w:t>
      </w:r>
      <w:r w:rsidR="758DE968" w:rsidRPr="00171A04">
        <w:t xml:space="preserve"> to have</w:t>
      </w:r>
      <w:r w:rsidR="25F99091" w:rsidRPr="00171A04">
        <w:t xml:space="preserve"> conceived within 18 months</w:t>
      </w:r>
      <w:r w:rsidR="0EA742AE" w:rsidRPr="00171A04">
        <w:t xml:space="preserve"> is 2-7%</w:t>
      </w:r>
      <w:r w:rsidR="25F99091" w:rsidRPr="00171A04">
        <w:t xml:space="preserve">. </w:t>
      </w:r>
    </w:p>
    <w:p w14:paraId="5BDA297F" w14:textId="7F5CF646" w:rsidR="00CA0515" w:rsidRPr="0090758D" w:rsidRDefault="2EB8FED2" w:rsidP="00DF3662">
      <w:pPr>
        <w:pStyle w:val="3-BodyText"/>
      </w:pPr>
      <w:r w:rsidRPr="00171A04">
        <w:t>A</w:t>
      </w:r>
      <w:r w:rsidR="2ABA4CF3" w:rsidRPr="00171A04">
        <w:t xml:space="preserve"> recent</w:t>
      </w:r>
      <w:r w:rsidRPr="00171A04">
        <w:t xml:space="preserve"> systematic review found that the rate of pregnancy within 12 months of stopping contraception did not differ with different methods of contraception</w:t>
      </w:r>
      <w:r w:rsidR="0011583D" w:rsidRPr="00171A04">
        <w:t xml:space="preserve"> (</w:t>
      </w:r>
      <w:r w:rsidR="00E0398B" w:rsidRPr="00171A04">
        <w:t xml:space="preserve">contraceptive methods included in the review were </w:t>
      </w:r>
      <w:r w:rsidR="006B34DA" w:rsidRPr="00171A04">
        <w:t xml:space="preserve">implants, </w:t>
      </w:r>
      <w:r w:rsidR="00B17FE4" w:rsidRPr="00171A04">
        <w:t xml:space="preserve">injections, intrauterine devices and </w:t>
      </w:r>
      <w:r w:rsidR="00CE143F" w:rsidRPr="00171A04">
        <w:t>oral contraceptives)</w:t>
      </w:r>
      <w:r w:rsidR="1B2C0ACF" w:rsidRPr="00171A04">
        <w:t>.</w:t>
      </w:r>
      <w:r w:rsidR="00853EE6" w:rsidRPr="00171A04">
        <w:rPr>
          <w:rStyle w:val="FootnoteReference"/>
        </w:rPr>
        <w:footnoteReference w:id="19"/>
      </w:r>
      <w:r w:rsidR="564C9816" w:rsidRPr="0B5D70EC">
        <w:rPr>
          <w:i/>
          <w:iCs/>
        </w:rPr>
        <w:t xml:space="preserve"> </w:t>
      </w:r>
      <w:r w:rsidR="008B6CFB" w:rsidRPr="00B41A9F">
        <w:t xml:space="preserve">The PSCR </w:t>
      </w:r>
      <w:r w:rsidR="00A7761C" w:rsidRPr="00B41A9F">
        <w:t>argued that this systematic review did not include DMPA, and therefore its findings were not relevant to this submission.</w:t>
      </w:r>
    </w:p>
    <w:p w14:paraId="7755FB38" w14:textId="492B6E01" w:rsidR="00023B2B" w:rsidRPr="0098262F" w:rsidRDefault="00023B2B" w:rsidP="00A7764E">
      <w:pPr>
        <w:pStyle w:val="4-SubsectionHeading"/>
      </w:pPr>
      <w:bookmarkStart w:id="16" w:name="_Toc193454818"/>
      <w:r w:rsidRPr="0098262F">
        <w:t>Clinical trials</w:t>
      </w:r>
      <w:bookmarkEnd w:id="16"/>
    </w:p>
    <w:p w14:paraId="62BFE8E1" w14:textId="2C738167" w:rsidR="00023B2B" w:rsidRDefault="780F100B" w:rsidP="00023B2B">
      <w:pPr>
        <w:pStyle w:val="3-BodyText"/>
      </w:pPr>
      <w:r w:rsidRPr="0B5D70EC">
        <w:t xml:space="preserve">The submission identified no head-to-head trials comparing CVR with DMPA. The submission relied on </w:t>
      </w:r>
      <w:r w:rsidR="3CA22A41" w:rsidRPr="0B5D70EC">
        <w:t>two</w:t>
      </w:r>
      <w:r w:rsidRPr="0B5D70EC">
        <w:t xml:space="preserve"> indirect treatment comparison</w:t>
      </w:r>
      <w:r w:rsidR="3CA22A41" w:rsidRPr="0B5D70EC">
        <w:t>s</w:t>
      </w:r>
      <w:r w:rsidRPr="0B5D70EC">
        <w:t xml:space="preserve"> </w:t>
      </w:r>
      <w:r w:rsidR="41820F93" w:rsidRPr="0B5D70EC">
        <w:t>of CVR and DMPA</w:t>
      </w:r>
      <w:r w:rsidR="2729B331" w:rsidRPr="0B5D70EC">
        <w:t>,</w:t>
      </w:r>
      <w:r w:rsidR="41820F93" w:rsidRPr="0B5D70EC">
        <w:t xml:space="preserve"> with COC (EE 30 micrograms + levonorgestrel 150 micrograms) and norethisterone enanthate (NET</w:t>
      </w:r>
      <w:r w:rsidR="76C524AB" w:rsidRPr="0B5D70EC">
        <w:t>-EN</w:t>
      </w:r>
      <w:r w:rsidR="41820F93" w:rsidRPr="0B5D70EC">
        <w:t xml:space="preserve">) </w:t>
      </w:r>
      <w:r w:rsidR="00224DCE">
        <w:t xml:space="preserve">200 mg </w:t>
      </w:r>
      <w:r w:rsidR="001E72B2">
        <w:t xml:space="preserve">intramuscular injection </w:t>
      </w:r>
      <w:r w:rsidR="41820F93" w:rsidRPr="0B5D70EC">
        <w:t xml:space="preserve">as common comparators. </w:t>
      </w:r>
    </w:p>
    <w:p w14:paraId="54CA2BE8" w14:textId="1BDFCE5B" w:rsidR="007F6AE6" w:rsidRPr="00171A04" w:rsidRDefault="2729B331" w:rsidP="00A76F07">
      <w:pPr>
        <w:pStyle w:val="3-BodyText"/>
      </w:pPr>
      <w:bookmarkStart w:id="17" w:name="_Ref198815116"/>
      <w:r w:rsidRPr="00171A04">
        <w:t xml:space="preserve">A number of head-to-head trials of CVR vs </w:t>
      </w:r>
      <w:r w:rsidR="075B869F" w:rsidRPr="00171A04">
        <w:t>COC</w:t>
      </w:r>
      <w:r w:rsidRPr="00171A04">
        <w:t>s</w:t>
      </w:r>
      <w:r w:rsidR="5D58C66E" w:rsidRPr="00171A04">
        <w:t xml:space="preserve"> </w:t>
      </w:r>
      <w:r w:rsidRPr="00171A04">
        <w:t xml:space="preserve">were identified by the submission's literature search </w:t>
      </w:r>
      <w:r w:rsidR="3ECE93CD" w:rsidRPr="00171A04">
        <w:t xml:space="preserve">that could have been </w:t>
      </w:r>
      <w:r w:rsidR="1C2324B6" w:rsidRPr="00171A04">
        <w:t>included</w:t>
      </w:r>
      <w:r w:rsidR="3ECE93CD" w:rsidRPr="00171A04">
        <w:t xml:space="preserve"> in the indirect treatment comparison but were not </w:t>
      </w:r>
      <w:r w:rsidR="5D58C66E" w:rsidRPr="00171A04">
        <w:t xml:space="preserve">(10 excluded trials </w:t>
      </w:r>
      <w:r w:rsidR="075B869F" w:rsidRPr="00171A04">
        <w:t xml:space="preserve">were </w:t>
      </w:r>
      <w:r w:rsidR="5D58C66E" w:rsidRPr="00171A04">
        <w:t>shaded grey in Table</w:t>
      </w:r>
      <w:r w:rsidR="00FC479C" w:rsidRPr="00171A04">
        <w:t> </w:t>
      </w:r>
      <w:r w:rsidR="5D58C66E" w:rsidRPr="00171A04">
        <w:t>2.2.1)</w:t>
      </w:r>
      <w:r w:rsidR="3ECE93CD" w:rsidRPr="00171A04">
        <w:t xml:space="preserve">. </w:t>
      </w:r>
      <w:r w:rsidR="7E7D93E6" w:rsidRPr="00171A04">
        <w:t>Two trials (Fan</w:t>
      </w:r>
      <w:r w:rsidR="0046225F" w:rsidRPr="00171A04">
        <w:t xml:space="preserve"> (</w:t>
      </w:r>
      <w:r w:rsidR="7E7D93E6" w:rsidRPr="00171A04">
        <w:t>2016</w:t>
      </w:r>
      <w:r w:rsidR="0046225F" w:rsidRPr="00171A04">
        <w:t>)</w:t>
      </w:r>
      <w:r w:rsidR="7E7D93E6" w:rsidRPr="00171A04">
        <w:t xml:space="preserve"> and Ahrendt </w:t>
      </w:r>
      <w:r w:rsidR="0046225F" w:rsidRPr="00171A04">
        <w:t>(</w:t>
      </w:r>
      <w:r w:rsidR="7E7D93E6" w:rsidRPr="00171A04">
        <w:t>2006</w:t>
      </w:r>
      <w:r w:rsidR="0046225F" w:rsidRPr="00171A04">
        <w:t>)</w:t>
      </w:r>
      <w:r w:rsidR="7E7D93E6" w:rsidRPr="00171A04">
        <w:t>) were large one</w:t>
      </w:r>
      <w:r w:rsidR="1FD45D73" w:rsidRPr="00171A04">
        <w:t>-</w:t>
      </w:r>
      <w:r w:rsidR="7E7D93E6" w:rsidRPr="00171A04">
        <w:t xml:space="preserve">year trials comparing CVR with COC and should </w:t>
      </w:r>
      <w:r w:rsidR="00937E9A" w:rsidRPr="00171A04">
        <w:t>be</w:t>
      </w:r>
      <w:r w:rsidR="7E7D93E6" w:rsidRPr="00171A04">
        <w:t xml:space="preserve"> included. </w:t>
      </w:r>
      <w:r w:rsidR="3ECE93CD" w:rsidRPr="00171A04">
        <w:t xml:space="preserve">It is stated that the reasons for exclusion were included in Attachment 5a, but in that attachment all of the trials are marked "Include". </w:t>
      </w:r>
      <w:r w:rsidR="0070794D" w:rsidRPr="00171A04">
        <w:t>It is not clear why these trials were excluded</w:t>
      </w:r>
      <w:r w:rsidR="00870E35" w:rsidRPr="00171A04">
        <w:t>;</w:t>
      </w:r>
      <w:r w:rsidR="3ECE93CD" w:rsidRPr="00171A04">
        <w:t xml:space="preserve"> </w:t>
      </w:r>
      <w:r w:rsidR="7E7D93E6" w:rsidRPr="00171A04">
        <w:t xml:space="preserve">Fan </w:t>
      </w:r>
      <w:r w:rsidR="00937E9A" w:rsidRPr="00171A04">
        <w:t>(</w:t>
      </w:r>
      <w:r w:rsidR="7E7D93E6" w:rsidRPr="00171A04">
        <w:t>2016</w:t>
      </w:r>
      <w:r w:rsidR="00937E9A" w:rsidRPr="00171A04">
        <w:t>)</w:t>
      </w:r>
      <w:r w:rsidR="7E7D93E6" w:rsidRPr="00171A04">
        <w:t xml:space="preserve"> and Ahrendt </w:t>
      </w:r>
      <w:r w:rsidR="00937E9A" w:rsidRPr="00171A04">
        <w:t>(</w:t>
      </w:r>
      <w:r w:rsidR="7E7D93E6" w:rsidRPr="00171A04">
        <w:t>2006</w:t>
      </w:r>
      <w:r w:rsidR="00937E9A" w:rsidRPr="00171A04">
        <w:t>)</w:t>
      </w:r>
      <w:r w:rsidR="075B869F" w:rsidRPr="00171A04">
        <w:t xml:space="preserve"> did not use</w:t>
      </w:r>
      <w:r w:rsidR="00FE35EC" w:rsidRPr="00171A04">
        <w:t xml:space="preserve"> the COC</w:t>
      </w:r>
      <w:r w:rsidR="075B869F" w:rsidRPr="00171A04">
        <w:t xml:space="preserve"> EE</w:t>
      </w:r>
      <w:r w:rsidR="00CA5123" w:rsidRPr="00171A04">
        <w:t> </w:t>
      </w:r>
      <w:r w:rsidR="075B869F" w:rsidRPr="00171A04">
        <w:t>30</w:t>
      </w:r>
      <w:r w:rsidR="00F5598C" w:rsidRPr="00171A04">
        <w:t> </w:t>
      </w:r>
      <w:r w:rsidR="00CA5123" w:rsidRPr="00171A04">
        <w:t>micrograms</w:t>
      </w:r>
      <w:r w:rsidR="075B869F" w:rsidRPr="00171A04">
        <w:t xml:space="preserve"> + levonorgestrel 150</w:t>
      </w:r>
      <w:r w:rsidR="00CA5123" w:rsidRPr="00171A04">
        <w:t> micrograms</w:t>
      </w:r>
      <w:r w:rsidR="075B869F" w:rsidRPr="00171A04">
        <w:t xml:space="preserve"> </w:t>
      </w:r>
      <w:r w:rsidR="0070794D" w:rsidRPr="00171A04">
        <w:t>as the comparator</w:t>
      </w:r>
      <w:r w:rsidR="075B869F" w:rsidRPr="00171A04">
        <w:t xml:space="preserve"> (as the included trials </w:t>
      </w:r>
      <w:proofErr w:type="spellStart"/>
      <w:r w:rsidR="075B869F" w:rsidRPr="00171A04">
        <w:t>Duijkers</w:t>
      </w:r>
      <w:proofErr w:type="spellEnd"/>
      <w:r w:rsidR="075B869F" w:rsidRPr="00171A04">
        <w:t xml:space="preserve"> </w:t>
      </w:r>
      <w:r w:rsidR="0070794D" w:rsidRPr="00171A04">
        <w:t>(</w:t>
      </w:r>
      <w:r w:rsidR="075B869F" w:rsidRPr="00171A04">
        <w:t>2004</w:t>
      </w:r>
      <w:r w:rsidR="0070794D" w:rsidRPr="00171A04">
        <w:t>)</w:t>
      </w:r>
      <w:r w:rsidR="075B869F" w:rsidRPr="00171A04">
        <w:t xml:space="preserve">, Gill </w:t>
      </w:r>
      <w:r w:rsidR="0070794D" w:rsidRPr="00171A04">
        <w:t>(</w:t>
      </w:r>
      <w:r w:rsidR="075B869F" w:rsidRPr="00171A04">
        <w:t>2020</w:t>
      </w:r>
      <w:r w:rsidR="0070794D" w:rsidRPr="00171A04">
        <w:t>)</w:t>
      </w:r>
      <w:r w:rsidR="075B869F" w:rsidRPr="00171A04">
        <w:t xml:space="preserve"> and Oddsson </w:t>
      </w:r>
      <w:r w:rsidR="0070794D" w:rsidRPr="00171A04">
        <w:t>(</w:t>
      </w:r>
      <w:r w:rsidR="075B869F" w:rsidRPr="00171A04">
        <w:t>2005</w:t>
      </w:r>
      <w:r w:rsidR="004C0582" w:rsidRPr="00171A04">
        <w:t xml:space="preserve">a, </w:t>
      </w:r>
      <w:r w:rsidR="004C0582" w:rsidRPr="006B682B">
        <w:t>2005b</w:t>
      </w:r>
      <w:r w:rsidR="0070794D" w:rsidRPr="006B682B">
        <w:t>)</w:t>
      </w:r>
      <w:r w:rsidR="075B869F" w:rsidRPr="006B682B">
        <w:t xml:space="preserve"> did)</w:t>
      </w:r>
      <w:r w:rsidR="00FE35EC" w:rsidRPr="006B682B">
        <w:t>, however</w:t>
      </w:r>
      <w:r w:rsidR="075B869F" w:rsidRPr="006B682B">
        <w:t xml:space="preserve"> the included study of Hubacher </w:t>
      </w:r>
      <w:r w:rsidR="007D6B1F" w:rsidRPr="006B682B">
        <w:t>(</w:t>
      </w:r>
      <w:r w:rsidR="075B869F" w:rsidRPr="006B682B">
        <w:t>2018</w:t>
      </w:r>
      <w:r w:rsidR="007D6B1F" w:rsidRPr="006B682B">
        <w:t>)</w:t>
      </w:r>
      <w:r w:rsidR="075B869F" w:rsidRPr="006B682B">
        <w:t xml:space="preserve"> also did not use exclusively</w:t>
      </w:r>
      <w:r w:rsidR="007D6B1F" w:rsidRPr="006B682B">
        <w:t xml:space="preserve"> the COC</w:t>
      </w:r>
      <w:r w:rsidR="075B869F" w:rsidRPr="006B682B">
        <w:t xml:space="preserve"> EE</w:t>
      </w:r>
      <w:r w:rsidR="00954EBF" w:rsidRPr="006B682B">
        <w:t xml:space="preserve"> </w:t>
      </w:r>
      <w:r w:rsidR="075B869F" w:rsidRPr="006B682B">
        <w:t>30</w:t>
      </w:r>
      <w:r w:rsidR="00954EBF" w:rsidRPr="006B682B">
        <w:t> micrograms</w:t>
      </w:r>
      <w:r w:rsidR="075B869F" w:rsidRPr="006B682B">
        <w:t xml:space="preserve"> + levonorgestrel 150</w:t>
      </w:r>
      <w:r w:rsidR="00954EBF" w:rsidRPr="006B682B">
        <w:t> micrograms</w:t>
      </w:r>
      <w:r w:rsidR="075B869F" w:rsidRPr="006B682B">
        <w:t>.</w:t>
      </w:r>
      <w:r w:rsidR="00434C59" w:rsidRPr="006B682B">
        <w:t xml:space="preserve"> The PSCR stated that these trials were included</w:t>
      </w:r>
      <w:r w:rsidR="00554C90" w:rsidRPr="006B682B">
        <w:t xml:space="preserve"> in </w:t>
      </w:r>
      <w:r w:rsidR="00930341">
        <w:t>A</w:t>
      </w:r>
      <w:r w:rsidR="00930341" w:rsidRPr="006B682B">
        <w:t xml:space="preserve">ttachment </w:t>
      </w:r>
      <w:r w:rsidR="00554C90" w:rsidRPr="006B682B">
        <w:t>12a of the submission</w:t>
      </w:r>
      <w:r w:rsidR="0061035D" w:rsidRPr="006B682B">
        <w:t>.</w:t>
      </w:r>
      <w:r w:rsidR="00434C59" w:rsidRPr="006B682B">
        <w:t xml:space="preserve"> </w:t>
      </w:r>
      <w:r w:rsidR="0061035D" w:rsidRPr="006B682B">
        <w:t>H</w:t>
      </w:r>
      <w:r w:rsidR="00434C59" w:rsidRPr="006B682B">
        <w:t xml:space="preserve">owever </w:t>
      </w:r>
      <w:r w:rsidR="00D54F61" w:rsidRPr="006B682B">
        <w:t xml:space="preserve">these trials are not included in Table 2.2.2 </w:t>
      </w:r>
      <w:r w:rsidR="00C633A4" w:rsidRPr="006B682B">
        <w:t>‘Trials (and associated reports) presented in the submission’</w:t>
      </w:r>
      <w:r w:rsidR="0005445B" w:rsidRPr="006B682B">
        <w:t>.</w:t>
      </w:r>
      <w:bookmarkEnd w:id="17"/>
      <w:r w:rsidR="075B869F" w:rsidRPr="00171A04">
        <w:t xml:space="preserve"> </w:t>
      </w:r>
    </w:p>
    <w:p w14:paraId="0AD3768A" w14:textId="14BF899E" w:rsidR="007F6AE6" w:rsidRDefault="007F6AE6" w:rsidP="00023B2B">
      <w:pPr>
        <w:pStyle w:val="3-BodyText"/>
      </w:pPr>
      <w:r>
        <w:t>The data sources for all studies are published papers</w:t>
      </w:r>
      <w:r w:rsidR="003E0523">
        <w:t>.</w:t>
      </w:r>
      <w:r w:rsidR="003E0523" w:rsidRPr="00171A04">
        <w:t xml:space="preserve"> B</w:t>
      </w:r>
      <w:r w:rsidR="00C2468A" w:rsidRPr="00171A04">
        <w:t xml:space="preserve">ecause of the age of the publications, significant amounts of </w:t>
      </w:r>
      <w:r w:rsidR="001D30AE" w:rsidRPr="00171A04">
        <w:t>information, such as</w:t>
      </w:r>
      <w:r w:rsidR="00484C43" w:rsidRPr="00171A04">
        <w:t xml:space="preserve"> the planned statistical analyses,</w:t>
      </w:r>
      <w:r w:rsidR="001D30AE" w:rsidRPr="00171A04">
        <w:t xml:space="preserve"> inclusion and exclusion criteria (or whether there were formal criteria) and baseline characteristics</w:t>
      </w:r>
      <w:r w:rsidR="00C2468A" w:rsidRPr="00171A04">
        <w:t xml:space="preserve"> are missing in</w:t>
      </w:r>
      <w:r w:rsidR="003E0523" w:rsidRPr="00171A04">
        <w:t xml:space="preserve"> many</w:t>
      </w:r>
      <w:r w:rsidR="00C2468A" w:rsidRPr="00171A04">
        <w:t xml:space="preserve"> cases</w:t>
      </w:r>
      <w:r w:rsidR="00A8576D" w:rsidRPr="00171A04">
        <w:t xml:space="preserve">. </w:t>
      </w:r>
    </w:p>
    <w:p w14:paraId="3E31CE23" w14:textId="77777777" w:rsidR="00896E34" w:rsidRPr="001D30AE" w:rsidRDefault="00A73134" w:rsidP="00DF3662">
      <w:pPr>
        <w:pStyle w:val="3-BodyText"/>
        <w:rPr>
          <w:rFonts w:ascii="Arial Narrow" w:hAnsi="Arial Narrow"/>
          <w:b/>
          <w:i/>
          <w:iCs/>
          <w:sz w:val="20"/>
          <w:szCs w:val="24"/>
        </w:rPr>
      </w:pPr>
      <w:r w:rsidRPr="0098262F">
        <w:lastRenderedPageBreak/>
        <w:t xml:space="preserve">Details of the trials presented in the submission are provided in </w:t>
      </w:r>
      <w:r w:rsidR="00117B58">
        <w:fldChar w:fldCharType="begin"/>
      </w:r>
      <w:r w:rsidR="00117B58">
        <w:instrText xml:space="preserve"> REF _Ref188958211 \h </w:instrText>
      </w:r>
      <w:r w:rsidR="00117B58">
        <w:fldChar w:fldCharType="separate"/>
      </w:r>
      <w:r w:rsidR="00896E34">
        <w:t xml:space="preserve">Table </w:t>
      </w:r>
      <w:r w:rsidR="00896E34">
        <w:rPr>
          <w:noProof/>
        </w:rPr>
        <w:t>2</w:t>
      </w:r>
      <w:r w:rsidR="00117B58">
        <w:fldChar w:fldCharType="end"/>
      </w:r>
      <w:r w:rsidR="00696EF9" w:rsidRPr="0098262F">
        <w:fldChar w:fldCharType="begin"/>
      </w:r>
      <w:r w:rsidR="00696EF9" w:rsidRPr="0098262F">
        <w:instrText xml:space="preserve"> REF _Ref104803956 \h </w:instrText>
      </w:r>
      <w:r w:rsidR="00696EF9" w:rsidRPr="0098262F">
        <w:fldChar w:fldCharType="separate"/>
      </w:r>
      <w:r w:rsidR="00896E34" w:rsidRPr="00171A04">
        <w:t xml:space="preserve">The study of Hubacher is included under the heading of trials with a common arm of EE 30 micrograms + levonorgestrel 150 micrograms because it is included under that heading in Table 2.3.1 of the submission, but several different COCs were used in the trial and it is not stated that all or any were EE 30 micrograms + levonorgestrel 150 micrograms. </w:t>
      </w:r>
    </w:p>
    <w:p w14:paraId="75CA7B63" w14:textId="17BDEF28" w:rsidR="00C2468A" w:rsidRPr="001D30AE" w:rsidRDefault="00696EF9" w:rsidP="00DF3662">
      <w:pPr>
        <w:pStyle w:val="3-BodyText"/>
        <w:rPr>
          <w:rFonts w:ascii="Arial Narrow" w:hAnsi="Arial Narrow"/>
          <w:b/>
          <w:i/>
          <w:iCs/>
          <w:sz w:val="20"/>
          <w:szCs w:val="24"/>
        </w:rPr>
      </w:pPr>
      <w:r w:rsidRPr="0098262F">
        <w:fldChar w:fldCharType="end"/>
      </w:r>
      <w:r w:rsidR="00A73134" w:rsidRPr="0098262F">
        <w:t>.</w:t>
      </w:r>
      <w:r w:rsidR="00BC591F" w:rsidRPr="0098262F">
        <w:t xml:space="preserve"> </w:t>
      </w:r>
      <w:bookmarkStart w:id="18" w:name="_Ref104803956"/>
      <w:r w:rsidR="00B560A2" w:rsidRPr="00171A04">
        <w:t>The study of Hubacher is included under the heading of trials with a common arm of EE</w:t>
      </w:r>
      <w:r w:rsidR="0060140F" w:rsidRPr="00171A04">
        <w:t xml:space="preserve"> </w:t>
      </w:r>
      <w:r w:rsidR="00B560A2" w:rsidRPr="00171A04">
        <w:t>30</w:t>
      </w:r>
      <w:r w:rsidR="0060140F" w:rsidRPr="00171A04">
        <w:t> micrograms</w:t>
      </w:r>
      <w:r w:rsidR="00B560A2" w:rsidRPr="00171A04">
        <w:t xml:space="preserve"> + levonorgestrel 150</w:t>
      </w:r>
      <w:r w:rsidR="0060140F" w:rsidRPr="00171A04">
        <w:t xml:space="preserve"> micrograms </w:t>
      </w:r>
      <w:r w:rsidR="00B560A2" w:rsidRPr="00171A04">
        <w:t>because it is included under that heading in Table 2.3.1 of the submission</w:t>
      </w:r>
      <w:r w:rsidR="001D30AE" w:rsidRPr="00171A04">
        <w:t>,</w:t>
      </w:r>
      <w:r w:rsidR="00B560A2" w:rsidRPr="00171A04">
        <w:t xml:space="preserve"> but several different COCs were used</w:t>
      </w:r>
      <w:r w:rsidR="00A8576D" w:rsidRPr="00171A04">
        <w:t xml:space="preserve"> in the trial</w:t>
      </w:r>
      <w:r w:rsidR="00B560A2" w:rsidRPr="00171A04">
        <w:t xml:space="preserve"> and it is not stated that all or any were EE</w:t>
      </w:r>
      <w:r w:rsidR="00AC63F4" w:rsidRPr="00171A04">
        <w:t xml:space="preserve"> </w:t>
      </w:r>
      <w:r w:rsidR="00B560A2" w:rsidRPr="00171A04">
        <w:t>30</w:t>
      </w:r>
      <w:r w:rsidR="00AC63F4" w:rsidRPr="00171A04">
        <w:t> micrograms</w:t>
      </w:r>
      <w:r w:rsidR="00B560A2" w:rsidRPr="00171A04">
        <w:t xml:space="preserve"> + levonorgestrel 150</w:t>
      </w:r>
      <w:r w:rsidR="00AC63F4" w:rsidRPr="00171A04">
        <w:t> micrograms</w:t>
      </w:r>
      <w:r w:rsidR="00B560A2" w:rsidRPr="00171A04">
        <w:t xml:space="preserve">. </w:t>
      </w:r>
    </w:p>
    <w:p w14:paraId="7DE3A286" w14:textId="12D29B85" w:rsidR="008E0D3C" w:rsidRPr="00C2468A" w:rsidRDefault="00117B58" w:rsidP="00117B58">
      <w:pPr>
        <w:pStyle w:val="Caption"/>
        <w:rPr>
          <w:rStyle w:val="CommentReference"/>
          <w:b/>
          <w:szCs w:val="24"/>
        </w:rPr>
      </w:pPr>
      <w:bookmarkStart w:id="19" w:name="_Ref188958211"/>
      <w:bookmarkEnd w:id="18"/>
      <w:r>
        <w:lastRenderedPageBreak/>
        <w:t xml:space="preserve">Table </w:t>
      </w:r>
      <w:r w:rsidR="005E2A18">
        <w:fldChar w:fldCharType="begin"/>
      </w:r>
      <w:r w:rsidR="005E2A18">
        <w:instrText xml:space="preserve"> SEQ Table \* ARABIC </w:instrText>
      </w:r>
      <w:r w:rsidR="005E2A18">
        <w:fldChar w:fldCharType="separate"/>
      </w:r>
      <w:r w:rsidR="00896E34">
        <w:rPr>
          <w:noProof/>
        </w:rPr>
        <w:t>2</w:t>
      </w:r>
      <w:r w:rsidR="005E2A18">
        <w:rPr>
          <w:noProof/>
        </w:rPr>
        <w:fldChar w:fldCharType="end"/>
      </w:r>
      <w:bookmarkEnd w:id="19"/>
      <w:r>
        <w:t xml:space="preserve">: </w:t>
      </w:r>
      <w:r w:rsidR="008E0D3C" w:rsidRPr="00C2468A">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7"/>
        <w:gridCol w:w="2501"/>
      </w:tblGrid>
      <w:tr w:rsidR="008E0D3C" w:rsidRPr="0098262F" w14:paraId="6ACD35C4" w14:textId="77777777" w:rsidTr="0B5D70EC">
        <w:trPr>
          <w:cantSplit/>
          <w:tblHeader/>
        </w:trPr>
        <w:tc>
          <w:tcPr>
            <w:tcW w:w="795" w:type="pct"/>
            <w:vAlign w:val="center"/>
          </w:tcPr>
          <w:p w14:paraId="20DEEB23" w14:textId="77777777" w:rsidR="008E0D3C" w:rsidRPr="0098262F" w:rsidRDefault="008E0D3C" w:rsidP="00EC5836">
            <w:pPr>
              <w:pStyle w:val="In-tableHeading"/>
              <w:jc w:val="center"/>
              <w:rPr>
                <w:lang w:val="en-AU"/>
              </w:rPr>
            </w:pPr>
            <w:r w:rsidRPr="0098262F">
              <w:rPr>
                <w:lang w:val="en-AU"/>
              </w:rPr>
              <w:t>Trial ID</w:t>
            </w:r>
          </w:p>
        </w:tc>
        <w:tc>
          <w:tcPr>
            <w:tcW w:w="2803" w:type="pct"/>
            <w:vAlign w:val="center"/>
          </w:tcPr>
          <w:p w14:paraId="22EF6C51" w14:textId="128CA547" w:rsidR="008E0D3C" w:rsidRPr="0098262F" w:rsidRDefault="008E0D3C" w:rsidP="002E4F02">
            <w:pPr>
              <w:pStyle w:val="In-tableHeading"/>
              <w:rPr>
                <w:lang w:val="en-AU"/>
              </w:rPr>
            </w:pPr>
            <w:r w:rsidRPr="0098262F">
              <w:rPr>
                <w:lang w:val="en-AU"/>
              </w:rPr>
              <w:t>Protocol title/Publication title</w:t>
            </w:r>
          </w:p>
        </w:tc>
        <w:tc>
          <w:tcPr>
            <w:tcW w:w="1402" w:type="pct"/>
            <w:gridSpan w:val="2"/>
            <w:vAlign w:val="center"/>
          </w:tcPr>
          <w:p w14:paraId="561B27A8" w14:textId="77777777" w:rsidR="008E0D3C" w:rsidRPr="0098262F" w:rsidRDefault="008E0D3C" w:rsidP="002E4F02">
            <w:pPr>
              <w:pStyle w:val="In-tableHeading"/>
              <w:rPr>
                <w:lang w:val="en-AU"/>
              </w:rPr>
            </w:pPr>
            <w:r w:rsidRPr="0098262F">
              <w:rPr>
                <w:lang w:val="en-AU"/>
              </w:rPr>
              <w:t>Publication citation</w:t>
            </w:r>
          </w:p>
        </w:tc>
      </w:tr>
      <w:tr w:rsidR="00EE6EF1" w:rsidRPr="0098262F" w14:paraId="2FA89C5C" w14:textId="77777777" w:rsidTr="0B5D70EC">
        <w:trPr>
          <w:cantSplit/>
        </w:trPr>
        <w:tc>
          <w:tcPr>
            <w:tcW w:w="5000" w:type="pct"/>
            <w:gridSpan w:val="4"/>
            <w:vAlign w:val="center"/>
          </w:tcPr>
          <w:p w14:paraId="0F04366D" w14:textId="1CA94C1E" w:rsidR="00EE6EF1" w:rsidRPr="0030124D" w:rsidRDefault="00EE6EF1" w:rsidP="00EE6EF1">
            <w:pPr>
              <w:pStyle w:val="TableText0"/>
              <w:jc w:val="center"/>
              <w:rPr>
                <w:b/>
                <w:bCs w:val="0"/>
              </w:rPr>
            </w:pPr>
            <w:r>
              <w:rPr>
                <w:b/>
                <w:bCs w:val="0"/>
              </w:rPr>
              <w:t>ITC of CVR vs DMPA with COC as common comparator</w:t>
            </w:r>
          </w:p>
        </w:tc>
      </w:tr>
      <w:tr w:rsidR="0030124D" w:rsidRPr="0098262F" w14:paraId="4EEBAA26" w14:textId="77777777" w:rsidTr="0B5D70EC">
        <w:trPr>
          <w:cantSplit/>
        </w:trPr>
        <w:tc>
          <w:tcPr>
            <w:tcW w:w="5000" w:type="pct"/>
            <w:gridSpan w:val="4"/>
            <w:vAlign w:val="center"/>
          </w:tcPr>
          <w:p w14:paraId="77D203E0" w14:textId="3983E67C" w:rsidR="0030124D" w:rsidRPr="0030124D" w:rsidRDefault="0030124D" w:rsidP="00EC5836">
            <w:pPr>
              <w:pStyle w:val="TableText0"/>
              <w:rPr>
                <w:b/>
                <w:bCs w:val="0"/>
              </w:rPr>
            </w:pPr>
            <w:r w:rsidRPr="0030124D">
              <w:rPr>
                <w:b/>
                <w:bCs w:val="0"/>
              </w:rPr>
              <w:t>CVR vs EE30/Lev150</w:t>
            </w:r>
          </w:p>
        </w:tc>
      </w:tr>
      <w:tr w:rsidR="0030124D" w:rsidRPr="0098262F" w14:paraId="298351BA" w14:textId="77777777" w:rsidTr="0B5D70EC">
        <w:trPr>
          <w:cantSplit/>
        </w:trPr>
        <w:tc>
          <w:tcPr>
            <w:tcW w:w="795" w:type="pct"/>
            <w:vAlign w:val="center"/>
          </w:tcPr>
          <w:p w14:paraId="5D9482F5" w14:textId="4CC30822" w:rsidR="0030124D" w:rsidRPr="0098262F" w:rsidRDefault="0CAFF031" w:rsidP="0030124D">
            <w:pPr>
              <w:pStyle w:val="TableText0"/>
              <w:jc w:val="center"/>
            </w:pPr>
            <w:proofErr w:type="spellStart"/>
            <w:r w:rsidRPr="0B5D70EC">
              <w:t>Duijkers</w:t>
            </w:r>
            <w:proofErr w:type="spellEnd"/>
            <w:r w:rsidRPr="0B5D70EC">
              <w:t>, 2004</w:t>
            </w:r>
          </w:p>
        </w:tc>
        <w:tc>
          <w:tcPr>
            <w:tcW w:w="2803" w:type="pct"/>
            <w:tcBorders>
              <w:bottom w:val="nil"/>
            </w:tcBorders>
          </w:tcPr>
          <w:p w14:paraId="2570DA6E" w14:textId="215F16D8" w:rsidR="0030124D" w:rsidRPr="0030124D" w:rsidRDefault="0030124D" w:rsidP="0030124D">
            <w:pPr>
              <w:pStyle w:val="TableText0"/>
            </w:pPr>
            <w:r w:rsidRPr="0030124D">
              <w:t xml:space="preserve">A comparative study on the effects of a contraceptive vaginal ring NuvaRing® and an oral contraceptive on carbohydrate metabolism and adrenal and thyroid function. </w:t>
            </w:r>
          </w:p>
        </w:tc>
        <w:tc>
          <w:tcPr>
            <w:tcW w:w="1402" w:type="pct"/>
            <w:gridSpan w:val="2"/>
            <w:tcBorders>
              <w:bottom w:val="nil"/>
            </w:tcBorders>
            <w:vAlign w:val="center"/>
          </w:tcPr>
          <w:p w14:paraId="7578773D" w14:textId="019CA054" w:rsidR="0030124D" w:rsidRPr="00171A04" w:rsidRDefault="0030124D" w:rsidP="0030124D">
            <w:pPr>
              <w:pStyle w:val="Tabletext"/>
            </w:pPr>
            <w:r w:rsidRPr="00171A04">
              <w:t xml:space="preserve">European Journal of Contraception and Reproductive Health Care, 2004; 9:131-140. </w:t>
            </w:r>
          </w:p>
        </w:tc>
      </w:tr>
      <w:tr w:rsidR="002E4F02" w:rsidRPr="0098262F" w14:paraId="74132A1A" w14:textId="77777777" w:rsidTr="0B5D70EC">
        <w:trPr>
          <w:cantSplit/>
        </w:trPr>
        <w:tc>
          <w:tcPr>
            <w:tcW w:w="795" w:type="pct"/>
            <w:vAlign w:val="center"/>
          </w:tcPr>
          <w:p w14:paraId="3B69551A" w14:textId="77777777" w:rsidR="002E4F02" w:rsidRDefault="0030124D" w:rsidP="00EC5836">
            <w:pPr>
              <w:pStyle w:val="TableText0"/>
              <w:jc w:val="center"/>
            </w:pPr>
            <w:r>
              <w:t>Gill, 2020</w:t>
            </w:r>
          </w:p>
          <w:p w14:paraId="30BA87AC" w14:textId="6D9FF541" w:rsidR="003F3B72" w:rsidRPr="0098262F" w:rsidRDefault="003F3B72" w:rsidP="00EC5836">
            <w:pPr>
              <w:pStyle w:val="TableText0"/>
              <w:jc w:val="center"/>
              <w:rPr>
                <w:rFonts w:ascii="Times" w:hAnsi="Times"/>
              </w:rPr>
            </w:pPr>
            <w:r>
              <w:t>NCT</w:t>
            </w:r>
            <w:r w:rsidR="009F78EF">
              <w:t>02404038</w:t>
            </w:r>
          </w:p>
        </w:tc>
        <w:tc>
          <w:tcPr>
            <w:tcW w:w="2803" w:type="pct"/>
            <w:tcBorders>
              <w:bottom w:val="nil"/>
            </w:tcBorders>
            <w:vAlign w:val="center"/>
          </w:tcPr>
          <w:p w14:paraId="7EF3AEBB" w14:textId="7289B0EF" w:rsidR="002E4F02" w:rsidRPr="0030124D" w:rsidRDefault="0CAFF031" w:rsidP="0030124D">
            <w:pPr>
              <w:pStyle w:val="TableText0"/>
            </w:pPr>
            <w:r w:rsidRPr="0B5D70EC">
              <w:t>An open</w:t>
            </w:r>
            <w:r w:rsidRPr="0B5D70EC">
              <w:rPr>
                <w:rFonts w:ascii="Cambria Math" w:hAnsi="Cambria Math" w:cs="Cambria Math"/>
              </w:rPr>
              <w:t>‐</w:t>
            </w:r>
            <w:r w:rsidRPr="0B5D70EC">
              <w:t>label, randomized crossover study to evaluate the acceptability and preference for contraceptive options in female adolescents, 15 to 19 years of age in Cape Town, as a proxy for HIV prevention methods (</w:t>
            </w:r>
            <w:proofErr w:type="spellStart"/>
            <w:r w:rsidRPr="0B5D70EC">
              <w:t>UChoose</w:t>
            </w:r>
            <w:proofErr w:type="spellEnd"/>
            <w:r w:rsidRPr="0B5D70EC">
              <w:t>)</w:t>
            </w:r>
          </w:p>
        </w:tc>
        <w:tc>
          <w:tcPr>
            <w:tcW w:w="1402" w:type="pct"/>
            <w:gridSpan w:val="2"/>
            <w:tcBorders>
              <w:bottom w:val="nil"/>
            </w:tcBorders>
            <w:vAlign w:val="center"/>
          </w:tcPr>
          <w:p w14:paraId="65832AF0" w14:textId="275A16E8" w:rsidR="002E4F02" w:rsidRPr="00171A04" w:rsidRDefault="0CAFF031" w:rsidP="00EC5836">
            <w:pPr>
              <w:pStyle w:val="TableText0"/>
            </w:pPr>
            <w:r w:rsidRPr="00171A04">
              <w:t xml:space="preserve">Journal of the International AIDS Society, 2020; 23:e25625. </w:t>
            </w:r>
          </w:p>
        </w:tc>
      </w:tr>
      <w:tr w:rsidR="00A64F01" w:rsidRPr="0098262F" w14:paraId="400ADAF8" w14:textId="77777777" w:rsidTr="00A57C96">
        <w:trPr>
          <w:cantSplit/>
          <w:trHeight w:val="1035"/>
        </w:trPr>
        <w:tc>
          <w:tcPr>
            <w:tcW w:w="795" w:type="pct"/>
            <w:vMerge w:val="restart"/>
            <w:vAlign w:val="center"/>
          </w:tcPr>
          <w:p w14:paraId="18C64AF1" w14:textId="319C3CB9" w:rsidR="00A64F01" w:rsidRPr="0098262F" w:rsidRDefault="00A64F01" w:rsidP="00EC5836">
            <w:pPr>
              <w:pStyle w:val="TableText0"/>
              <w:jc w:val="center"/>
            </w:pPr>
            <w:r>
              <w:t>Oddsson, 2005a Oddsson, 2005b</w:t>
            </w:r>
          </w:p>
        </w:tc>
        <w:tc>
          <w:tcPr>
            <w:tcW w:w="2803" w:type="pct"/>
            <w:tcBorders>
              <w:bottom w:val="nil"/>
            </w:tcBorders>
            <w:vAlign w:val="center"/>
          </w:tcPr>
          <w:p w14:paraId="2816904C" w14:textId="77777777" w:rsidR="00A64F01" w:rsidRPr="00A964A6" w:rsidRDefault="00A64F01" w:rsidP="00A964A6">
            <w:pPr>
              <w:pStyle w:val="TableText0"/>
              <w:rPr>
                <w:lang w:val="en-GB"/>
              </w:rPr>
            </w:pPr>
            <w:r w:rsidRPr="00A964A6">
              <w:rPr>
                <w:lang w:val="en-GB"/>
              </w:rPr>
              <w:t>Superior cycle control with a contraceptive vaginal ring</w:t>
            </w:r>
          </w:p>
          <w:p w14:paraId="04AA7088" w14:textId="457BABA3" w:rsidR="00A64F01" w:rsidRPr="00A964A6" w:rsidRDefault="00A64F01" w:rsidP="00A964A6">
            <w:pPr>
              <w:pStyle w:val="TableText0"/>
              <w:rPr>
                <w:lang w:val="en-GB"/>
              </w:rPr>
            </w:pPr>
            <w:r w:rsidRPr="00A964A6">
              <w:rPr>
                <w:lang w:val="en-GB"/>
              </w:rPr>
              <w:t>compared with an oral contraceptive containing 30 m</w:t>
            </w:r>
            <w:r>
              <w:rPr>
                <w:lang w:val="en-GB"/>
              </w:rPr>
              <w:t>icro</w:t>
            </w:r>
            <w:r w:rsidRPr="00A964A6">
              <w:rPr>
                <w:lang w:val="en-GB"/>
              </w:rPr>
              <w:t>g</w:t>
            </w:r>
          </w:p>
          <w:p w14:paraId="19ABB85F" w14:textId="3CD78062" w:rsidR="00A64F01" w:rsidRPr="00A964A6" w:rsidRDefault="00A64F01" w:rsidP="00A964A6">
            <w:pPr>
              <w:pStyle w:val="TableText0"/>
              <w:rPr>
                <w:lang w:val="en-GB"/>
              </w:rPr>
            </w:pPr>
            <w:r w:rsidRPr="00A964A6">
              <w:rPr>
                <w:lang w:val="en-GB"/>
              </w:rPr>
              <w:t>ethinylestradiol and 150 m</w:t>
            </w:r>
            <w:r>
              <w:rPr>
                <w:lang w:val="en-GB"/>
              </w:rPr>
              <w:t>icro</w:t>
            </w:r>
            <w:r w:rsidRPr="00A964A6">
              <w:rPr>
                <w:lang w:val="en-GB"/>
              </w:rPr>
              <w:t>g levonorgestrel:</w:t>
            </w:r>
          </w:p>
          <w:p w14:paraId="0A35B979" w14:textId="4747972A" w:rsidR="00A64F01" w:rsidRPr="0098262F" w:rsidRDefault="00A64F01" w:rsidP="00EC5836">
            <w:pPr>
              <w:pStyle w:val="TableText0"/>
              <w:rPr>
                <w:rFonts w:ascii="Times" w:hAnsi="Times"/>
              </w:rPr>
            </w:pPr>
            <w:r w:rsidRPr="00A964A6">
              <w:rPr>
                <w:lang w:val="en-GB"/>
              </w:rPr>
              <w:t>a randomized trial</w:t>
            </w:r>
            <w:r>
              <w:rPr>
                <w:lang w:val="en-GB"/>
              </w:rPr>
              <w:t>.</w:t>
            </w:r>
          </w:p>
        </w:tc>
        <w:tc>
          <w:tcPr>
            <w:tcW w:w="1402" w:type="pct"/>
            <w:gridSpan w:val="2"/>
            <w:vAlign w:val="center"/>
          </w:tcPr>
          <w:p w14:paraId="6937B759" w14:textId="60074B57" w:rsidR="00A64F01" w:rsidRPr="00171A04" w:rsidRDefault="00A64F01" w:rsidP="0030124D">
            <w:pPr>
              <w:pStyle w:val="TableText0"/>
            </w:pPr>
            <w:r w:rsidRPr="00171A04">
              <w:t>Human Reproduction, 2005; 20:557-562.</w:t>
            </w:r>
          </w:p>
          <w:p w14:paraId="4A191A18" w14:textId="22A38414" w:rsidR="00A64F01" w:rsidRPr="00171A04" w:rsidRDefault="00A64F01" w:rsidP="0030124D">
            <w:pPr>
              <w:pStyle w:val="TableText0"/>
            </w:pPr>
          </w:p>
        </w:tc>
      </w:tr>
      <w:tr w:rsidR="00A64F01" w:rsidRPr="0098262F" w14:paraId="2FF372F0" w14:textId="77777777" w:rsidTr="00840B02">
        <w:trPr>
          <w:cantSplit/>
          <w:trHeight w:val="696"/>
        </w:trPr>
        <w:tc>
          <w:tcPr>
            <w:tcW w:w="795" w:type="pct"/>
            <w:vMerge/>
            <w:vAlign w:val="center"/>
          </w:tcPr>
          <w:p w14:paraId="4E429CEF" w14:textId="77777777" w:rsidR="00A64F01" w:rsidRDefault="00A64F01" w:rsidP="00EC5836">
            <w:pPr>
              <w:pStyle w:val="TableText0"/>
              <w:jc w:val="center"/>
            </w:pPr>
          </w:p>
        </w:tc>
        <w:tc>
          <w:tcPr>
            <w:tcW w:w="2803" w:type="pct"/>
            <w:tcBorders>
              <w:bottom w:val="nil"/>
            </w:tcBorders>
            <w:vAlign w:val="center"/>
          </w:tcPr>
          <w:p w14:paraId="6C8B565C" w14:textId="2FFDCE5B" w:rsidR="00A64F01" w:rsidDel="00AC30A5" w:rsidRDefault="00A64F01" w:rsidP="00EC5836">
            <w:pPr>
              <w:pStyle w:val="TableText0"/>
            </w:pPr>
            <w:r w:rsidRPr="00BD4A2A">
              <w:t>Efficacy and safety of a contraceptive vaginal ring (NuvaRing) compared with a combined oral contraceptive: a 1-year randomized trial</w:t>
            </w:r>
            <w:r>
              <w:t>.</w:t>
            </w:r>
          </w:p>
        </w:tc>
        <w:tc>
          <w:tcPr>
            <w:tcW w:w="1402" w:type="pct"/>
            <w:gridSpan w:val="2"/>
            <w:tcBorders>
              <w:bottom w:val="nil"/>
            </w:tcBorders>
            <w:vAlign w:val="center"/>
          </w:tcPr>
          <w:p w14:paraId="387D09F3" w14:textId="5551E738" w:rsidR="00A64F01" w:rsidRPr="00171A04" w:rsidRDefault="00A64F01" w:rsidP="0030124D">
            <w:pPr>
              <w:pStyle w:val="TableText0"/>
            </w:pPr>
            <w:r w:rsidRPr="00171A04">
              <w:t>Contraception, 2005; 71:176-182.</w:t>
            </w:r>
          </w:p>
        </w:tc>
      </w:tr>
      <w:tr w:rsidR="003F3B72" w:rsidRPr="0098262F" w14:paraId="474592AC" w14:textId="77777777" w:rsidTr="0B5D70EC">
        <w:trPr>
          <w:cantSplit/>
        </w:trPr>
        <w:tc>
          <w:tcPr>
            <w:tcW w:w="5000" w:type="pct"/>
            <w:gridSpan w:val="4"/>
            <w:vAlign w:val="center"/>
          </w:tcPr>
          <w:p w14:paraId="4D3A0E5B" w14:textId="406EA66B" w:rsidR="003F3B72" w:rsidRPr="00171A04" w:rsidRDefault="003F3B72" w:rsidP="0030124D">
            <w:pPr>
              <w:pStyle w:val="TableText0"/>
              <w:rPr>
                <w:b/>
                <w:bCs w:val="0"/>
              </w:rPr>
            </w:pPr>
            <w:r w:rsidRPr="00171A04">
              <w:rPr>
                <w:b/>
                <w:bCs w:val="0"/>
              </w:rPr>
              <w:t>DMPA vs EE30/Lev150</w:t>
            </w:r>
          </w:p>
        </w:tc>
      </w:tr>
      <w:tr w:rsidR="00634D76" w:rsidRPr="0098262F" w14:paraId="5BC36323" w14:textId="77777777" w:rsidTr="00A57C96">
        <w:trPr>
          <w:cantSplit/>
          <w:trHeight w:val="690"/>
        </w:trPr>
        <w:tc>
          <w:tcPr>
            <w:tcW w:w="795" w:type="pct"/>
            <w:vMerge w:val="restart"/>
            <w:vAlign w:val="center"/>
          </w:tcPr>
          <w:p w14:paraId="7C86436E" w14:textId="63E5C66E" w:rsidR="00634D76" w:rsidRDefault="00634D76" w:rsidP="00EC5836">
            <w:pPr>
              <w:pStyle w:val="TableText0"/>
              <w:jc w:val="center"/>
            </w:pPr>
            <w:r>
              <w:t>Hubacher, 2017</w:t>
            </w:r>
            <w:r w:rsidRPr="007A2276">
              <w:rPr>
                <w:vertAlign w:val="superscript"/>
              </w:rPr>
              <w:t>1</w:t>
            </w:r>
          </w:p>
          <w:p w14:paraId="0BB7F091" w14:textId="00FA4DC5" w:rsidR="00634D76" w:rsidRDefault="00634D76" w:rsidP="00EC5836">
            <w:pPr>
              <w:pStyle w:val="TableText0"/>
              <w:jc w:val="center"/>
            </w:pPr>
            <w:r>
              <w:t>Hubacher, 2018</w:t>
            </w:r>
            <w:r w:rsidRPr="007A2276">
              <w:rPr>
                <w:vertAlign w:val="superscript"/>
              </w:rPr>
              <w:t>1</w:t>
            </w:r>
          </w:p>
          <w:p w14:paraId="72384C49" w14:textId="31D61F43" w:rsidR="00634D76" w:rsidRDefault="00634D76" w:rsidP="00EC5836">
            <w:pPr>
              <w:pStyle w:val="TableText0"/>
              <w:jc w:val="center"/>
            </w:pPr>
          </w:p>
        </w:tc>
        <w:tc>
          <w:tcPr>
            <w:tcW w:w="2803" w:type="pct"/>
            <w:tcBorders>
              <w:bottom w:val="nil"/>
            </w:tcBorders>
            <w:vAlign w:val="center"/>
          </w:tcPr>
          <w:p w14:paraId="74D38F6B" w14:textId="2F838AED" w:rsidR="00634D76" w:rsidRPr="00BD4A2A" w:rsidRDefault="00634D76" w:rsidP="00EC5836">
            <w:pPr>
              <w:pStyle w:val="TableText0"/>
            </w:pPr>
            <w:r>
              <w:t>Long-acting reversible contraceptive acceptability and unintended pregnancy among women presenting for short-acting methods: a randomized patient preference trial.</w:t>
            </w:r>
          </w:p>
        </w:tc>
        <w:tc>
          <w:tcPr>
            <w:tcW w:w="1402" w:type="pct"/>
            <w:gridSpan w:val="2"/>
            <w:vAlign w:val="center"/>
          </w:tcPr>
          <w:p w14:paraId="7331E24C" w14:textId="58573AEE" w:rsidR="00634D76" w:rsidRPr="00171A04" w:rsidRDefault="00634D76" w:rsidP="0030124D">
            <w:pPr>
              <w:pStyle w:val="TableText0"/>
            </w:pPr>
            <w:r w:rsidRPr="00171A04">
              <w:t xml:space="preserve">Am J </w:t>
            </w:r>
            <w:proofErr w:type="spellStart"/>
            <w:r w:rsidRPr="00171A04">
              <w:t>Obstet</w:t>
            </w:r>
            <w:proofErr w:type="spellEnd"/>
            <w:r w:rsidRPr="00171A04">
              <w:t xml:space="preserve"> </w:t>
            </w:r>
            <w:proofErr w:type="spellStart"/>
            <w:r w:rsidRPr="00171A04">
              <w:t>Gynecol</w:t>
            </w:r>
            <w:proofErr w:type="spellEnd"/>
            <w:r w:rsidRPr="00171A04">
              <w:t xml:space="preserve"> 2017; 216:101-109.</w:t>
            </w:r>
          </w:p>
        </w:tc>
      </w:tr>
      <w:tr w:rsidR="00634D76" w:rsidRPr="0098262F" w14:paraId="3A29EAB1" w14:textId="77777777" w:rsidTr="0B5D70EC">
        <w:trPr>
          <w:cantSplit/>
          <w:trHeight w:val="690"/>
        </w:trPr>
        <w:tc>
          <w:tcPr>
            <w:tcW w:w="795" w:type="pct"/>
            <w:vMerge/>
            <w:vAlign w:val="center"/>
          </w:tcPr>
          <w:p w14:paraId="3EECACBE" w14:textId="77777777" w:rsidR="00634D76" w:rsidRDefault="00634D76" w:rsidP="00EC5836">
            <w:pPr>
              <w:pStyle w:val="TableText0"/>
              <w:jc w:val="center"/>
            </w:pPr>
          </w:p>
        </w:tc>
        <w:tc>
          <w:tcPr>
            <w:tcW w:w="2803" w:type="pct"/>
            <w:tcBorders>
              <w:bottom w:val="nil"/>
            </w:tcBorders>
            <w:vAlign w:val="center"/>
          </w:tcPr>
          <w:p w14:paraId="18ABD216" w14:textId="3A213047" w:rsidR="00634D76" w:rsidRDefault="00634D76" w:rsidP="00EC5836">
            <w:pPr>
              <w:pStyle w:val="TableText0"/>
            </w:pPr>
            <w:r w:rsidRPr="0B5D70EC">
              <w:t>Not seeking yet trying long-acting reversible contraception: A 24-month randomized trial on continuation, unintended pregnancy and satisfaction.</w:t>
            </w:r>
          </w:p>
        </w:tc>
        <w:tc>
          <w:tcPr>
            <w:tcW w:w="1402" w:type="pct"/>
            <w:gridSpan w:val="2"/>
            <w:tcBorders>
              <w:bottom w:val="nil"/>
            </w:tcBorders>
            <w:vAlign w:val="center"/>
          </w:tcPr>
          <w:p w14:paraId="12A76066" w14:textId="4A42EAE1" w:rsidR="00634D76" w:rsidRPr="00171A04" w:rsidRDefault="00634D76" w:rsidP="0030124D">
            <w:pPr>
              <w:pStyle w:val="TableText0"/>
            </w:pPr>
            <w:r w:rsidRPr="00171A04">
              <w:t>Contraception, 2018; 97:524-532.</w:t>
            </w:r>
          </w:p>
        </w:tc>
      </w:tr>
      <w:tr w:rsidR="00EE6EF1" w:rsidRPr="0098262F" w14:paraId="15308DAD" w14:textId="77777777" w:rsidTr="0B5D70EC">
        <w:trPr>
          <w:cantSplit/>
        </w:trPr>
        <w:tc>
          <w:tcPr>
            <w:tcW w:w="5000" w:type="pct"/>
            <w:gridSpan w:val="4"/>
            <w:vAlign w:val="center"/>
          </w:tcPr>
          <w:p w14:paraId="5358EAB2" w14:textId="3FAB0DB3" w:rsidR="00EE6EF1" w:rsidRPr="00171A04" w:rsidRDefault="00EE6EF1" w:rsidP="00EE6EF1">
            <w:pPr>
              <w:pStyle w:val="TableText0"/>
              <w:jc w:val="center"/>
              <w:rPr>
                <w:b/>
                <w:bCs w:val="0"/>
              </w:rPr>
            </w:pPr>
            <w:r w:rsidRPr="00171A04">
              <w:rPr>
                <w:b/>
                <w:bCs w:val="0"/>
              </w:rPr>
              <w:t>ITC of CVR vs DMPA with NET-EN as common comparator</w:t>
            </w:r>
          </w:p>
        </w:tc>
      </w:tr>
      <w:tr w:rsidR="009F78EF" w:rsidRPr="0098262F" w14:paraId="45338C86" w14:textId="77777777" w:rsidTr="0B5D70EC">
        <w:trPr>
          <w:cantSplit/>
        </w:trPr>
        <w:tc>
          <w:tcPr>
            <w:tcW w:w="5000" w:type="pct"/>
            <w:gridSpan w:val="4"/>
            <w:vAlign w:val="center"/>
          </w:tcPr>
          <w:p w14:paraId="17A58D89" w14:textId="4354361E" w:rsidR="009F78EF" w:rsidRPr="00171A04" w:rsidRDefault="009F78EF" w:rsidP="0030124D">
            <w:pPr>
              <w:pStyle w:val="TableText0"/>
              <w:rPr>
                <w:b/>
                <w:bCs w:val="0"/>
              </w:rPr>
            </w:pPr>
            <w:r w:rsidRPr="00171A04">
              <w:rPr>
                <w:b/>
                <w:bCs w:val="0"/>
              </w:rPr>
              <w:t>CVR vs NET-EN</w:t>
            </w:r>
          </w:p>
        </w:tc>
      </w:tr>
      <w:tr w:rsidR="009F78EF" w:rsidRPr="0098262F" w14:paraId="40BD2465" w14:textId="77777777" w:rsidTr="0B5D70EC">
        <w:trPr>
          <w:cantSplit/>
        </w:trPr>
        <w:tc>
          <w:tcPr>
            <w:tcW w:w="795" w:type="pct"/>
            <w:vAlign w:val="center"/>
          </w:tcPr>
          <w:p w14:paraId="650B5D37" w14:textId="77777777" w:rsidR="009F78EF" w:rsidRDefault="009F78EF" w:rsidP="009F78EF">
            <w:pPr>
              <w:pStyle w:val="TableText0"/>
              <w:jc w:val="center"/>
            </w:pPr>
            <w:r>
              <w:t>Gill, 2020</w:t>
            </w:r>
          </w:p>
          <w:p w14:paraId="56FD9034" w14:textId="0003F667" w:rsidR="009F78EF" w:rsidRDefault="009F78EF" w:rsidP="009F78EF">
            <w:pPr>
              <w:pStyle w:val="TableText0"/>
              <w:jc w:val="center"/>
            </w:pPr>
            <w:r>
              <w:t>NCT02404038</w:t>
            </w:r>
          </w:p>
        </w:tc>
        <w:tc>
          <w:tcPr>
            <w:tcW w:w="2818" w:type="pct"/>
            <w:gridSpan w:val="2"/>
            <w:vAlign w:val="center"/>
          </w:tcPr>
          <w:p w14:paraId="7BDC7681" w14:textId="3497583B" w:rsidR="009F78EF" w:rsidRPr="003F3B72" w:rsidRDefault="76C524AB" w:rsidP="0B5D70EC">
            <w:pPr>
              <w:pStyle w:val="TableText0"/>
              <w:rPr>
                <w:i/>
                <w:iCs/>
              </w:rPr>
            </w:pPr>
            <w:r w:rsidRPr="0B5D70EC">
              <w:t>An open</w:t>
            </w:r>
            <w:r w:rsidRPr="0B5D70EC">
              <w:rPr>
                <w:rFonts w:ascii="Cambria Math" w:hAnsi="Cambria Math" w:cs="Cambria Math"/>
              </w:rPr>
              <w:t>‐</w:t>
            </w:r>
            <w:r w:rsidRPr="0B5D70EC">
              <w:t>label, randomized crossover study to evaluate the acceptability and preference for contraceptive options in female adolescents, 15 to 19 years of age in Cape Town, as a proxy for HIV prevention methods (</w:t>
            </w:r>
            <w:proofErr w:type="spellStart"/>
            <w:r w:rsidRPr="0B5D70EC">
              <w:t>UChoose</w:t>
            </w:r>
            <w:proofErr w:type="spellEnd"/>
            <w:r w:rsidRPr="0B5D70EC">
              <w:t>)</w:t>
            </w:r>
            <w:r w:rsidR="00484924">
              <w:t>.</w:t>
            </w:r>
          </w:p>
        </w:tc>
        <w:tc>
          <w:tcPr>
            <w:tcW w:w="1387" w:type="pct"/>
            <w:vAlign w:val="center"/>
          </w:tcPr>
          <w:p w14:paraId="74B0E138" w14:textId="1BC03C46" w:rsidR="009F78EF" w:rsidRPr="00171A04" w:rsidRDefault="76C524AB" w:rsidP="0B5D70EC">
            <w:pPr>
              <w:pStyle w:val="TableText0"/>
            </w:pPr>
            <w:r w:rsidRPr="00171A04">
              <w:t xml:space="preserve">Journal of the International AIDS Society, 2020; 23:e25625. </w:t>
            </w:r>
          </w:p>
        </w:tc>
      </w:tr>
      <w:tr w:rsidR="009F78EF" w:rsidRPr="0098262F" w14:paraId="3C25A115" w14:textId="77777777" w:rsidTr="0B5D70EC">
        <w:trPr>
          <w:cantSplit/>
        </w:trPr>
        <w:tc>
          <w:tcPr>
            <w:tcW w:w="5000" w:type="pct"/>
            <w:gridSpan w:val="4"/>
            <w:vAlign w:val="center"/>
          </w:tcPr>
          <w:p w14:paraId="08A85085" w14:textId="0741A9F9" w:rsidR="009F78EF" w:rsidRPr="00171A04" w:rsidRDefault="009F78EF" w:rsidP="009F78EF">
            <w:pPr>
              <w:pStyle w:val="TableText0"/>
              <w:rPr>
                <w:b/>
                <w:bCs w:val="0"/>
              </w:rPr>
            </w:pPr>
            <w:r w:rsidRPr="00171A04">
              <w:rPr>
                <w:b/>
                <w:bCs w:val="0"/>
              </w:rPr>
              <w:t>DMPA vs NET-EN</w:t>
            </w:r>
          </w:p>
        </w:tc>
      </w:tr>
      <w:tr w:rsidR="001A6686" w:rsidRPr="0098262F" w14:paraId="0298EF11" w14:textId="77777777" w:rsidTr="001A6686">
        <w:trPr>
          <w:cantSplit/>
          <w:trHeight w:val="690"/>
        </w:trPr>
        <w:tc>
          <w:tcPr>
            <w:tcW w:w="795" w:type="pct"/>
            <w:vMerge w:val="restart"/>
            <w:vAlign w:val="center"/>
          </w:tcPr>
          <w:p w14:paraId="281D0B3C" w14:textId="77777777" w:rsidR="001A6686" w:rsidRDefault="001A6686" w:rsidP="009F78EF">
            <w:pPr>
              <w:pStyle w:val="Tabletext"/>
              <w:keepNext/>
              <w:keepLines/>
            </w:pPr>
            <w:proofErr w:type="spellStart"/>
            <w:r w:rsidRPr="0B5D70EC">
              <w:t>Benagiano</w:t>
            </w:r>
            <w:proofErr w:type="spellEnd"/>
            <w:r w:rsidRPr="0B5D70EC">
              <w:t>, 1977</w:t>
            </w:r>
          </w:p>
          <w:p w14:paraId="5B595D69" w14:textId="55665FDE" w:rsidR="001A6686" w:rsidRPr="0098262F" w:rsidRDefault="001A6686" w:rsidP="009F78EF">
            <w:pPr>
              <w:pStyle w:val="Tabletext"/>
              <w:keepNext/>
              <w:keepLines/>
            </w:pPr>
            <w:proofErr w:type="spellStart"/>
            <w:r w:rsidRPr="0B5D70EC">
              <w:t>Benagiano</w:t>
            </w:r>
            <w:proofErr w:type="spellEnd"/>
            <w:r w:rsidRPr="0B5D70EC">
              <w:t>, 1978</w:t>
            </w:r>
          </w:p>
        </w:tc>
        <w:tc>
          <w:tcPr>
            <w:tcW w:w="2818" w:type="pct"/>
            <w:gridSpan w:val="2"/>
            <w:vAlign w:val="center"/>
          </w:tcPr>
          <w:p w14:paraId="0E615EC3" w14:textId="09696EDC" w:rsidR="001A6686" w:rsidRPr="0098262F" w:rsidRDefault="001A6686" w:rsidP="009F78EF">
            <w:pPr>
              <w:pStyle w:val="TableText0"/>
            </w:pPr>
            <w:r w:rsidRPr="00BD4A2A">
              <w:t>Multinational comparative clinical evaluation of two long-acting injectable contraceptive steroids: norethisterone oenanthate and medroxyprogesterone acetate. 1. Use-effectiveness</w:t>
            </w:r>
            <w:r>
              <w:t>.</w:t>
            </w:r>
          </w:p>
        </w:tc>
        <w:tc>
          <w:tcPr>
            <w:tcW w:w="1387" w:type="pct"/>
            <w:vAlign w:val="center"/>
          </w:tcPr>
          <w:p w14:paraId="487D1B9B" w14:textId="3988742A" w:rsidR="001A6686" w:rsidRPr="00171A04" w:rsidRDefault="001A6686" w:rsidP="009F78EF">
            <w:pPr>
              <w:pStyle w:val="TableText0"/>
            </w:pPr>
            <w:r w:rsidRPr="00171A04">
              <w:t>Contraception, 1977; 15:513–533</w:t>
            </w:r>
            <w:r w:rsidR="00925635" w:rsidRPr="00171A04">
              <w:t>.</w:t>
            </w:r>
          </w:p>
        </w:tc>
      </w:tr>
      <w:tr w:rsidR="001A6686" w:rsidRPr="0098262F" w14:paraId="6170B1BD" w14:textId="77777777" w:rsidTr="0B5D70EC">
        <w:trPr>
          <w:cantSplit/>
          <w:trHeight w:val="690"/>
        </w:trPr>
        <w:tc>
          <w:tcPr>
            <w:tcW w:w="795" w:type="pct"/>
            <w:vMerge/>
            <w:vAlign w:val="center"/>
          </w:tcPr>
          <w:p w14:paraId="5C30FC30" w14:textId="77777777" w:rsidR="001A6686" w:rsidRPr="0B5D70EC" w:rsidRDefault="001A6686" w:rsidP="009F78EF">
            <w:pPr>
              <w:pStyle w:val="Tabletext"/>
              <w:keepNext/>
              <w:keepLines/>
            </w:pPr>
          </w:p>
        </w:tc>
        <w:tc>
          <w:tcPr>
            <w:tcW w:w="2818" w:type="pct"/>
            <w:gridSpan w:val="2"/>
            <w:vAlign w:val="center"/>
          </w:tcPr>
          <w:p w14:paraId="5E47AF2D" w14:textId="3235472A" w:rsidR="001A6686" w:rsidRPr="00BD4A2A" w:rsidRDefault="006725E6" w:rsidP="009F78EF">
            <w:pPr>
              <w:pStyle w:val="TableText0"/>
            </w:pPr>
            <w:r w:rsidRPr="00BD4A2A">
              <w:t>Multinational comparative clinical evaluation of two long-acting injectable contraceptive steroids: Norethisterone oenanthate and medroxyprogesterone acetate: 2. Bleeding patterns and side effects’</w:t>
            </w:r>
          </w:p>
        </w:tc>
        <w:tc>
          <w:tcPr>
            <w:tcW w:w="1387" w:type="pct"/>
            <w:vAlign w:val="center"/>
          </w:tcPr>
          <w:p w14:paraId="7F184735" w14:textId="20BD6F8A" w:rsidR="001A6686" w:rsidRPr="00171A04" w:rsidRDefault="006725E6" w:rsidP="009F78EF">
            <w:pPr>
              <w:pStyle w:val="TableText0"/>
            </w:pPr>
            <w:r w:rsidRPr="00171A04">
              <w:t>Contraception, 1978; 17:395–406</w:t>
            </w:r>
            <w:r w:rsidR="00925635" w:rsidRPr="00171A04">
              <w:t>.</w:t>
            </w:r>
          </w:p>
        </w:tc>
      </w:tr>
      <w:tr w:rsidR="009F78EF" w:rsidRPr="0098262F" w14:paraId="3FB224B7" w14:textId="77777777" w:rsidTr="0B5D70EC">
        <w:trPr>
          <w:cantSplit/>
        </w:trPr>
        <w:tc>
          <w:tcPr>
            <w:tcW w:w="795" w:type="pct"/>
            <w:vAlign w:val="center"/>
          </w:tcPr>
          <w:p w14:paraId="06AF3308" w14:textId="15267555" w:rsidR="009F78EF" w:rsidRPr="0098262F" w:rsidRDefault="00C2468A" w:rsidP="009F78EF">
            <w:pPr>
              <w:pStyle w:val="Tabletext"/>
              <w:keepNext/>
              <w:keepLines/>
            </w:pPr>
            <w:r>
              <w:t>Salem, 1988</w:t>
            </w:r>
          </w:p>
        </w:tc>
        <w:tc>
          <w:tcPr>
            <w:tcW w:w="2818" w:type="pct"/>
            <w:gridSpan w:val="2"/>
            <w:vAlign w:val="center"/>
          </w:tcPr>
          <w:p w14:paraId="0A45770D" w14:textId="00DCC9FE" w:rsidR="009F78EF" w:rsidRPr="0098262F" w:rsidRDefault="00C2468A" w:rsidP="009F78EF">
            <w:pPr>
              <w:pStyle w:val="TableText0"/>
            </w:pPr>
            <w:r w:rsidRPr="00BD4A2A">
              <w:t>Acceptability of injectable contraceptives in Assiut, Egypt</w:t>
            </w:r>
            <w:r>
              <w:t>.</w:t>
            </w:r>
          </w:p>
        </w:tc>
        <w:tc>
          <w:tcPr>
            <w:tcW w:w="1387" w:type="pct"/>
            <w:vAlign w:val="center"/>
          </w:tcPr>
          <w:p w14:paraId="25F4E998" w14:textId="67A0E579" w:rsidR="009F78EF" w:rsidRPr="00171A04" w:rsidRDefault="00C2468A" w:rsidP="009F78EF">
            <w:pPr>
              <w:pStyle w:val="TableText0"/>
            </w:pPr>
            <w:r w:rsidRPr="00171A04">
              <w:t>Contraception, 1988; 38:697–710</w:t>
            </w:r>
            <w:r w:rsidR="00925635" w:rsidRPr="00171A04">
              <w:t>.</w:t>
            </w:r>
          </w:p>
        </w:tc>
      </w:tr>
      <w:tr w:rsidR="009F78EF" w:rsidRPr="0098262F" w14:paraId="0B6EF6DC" w14:textId="77777777" w:rsidTr="0B5D70EC">
        <w:trPr>
          <w:cantSplit/>
        </w:trPr>
        <w:tc>
          <w:tcPr>
            <w:tcW w:w="795" w:type="pct"/>
            <w:vAlign w:val="center"/>
          </w:tcPr>
          <w:p w14:paraId="06D92ABF" w14:textId="18E2ADBC" w:rsidR="009F78EF" w:rsidRPr="0098262F" w:rsidRDefault="7DA3967B" w:rsidP="009F78EF">
            <w:pPr>
              <w:pStyle w:val="Tabletext"/>
              <w:keepNext/>
              <w:keepLines/>
            </w:pPr>
            <w:proofErr w:type="spellStart"/>
            <w:r w:rsidRPr="0B5D70EC">
              <w:t>Singata-Madliki</w:t>
            </w:r>
            <w:proofErr w:type="spellEnd"/>
            <w:r w:rsidRPr="0B5D70EC">
              <w:t>, 2024</w:t>
            </w:r>
          </w:p>
        </w:tc>
        <w:tc>
          <w:tcPr>
            <w:tcW w:w="2818" w:type="pct"/>
            <w:gridSpan w:val="2"/>
            <w:vAlign w:val="center"/>
          </w:tcPr>
          <w:p w14:paraId="54498786" w14:textId="5C32B517" w:rsidR="009F78EF" w:rsidRPr="0098262F" w:rsidRDefault="7DA3967B" w:rsidP="009F78EF">
            <w:pPr>
              <w:pStyle w:val="TableText0"/>
            </w:pPr>
            <w:r w:rsidRPr="0B5D70EC">
              <w:t xml:space="preserve">Effects of injectable contraception with depot medroxyprogesterone acetate or norethisterone enanthate on estradiol levels and menstrual, psychological and </w:t>
            </w:r>
            <w:r w:rsidR="00B9591E" w:rsidRPr="0B5D70EC">
              <w:t>behavioural</w:t>
            </w:r>
            <w:r w:rsidRPr="0B5D70EC">
              <w:t xml:space="preserve"> measures relevant to HIV risk: The WHICH randomized trial. </w:t>
            </w:r>
          </w:p>
        </w:tc>
        <w:tc>
          <w:tcPr>
            <w:tcW w:w="1387" w:type="pct"/>
            <w:vAlign w:val="center"/>
          </w:tcPr>
          <w:p w14:paraId="23E10AFB" w14:textId="6F1AF3A8" w:rsidR="009F78EF" w:rsidRPr="00171A04" w:rsidRDefault="7DA3967B" w:rsidP="009F78EF">
            <w:pPr>
              <w:pStyle w:val="TableText0"/>
            </w:pPr>
            <w:proofErr w:type="spellStart"/>
            <w:r w:rsidRPr="00171A04">
              <w:t>PloS</w:t>
            </w:r>
            <w:proofErr w:type="spellEnd"/>
            <w:r w:rsidRPr="00171A04">
              <w:t xml:space="preserve"> One, 2024; 19:e0295764.</w:t>
            </w:r>
          </w:p>
        </w:tc>
      </w:tr>
      <w:tr w:rsidR="009F78EF" w:rsidRPr="0098262F" w14:paraId="57DA0FF6" w14:textId="77777777" w:rsidTr="00171A04">
        <w:trPr>
          <w:cantSplit/>
          <w:trHeight w:val="173"/>
        </w:trPr>
        <w:tc>
          <w:tcPr>
            <w:tcW w:w="795" w:type="pct"/>
            <w:tcBorders>
              <w:bottom w:val="single" w:sz="4" w:space="0" w:color="auto"/>
            </w:tcBorders>
            <w:vAlign w:val="center"/>
          </w:tcPr>
          <w:p w14:paraId="0E598656" w14:textId="4B2FC25D" w:rsidR="009F78EF" w:rsidRPr="0098262F" w:rsidRDefault="00C2468A" w:rsidP="009F78EF">
            <w:pPr>
              <w:pStyle w:val="Tabletext"/>
              <w:keepNext/>
              <w:keepLines/>
            </w:pPr>
            <w:r>
              <w:t>Swenson, 1980</w:t>
            </w:r>
          </w:p>
        </w:tc>
        <w:tc>
          <w:tcPr>
            <w:tcW w:w="2818" w:type="pct"/>
            <w:gridSpan w:val="2"/>
            <w:tcBorders>
              <w:bottom w:val="single" w:sz="4" w:space="0" w:color="auto"/>
            </w:tcBorders>
            <w:vAlign w:val="center"/>
          </w:tcPr>
          <w:p w14:paraId="1B835A3A" w14:textId="4646A43F" w:rsidR="009F78EF" w:rsidRPr="0098262F" w:rsidRDefault="00C2468A" w:rsidP="009F78EF">
            <w:pPr>
              <w:pStyle w:val="TableText0"/>
            </w:pPr>
            <w:r w:rsidRPr="00BD4A2A">
              <w:t>A randomized, single blind comparative trial of norethindrone enanthate and depo-medroxyprogesterone acetate in Bangladesh</w:t>
            </w:r>
            <w:r>
              <w:t>.</w:t>
            </w:r>
          </w:p>
        </w:tc>
        <w:tc>
          <w:tcPr>
            <w:tcW w:w="1387" w:type="pct"/>
            <w:tcBorders>
              <w:bottom w:val="single" w:sz="4" w:space="0" w:color="auto"/>
            </w:tcBorders>
            <w:vAlign w:val="center"/>
          </w:tcPr>
          <w:p w14:paraId="19291367" w14:textId="0559B08F" w:rsidR="009F78EF" w:rsidRPr="00171A04" w:rsidRDefault="00C2468A" w:rsidP="009F78EF">
            <w:pPr>
              <w:pStyle w:val="TableText0"/>
            </w:pPr>
            <w:r w:rsidRPr="00171A04">
              <w:t>Contraception, 1980; 21:207–215.</w:t>
            </w:r>
          </w:p>
        </w:tc>
      </w:tr>
    </w:tbl>
    <w:p w14:paraId="10D48A0B" w14:textId="38E5D47C" w:rsidR="003F3B72" w:rsidRDefault="008E0D3C" w:rsidP="00EC5836">
      <w:pPr>
        <w:pStyle w:val="FooterTableFigure"/>
      </w:pPr>
      <w:r w:rsidRPr="0098262F">
        <w:t>Source: Table</w:t>
      </w:r>
      <w:r w:rsidR="003F3B72">
        <w:t xml:space="preserve"> 2.2.2, pp55-56 </w:t>
      </w:r>
      <w:r w:rsidRPr="0098262F">
        <w:t>of the submissi</w:t>
      </w:r>
      <w:r w:rsidR="003F3B72">
        <w:t>on</w:t>
      </w:r>
      <w:r w:rsidR="00E8087F">
        <w:t xml:space="preserve"> main body</w:t>
      </w:r>
      <w:r w:rsidR="003F3B72">
        <w:t xml:space="preserve">. </w:t>
      </w:r>
    </w:p>
    <w:p w14:paraId="3FEA254A" w14:textId="1AC5C688" w:rsidR="007A2276" w:rsidRPr="007A2276" w:rsidRDefault="472AE4B6" w:rsidP="00EC5836">
      <w:pPr>
        <w:pStyle w:val="FooterTableFigure"/>
      </w:pPr>
      <w:r w:rsidRPr="0B5D70EC">
        <w:rPr>
          <w:vertAlign w:val="superscript"/>
        </w:rPr>
        <w:t xml:space="preserve">1 </w:t>
      </w:r>
      <w:r w:rsidRPr="0B5D70EC">
        <w:t>Hubacher, 2018</w:t>
      </w:r>
      <w:r w:rsidR="004D54E3">
        <w:t>,</w:t>
      </w:r>
      <w:r w:rsidRPr="0B5D70EC">
        <w:t xml:space="preserve"> presents data from 24 months of follow-up and Hubacher, 2017</w:t>
      </w:r>
      <w:r w:rsidR="004D54E3">
        <w:t>,</w:t>
      </w:r>
      <w:r w:rsidRPr="0B5D70EC">
        <w:t xml:space="preserve"> data for the first 12 months</w:t>
      </w:r>
      <w:r w:rsidR="3EAEA6CA" w:rsidRPr="0B5D70EC">
        <w:t xml:space="preserve"> with some additional information</w:t>
      </w:r>
      <w:r w:rsidRPr="0B5D70EC">
        <w:t xml:space="preserve">. </w:t>
      </w:r>
      <w:r w:rsidR="13CBAE35" w:rsidRPr="0B5D70EC">
        <w:t xml:space="preserve">The trial did not use </w:t>
      </w:r>
      <w:r w:rsidR="13CBAE35" w:rsidRPr="00A2072D">
        <w:t xml:space="preserve">only </w:t>
      </w:r>
      <w:r w:rsidR="13CBAE35" w:rsidRPr="0B5D70EC">
        <w:t xml:space="preserve">COC with EE30+Lev150 and may not have used any. </w:t>
      </w:r>
    </w:p>
    <w:p w14:paraId="51D8173A" w14:textId="175214CB" w:rsidR="008E0D3C" w:rsidRPr="0098262F" w:rsidRDefault="002C1F2B" w:rsidP="00EC5836">
      <w:pPr>
        <w:pStyle w:val="FooterTableFigure"/>
        <w:rPr>
          <w:sz w:val="20"/>
          <w:szCs w:val="20"/>
        </w:rPr>
      </w:pPr>
      <w:r>
        <w:t xml:space="preserve">COC = combined oral contraceptive; </w:t>
      </w:r>
      <w:r w:rsidR="003F3B72">
        <w:t xml:space="preserve">CVR = </w:t>
      </w:r>
      <w:r w:rsidR="008028CD">
        <w:t>contraceptive</w:t>
      </w:r>
      <w:r w:rsidR="003F3B72">
        <w:t xml:space="preserve"> vaginal ring; DMPA = depot medroxyprogesterone acetate; EE</w:t>
      </w:r>
      <w:r w:rsidR="009248C5">
        <w:t>30</w:t>
      </w:r>
      <w:r w:rsidR="003F3B72">
        <w:t xml:space="preserve"> = ethinylestradiol</w:t>
      </w:r>
      <w:r w:rsidR="009248C5">
        <w:t xml:space="preserve"> 30 micrograms</w:t>
      </w:r>
      <w:r w:rsidR="003F3B72">
        <w:t xml:space="preserve">; </w:t>
      </w:r>
      <w:r w:rsidR="00A8025C">
        <w:t xml:space="preserve">ITC = indirect treatment comparison; </w:t>
      </w:r>
      <w:r w:rsidR="003F3B72">
        <w:t>Lev</w:t>
      </w:r>
      <w:r w:rsidR="009248C5">
        <w:t>150</w:t>
      </w:r>
      <w:r w:rsidR="003F3B72">
        <w:t xml:space="preserve"> = levonorgestrel</w:t>
      </w:r>
      <w:r w:rsidR="009248C5">
        <w:t xml:space="preserve"> 150 micrograms</w:t>
      </w:r>
      <w:r w:rsidR="003F3B72">
        <w:t>; NET</w:t>
      </w:r>
      <w:r w:rsidR="009F78EF">
        <w:t>-EN</w:t>
      </w:r>
      <w:r w:rsidR="003F3B72">
        <w:t xml:space="preserve"> = norethisterone enanthate. </w:t>
      </w:r>
      <w:r w:rsidR="00987973">
        <w:t xml:space="preserve">Norethisterone is known as norethindrone in the USA. </w:t>
      </w:r>
    </w:p>
    <w:p w14:paraId="2D75AC7C" w14:textId="77777777" w:rsidR="00896E34" w:rsidRPr="00896E34" w:rsidRDefault="008F120A">
      <w:pPr>
        <w:pStyle w:val="3-BodyText"/>
      </w:pPr>
      <w:r w:rsidRPr="0098262F">
        <w:t xml:space="preserve">The key features of the </w:t>
      </w:r>
      <w:r w:rsidR="00C2468A">
        <w:t xml:space="preserve">trials </w:t>
      </w:r>
      <w:r w:rsidRPr="0098262F">
        <w:t xml:space="preserve">are summarised </w:t>
      </w:r>
      <w:r w:rsidRPr="00117B58">
        <w:t>in</w:t>
      </w:r>
      <w:r w:rsidR="00D6076E" w:rsidRPr="00117B58">
        <w:t xml:space="preserve"> </w:t>
      </w:r>
      <w:bookmarkStart w:id="20" w:name="_Ref104804098"/>
      <w:r w:rsidR="00117B58" w:rsidRPr="00117B58">
        <w:fldChar w:fldCharType="begin"/>
      </w:r>
      <w:r w:rsidR="00117B58" w:rsidRPr="00117B58">
        <w:instrText xml:space="preserve"> REF _Ref188958227 \h </w:instrText>
      </w:r>
      <w:r w:rsidR="00117B58">
        <w:instrText xml:space="preserve"> \* MERGEFORMAT </w:instrText>
      </w:r>
      <w:r w:rsidR="00117B58" w:rsidRPr="00117B58">
        <w:fldChar w:fldCharType="separate"/>
      </w:r>
    </w:p>
    <w:p w14:paraId="7B7E0CD6" w14:textId="03960BED" w:rsidR="00E61097" w:rsidRPr="00E61097" w:rsidRDefault="00896E34">
      <w:pPr>
        <w:pStyle w:val="3-BodyText"/>
        <w:rPr>
          <w:rFonts w:ascii="Arial Narrow" w:hAnsi="Arial Narrow"/>
          <w:b/>
          <w:sz w:val="20"/>
          <w:szCs w:val="24"/>
        </w:rPr>
      </w:pPr>
      <w:r w:rsidRPr="00896E34">
        <w:lastRenderedPageBreak/>
        <w:t xml:space="preserve">Table </w:t>
      </w:r>
      <w:r>
        <w:rPr>
          <w:rStyle w:val="CommentReference"/>
          <w:noProof/>
          <w:szCs w:val="24"/>
        </w:rPr>
        <w:t>3</w:t>
      </w:r>
      <w:r w:rsidR="00117B58" w:rsidRPr="00117B58">
        <w:fldChar w:fldCharType="end"/>
      </w:r>
      <w:r w:rsidR="00117B58" w:rsidRPr="00117B58">
        <w:t>.</w:t>
      </w:r>
      <w:r w:rsidR="00BF7E84">
        <w:t xml:space="preserve"> </w:t>
      </w:r>
      <w:bookmarkStart w:id="21" w:name="_Ref188958227"/>
    </w:p>
    <w:p w14:paraId="355E2F15" w14:textId="71DEAC80" w:rsidR="007F1017" w:rsidRPr="00E61097" w:rsidRDefault="00696EF9" w:rsidP="009A3E29">
      <w:pPr>
        <w:pStyle w:val="3-BodyText"/>
        <w:widowControl w:val="0"/>
        <w:numPr>
          <w:ilvl w:val="0"/>
          <w:numId w:val="0"/>
        </w:numPr>
        <w:spacing w:after="0"/>
        <w:rPr>
          <w:rStyle w:val="CommentReference"/>
          <w:szCs w:val="24"/>
        </w:rPr>
      </w:pPr>
      <w:r w:rsidRPr="00E61097">
        <w:rPr>
          <w:rStyle w:val="CommentReference"/>
          <w:szCs w:val="24"/>
        </w:rPr>
        <w:t xml:space="preserve">Table </w:t>
      </w:r>
      <w:r w:rsidRPr="00E61097">
        <w:rPr>
          <w:rStyle w:val="CommentReference"/>
          <w:szCs w:val="24"/>
        </w:rPr>
        <w:fldChar w:fldCharType="begin"/>
      </w:r>
      <w:r w:rsidRPr="00E61097">
        <w:rPr>
          <w:rStyle w:val="CommentReference"/>
          <w:szCs w:val="24"/>
        </w:rPr>
        <w:instrText xml:space="preserve"> SEQ Table \* ARABIC </w:instrText>
      </w:r>
      <w:r w:rsidRPr="00E61097">
        <w:rPr>
          <w:rStyle w:val="CommentReference"/>
          <w:szCs w:val="24"/>
        </w:rPr>
        <w:fldChar w:fldCharType="separate"/>
      </w:r>
      <w:r w:rsidR="00896E34">
        <w:rPr>
          <w:rStyle w:val="CommentReference"/>
          <w:noProof/>
          <w:szCs w:val="24"/>
        </w:rPr>
        <w:t>3</w:t>
      </w:r>
      <w:r w:rsidRPr="00E61097">
        <w:rPr>
          <w:rStyle w:val="CommentReference"/>
          <w:szCs w:val="24"/>
        </w:rPr>
        <w:fldChar w:fldCharType="end"/>
      </w:r>
      <w:bookmarkEnd w:id="20"/>
      <w:bookmarkEnd w:id="21"/>
      <w:r w:rsidR="00D6076E" w:rsidRPr="00E61097">
        <w:rPr>
          <w:rStyle w:val="CommentReference"/>
          <w:szCs w:val="24"/>
        </w:rPr>
        <w:t xml:space="preserve">: </w:t>
      </w:r>
      <w:r w:rsidR="007F1017" w:rsidRPr="00E61097">
        <w:rPr>
          <w:rStyle w:val="CommentReference"/>
          <w:szCs w:val="24"/>
        </w:rPr>
        <w:t>Key features of the included evidence</w:t>
      </w:r>
    </w:p>
    <w:tbl>
      <w:tblPr>
        <w:tblpPr w:leftFromText="180" w:rightFromText="180" w:vertAnchor="text"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25"/>
        <w:gridCol w:w="1087"/>
        <w:gridCol w:w="2114"/>
        <w:gridCol w:w="838"/>
        <w:gridCol w:w="1973"/>
        <w:gridCol w:w="1690"/>
      </w:tblGrid>
      <w:tr w:rsidR="00903478" w:rsidRPr="0098262F" w14:paraId="53DD7CC6" w14:textId="77777777" w:rsidTr="005F6A8E">
        <w:trPr>
          <w:cantSplit/>
          <w:tblHeader/>
        </w:trPr>
        <w:tc>
          <w:tcPr>
            <w:tcW w:w="693" w:type="pct"/>
            <w:shd w:val="clear" w:color="auto" w:fill="auto"/>
            <w:vAlign w:val="center"/>
          </w:tcPr>
          <w:p w14:paraId="794116BC" w14:textId="77777777" w:rsidR="00903478" w:rsidRPr="0098262F" w:rsidRDefault="00903478" w:rsidP="005F6A8E">
            <w:pPr>
              <w:pStyle w:val="In-tableHeading"/>
              <w:keepNext w:val="0"/>
              <w:keepLines w:val="0"/>
              <w:widowControl w:val="0"/>
              <w:rPr>
                <w:lang w:val="en-AU"/>
              </w:rPr>
            </w:pPr>
            <w:r w:rsidRPr="0098262F">
              <w:rPr>
                <w:lang w:val="en-AU"/>
              </w:rPr>
              <w:t>Trial</w:t>
            </w:r>
          </w:p>
        </w:tc>
        <w:tc>
          <w:tcPr>
            <w:tcW w:w="575" w:type="pct"/>
            <w:shd w:val="clear" w:color="auto" w:fill="auto"/>
            <w:vAlign w:val="center"/>
          </w:tcPr>
          <w:p w14:paraId="51122FE5" w14:textId="77777777" w:rsidR="00903478" w:rsidRPr="0098262F" w:rsidRDefault="00903478" w:rsidP="005F6A8E">
            <w:pPr>
              <w:pStyle w:val="In-tableHeading"/>
              <w:keepNext w:val="0"/>
              <w:keepLines w:val="0"/>
              <w:widowControl w:val="0"/>
              <w:jc w:val="center"/>
              <w:rPr>
                <w:lang w:val="en-AU"/>
              </w:rPr>
            </w:pPr>
            <w:r w:rsidRPr="0098262F">
              <w:rPr>
                <w:lang w:val="en-AU"/>
              </w:rPr>
              <w:t>N</w:t>
            </w:r>
          </w:p>
        </w:tc>
        <w:tc>
          <w:tcPr>
            <w:tcW w:w="1191" w:type="pct"/>
            <w:shd w:val="clear" w:color="auto" w:fill="auto"/>
            <w:vAlign w:val="center"/>
          </w:tcPr>
          <w:p w14:paraId="41C438EF" w14:textId="55171802" w:rsidR="00903478" w:rsidRPr="0098262F" w:rsidRDefault="00903478" w:rsidP="005F6A8E">
            <w:pPr>
              <w:pStyle w:val="In-tableHeading"/>
              <w:keepNext w:val="0"/>
              <w:keepLines w:val="0"/>
              <w:widowControl w:val="0"/>
              <w:jc w:val="center"/>
              <w:rPr>
                <w:lang w:val="en-AU"/>
              </w:rPr>
            </w:pPr>
            <w:r w:rsidRPr="0098262F">
              <w:rPr>
                <w:lang w:val="en-AU"/>
              </w:rPr>
              <w:t>Design/duration</w:t>
            </w:r>
          </w:p>
        </w:tc>
        <w:tc>
          <w:tcPr>
            <w:tcW w:w="476" w:type="pct"/>
            <w:shd w:val="clear" w:color="auto" w:fill="auto"/>
            <w:vAlign w:val="center"/>
          </w:tcPr>
          <w:p w14:paraId="1FC91360" w14:textId="28396572" w:rsidR="00903478" w:rsidRPr="0098262F" w:rsidRDefault="00903478" w:rsidP="005F6A8E">
            <w:pPr>
              <w:pStyle w:val="In-tableHeading"/>
              <w:keepNext w:val="0"/>
              <w:keepLines w:val="0"/>
              <w:widowControl w:val="0"/>
              <w:jc w:val="center"/>
              <w:rPr>
                <w:lang w:val="en-AU"/>
              </w:rPr>
            </w:pPr>
            <w:r w:rsidRPr="0098262F">
              <w:rPr>
                <w:lang w:val="en-AU"/>
              </w:rPr>
              <w:t>Risk of bias</w:t>
            </w:r>
            <w:r w:rsidR="009773BF">
              <w:rPr>
                <w:lang w:val="en-AU"/>
              </w:rPr>
              <w:t>*</w:t>
            </w:r>
          </w:p>
        </w:tc>
        <w:tc>
          <w:tcPr>
            <w:tcW w:w="1112" w:type="pct"/>
            <w:shd w:val="clear" w:color="auto" w:fill="auto"/>
            <w:vAlign w:val="center"/>
          </w:tcPr>
          <w:p w14:paraId="7FF90896" w14:textId="77777777" w:rsidR="00903478" w:rsidRPr="0098262F" w:rsidRDefault="00903478" w:rsidP="005F6A8E">
            <w:pPr>
              <w:pStyle w:val="In-tableHeading"/>
              <w:keepNext w:val="0"/>
              <w:keepLines w:val="0"/>
              <w:widowControl w:val="0"/>
              <w:jc w:val="center"/>
              <w:rPr>
                <w:lang w:val="en-AU"/>
              </w:rPr>
            </w:pPr>
            <w:r w:rsidRPr="0098262F">
              <w:rPr>
                <w:lang w:val="en-AU"/>
              </w:rPr>
              <w:t>Patient population</w:t>
            </w:r>
          </w:p>
        </w:tc>
        <w:tc>
          <w:tcPr>
            <w:tcW w:w="953" w:type="pct"/>
            <w:shd w:val="clear" w:color="auto" w:fill="auto"/>
            <w:vAlign w:val="center"/>
          </w:tcPr>
          <w:p w14:paraId="0FCB63F9" w14:textId="77777777" w:rsidR="00903478" w:rsidRPr="0098262F" w:rsidRDefault="00903478" w:rsidP="005F6A8E">
            <w:pPr>
              <w:pStyle w:val="In-tableHeading"/>
              <w:keepNext w:val="0"/>
              <w:keepLines w:val="0"/>
              <w:widowControl w:val="0"/>
              <w:jc w:val="center"/>
              <w:rPr>
                <w:lang w:val="en-AU"/>
              </w:rPr>
            </w:pPr>
            <w:r w:rsidRPr="0098262F">
              <w:rPr>
                <w:lang w:val="en-AU"/>
              </w:rPr>
              <w:t>Outcome(s)</w:t>
            </w:r>
          </w:p>
        </w:tc>
      </w:tr>
      <w:tr w:rsidR="00903478" w:rsidRPr="0098262F" w14:paraId="4EE88DCB" w14:textId="77777777" w:rsidTr="005F6A8E">
        <w:trPr>
          <w:cantSplit/>
        </w:trPr>
        <w:tc>
          <w:tcPr>
            <w:tcW w:w="693" w:type="pct"/>
            <w:shd w:val="clear" w:color="auto" w:fill="auto"/>
            <w:vAlign w:val="center"/>
          </w:tcPr>
          <w:p w14:paraId="6EE77D33" w14:textId="0DAA84E8" w:rsidR="00903478" w:rsidRPr="0098262F" w:rsidRDefault="1FBFB50E" w:rsidP="005F6A8E">
            <w:pPr>
              <w:pStyle w:val="TableText0"/>
              <w:keepNext w:val="0"/>
              <w:keepLines w:val="0"/>
              <w:widowControl w:val="0"/>
            </w:pPr>
            <w:proofErr w:type="spellStart"/>
            <w:r w:rsidRPr="0B5D70EC">
              <w:t>Duijkers</w:t>
            </w:r>
            <w:proofErr w:type="spellEnd"/>
            <w:r w:rsidRPr="0B5D70EC">
              <w:t>, 2004</w:t>
            </w:r>
          </w:p>
        </w:tc>
        <w:tc>
          <w:tcPr>
            <w:tcW w:w="575" w:type="pct"/>
            <w:shd w:val="clear" w:color="auto" w:fill="auto"/>
            <w:vAlign w:val="center"/>
          </w:tcPr>
          <w:p w14:paraId="41BB0E41" w14:textId="4A7634DE" w:rsidR="00903478" w:rsidRPr="0098262F" w:rsidRDefault="00903478" w:rsidP="005F6A8E">
            <w:pPr>
              <w:pStyle w:val="TableText0"/>
              <w:keepNext w:val="0"/>
              <w:keepLines w:val="0"/>
              <w:widowControl w:val="0"/>
            </w:pPr>
            <w:r>
              <w:t>85, but data presented only for 77</w:t>
            </w:r>
            <w:r w:rsidR="00AF65D4">
              <w:t xml:space="preserve"> (8</w:t>
            </w:r>
            <w:r w:rsidR="008161E6">
              <w:t> </w:t>
            </w:r>
            <w:r w:rsidR="00AF65D4">
              <w:t>women withdrew</w:t>
            </w:r>
            <w:r w:rsidR="0020466F">
              <w:t xml:space="preserve"> after randomisation but</w:t>
            </w:r>
            <w:r w:rsidR="00AF65D4">
              <w:t xml:space="preserve"> before starting study medication)</w:t>
            </w:r>
          </w:p>
        </w:tc>
        <w:tc>
          <w:tcPr>
            <w:tcW w:w="1191" w:type="pct"/>
            <w:shd w:val="clear" w:color="auto" w:fill="auto"/>
            <w:vAlign w:val="center"/>
          </w:tcPr>
          <w:p w14:paraId="744D08AC" w14:textId="0551B1BC" w:rsidR="00903478" w:rsidRPr="0098262F" w:rsidRDefault="1FBFB50E" w:rsidP="005F6A8E">
            <w:pPr>
              <w:pStyle w:val="TableText0"/>
              <w:keepNext w:val="0"/>
              <w:keepLines w:val="0"/>
              <w:widowControl w:val="0"/>
            </w:pPr>
            <w:r w:rsidRPr="0B5D70EC">
              <w:t>OL, MC, R but method not adequately described and in blocks of 4; CVR vs COC, duration six cycles</w:t>
            </w:r>
            <w:r w:rsidR="00D00643">
              <w:t xml:space="preserve"> </w:t>
            </w:r>
            <w:r w:rsidR="00D00643" w:rsidRPr="00BF7E84">
              <w:t>of 28</w:t>
            </w:r>
            <w:r w:rsidR="006A61AC">
              <w:t> </w:t>
            </w:r>
            <w:r w:rsidR="00D00643" w:rsidRPr="00BF7E84">
              <w:t>days</w:t>
            </w:r>
            <w:r w:rsidRPr="00BF7E84">
              <w:t>; withdrawals not</w:t>
            </w:r>
            <w:r w:rsidRPr="0B5D70EC">
              <w:t xml:space="preserve"> adequately accounted for and adverse events not properly reported</w:t>
            </w:r>
            <w:r w:rsidR="00DE7B85">
              <w:t>.</w:t>
            </w:r>
          </w:p>
        </w:tc>
        <w:tc>
          <w:tcPr>
            <w:tcW w:w="476" w:type="pct"/>
            <w:shd w:val="clear" w:color="auto" w:fill="auto"/>
            <w:vAlign w:val="center"/>
          </w:tcPr>
          <w:p w14:paraId="4A529D74" w14:textId="478CA0BD" w:rsidR="00903478" w:rsidRPr="009773BF" w:rsidRDefault="00903478" w:rsidP="005F6A8E">
            <w:pPr>
              <w:pStyle w:val="TableText0"/>
              <w:keepNext w:val="0"/>
              <w:keepLines w:val="0"/>
              <w:widowControl w:val="0"/>
              <w:jc w:val="center"/>
              <w:rPr>
                <w:iCs/>
              </w:rPr>
            </w:pPr>
            <w:r w:rsidRPr="009773BF">
              <w:rPr>
                <w:iCs/>
              </w:rPr>
              <w:t>High</w:t>
            </w:r>
          </w:p>
        </w:tc>
        <w:tc>
          <w:tcPr>
            <w:tcW w:w="1112" w:type="pct"/>
            <w:shd w:val="clear" w:color="auto" w:fill="auto"/>
            <w:vAlign w:val="center"/>
          </w:tcPr>
          <w:p w14:paraId="5E6F456D" w14:textId="127D02F5" w:rsidR="00903478" w:rsidRPr="0098262F" w:rsidRDefault="1FBFB50E" w:rsidP="005F6A8E">
            <w:pPr>
              <w:pStyle w:val="TableText0"/>
              <w:keepNext w:val="0"/>
              <w:keepLines w:val="0"/>
              <w:widowControl w:val="0"/>
              <w:jc w:val="center"/>
            </w:pPr>
            <w:r w:rsidRPr="0B5D70EC">
              <w:t>Healthy women aged 18-40, seeking contraception; BMI 18-29</w:t>
            </w:r>
            <w:r w:rsidR="00CB6A22">
              <w:t xml:space="preserve"> kg/m</w:t>
            </w:r>
            <w:r w:rsidR="00CB6A22">
              <w:rPr>
                <w:vertAlign w:val="superscript"/>
              </w:rPr>
              <w:t>2</w:t>
            </w:r>
            <w:r w:rsidRPr="0B5D70EC">
              <w:t>, allocated to CVR or COC</w:t>
            </w:r>
            <w:r w:rsidR="002B79C7">
              <w:t>.</w:t>
            </w:r>
          </w:p>
        </w:tc>
        <w:tc>
          <w:tcPr>
            <w:tcW w:w="953" w:type="pct"/>
            <w:shd w:val="clear" w:color="auto" w:fill="auto"/>
            <w:vAlign w:val="center"/>
          </w:tcPr>
          <w:p w14:paraId="6DC76214" w14:textId="1026A727" w:rsidR="00903478" w:rsidRPr="0098262F" w:rsidRDefault="00903478" w:rsidP="005F6A8E">
            <w:pPr>
              <w:pStyle w:val="TableText0"/>
              <w:keepNext w:val="0"/>
              <w:keepLines w:val="0"/>
              <w:widowControl w:val="0"/>
              <w:jc w:val="center"/>
            </w:pPr>
            <w:r>
              <w:t>Glucose, insulin, glycosylated Hb</w:t>
            </w:r>
            <w:r w:rsidR="004E6711">
              <w:t>,</w:t>
            </w:r>
            <w:r>
              <w:t xml:space="preserve"> total cortisol, CBG, DHEA; TSH, free thyroxine</w:t>
            </w:r>
            <w:r w:rsidR="002B79C7">
              <w:t>.</w:t>
            </w:r>
          </w:p>
        </w:tc>
      </w:tr>
      <w:tr w:rsidR="00903478" w:rsidRPr="0098262F" w14:paraId="13A6895C" w14:textId="77777777" w:rsidTr="005F6A8E">
        <w:trPr>
          <w:cantSplit/>
        </w:trPr>
        <w:tc>
          <w:tcPr>
            <w:tcW w:w="693" w:type="pct"/>
            <w:shd w:val="clear" w:color="auto" w:fill="auto"/>
            <w:vAlign w:val="center"/>
          </w:tcPr>
          <w:p w14:paraId="468AAA0A" w14:textId="77777777" w:rsidR="00903478" w:rsidRDefault="00903478" w:rsidP="005F6A8E">
            <w:pPr>
              <w:pStyle w:val="TableText0"/>
              <w:keepNext w:val="0"/>
              <w:keepLines w:val="0"/>
              <w:widowControl w:val="0"/>
            </w:pPr>
            <w:r>
              <w:t>Gill, 2020</w:t>
            </w:r>
          </w:p>
          <w:p w14:paraId="4A9488B3" w14:textId="67CCD537" w:rsidR="00903478" w:rsidRPr="0098262F" w:rsidRDefault="00903478" w:rsidP="005F6A8E">
            <w:pPr>
              <w:pStyle w:val="TableText0"/>
              <w:keepNext w:val="0"/>
              <w:keepLines w:val="0"/>
              <w:widowControl w:val="0"/>
            </w:pPr>
            <w:r>
              <w:t>NCT02404038</w:t>
            </w:r>
          </w:p>
        </w:tc>
        <w:tc>
          <w:tcPr>
            <w:tcW w:w="575" w:type="pct"/>
            <w:shd w:val="clear" w:color="auto" w:fill="auto"/>
            <w:vAlign w:val="center"/>
          </w:tcPr>
          <w:p w14:paraId="3F4D20B5" w14:textId="3A2C5401" w:rsidR="00903478" w:rsidRPr="0098262F" w:rsidRDefault="00903478" w:rsidP="005F6A8E">
            <w:pPr>
              <w:pStyle w:val="TableText0"/>
              <w:keepNext w:val="0"/>
              <w:keepLines w:val="0"/>
              <w:widowControl w:val="0"/>
              <w:jc w:val="center"/>
            </w:pPr>
            <w:r>
              <w:t>130</w:t>
            </w:r>
          </w:p>
        </w:tc>
        <w:tc>
          <w:tcPr>
            <w:tcW w:w="1191" w:type="pct"/>
            <w:shd w:val="clear" w:color="auto" w:fill="auto"/>
            <w:vAlign w:val="center"/>
          </w:tcPr>
          <w:p w14:paraId="68D92FE7" w14:textId="5777DCD6" w:rsidR="00903478" w:rsidRPr="0098262F" w:rsidRDefault="1FBFB50E" w:rsidP="005F6A8E">
            <w:pPr>
              <w:pStyle w:val="TableText0"/>
              <w:keepNext w:val="0"/>
              <w:keepLines w:val="0"/>
              <w:widowControl w:val="0"/>
            </w:pPr>
            <w:r w:rsidRPr="0B5D70EC">
              <w:t>OL, R (method not stated) 1:1:1 CVR/NET-EN/COC for first 16 weeks, then all on NET-EN or COC switched to CVR, and those on CVR switched to their choice of NET-EN or COC for further 16</w:t>
            </w:r>
            <w:r w:rsidR="00E32C53">
              <w:t> </w:t>
            </w:r>
            <w:r w:rsidRPr="0B5D70EC">
              <w:t>weeks. Switching between methods allowed and required for poor compliance but duration of exposure to each method not reported</w:t>
            </w:r>
            <w:r w:rsidR="000243B6" w:rsidRPr="00BF7E84">
              <w:t>, but self-reported adherence with each method was reported</w:t>
            </w:r>
            <w:r w:rsidRPr="00BF7E84">
              <w:t>.</w:t>
            </w:r>
            <w:r w:rsidRPr="0B5D70EC">
              <w:t xml:space="preserve"> </w:t>
            </w:r>
          </w:p>
        </w:tc>
        <w:tc>
          <w:tcPr>
            <w:tcW w:w="476" w:type="pct"/>
            <w:shd w:val="clear" w:color="auto" w:fill="auto"/>
            <w:vAlign w:val="center"/>
          </w:tcPr>
          <w:p w14:paraId="6F0F93F8" w14:textId="77777777" w:rsidR="00903478" w:rsidRPr="009773BF" w:rsidRDefault="00903478" w:rsidP="005F6A8E">
            <w:pPr>
              <w:pStyle w:val="TableText0"/>
              <w:keepNext w:val="0"/>
              <w:keepLines w:val="0"/>
              <w:widowControl w:val="0"/>
              <w:jc w:val="center"/>
              <w:rPr>
                <w:iCs/>
              </w:rPr>
            </w:pPr>
            <w:r w:rsidRPr="009773BF">
              <w:rPr>
                <w:iCs/>
              </w:rPr>
              <w:t>High</w:t>
            </w:r>
          </w:p>
        </w:tc>
        <w:tc>
          <w:tcPr>
            <w:tcW w:w="1112" w:type="pct"/>
            <w:shd w:val="clear" w:color="auto" w:fill="auto"/>
            <w:vAlign w:val="center"/>
          </w:tcPr>
          <w:p w14:paraId="43AC963E" w14:textId="2E05795F" w:rsidR="00903478" w:rsidRPr="0098262F" w:rsidRDefault="00903478" w:rsidP="005F6A8E">
            <w:pPr>
              <w:pStyle w:val="TableText0"/>
              <w:keepNext w:val="0"/>
              <w:keepLines w:val="0"/>
              <w:widowControl w:val="0"/>
              <w:jc w:val="center"/>
            </w:pPr>
            <w:r>
              <w:t>Healthy, sexually active HIV-negative women aged 15-19</w:t>
            </w:r>
            <w:r w:rsidR="00941B1D">
              <w:t xml:space="preserve"> years</w:t>
            </w:r>
            <w:r>
              <w:t xml:space="preserve">; low-income area of Cape Town with high HIV risk; recruitment via </w:t>
            </w:r>
            <w:r w:rsidRPr="00D70061">
              <w:rPr>
                <w:lang w:val="en-GB"/>
              </w:rPr>
              <w:t>community outreach at local school, clinic and youth</w:t>
            </w:r>
            <w:r w:rsidR="00A979F7">
              <w:rPr>
                <w:lang w:val="en-GB"/>
              </w:rPr>
              <w:t xml:space="preserve"> </w:t>
            </w:r>
            <w:r w:rsidRPr="00D70061">
              <w:rPr>
                <w:lang w:val="en-GB"/>
              </w:rPr>
              <w:t>groups</w:t>
            </w:r>
            <w:r>
              <w:rPr>
                <w:lang w:val="en-GB"/>
              </w:rPr>
              <w:t>.</w:t>
            </w:r>
          </w:p>
        </w:tc>
        <w:tc>
          <w:tcPr>
            <w:tcW w:w="953" w:type="pct"/>
            <w:shd w:val="clear" w:color="auto" w:fill="auto"/>
            <w:vAlign w:val="center"/>
          </w:tcPr>
          <w:p w14:paraId="4F0C99D2" w14:textId="7B24B4C7" w:rsidR="00961F49" w:rsidRPr="0098262F" w:rsidRDefault="00961F49" w:rsidP="005F6A8E">
            <w:pPr>
              <w:pStyle w:val="TableText0"/>
              <w:keepNext w:val="0"/>
              <w:keepLines w:val="0"/>
              <w:widowControl w:val="0"/>
              <w:jc w:val="center"/>
            </w:pPr>
            <w:r w:rsidRPr="00BF7E84">
              <w:t>Primary outcomes:</w:t>
            </w:r>
            <w:r>
              <w:t xml:space="preserve"> </w:t>
            </w:r>
            <w:r w:rsidR="1FBFB50E" w:rsidRPr="0B5D70EC">
              <w:t>Acceptability</w:t>
            </w:r>
            <w:r w:rsidR="00476FC0">
              <w:t xml:space="preserve"> and preference</w:t>
            </w:r>
            <w:r w:rsidR="1FBFB50E" w:rsidRPr="0B5D70EC">
              <w:t xml:space="preserve"> of contraceptive method, as a surrogate for acceptability of HIV-prevention by vaginal ring, injection or daily pill.</w:t>
            </w:r>
          </w:p>
        </w:tc>
      </w:tr>
      <w:tr w:rsidR="00903478" w:rsidRPr="0098262F" w14:paraId="6DAFAEAF" w14:textId="77777777" w:rsidTr="005F6A8E">
        <w:trPr>
          <w:cantSplit/>
        </w:trPr>
        <w:tc>
          <w:tcPr>
            <w:tcW w:w="693" w:type="pct"/>
            <w:shd w:val="clear" w:color="auto" w:fill="auto"/>
            <w:vAlign w:val="center"/>
          </w:tcPr>
          <w:p w14:paraId="76F0584C" w14:textId="5147EC65" w:rsidR="00903478" w:rsidRPr="0098262F" w:rsidRDefault="1FBFB50E" w:rsidP="005F6A8E">
            <w:pPr>
              <w:pStyle w:val="TableText0"/>
              <w:keepNext w:val="0"/>
              <w:keepLines w:val="0"/>
              <w:widowControl w:val="0"/>
            </w:pPr>
            <w:r w:rsidRPr="0B5D70EC">
              <w:t>Oddsson, 2005</w:t>
            </w:r>
            <w:r w:rsidR="000D408D">
              <w:t>a</w:t>
            </w:r>
            <w:r w:rsidRPr="0B5D70EC">
              <w:t xml:space="preserve">, </w:t>
            </w:r>
            <w:r w:rsidR="000D408D">
              <w:t>2005</w:t>
            </w:r>
            <w:r w:rsidRPr="0B5D70EC">
              <w:t>b</w:t>
            </w:r>
          </w:p>
        </w:tc>
        <w:tc>
          <w:tcPr>
            <w:tcW w:w="575" w:type="pct"/>
            <w:shd w:val="clear" w:color="auto" w:fill="auto"/>
            <w:vAlign w:val="center"/>
          </w:tcPr>
          <w:p w14:paraId="7D785F8E" w14:textId="5715D08E" w:rsidR="00903478" w:rsidRPr="0098262F" w:rsidRDefault="00903478" w:rsidP="005F6A8E">
            <w:pPr>
              <w:pStyle w:val="TableText0"/>
              <w:keepNext w:val="0"/>
              <w:keepLines w:val="0"/>
              <w:widowControl w:val="0"/>
              <w:jc w:val="center"/>
            </w:pPr>
            <w:r>
              <w:t>1</w:t>
            </w:r>
            <w:r w:rsidR="00AF129C">
              <w:t>,</w:t>
            </w:r>
            <w:r>
              <w:t>030; 1</w:t>
            </w:r>
            <w:r w:rsidR="00AF129C">
              <w:t>,</w:t>
            </w:r>
            <w:r>
              <w:t>079 randomised but 49 withdrew (29 CVR, 20 COC) and not included in ITT</w:t>
            </w:r>
          </w:p>
        </w:tc>
        <w:tc>
          <w:tcPr>
            <w:tcW w:w="1191" w:type="pct"/>
            <w:shd w:val="clear" w:color="auto" w:fill="auto"/>
            <w:vAlign w:val="center"/>
          </w:tcPr>
          <w:p w14:paraId="4F10C1AA" w14:textId="44AB41AD" w:rsidR="00903478" w:rsidRPr="007565D2" w:rsidRDefault="00903478" w:rsidP="005F6A8E">
            <w:pPr>
              <w:pStyle w:val="TableText0"/>
              <w:keepNext w:val="0"/>
              <w:keepLines w:val="0"/>
              <w:widowControl w:val="0"/>
            </w:pPr>
            <w:r w:rsidRPr="007565D2">
              <w:t>OL, R, MC, 1 year</w:t>
            </w:r>
            <w:r w:rsidR="0011555E" w:rsidRPr="007565D2">
              <w:t xml:space="preserve"> (13</w:t>
            </w:r>
            <w:r w:rsidR="00063837">
              <w:t> </w:t>
            </w:r>
            <w:r w:rsidR="0011555E" w:rsidRPr="007565D2">
              <w:t>cycles)</w:t>
            </w:r>
            <w:r w:rsidRPr="007565D2">
              <w:t>; CVR</w:t>
            </w:r>
            <w:r w:rsidR="004F4808" w:rsidRPr="007565D2">
              <w:t> </w:t>
            </w:r>
            <w:r w:rsidRPr="007565D2">
              <w:t>=</w:t>
            </w:r>
            <w:r w:rsidR="004F4808" w:rsidRPr="007565D2">
              <w:t> </w:t>
            </w:r>
            <w:r w:rsidRPr="007565D2">
              <w:t>512, COC</w:t>
            </w:r>
            <w:r w:rsidR="00463667" w:rsidRPr="007565D2">
              <w:t> </w:t>
            </w:r>
            <w:r w:rsidRPr="007565D2">
              <w:t>= 518</w:t>
            </w:r>
          </w:p>
        </w:tc>
        <w:tc>
          <w:tcPr>
            <w:tcW w:w="476" w:type="pct"/>
            <w:shd w:val="clear" w:color="auto" w:fill="auto"/>
            <w:vAlign w:val="center"/>
          </w:tcPr>
          <w:p w14:paraId="50E27A90" w14:textId="346B4295" w:rsidR="00903478" w:rsidRPr="009773BF" w:rsidRDefault="00903478" w:rsidP="005F6A8E">
            <w:pPr>
              <w:pStyle w:val="TableText0"/>
              <w:keepNext w:val="0"/>
              <w:keepLines w:val="0"/>
              <w:widowControl w:val="0"/>
              <w:jc w:val="center"/>
              <w:rPr>
                <w:iCs/>
              </w:rPr>
            </w:pPr>
            <w:r w:rsidRPr="009773BF">
              <w:rPr>
                <w:iCs/>
              </w:rPr>
              <w:t>Unclear</w:t>
            </w:r>
          </w:p>
        </w:tc>
        <w:tc>
          <w:tcPr>
            <w:tcW w:w="1112" w:type="pct"/>
            <w:shd w:val="clear" w:color="auto" w:fill="auto"/>
            <w:vAlign w:val="center"/>
          </w:tcPr>
          <w:p w14:paraId="1B84BE0E" w14:textId="43A2C49C" w:rsidR="00903478" w:rsidRPr="0098262F" w:rsidRDefault="00903478" w:rsidP="005F6A8E">
            <w:pPr>
              <w:pStyle w:val="TableText0"/>
              <w:keepNext w:val="0"/>
              <w:keepLines w:val="0"/>
              <w:widowControl w:val="0"/>
              <w:jc w:val="center"/>
            </w:pPr>
            <w:r>
              <w:t>Healthy</w:t>
            </w:r>
            <w:r w:rsidR="00463667">
              <w:t xml:space="preserve"> women</w:t>
            </w:r>
            <w:r>
              <w:t xml:space="preserve"> age</w:t>
            </w:r>
            <w:r w:rsidR="00463667">
              <w:t>d</w:t>
            </w:r>
            <w:r>
              <w:t xml:space="preserve"> 18 or over, seeking contraception</w:t>
            </w:r>
            <w:r w:rsidR="00230925">
              <w:t>.</w:t>
            </w:r>
          </w:p>
        </w:tc>
        <w:tc>
          <w:tcPr>
            <w:tcW w:w="953" w:type="pct"/>
            <w:shd w:val="clear" w:color="auto" w:fill="auto"/>
            <w:vAlign w:val="center"/>
          </w:tcPr>
          <w:p w14:paraId="4E7BED76" w14:textId="40044E8B" w:rsidR="00903478" w:rsidRPr="0098262F" w:rsidRDefault="00903478" w:rsidP="005F6A8E">
            <w:pPr>
              <w:pStyle w:val="TableText0"/>
              <w:keepNext w:val="0"/>
              <w:keepLines w:val="0"/>
              <w:widowControl w:val="0"/>
              <w:jc w:val="center"/>
            </w:pPr>
            <w:r>
              <w:t>Primary</w:t>
            </w:r>
            <w:r w:rsidR="00733D43">
              <w:t xml:space="preserve"> out</w:t>
            </w:r>
            <w:r w:rsidR="00254952">
              <w:t>comes</w:t>
            </w:r>
            <w:r>
              <w:t>: Cycle control</w:t>
            </w:r>
            <w:r w:rsidR="00640665">
              <w:t>/</w:t>
            </w:r>
            <w:r w:rsidR="00640665" w:rsidRPr="00BF7E84">
              <w:t>vaginal bleeding characteristics</w:t>
            </w:r>
            <w:r>
              <w:t xml:space="preserve"> (reported in Oddsson, 2005a)</w:t>
            </w:r>
            <w:r w:rsidR="00D50A1F">
              <w:t>.</w:t>
            </w:r>
          </w:p>
        </w:tc>
      </w:tr>
      <w:tr w:rsidR="00903478" w:rsidRPr="0098262F" w14:paraId="28762BB8" w14:textId="77777777" w:rsidTr="005F6A8E">
        <w:trPr>
          <w:cantSplit/>
        </w:trPr>
        <w:tc>
          <w:tcPr>
            <w:tcW w:w="693" w:type="pct"/>
            <w:shd w:val="clear" w:color="auto" w:fill="auto"/>
            <w:vAlign w:val="center"/>
          </w:tcPr>
          <w:p w14:paraId="05E87D2B" w14:textId="79514554" w:rsidR="00903478" w:rsidRDefault="00903478" w:rsidP="005F6A8E">
            <w:pPr>
              <w:pStyle w:val="TableText0"/>
              <w:keepNext w:val="0"/>
              <w:keepLines w:val="0"/>
              <w:widowControl w:val="0"/>
            </w:pPr>
            <w:r>
              <w:t>Hubacher, 2017, 2018</w:t>
            </w:r>
          </w:p>
          <w:p w14:paraId="04CC38D8" w14:textId="28F291CA" w:rsidR="00903478" w:rsidRPr="0098262F" w:rsidRDefault="00903478" w:rsidP="005F6A8E">
            <w:pPr>
              <w:pStyle w:val="TableText0"/>
              <w:keepNext w:val="0"/>
              <w:keepLines w:val="0"/>
              <w:widowControl w:val="0"/>
            </w:pPr>
            <w:r>
              <w:t>NCT01299116</w:t>
            </w:r>
          </w:p>
        </w:tc>
        <w:tc>
          <w:tcPr>
            <w:tcW w:w="575" w:type="pct"/>
            <w:shd w:val="clear" w:color="auto" w:fill="auto"/>
            <w:vAlign w:val="center"/>
          </w:tcPr>
          <w:p w14:paraId="29AD5FAE" w14:textId="558837EB" w:rsidR="00903478" w:rsidRPr="0098262F" w:rsidRDefault="00903478" w:rsidP="005F6A8E">
            <w:pPr>
              <w:pStyle w:val="TableText0"/>
              <w:keepNext w:val="0"/>
              <w:keepLines w:val="0"/>
              <w:widowControl w:val="0"/>
              <w:jc w:val="center"/>
            </w:pPr>
            <w:r>
              <w:t>916</w:t>
            </w:r>
          </w:p>
        </w:tc>
        <w:tc>
          <w:tcPr>
            <w:tcW w:w="1191" w:type="pct"/>
            <w:shd w:val="clear" w:color="auto" w:fill="auto"/>
            <w:vAlign w:val="center"/>
          </w:tcPr>
          <w:p w14:paraId="7B3C6C4D" w14:textId="091F497A" w:rsidR="00903478" w:rsidRPr="0098262F" w:rsidRDefault="00903478" w:rsidP="005F6A8E">
            <w:pPr>
              <w:pStyle w:val="TableText0"/>
              <w:keepNext w:val="0"/>
              <w:keepLines w:val="0"/>
              <w:widowControl w:val="0"/>
            </w:pPr>
            <w:r>
              <w:t xml:space="preserve">OL, </w:t>
            </w:r>
            <w:r w:rsidR="00554D8A">
              <w:t xml:space="preserve">partially </w:t>
            </w:r>
            <w:r>
              <w:t>R (method not stated); patients preferring COC or DMPA used (and paid for) that method (N</w:t>
            </w:r>
            <w:r w:rsidR="00FD0A9D">
              <w:t> </w:t>
            </w:r>
            <w:r>
              <w:t>=</w:t>
            </w:r>
            <w:r w:rsidR="00FD0A9D">
              <w:t> </w:t>
            </w:r>
            <w:r>
              <w:t>524); patients agreeing to be R (N</w:t>
            </w:r>
            <w:r w:rsidR="00B12577">
              <w:t> </w:t>
            </w:r>
            <w:r>
              <w:t>=</w:t>
            </w:r>
            <w:r w:rsidR="00BB676B">
              <w:t> </w:t>
            </w:r>
            <w:r>
              <w:t xml:space="preserve">392) provided (free) either LARC (patients chose subdermal implant, Cu-IUD or hormonal IUD) or SARC (patients chose COC or DMPA). Patients could switch freely among methods, but pregnancies were tallied to the method first used. </w:t>
            </w:r>
          </w:p>
        </w:tc>
        <w:tc>
          <w:tcPr>
            <w:tcW w:w="476" w:type="pct"/>
            <w:shd w:val="clear" w:color="auto" w:fill="auto"/>
            <w:vAlign w:val="center"/>
          </w:tcPr>
          <w:p w14:paraId="5813BADC" w14:textId="7D0875A6" w:rsidR="00903478" w:rsidRPr="009773BF" w:rsidRDefault="00903478" w:rsidP="005F6A8E">
            <w:pPr>
              <w:pStyle w:val="TableText0"/>
              <w:keepNext w:val="0"/>
              <w:keepLines w:val="0"/>
              <w:widowControl w:val="0"/>
              <w:jc w:val="center"/>
              <w:rPr>
                <w:iCs/>
              </w:rPr>
            </w:pPr>
            <w:r w:rsidRPr="009773BF">
              <w:rPr>
                <w:iCs/>
              </w:rPr>
              <w:t>High</w:t>
            </w:r>
          </w:p>
        </w:tc>
        <w:tc>
          <w:tcPr>
            <w:tcW w:w="1112" w:type="pct"/>
            <w:shd w:val="clear" w:color="auto" w:fill="auto"/>
            <w:vAlign w:val="center"/>
          </w:tcPr>
          <w:p w14:paraId="07F4718D" w14:textId="545DE53A" w:rsidR="00903478" w:rsidRPr="0098262F" w:rsidRDefault="00903478" w:rsidP="005F6A8E">
            <w:pPr>
              <w:pStyle w:val="TableText0"/>
              <w:keepNext w:val="0"/>
              <w:keepLines w:val="0"/>
              <w:widowControl w:val="0"/>
              <w:jc w:val="center"/>
            </w:pPr>
            <w:r>
              <w:t>Healthy</w:t>
            </w:r>
            <w:r w:rsidR="0040386C">
              <w:t xml:space="preserve"> women</w:t>
            </w:r>
            <w:r>
              <w:t xml:space="preserve"> age</w:t>
            </w:r>
            <w:r w:rsidR="0040386C">
              <w:t>d</w:t>
            </w:r>
            <w:r>
              <w:t xml:space="preserve"> 18-29</w:t>
            </w:r>
            <w:r w:rsidR="0040386C">
              <w:t xml:space="preserve"> years</w:t>
            </w:r>
            <w:r>
              <w:t>, seeking COC or DMPA</w:t>
            </w:r>
            <w:r w:rsidR="0003627C">
              <w:t xml:space="preserve">, sexually active, no previous use of an IUD or subdermal implant, </w:t>
            </w:r>
            <w:r w:rsidR="002F1D58" w:rsidRPr="00BF7E84">
              <w:t>not pregnant or seeking a pregnancy termination on day of screening</w:t>
            </w:r>
            <w:r w:rsidR="00484C43">
              <w:t>.</w:t>
            </w:r>
          </w:p>
        </w:tc>
        <w:tc>
          <w:tcPr>
            <w:tcW w:w="953" w:type="pct"/>
            <w:shd w:val="clear" w:color="auto" w:fill="auto"/>
            <w:vAlign w:val="center"/>
          </w:tcPr>
          <w:p w14:paraId="47B4E9B7" w14:textId="770AB269" w:rsidR="006A7BF6" w:rsidRPr="0098262F" w:rsidRDefault="00903478" w:rsidP="005F6A8E">
            <w:pPr>
              <w:pStyle w:val="TableText0"/>
              <w:keepNext w:val="0"/>
              <w:keepLines w:val="0"/>
              <w:widowControl w:val="0"/>
              <w:jc w:val="center"/>
            </w:pPr>
            <w:r>
              <w:t xml:space="preserve">Contraceptive discontinuation; restarts or switches; </w:t>
            </w:r>
            <w:r w:rsidR="004672A3">
              <w:t xml:space="preserve">unintended </w:t>
            </w:r>
            <w:r w:rsidRPr="00BF7E84">
              <w:t>pregnancy</w:t>
            </w:r>
            <w:r w:rsidR="006A7BF6" w:rsidRPr="00BF7E84">
              <w:t xml:space="preserve"> at 12 months.</w:t>
            </w:r>
          </w:p>
        </w:tc>
      </w:tr>
      <w:tr w:rsidR="00903478" w:rsidRPr="0098262F" w14:paraId="06E799D1" w14:textId="77777777" w:rsidTr="005F6A8E">
        <w:trPr>
          <w:cantSplit/>
          <w:trHeight w:val="1077"/>
        </w:trPr>
        <w:tc>
          <w:tcPr>
            <w:tcW w:w="693" w:type="pct"/>
            <w:shd w:val="clear" w:color="auto" w:fill="auto"/>
            <w:vAlign w:val="center"/>
          </w:tcPr>
          <w:p w14:paraId="20A6CD85" w14:textId="0600C707" w:rsidR="00903478" w:rsidRPr="0098262F" w:rsidRDefault="1FBFB50E" w:rsidP="005F6A8E">
            <w:pPr>
              <w:pStyle w:val="TableText0"/>
            </w:pPr>
            <w:proofErr w:type="spellStart"/>
            <w:r w:rsidRPr="0B5D70EC">
              <w:lastRenderedPageBreak/>
              <w:t>Benagiano</w:t>
            </w:r>
            <w:proofErr w:type="spellEnd"/>
            <w:r w:rsidRPr="0B5D70EC">
              <w:t>, 1977, 1978</w:t>
            </w:r>
          </w:p>
        </w:tc>
        <w:tc>
          <w:tcPr>
            <w:tcW w:w="575" w:type="pct"/>
            <w:shd w:val="clear" w:color="auto" w:fill="auto"/>
            <w:vAlign w:val="center"/>
          </w:tcPr>
          <w:p w14:paraId="3A2736E4" w14:textId="495F0AB8" w:rsidR="00903478" w:rsidRPr="0098262F" w:rsidRDefault="00903478" w:rsidP="005F6A8E">
            <w:pPr>
              <w:pStyle w:val="TableText0"/>
              <w:jc w:val="center"/>
            </w:pPr>
            <w:r>
              <w:t>1</w:t>
            </w:r>
            <w:r w:rsidR="00E80609">
              <w:t>,</w:t>
            </w:r>
            <w:r>
              <w:t>678</w:t>
            </w:r>
          </w:p>
        </w:tc>
        <w:tc>
          <w:tcPr>
            <w:tcW w:w="1191" w:type="pct"/>
            <w:shd w:val="clear" w:color="auto" w:fill="auto"/>
            <w:vAlign w:val="center"/>
          </w:tcPr>
          <w:p w14:paraId="0D71AA6D" w14:textId="737990AC" w:rsidR="00903478" w:rsidRPr="0098262F" w:rsidRDefault="1FBFB50E" w:rsidP="005F6A8E">
            <w:pPr>
              <w:pStyle w:val="TableText0"/>
            </w:pPr>
            <w:r w:rsidRPr="0B5D70EC">
              <w:t>OL, MC, R (inadequate method), DMPA vs NET-EN; 2 years but stopped after 1</w:t>
            </w:r>
            <w:r w:rsidR="0063082E">
              <w:t> </w:t>
            </w:r>
            <w:r w:rsidRPr="0B5D70EC">
              <w:t xml:space="preserve">year because pregnancy rate with NET-EN </w:t>
            </w:r>
            <w:r w:rsidR="00074A02">
              <w:t xml:space="preserve">exceeded the </w:t>
            </w:r>
            <w:r w:rsidRPr="0B5D70EC">
              <w:t>pre-specified stopping rule</w:t>
            </w:r>
            <w:r w:rsidR="00F56154">
              <w:t xml:space="preserve"> </w:t>
            </w:r>
            <w:r w:rsidR="00F56154" w:rsidRPr="00BF7E84">
              <w:t xml:space="preserve">of a maximum of </w:t>
            </w:r>
            <w:r w:rsidR="00BC1BF0" w:rsidRPr="00BF7E84">
              <w:t>2 pregnancies per 100 women years</w:t>
            </w:r>
            <w:r w:rsidRPr="00BF7E84">
              <w:t>.</w:t>
            </w:r>
            <w:r w:rsidRPr="0B5D70EC">
              <w:t xml:space="preserve">  </w:t>
            </w:r>
          </w:p>
        </w:tc>
        <w:tc>
          <w:tcPr>
            <w:tcW w:w="476" w:type="pct"/>
            <w:shd w:val="clear" w:color="auto" w:fill="auto"/>
            <w:vAlign w:val="center"/>
          </w:tcPr>
          <w:p w14:paraId="5CA3CE72" w14:textId="3D4F0A0D" w:rsidR="00903478" w:rsidRPr="009773BF" w:rsidRDefault="00903478" w:rsidP="005F6A8E">
            <w:pPr>
              <w:pStyle w:val="TableText0"/>
              <w:jc w:val="center"/>
              <w:rPr>
                <w:iCs/>
              </w:rPr>
            </w:pPr>
            <w:r w:rsidRPr="009773BF">
              <w:rPr>
                <w:iCs/>
              </w:rPr>
              <w:t>High</w:t>
            </w:r>
          </w:p>
        </w:tc>
        <w:tc>
          <w:tcPr>
            <w:tcW w:w="1112" w:type="pct"/>
            <w:shd w:val="clear" w:color="auto" w:fill="auto"/>
            <w:vAlign w:val="center"/>
          </w:tcPr>
          <w:p w14:paraId="1333C3C2" w14:textId="5D174958" w:rsidR="00903478" w:rsidRPr="0098262F" w:rsidRDefault="1FBFB50E" w:rsidP="005F6A8E">
            <w:pPr>
              <w:pStyle w:val="TableText0"/>
              <w:jc w:val="center"/>
            </w:pPr>
            <w:r w:rsidRPr="0B5D70EC">
              <w:t>Healthy women with previous live birth</w:t>
            </w:r>
            <w:r w:rsidR="00846861">
              <w:t xml:space="preserve"> in the past 5 years</w:t>
            </w:r>
            <w:r w:rsidRPr="0B5D70EC">
              <w:t>, aged 18-40</w:t>
            </w:r>
            <w:r w:rsidR="00112A4F">
              <w:t> </w:t>
            </w:r>
            <w:r w:rsidR="00846861">
              <w:t>years</w:t>
            </w:r>
            <w:r w:rsidRPr="0B5D70EC">
              <w:t>.</w:t>
            </w:r>
          </w:p>
        </w:tc>
        <w:tc>
          <w:tcPr>
            <w:tcW w:w="953" w:type="pct"/>
            <w:shd w:val="clear" w:color="auto" w:fill="auto"/>
            <w:vAlign w:val="center"/>
          </w:tcPr>
          <w:p w14:paraId="43E9A2DF" w14:textId="01F9F2E7" w:rsidR="00903478" w:rsidRPr="0098262F" w:rsidRDefault="00903478" w:rsidP="005F6A8E">
            <w:pPr>
              <w:pStyle w:val="TableText0"/>
              <w:jc w:val="center"/>
            </w:pPr>
            <w:r>
              <w:t>Pregnancy, treatment discontinuation, (medical and non-medical reasons separated)</w:t>
            </w:r>
            <w:r w:rsidR="006458F5">
              <w:t>.</w:t>
            </w:r>
          </w:p>
        </w:tc>
      </w:tr>
      <w:tr w:rsidR="00903478" w:rsidRPr="0098262F" w14:paraId="7A5BED1F" w14:textId="77777777" w:rsidTr="005F6A8E">
        <w:trPr>
          <w:cantSplit/>
        </w:trPr>
        <w:tc>
          <w:tcPr>
            <w:tcW w:w="693" w:type="pct"/>
            <w:shd w:val="clear" w:color="auto" w:fill="auto"/>
            <w:vAlign w:val="center"/>
          </w:tcPr>
          <w:p w14:paraId="2D28BE67" w14:textId="75826CE3" w:rsidR="00903478" w:rsidRPr="0098262F" w:rsidRDefault="00903478" w:rsidP="005F6A8E">
            <w:pPr>
              <w:pStyle w:val="TableText0"/>
              <w:keepNext w:val="0"/>
              <w:keepLines w:val="0"/>
              <w:widowControl w:val="0"/>
            </w:pPr>
            <w:r>
              <w:t>Salem, 1988</w:t>
            </w:r>
          </w:p>
        </w:tc>
        <w:tc>
          <w:tcPr>
            <w:tcW w:w="575" w:type="pct"/>
            <w:shd w:val="clear" w:color="auto" w:fill="auto"/>
            <w:vAlign w:val="center"/>
          </w:tcPr>
          <w:p w14:paraId="0F1D36AF" w14:textId="70E6929F" w:rsidR="00903478" w:rsidRPr="0098262F" w:rsidRDefault="00903478" w:rsidP="005F6A8E">
            <w:pPr>
              <w:pStyle w:val="TableText0"/>
              <w:keepNext w:val="0"/>
              <w:keepLines w:val="0"/>
              <w:widowControl w:val="0"/>
              <w:jc w:val="center"/>
            </w:pPr>
            <w:r>
              <w:t>400</w:t>
            </w:r>
          </w:p>
        </w:tc>
        <w:tc>
          <w:tcPr>
            <w:tcW w:w="1191" w:type="pct"/>
            <w:shd w:val="clear" w:color="auto" w:fill="auto"/>
            <w:vAlign w:val="center"/>
          </w:tcPr>
          <w:p w14:paraId="6EC79311" w14:textId="1E73004A" w:rsidR="00903478" w:rsidRPr="0098262F" w:rsidRDefault="00903478" w:rsidP="005F6A8E">
            <w:pPr>
              <w:pStyle w:val="TableText0"/>
              <w:keepNext w:val="0"/>
              <w:keepLines w:val="0"/>
              <w:widowControl w:val="0"/>
            </w:pPr>
            <w:r>
              <w:t>OL, R (inadequate method) DMPA vs NET-EN; 1 year</w:t>
            </w:r>
            <w:r w:rsidR="006458F5">
              <w:t>.</w:t>
            </w:r>
          </w:p>
        </w:tc>
        <w:tc>
          <w:tcPr>
            <w:tcW w:w="476" w:type="pct"/>
            <w:shd w:val="clear" w:color="auto" w:fill="auto"/>
            <w:vAlign w:val="center"/>
          </w:tcPr>
          <w:p w14:paraId="7961D58E" w14:textId="0647FC97" w:rsidR="00903478" w:rsidRPr="009773BF" w:rsidRDefault="00903478" w:rsidP="005F6A8E">
            <w:pPr>
              <w:pStyle w:val="TableText0"/>
              <w:keepNext w:val="0"/>
              <w:keepLines w:val="0"/>
              <w:widowControl w:val="0"/>
              <w:jc w:val="center"/>
              <w:rPr>
                <w:iCs/>
              </w:rPr>
            </w:pPr>
            <w:r w:rsidRPr="009773BF">
              <w:rPr>
                <w:iCs/>
              </w:rPr>
              <w:t>High</w:t>
            </w:r>
          </w:p>
        </w:tc>
        <w:tc>
          <w:tcPr>
            <w:tcW w:w="1112" w:type="pct"/>
            <w:shd w:val="clear" w:color="auto" w:fill="auto"/>
            <w:vAlign w:val="center"/>
          </w:tcPr>
          <w:p w14:paraId="394A9575" w14:textId="1D39D2FD" w:rsidR="00F00C72" w:rsidRPr="0098262F" w:rsidRDefault="00903478" w:rsidP="005F6A8E">
            <w:pPr>
              <w:pStyle w:val="TableText0"/>
              <w:keepNext w:val="0"/>
              <w:keepLines w:val="0"/>
              <w:widowControl w:val="0"/>
              <w:jc w:val="center"/>
            </w:pPr>
            <w:r>
              <w:t>Healthy women of "proven fertility" aged 18-40.</w:t>
            </w:r>
          </w:p>
        </w:tc>
        <w:tc>
          <w:tcPr>
            <w:tcW w:w="953" w:type="pct"/>
            <w:shd w:val="clear" w:color="auto" w:fill="auto"/>
            <w:vAlign w:val="center"/>
          </w:tcPr>
          <w:p w14:paraId="5C5847E1" w14:textId="312FC833" w:rsidR="00903478" w:rsidRPr="00BF7E84" w:rsidRDefault="00903478" w:rsidP="005F6A8E">
            <w:pPr>
              <w:pStyle w:val="TableText0"/>
              <w:keepNext w:val="0"/>
              <w:keepLines w:val="0"/>
              <w:widowControl w:val="0"/>
              <w:jc w:val="center"/>
            </w:pPr>
            <w:r>
              <w:t>Menstrual pattern,</w:t>
            </w:r>
          </w:p>
          <w:p w14:paraId="7D54807E" w14:textId="1120161C" w:rsidR="00903478" w:rsidRPr="0098262F" w:rsidRDefault="00903478" w:rsidP="005F6A8E">
            <w:pPr>
              <w:pStyle w:val="TableText0"/>
              <w:keepNext w:val="0"/>
              <w:keepLines w:val="0"/>
              <w:widowControl w:val="0"/>
              <w:jc w:val="center"/>
            </w:pPr>
            <w:r w:rsidRPr="00BF7E84">
              <w:t>treatment</w:t>
            </w:r>
            <w:r>
              <w:t xml:space="preserve"> discontinuations.</w:t>
            </w:r>
          </w:p>
        </w:tc>
      </w:tr>
      <w:tr w:rsidR="00903478" w:rsidRPr="0098262F" w14:paraId="14C6822D" w14:textId="77777777" w:rsidTr="005F6A8E">
        <w:trPr>
          <w:cantSplit/>
        </w:trPr>
        <w:tc>
          <w:tcPr>
            <w:tcW w:w="693" w:type="pct"/>
            <w:shd w:val="clear" w:color="auto" w:fill="auto"/>
            <w:vAlign w:val="center"/>
          </w:tcPr>
          <w:p w14:paraId="0F9A7BB3" w14:textId="0AB88D52" w:rsidR="00903478" w:rsidRPr="0098262F" w:rsidRDefault="1FBFB50E" w:rsidP="005F6A8E">
            <w:pPr>
              <w:pStyle w:val="TableText0"/>
              <w:keepNext w:val="0"/>
              <w:keepLines w:val="0"/>
              <w:widowControl w:val="0"/>
            </w:pPr>
            <w:proofErr w:type="spellStart"/>
            <w:r w:rsidRPr="0B5D70EC">
              <w:t>Singata-Madliki</w:t>
            </w:r>
            <w:proofErr w:type="spellEnd"/>
            <w:r w:rsidRPr="0B5D70EC">
              <w:t>, 2024</w:t>
            </w:r>
          </w:p>
        </w:tc>
        <w:tc>
          <w:tcPr>
            <w:tcW w:w="575" w:type="pct"/>
            <w:shd w:val="clear" w:color="auto" w:fill="auto"/>
            <w:vAlign w:val="center"/>
          </w:tcPr>
          <w:p w14:paraId="34884517" w14:textId="3EAD2956" w:rsidR="00903478" w:rsidRPr="0098262F" w:rsidRDefault="00903478" w:rsidP="005F6A8E">
            <w:pPr>
              <w:pStyle w:val="TableText0"/>
              <w:keepNext w:val="0"/>
              <w:keepLines w:val="0"/>
              <w:widowControl w:val="0"/>
              <w:jc w:val="center"/>
            </w:pPr>
            <w:r>
              <w:t>521</w:t>
            </w:r>
            <w:r w:rsidR="004B4FA6">
              <w:t xml:space="preserve"> (453 completed the study)</w:t>
            </w:r>
          </w:p>
        </w:tc>
        <w:tc>
          <w:tcPr>
            <w:tcW w:w="1191" w:type="pct"/>
            <w:shd w:val="clear" w:color="auto" w:fill="auto"/>
            <w:vAlign w:val="center"/>
          </w:tcPr>
          <w:p w14:paraId="6ACF4CA2" w14:textId="6AE6EB8A" w:rsidR="00903478" w:rsidRPr="0098262F" w:rsidRDefault="00903478" w:rsidP="005F6A8E">
            <w:pPr>
              <w:pStyle w:val="TableText0"/>
              <w:keepNext w:val="0"/>
              <w:keepLines w:val="0"/>
              <w:widowControl w:val="0"/>
            </w:pPr>
            <w:r>
              <w:t xml:space="preserve">OL, R, DMPA vs NET-EN, </w:t>
            </w:r>
            <w:r w:rsidR="004B4AB2">
              <w:t>25 weeks</w:t>
            </w:r>
            <w:r w:rsidR="00DF534D">
              <w:t>.</w:t>
            </w:r>
          </w:p>
        </w:tc>
        <w:tc>
          <w:tcPr>
            <w:tcW w:w="476" w:type="pct"/>
            <w:shd w:val="clear" w:color="auto" w:fill="auto"/>
            <w:vAlign w:val="center"/>
          </w:tcPr>
          <w:p w14:paraId="2DBBD56B" w14:textId="686687A4" w:rsidR="00903478" w:rsidRPr="009773BF" w:rsidRDefault="00903478" w:rsidP="005F6A8E">
            <w:pPr>
              <w:pStyle w:val="TableText0"/>
              <w:keepNext w:val="0"/>
              <w:keepLines w:val="0"/>
              <w:widowControl w:val="0"/>
              <w:jc w:val="center"/>
              <w:rPr>
                <w:iCs/>
              </w:rPr>
            </w:pPr>
            <w:r w:rsidRPr="009773BF">
              <w:rPr>
                <w:iCs/>
              </w:rPr>
              <w:t>Unclear</w:t>
            </w:r>
          </w:p>
        </w:tc>
        <w:tc>
          <w:tcPr>
            <w:tcW w:w="1112" w:type="pct"/>
            <w:shd w:val="clear" w:color="auto" w:fill="auto"/>
            <w:vAlign w:val="center"/>
          </w:tcPr>
          <w:p w14:paraId="19F7395F" w14:textId="1D460874" w:rsidR="00A10875" w:rsidRPr="0098262F" w:rsidRDefault="00903478" w:rsidP="005F6A8E">
            <w:pPr>
              <w:pStyle w:val="TableText0"/>
              <w:keepNext w:val="0"/>
              <w:keepLines w:val="0"/>
              <w:widowControl w:val="0"/>
              <w:jc w:val="center"/>
            </w:pPr>
            <w:r>
              <w:t>Women aged 18-40</w:t>
            </w:r>
            <w:r w:rsidR="00AA06F1">
              <w:t> years</w:t>
            </w:r>
            <w:r>
              <w:t>, requesting injectable contraception</w:t>
            </w:r>
            <w:r w:rsidR="00814247">
              <w:t xml:space="preserve">, </w:t>
            </w:r>
            <w:r w:rsidR="00137C6B" w:rsidRPr="00BF7E84">
              <w:t>intending to use contraception for ≥18 months</w:t>
            </w:r>
            <w:r w:rsidRPr="00BF7E84">
              <w:t xml:space="preserve"> and</w:t>
            </w:r>
            <w:r>
              <w:t xml:space="preserve"> declining pre-exposure prophylaxis for HIV</w:t>
            </w:r>
            <w:r w:rsidR="00484C43">
              <w:t>.</w:t>
            </w:r>
          </w:p>
        </w:tc>
        <w:tc>
          <w:tcPr>
            <w:tcW w:w="953" w:type="pct"/>
            <w:shd w:val="clear" w:color="auto" w:fill="auto"/>
            <w:vAlign w:val="center"/>
          </w:tcPr>
          <w:p w14:paraId="3C60C0A3" w14:textId="0189CE1B" w:rsidR="00903478" w:rsidRPr="0098262F" w:rsidRDefault="00A85CB0" w:rsidP="005F6A8E">
            <w:pPr>
              <w:pStyle w:val="TableText0"/>
              <w:keepNext w:val="0"/>
              <w:keepLines w:val="0"/>
              <w:widowControl w:val="0"/>
              <w:jc w:val="center"/>
            </w:pPr>
            <w:r>
              <w:t xml:space="preserve">Primary outcome: </w:t>
            </w:r>
            <w:r w:rsidR="00595AC9">
              <w:t>17β e</w:t>
            </w:r>
            <w:r w:rsidR="00903478">
              <w:t>stradiol levels, depression</w:t>
            </w:r>
            <w:r w:rsidR="005F2BBA">
              <w:t xml:space="preserve"> </w:t>
            </w:r>
            <w:r w:rsidR="005F2BBA" w:rsidRPr="00BF7E84">
              <w:t>score</w:t>
            </w:r>
            <w:r w:rsidR="00644D63" w:rsidRPr="00BF7E84">
              <w:t>.</w:t>
            </w:r>
          </w:p>
        </w:tc>
      </w:tr>
      <w:tr w:rsidR="00903478" w:rsidRPr="0098262F" w14:paraId="0B43028F" w14:textId="77777777" w:rsidTr="005F6A8E">
        <w:trPr>
          <w:cantSplit/>
        </w:trPr>
        <w:tc>
          <w:tcPr>
            <w:tcW w:w="693" w:type="pct"/>
            <w:shd w:val="clear" w:color="auto" w:fill="auto"/>
            <w:vAlign w:val="center"/>
          </w:tcPr>
          <w:p w14:paraId="2F1E68E0" w14:textId="75F248F3" w:rsidR="00903478" w:rsidRPr="0098262F" w:rsidRDefault="00903478" w:rsidP="005F6A8E">
            <w:pPr>
              <w:pStyle w:val="TableText0"/>
              <w:keepNext w:val="0"/>
              <w:keepLines w:val="0"/>
              <w:widowControl w:val="0"/>
            </w:pPr>
            <w:r>
              <w:t>Swenson, 1980</w:t>
            </w:r>
          </w:p>
        </w:tc>
        <w:tc>
          <w:tcPr>
            <w:tcW w:w="575" w:type="pct"/>
            <w:shd w:val="clear" w:color="auto" w:fill="auto"/>
            <w:vAlign w:val="center"/>
          </w:tcPr>
          <w:p w14:paraId="3CAA18FD" w14:textId="3CC2840D" w:rsidR="00903478" w:rsidRPr="0098262F" w:rsidRDefault="00903478" w:rsidP="005F6A8E">
            <w:pPr>
              <w:pStyle w:val="TableText0"/>
              <w:keepNext w:val="0"/>
              <w:keepLines w:val="0"/>
              <w:widowControl w:val="0"/>
              <w:jc w:val="center"/>
            </w:pPr>
            <w:r>
              <w:t xml:space="preserve">239 </w:t>
            </w:r>
          </w:p>
        </w:tc>
        <w:tc>
          <w:tcPr>
            <w:tcW w:w="1191" w:type="pct"/>
            <w:shd w:val="clear" w:color="auto" w:fill="auto"/>
            <w:vAlign w:val="center"/>
          </w:tcPr>
          <w:p w14:paraId="648D83EA" w14:textId="1934BE8D" w:rsidR="00903478" w:rsidRPr="0098262F" w:rsidRDefault="1FBFB50E" w:rsidP="005F6A8E">
            <w:pPr>
              <w:pStyle w:val="TableText0"/>
              <w:keepNext w:val="0"/>
              <w:keepLines w:val="0"/>
              <w:widowControl w:val="0"/>
            </w:pPr>
            <w:r w:rsidRPr="0B5D70EC">
              <w:t>OL, R (method not stated); randomised 1:1 DMPA vs NET-EN but 133 received DMPA and 106 NET-EN, because for a time supplies of NET-EN ran out and for that period all women were given DMPA; 1</w:t>
            </w:r>
            <w:r w:rsidR="005D41F3">
              <w:t> </w:t>
            </w:r>
            <w:r w:rsidRPr="0B5D70EC">
              <w:t xml:space="preserve">year but 47% completed 6 months and 12% one year.  </w:t>
            </w:r>
          </w:p>
        </w:tc>
        <w:tc>
          <w:tcPr>
            <w:tcW w:w="476" w:type="pct"/>
            <w:shd w:val="clear" w:color="auto" w:fill="auto"/>
            <w:vAlign w:val="center"/>
          </w:tcPr>
          <w:p w14:paraId="240A9854" w14:textId="7065DA1D" w:rsidR="00903478" w:rsidRPr="009773BF" w:rsidRDefault="00903478" w:rsidP="005F6A8E">
            <w:pPr>
              <w:pStyle w:val="TableText0"/>
              <w:keepNext w:val="0"/>
              <w:keepLines w:val="0"/>
              <w:widowControl w:val="0"/>
              <w:jc w:val="center"/>
              <w:rPr>
                <w:iCs/>
              </w:rPr>
            </w:pPr>
            <w:r w:rsidRPr="009773BF">
              <w:rPr>
                <w:iCs/>
              </w:rPr>
              <w:t>High</w:t>
            </w:r>
          </w:p>
        </w:tc>
        <w:tc>
          <w:tcPr>
            <w:tcW w:w="1112" w:type="pct"/>
            <w:shd w:val="clear" w:color="auto" w:fill="auto"/>
            <w:vAlign w:val="center"/>
          </w:tcPr>
          <w:p w14:paraId="45828CB5" w14:textId="2FCBF982" w:rsidR="00DD2737" w:rsidRPr="0098262F" w:rsidRDefault="00903478" w:rsidP="005F6A8E">
            <w:pPr>
              <w:pStyle w:val="TableText0"/>
              <w:keepNext w:val="0"/>
              <w:keepLines w:val="0"/>
              <w:widowControl w:val="0"/>
              <w:jc w:val="center"/>
            </w:pPr>
            <w:r>
              <w:t>Women</w:t>
            </w:r>
            <w:r w:rsidR="00CD452F">
              <w:t xml:space="preserve"> </w:t>
            </w:r>
            <w:r w:rsidR="00484C43">
              <w:t>agreeing</w:t>
            </w:r>
            <w:r w:rsidR="00CD452F">
              <w:t xml:space="preserve"> to receive an injectable contraceptive</w:t>
            </w:r>
            <w:r>
              <w:t xml:space="preserve"> with at least one living child</w:t>
            </w:r>
            <w:r w:rsidR="00DD2737">
              <w:t>.</w:t>
            </w:r>
          </w:p>
        </w:tc>
        <w:tc>
          <w:tcPr>
            <w:tcW w:w="953" w:type="pct"/>
            <w:shd w:val="clear" w:color="auto" w:fill="auto"/>
            <w:vAlign w:val="center"/>
          </w:tcPr>
          <w:p w14:paraId="3C5CCC74" w14:textId="29EEC781" w:rsidR="00903478" w:rsidRPr="0098262F" w:rsidRDefault="00903478" w:rsidP="005F6A8E">
            <w:pPr>
              <w:pStyle w:val="TableText0"/>
              <w:keepNext w:val="0"/>
              <w:keepLines w:val="0"/>
              <w:widowControl w:val="0"/>
              <w:jc w:val="center"/>
            </w:pPr>
            <w:r>
              <w:t xml:space="preserve">Menstrual pattern, treatment discontinuations, pregnancy </w:t>
            </w:r>
            <w:r w:rsidR="00B67506">
              <w:t>rates</w:t>
            </w:r>
            <w:r w:rsidR="00CB2193">
              <w:t>.</w:t>
            </w:r>
          </w:p>
        </w:tc>
      </w:tr>
    </w:tbl>
    <w:p w14:paraId="560080D2" w14:textId="692FFCF3" w:rsidR="00045017" w:rsidRPr="0098262F" w:rsidRDefault="00045017" w:rsidP="009A3E29">
      <w:pPr>
        <w:pStyle w:val="FooterTableFigure"/>
        <w:widowControl w:val="0"/>
      </w:pPr>
      <w:r w:rsidRPr="0098262F">
        <w:t xml:space="preserve">Source: </w:t>
      </w:r>
      <w:r w:rsidR="008F32EA">
        <w:t>Constructed during the evaluation</w:t>
      </w:r>
      <w:r w:rsidR="00273240">
        <w:t xml:space="preserve"> from the published reports</w:t>
      </w:r>
      <w:r w:rsidR="008F32EA">
        <w:t xml:space="preserve">. </w:t>
      </w:r>
    </w:p>
    <w:p w14:paraId="1095487C" w14:textId="267C8460" w:rsidR="00620C25" w:rsidRDefault="310D55F8" w:rsidP="009A3E29">
      <w:pPr>
        <w:pStyle w:val="FooterTableFigure"/>
        <w:widowControl w:val="0"/>
      </w:pPr>
      <w:r w:rsidRPr="0B5D70EC">
        <w:t xml:space="preserve">BMI = body mass index; CBG = cortisol binding globulin; COC = combined oral contraceptive; </w:t>
      </w:r>
      <w:r w:rsidR="5EB040CB" w:rsidRPr="0B5D70EC">
        <w:t xml:space="preserve">Cu = copper; </w:t>
      </w:r>
      <w:r w:rsidRPr="0B5D70EC">
        <w:t>CVR = contraceptive vaginal ring; DHEA = dehydroepiandrosterone; DMPA = depot medroxyprogesterone acetate; Hb = h</w:t>
      </w:r>
      <w:r w:rsidR="00A964F9">
        <w:t>a</w:t>
      </w:r>
      <w:r w:rsidRPr="0B5D70EC">
        <w:t xml:space="preserve">emoglobin; HIV = human immunodeficiency virus; ITT = intention to treat; </w:t>
      </w:r>
      <w:r w:rsidR="5EB040CB" w:rsidRPr="0B5D70EC">
        <w:t xml:space="preserve">IUD = intrauterine device; </w:t>
      </w:r>
      <w:r w:rsidRPr="0B5D70EC">
        <w:t>LARC = long-acting re</w:t>
      </w:r>
      <w:r w:rsidR="5EB040CB" w:rsidRPr="0B5D70EC">
        <w:t xml:space="preserve">versible contraceptive; </w:t>
      </w:r>
      <w:r w:rsidR="6347DF75" w:rsidRPr="0B5D70EC">
        <w:t xml:space="preserve">MC = multi-centre; </w:t>
      </w:r>
      <w:r w:rsidRPr="0B5D70EC">
        <w:t>NET-EN</w:t>
      </w:r>
      <w:r w:rsidR="00954444">
        <w:t> </w:t>
      </w:r>
      <w:r w:rsidRPr="0B5D70EC">
        <w:t>=</w:t>
      </w:r>
      <w:r w:rsidR="00954444">
        <w:t> </w:t>
      </w:r>
      <w:r w:rsidRPr="0B5D70EC">
        <w:t xml:space="preserve">norethisterone enanthate; </w:t>
      </w:r>
      <w:r w:rsidR="6347DF75" w:rsidRPr="0B5D70EC">
        <w:t>OL = open label; R = randomised</w:t>
      </w:r>
      <w:r w:rsidRPr="0B5D70EC">
        <w:t xml:space="preserve">; </w:t>
      </w:r>
      <w:r w:rsidR="5EB040CB" w:rsidRPr="0B5D70EC">
        <w:t xml:space="preserve">SARC = short-acting reversible contraceptive; </w:t>
      </w:r>
      <w:r w:rsidRPr="0B5D70EC">
        <w:t>TSH = thyroid stimulating hormone</w:t>
      </w:r>
      <w:r w:rsidR="6347DF75" w:rsidRPr="0B5D70EC">
        <w:t>.</w:t>
      </w:r>
    </w:p>
    <w:p w14:paraId="32125D54" w14:textId="19ABB325" w:rsidR="009773BF" w:rsidRPr="0098262F" w:rsidRDefault="009773BF" w:rsidP="0B5D70EC">
      <w:pPr>
        <w:pStyle w:val="FooterTableFigure"/>
        <w:rPr>
          <w:sz w:val="20"/>
          <w:szCs w:val="20"/>
        </w:rPr>
      </w:pPr>
      <w:r>
        <w:t>*Added during evaluation</w:t>
      </w:r>
    </w:p>
    <w:p w14:paraId="1D5ED931" w14:textId="77777777" w:rsidR="00896E34" w:rsidRPr="00896E34" w:rsidRDefault="00F6391B">
      <w:pPr>
        <w:pStyle w:val="3-BodyText"/>
      </w:pPr>
      <w:r w:rsidRPr="009773BF">
        <w:rPr>
          <w:color w:val="000000" w:themeColor="text1"/>
        </w:rPr>
        <w:t>There were major methodological issues with most of these studies (</w:t>
      </w:r>
      <w:r w:rsidRPr="009773BF">
        <w:t>see</w:t>
      </w:r>
      <w:r w:rsidR="00E4041C" w:rsidRPr="009773BF">
        <w:t xml:space="preserve"> </w:t>
      </w:r>
      <w:r w:rsidR="00E4041C" w:rsidRPr="009773BF">
        <w:rPr>
          <w:highlight w:val="yellow"/>
        </w:rPr>
        <w:fldChar w:fldCharType="begin"/>
      </w:r>
      <w:r w:rsidR="00E4041C" w:rsidRPr="009773BF">
        <w:instrText xml:space="preserve"> REF _Ref188958227 \h </w:instrText>
      </w:r>
      <w:r w:rsidR="00E4041C" w:rsidRPr="009773BF">
        <w:rPr>
          <w:highlight w:val="yellow"/>
        </w:rPr>
        <w:instrText xml:space="preserve"> \* MERGEFORMAT </w:instrText>
      </w:r>
      <w:r w:rsidR="00E4041C" w:rsidRPr="009773BF">
        <w:rPr>
          <w:highlight w:val="yellow"/>
        </w:rPr>
      </w:r>
      <w:r w:rsidR="00E4041C" w:rsidRPr="009773BF">
        <w:rPr>
          <w:highlight w:val="yellow"/>
        </w:rPr>
        <w:fldChar w:fldCharType="separate"/>
      </w:r>
    </w:p>
    <w:p w14:paraId="55E205C0" w14:textId="68FC4676" w:rsidR="00F6391B" w:rsidRPr="009773BF" w:rsidRDefault="00896E34" w:rsidP="00EC5836">
      <w:pPr>
        <w:pStyle w:val="3-BodyText"/>
        <w:rPr>
          <w:color w:val="000000" w:themeColor="text1"/>
        </w:rPr>
      </w:pPr>
      <w:r w:rsidRPr="00E61097">
        <w:rPr>
          <w:rStyle w:val="CommentReference"/>
          <w:szCs w:val="24"/>
        </w:rPr>
        <w:t xml:space="preserve">Table </w:t>
      </w:r>
      <w:r>
        <w:rPr>
          <w:rStyle w:val="CommentReference"/>
          <w:noProof/>
          <w:szCs w:val="24"/>
        </w:rPr>
        <w:t>3</w:t>
      </w:r>
      <w:r w:rsidR="00E4041C" w:rsidRPr="009773BF">
        <w:rPr>
          <w:highlight w:val="yellow"/>
        </w:rPr>
        <w:fldChar w:fldCharType="end"/>
      </w:r>
      <w:r w:rsidR="00F6391B" w:rsidRPr="009773BF">
        <w:t>).</w:t>
      </w:r>
      <w:r w:rsidR="00F6391B" w:rsidRPr="009773BF">
        <w:rPr>
          <w:color w:val="000000" w:themeColor="text1"/>
        </w:rPr>
        <w:t xml:space="preserve"> </w:t>
      </w:r>
    </w:p>
    <w:p w14:paraId="49951F53" w14:textId="2B87CEE4" w:rsidR="00F6391B" w:rsidRPr="009773BF" w:rsidRDefault="1FD45D73" w:rsidP="0B5D70EC">
      <w:pPr>
        <w:pStyle w:val="3-BodyText"/>
        <w:rPr>
          <w:color w:val="000000" w:themeColor="text1"/>
        </w:rPr>
      </w:pPr>
      <w:r w:rsidRPr="009773BF">
        <w:rPr>
          <w:color w:val="000000" w:themeColor="text1"/>
        </w:rPr>
        <w:t xml:space="preserve">As well as all trials being open label, the methods of randomisation were either not stated or inadequate in all except Oddsson </w:t>
      </w:r>
      <w:r w:rsidR="00CA1E23" w:rsidRPr="009773BF">
        <w:rPr>
          <w:color w:val="000000" w:themeColor="text1"/>
        </w:rPr>
        <w:t>(</w:t>
      </w:r>
      <w:r w:rsidRPr="009773BF">
        <w:rPr>
          <w:color w:val="000000" w:themeColor="text1"/>
        </w:rPr>
        <w:t>2005a,</w:t>
      </w:r>
      <w:r w:rsidR="00CA1E23" w:rsidRPr="009773BF">
        <w:rPr>
          <w:color w:val="000000" w:themeColor="text1"/>
        </w:rPr>
        <w:t xml:space="preserve"> 2005</w:t>
      </w:r>
      <w:r w:rsidRPr="009773BF">
        <w:rPr>
          <w:color w:val="000000" w:themeColor="text1"/>
        </w:rPr>
        <w:t>b</w:t>
      </w:r>
      <w:r w:rsidR="00CA1E23" w:rsidRPr="009773BF">
        <w:rPr>
          <w:color w:val="000000" w:themeColor="text1"/>
        </w:rPr>
        <w:t>)</w:t>
      </w:r>
      <w:r w:rsidRPr="009773BF">
        <w:rPr>
          <w:color w:val="000000" w:themeColor="text1"/>
        </w:rPr>
        <w:t xml:space="preserve"> and </w:t>
      </w:r>
      <w:proofErr w:type="spellStart"/>
      <w:r w:rsidRPr="009773BF">
        <w:rPr>
          <w:color w:val="000000" w:themeColor="text1"/>
        </w:rPr>
        <w:t>Singata-Madliki</w:t>
      </w:r>
      <w:proofErr w:type="spellEnd"/>
      <w:r w:rsidRPr="009773BF">
        <w:rPr>
          <w:color w:val="000000" w:themeColor="text1"/>
        </w:rPr>
        <w:t xml:space="preserve"> </w:t>
      </w:r>
      <w:r w:rsidR="00046807" w:rsidRPr="009773BF">
        <w:rPr>
          <w:color w:val="000000" w:themeColor="text1"/>
        </w:rPr>
        <w:t>(</w:t>
      </w:r>
      <w:r w:rsidRPr="009773BF">
        <w:rPr>
          <w:color w:val="000000" w:themeColor="text1"/>
        </w:rPr>
        <w:t>2024</w:t>
      </w:r>
      <w:r w:rsidR="00046807" w:rsidRPr="009773BF">
        <w:rPr>
          <w:color w:val="000000" w:themeColor="text1"/>
        </w:rPr>
        <w:t>)</w:t>
      </w:r>
      <w:r w:rsidRPr="009773BF">
        <w:rPr>
          <w:color w:val="000000" w:themeColor="text1"/>
        </w:rPr>
        <w:t xml:space="preserve">. </w:t>
      </w:r>
    </w:p>
    <w:p w14:paraId="276E08AE" w14:textId="482CFF0E" w:rsidR="00F6391B" w:rsidRPr="009773BF" w:rsidRDefault="00F6391B" w:rsidP="00EC5836">
      <w:pPr>
        <w:pStyle w:val="3-BodyText"/>
        <w:rPr>
          <w:color w:val="000000" w:themeColor="text1"/>
        </w:rPr>
      </w:pPr>
      <w:r w:rsidRPr="009773BF">
        <w:rPr>
          <w:color w:val="000000" w:themeColor="text1"/>
        </w:rPr>
        <w:t xml:space="preserve">Hubacher </w:t>
      </w:r>
      <w:r w:rsidR="00046807" w:rsidRPr="009773BF">
        <w:rPr>
          <w:color w:val="000000" w:themeColor="text1"/>
        </w:rPr>
        <w:t>(</w:t>
      </w:r>
      <w:r w:rsidRPr="009773BF">
        <w:rPr>
          <w:color w:val="000000" w:themeColor="text1"/>
        </w:rPr>
        <w:t>2017, 2018</w:t>
      </w:r>
      <w:r w:rsidR="00046807" w:rsidRPr="009773BF">
        <w:rPr>
          <w:color w:val="000000" w:themeColor="text1"/>
        </w:rPr>
        <w:t>)</w:t>
      </w:r>
      <w:r w:rsidRPr="009773BF">
        <w:rPr>
          <w:color w:val="000000" w:themeColor="text1"/>
        </w:rPr>
        <w:t xml:space="preserve"> was not a randomised comparison of COC and DMPA. </w:t>
      </w:r>
    </w:p>
    <w:p w14:paraId="309F0192" w14:textId="5E2637C8" w:rsidR="001D30AE" w:rsidRPr="009773BF" w:rsidRDefault="246D5425" w:rsidP="0B5D70EC">
      <w:pPr>
        <w:pStyle w:val="3-BodyText"/>
        <w:rPr>
          <w:rFonts w:ascii="Arial Narrow" w:hAnsi="Arial Narrow"/>
          <w:b/>
          <w:bCs/>
          <w:sz w:val="20"/>
          <w:szCs w:val="20"/>
        </w:rPr>
      </w:pPr>
      <w:r w:rsidRPr="009773BF">
        <w:rPr>
          <w:color w:val="000000" w:themeColor="text1"/>
        </w:rPr>
        <w:t>The purpose of th</w:t>
      </w:r>
      <w:r w:rsidR="58F0EBCC" w:rsidRPr="009773BF">
        <w:rPr>
          <w:color w:val="000000" w:themeColor="text1"/>
        </w:rPr>
        <w:t>e Hubacher</w:t>
      </w:r>
      <w:r w:rsidRPr="009773BF">
        <w:rPr>
          <w:color w:val="000000" w:themeColor="text1"/>
        </w:rPr>
        <w:t xml:space="preserve"> study was to test the hypothesis that many women who do not intend to use long-acting reversible contraception (LARC) might find it</w:t>
      </w:r>
      <w:r w:rsidRPr="0B5D70EC">
        <w:rPr>
          <w:i/>
          <w:iCs/>
          <w:color w:val="000000" w:themeColor="text1"/>
        </w:rPr>
        <w:t xml:space="preserve"> </w:t>
      </w:r>
      <w:r w:rsidRPr="009773BF">
        <w:rPr>
          <w:color w:val="000000" w:themeColor="text1"/>
        </w:rPr>
        <w:t xml:space="preserve">acceptable or preferable if they could be persuaded to try it. Women who presented for contraception and stated either that they wished to use COCs or that they wished to use DMPA were recruited; those who had previously used LARC were excluded. Patients could enter the trial but use the method they had sought </w:t>
      </w:r>
      <w:r w:rsidR="00893A62" w:rsidRPr="009773BF">
        <w:rPr>
          <w:color w:val="000000" w:themeColor="text1"/>
        </w:rPr>
        <w:t>–</w:t>
      </w:r>
      <w:r w:rsidRPr="009773BF">
        <w:rPr>
          <w:color w:val="000000" w:themeColor="text1"/>
        </w:rPr>
        <w:t xml:space="preserve"> COCs or DMPA </w:t>
      </w:r>
      <w:r w:rsidR="00893A62" w:rsidRPr="009773BF">
        <w:rPr>
          <w:color w:val="000000" w:themeColor="text1"/>
        </w:rPr>
        <w:t>–</w:t>
      </w:r>
      <w:r w:rsidRPr="009773BF">
        <w:rPr>
          <w:color w:val="000000" w:themeColor="text1"/>
        </w:rPr>
        <w:t xml:space="preserve"> </w:t>
      </w:r>
      <w:r w:rsidRPr="009773BF">
        <w:rPr>
          <w:color w:val="000000" w:themeColor="text1"/>
        </w:rPr>
        <w:lastRenderedPageBreak/>
        <w:t>in which case they paid for it as normal; 524/916 (57.2%) patients chose this option. If patients agreed to be randomised, the randomised treatment was provided free of charge for one year; 392/916 (42.8%) patients agreed to be randomised, of whom 60% did so because the treatment was free. Randomisation was to SARC vs LARC; patients randomised to SARC chose between COCs and DMPA, and those randomised to LARC chose between subdermal implant, levonorgestrel IUD, or copper IUD. Of 524 patients choosing not to be randomised 423/524 (80.7%) used COCs and 99/524 (18.9%) used DMPA; of 198 patients randomised to SARC, 147/198 (74.2%) chose COC and 48/198 (24.2%) chose DMPA.</w:t>
      </w:r>
      <w:r w:rsidR="001D30AE" w:rsidRPr="009773BF">
        <w:rPr>
          <w:rStyle w:val="FootnoteReference"/>
          <w:color w:val="000000" w:themeColor="text1"/>
        </w:rPr>
        <w:footnoteReference w:id="20"/>
      </w:r>
      <w:r w:rsidRPr="009773BF">
        <w:rPr>
          <w:color w:val="000000" w:themeColor="text1"/>
        </w:rPr>
        <w:t xml:space="preserve">  </w:t>
      </w:r>
    </w:p>
    <w:p w14:paraId="71793B9D" w14:textId="7B42E5F9" w:rsidR="00F6391B" w:rsidRPr="009773BF" w:rsidRDefault="246D5425" w:rsidP="0B5D70EC">
      <w:pPr>
        <w:pStyle w:val="3-BodyText"/>
        <w:rPr>
          <w:rFonts w:ascii="Arial Narrow" w:hAnsi="Arial Narrow"/>
          <w:b/>
          <w:bCs/>
          <w:sz w:val="20"/>
          <w:szCs w:val="20"/>
        </w:rPr>
      </w:pPr>
      <w:r w:rsidRPr="009773BF">
        <w:rPr>
          <w:color w:val="000000" w:themeColor="text1"/>
        </w:rPr>
        <w:t>Patients</w:t>
      </w:r>
      <w:r w:rsidR="1FD45D73" w:rsidRPr="009773BF">
        <w:rPr>
          <w:color w:val="000000" w:themeColor="text1"/>
        </w:rPr>
        <w:t xml:space="preserve"> were free to switch between contraceptive modalities or to stop using any method while remaining in the trial, but pregnancies were counted against the method they started on, not the method (if any) they were using when they conceived. This was reasonable, given the aim of the study, but it means that the reported pregnancy rate may be an over-estimate if patients discontinuing a method stopped using any contraception, or an under-estimate if the patients switched to a more effective method. This would especially affect methods with a high rate of discontinuation, i</w:t>
      </w:r>
      <w:r w:rsidR="00A82AA8" w:rsidRPr="009773BF">
        <w:rPr>
          <w:color w:val="000000" w:themeColor="text1"/>
        </w:rPr>
        <w:t>.</w:t>
      </w:r>
      <w:r w:rsidR="1FD45D73" w:rsidRPr="009773BF">
        <w:rPr>
          <w:color w:val="000000" w:themeColor="text1"/>
        </w:rPr>
        <w:t>e</w:t>
      </w:r>
      <w:r w:rsidR="00A82AA8" w:rsidRPr="009773BF">
        <w:rPr>
          <w:color w:val="000000" w:themeColor="text1"/>
        </w:rPr>
        <w:t>.</w:t>
      </w:r>
      <w:r w:rsidR="1FD45D73" w:rsidRPr="009773BF">
        <w:rPr>
          <w:color w:val="000000" w:themeColor="text1"/>
        </w:rPr>
        <w:t>,</w:t>
      </w:r>
      <w:r w:rsidR="00A82AA8" w:rsidRPr="009773BF">
        <w:rPr>
          <w:color w:val="000000" w:themeColor="text1"/>
        </w:rPr>
        <w:t> </w:t>
      </w:r>
      <w:r w:rsidR="1FD45D73" w:rsidRPr="009773BF">
        <w:rPr>
          <w:color w:val="000000" w:themeColor="text1"/>
        </w:rPr>
        <w:t xml:space="preserve">DMPA. </w:t>
      </w:r>
    </w:p>
    <w:p w14:paraId="1281CBC8" w14:textId="4F8531C9" w:rsidR="00F6391B" w:rsidRPr="009773BF" w:rsidRDefault="1FD45D73" w:rsidP="0B5D70EC">
      <w:pPr>
        <w:pStyle w:val="3-BodyText"/>
        <w:rPr>
          <w:rFonts w:ascii="Arial Narrow" w:hAnsi="Arial Narrow"/>
          <w:b/>
          <w:bCs/>
          <w:sz w:val="20"/>
          <w:szCs w:val="20"/>
        </w:rPr>
      </w:pPr>
      <w:r w:rsidRPr="009773BF">
        <w:rPr>
          <w:color w:val="000000" w:themeColor="text1"/>
        </w:rPr>
        <w:t xml:space="preserve">That this may have influenced the results is suggested by a study intended to promote LARC use in a similar population to that of Hubacher </w:t>
      </w:r>
      <w:r w:rsidR="00237B3B" w:rsidRPr="009773BF">
        <w:rPr>
          <w:color w:val="000000" w:themeColor="text1"/>
        </w:rPr>
        <w:t>(</w:t>
      </w:r>
      <w:r w:rsidRPr="009773BF">
        <w:rPr>
          <w:color w:val="000000" w:themeColor="text1"/>
        </w:rPr>
        <w:t>2017, 2018</w:t>
      </w:r>
      <w:r w:rsidR="00237B3B" w:rsidRPr="009773BF">
        <w:rPr>
          <w:color w:val="000000" w:themeColor="text1"/>
        </w:rPr>
        <w:t>)</w:t>
      </w:r>
      <w:r w:rsidRPr="009773BF">
        <w:rPr>
          <w:color w:val="000000" w:themeColor="text1"/>
        </w:rPr>
        <w:t>, in which 7</w:t>
      </w:r>
      <w:r w:rsidR="00237B3B" w:rsidRPr="009773BF">
        <w:rPr>
          <w:color w:val="000000" w:themeColor="text1"/>
        </w:rPr>
        <w:t>,</w:t>
      </w:r>
      <w:r w:rsidRPr="009773BF">
        <w:rPr>
          <w:color w:val="000000" w:themeColor="text1"/>
        </w:rPr>
        <w:t>486</w:t>
      </w:r>
      <w:r w:rsidR="00237B3B" w:rsidRPr="009773BF">
        <w:rPr>
          <w:color w:val="000000" w:themeColor="text1"/>
        </w:rPr>
        <w:t> </w:t>
      </w:r>
      <w:r w:rsidRPr="009773BF">
        <w:rPr>
          <w:color w:val="000000" w:themeColor="text1"/>
        </w:rPr>
        <w:t>women were provided with their choice of contraception at no cost. Patients could switch methods of contraception freely, but those who conceived were asked which, if any, method they were using at the time, and the pregnancy was tallied against that method. In this cohort, there were 156 unintended pregnancies, 21 in women using LARC (</w:t>
      </w:r>
      <w:proofErr w:type="gramStart"/>
      <w:r w:rsidRPr="009773BF">
        <w:rPr>
          <w:color w:val="000000" w:themeColor="text1"/>
        </w:rPr>
        <w:t>0.27/100 woman</w:t>
      </w:r>
      <w:proofErr w:type="gramEnd"/>
      <w:r w:rsidR="00DB42DF" w:rsidRPr="009773BF">
        <w:rPr>
          <w:color w:val="000000" w:themeColor="text1"/>
        </w:rPr>
        <w:t xml:space="preserve"> </w:t>
      </w:r>
      <w:r w:rsidRPr="009773BF">
        <w:rPr>
          <w:color w:val="000000" w:themeColor="text1"/>
        </w:rPr>
        <w:t>years), 2 in women using DMPA (</w:t>
      </w:r>
      <w:proofErr w:type="gramStart"/>
      <w:r w:rsidRPr="009773BF">
        <w:rPr>
          <w:color w:val="000000" w:themeColor="text1"/>
        </w:rPr>
        <w:t>0.22/100</w:t>
      </w:r>
      <w:r w:rsidR="00913653" w:rsidRPr="009773BF">
        <w:rPr>
          <w:color w:val="000000" w:themeColor="text1"/>
        </w:rPr>
        <w:t> </w:t>
      </w:r>
      <w:r w:rsidRPr="009773BF">
        <w:rPr>
          <w:color w:val="000000" w:themeColor="text1"/>
        </w:rPr>
        <w:t>woman</w:t>
      </w:r>
      <w:proofErr w:type="gramEnd"/>
      <w:r w:rsidR="00913653" w:rsidRPr="009773BF">
        <w:rPr>
          <w:color w:val="000000" w:themeColor="text1"/>
        </w:rPr>
        <w:t xml:space="preserve"> </w:t>
      </w:r>
      <w:r w:rsidRPr="009773BF">
        <w:rPr>
          <w:color w:val="000000" w:themeColor="text1"/>
        </w:rPr>
        <w:t>years) and 133 in women using pills/patches/CVR (</w:t>
      </w:r>
      <w:proofErr w:type="gramStart"/>
      <w:r w:rsidRPr="009773BF">
        <w:rPr>
          <w:color w:val="000000" w:themeColor="text1"/>
        </w:rPr>
        <w:t>4.55/100</w:t>
      </w:r>
      <w:r w:rsidR="00913653" w:rsidRPr="009773BF">
        <w:rPr>
          <w:color w:val="000000" w:themeColor="text1"/>
        </w:rPr>
        <w:t> </w:t>
      </w:r>
      <w:r w:rsidRPr="009773BF">
        <w:rPr>
          <w:color w:val="000000" w:themeColor="text1"/>
        </w:rPr>
        <w:t>woman</w:t>
      </w:r>
      <w:proofErr w:type="gramEnd"/>
      <w:r w:rsidR="00913653" w:rsidRPr="009773BF">
        <w:rPr>
          <w:color w:val="000000" w:themeColor="text1"/>
        </w:rPr>
        <w:t xml:space="preserve"> </w:t>
      </w:r>
      <w:r w:rsidRPr="009773BF">
        <w:rPr>
          <w:color w:val="000000" w:themeColor="text1"/>
        </w:rPr>
        <w:t>years).</w:t>
      </w:r>
      <w:r w:rsidR="00F6391B" w:rsidRPr="009773BF">
        <w:rPr>
          <w:rStyle w:val="FootnoteReference"/>
          <w:color w:val="000000" w:themeColor="text1"/>
        </w:rPr>
        <w:footnoteReference w:id="21"/>
      </w:r>
      <w:r w:rsidRPr="009773BF">
        <w:rPr>
          <w:color w:val="000000" w:themeColor="text1"/>
        </w:rPr>
        <w:t xml:space="preserve"> </w:t>
      </w:r>
    </w:p>
    <w:p w14:paraId="1951B6EA" w14:textId="02B29987" w:rsidR="00F6391B" w:rsidRPr="009773BF" w:rsidRDefault="00F6391B" w:rsidP="00EC5836">
      <w:pPr>
        <w:pStyle w:val="3-BodyText"/>
        <w:rPr>
          <w:color w:val="000000" w:themeColor="text1"/>
          <w:lang w:val="en-GB"/>
        </w:rPr>
      </w:pPr>
      <w:r w:rsidRPr="009773BF">
        <w:rPr>
          <w:color w:val="000000" w:themeColor="text1"/>
          <w:lang w:val="en-GB"/>
        </w:rPr>
        <w:t xml:space="preserve">Loss to follow-up was high in several studies, which makes data for pregnancies problematic when very few pregnancies were recorded. In Gill </w:t>
      </w:r>
      <w:r w:rsidR="00913653" w:rsidRPr="009773BF">
        <w:rPr>
          <w:color w:val="000000" w:themeColor="text1"/>
          <w:lang w:val="en-GB"/>
        </w:rPr>
        <w:t>(</w:t>
      </w:r>
      <w:r w:rsidRPr="009773BF">
        <w:rPr>
          <w:color w:val="000000" w:themeColor="text1"/>
          <w:lang w:val="en-GB"/>
        </w:rPr>
        <w:t>2020</w:t>
      </w:r>
      <w:r w:rsidR="00913653" w:rsidRPr="009773BF">
        <w:rPr>
          <w:color w:val="000000" w:themeColor="text1"/>
          <w:lang w:val="en-GB"/>
        </w:rPr>
        <w:t>)</w:t>
      </w:r>
      <w:r w:rsidRPr="009773BF">
        <w:rPr>
          <w:color w:val="000000" w:themeColor="text1"/>
          <w:lang w:val="en-GB"/>
        </w:rPr>
        <w:t xml:space="preserve">, 22/130 (16.9%) patients were lost to follow-up in the first </w:t>
      </w:r>
      <w:proofErr w:type="gramStart"/>
      <w:r w:rsidRPr="009773BF">
        <w:rPr>
          <w:color w:val="000000" w:themeColor="text1"/>
          <w:lang w:val="en-GB"/>
        </w:rPr>
        <w:t>16 week</w:t>
      </w:r>
      <w:proofErr w:type="gramEnd"/>
      <w:r w:rsidRPr="009773BF">
        <w:rPr>
          <w:color w:val="000000" w:themeColor="text1"/>
          <w:lang w:val="en-GB"/>
        </w:rPr>
        <w:t xml:space="preserve"> period and 15/108 (13.9%) in the second 16 weeks. In Salem </w:t>
      </w:r>
      <w:r w:rsidR="00267E12" w:rsidRPr="009773BF">
        <w:rPr>
          <w:color w:val="000000" w:themeColor="text1"/>
          <w:lang w:val="en-GB"/>
        </w:rPr>
        <w:t>(</w:t>
      </w:r>
      <w:r w:rsidRPr="009773BF">
        <w:rPr>
          <w:color w:val="000000" w:themeColor="text1"/>
          <w:lang w:val="en-GB"/>
        </w:rPr>
        <w:t>1980</w:t>
      </w:r>
      <w:r w:rsidR="00267E12" w:rsidRPr="009773BF">
        <w:rPr>
          <w:color w:val="000000" w:themeColor="text1"/>
          <w:lang w:val="en-GB"/>
        </w:rPr>
        <w:t>)</w:t>
      </w:r>
      <w:r w:rsidRPr="009773BF">
        <w:rPr>
          <w:color w:val="000000" w:themeColor="text1"/>
          <w:lang w:val="en-GB"/>
        </w:rPr>
        <w:t xml:space="preserve">, 65/400 (16.2%) were lost to follow up. In Swenson </w:t>
      </w:r>
      <w:r w:rsidR="00DE7D6C" w:rsidRPr="009773BF">
        <w:rPr>
          <w:color w:val="000000" w:themeColor="text1"/>
          <w:lang w:val="en-GB"/>
        </w:rPr>
        <w:t>(</w:t>
      </w:r>
      <w:r w:rsidRPr="009773BF">
        <w:rPr>
          <w:color w:val="000000" w:themeColor="text1"/>
          <w:lang w:val="en-GB"/>
        </w:rPr>
        <w:t>1980</w:t>
      </w:r>
      <w:r w:rsidR="00DE7D6C" w:rsidRPr="009773BF">
        <w:rPr>
          <w:color w:val="000000" w:themeColor="text1"/>
          <w:lang w:val="en-GB"/>
        </w:rPr>
        <w:t>)</w:t>
      </w:r>
      <w:r w:rsidRPr="009773BF">
        <w:rPr>
          <w:color w:val="000000" w:themeColor="text1"/>
          <w:lang w:val="en-GB"/>
        </w:rPr>
        <w:t xml:space="preserve">, only 28/239 (11.7%) were still in the study at one year. </w:t>
      </w:r>
    </w:p>
    <w:p w14:paraId="4E82F62A" w14:textId="7D97C41A" w:rsidR="006830A2" w:rsidRPr="009773BF" w:rsidRDefault="4E91B4D6" w:rsidP="0B5D70EC">
      <w:pPr>
        <w:pStyle w:val="3-BodyText"/>
        <w:rPr>
          <w:color w:val="000000" w:themeColor="text1"/>
        </w:rPr>
      </w:pPr>
      <w:bookmarkStart w:id="22" w:name="_Ref193192177"/>
      <w:r w:rsidRPr="009773BF">
        <w:rPr>
          <w:color w:val="000000" w:themeColor="text1"/>
        </w:rPr>
        <w:t>The trial reported by</w:t>
      </w:r>
      <w:r w:rsidR="3667DB43" w:rsidRPr="009773BF">
        <w:rPr>
          <w:color w:val="000000" w:themeColor="text1"/>
        </w:rPr>
        <w:t xml:space="preserve"> </w:t>
      </w:r>
      <w:proofErr w:type="spellStart"/>
      <w:r w:rsidR="3667DB43" w:rsidRPr="009773BF">
        <w:rPr>
          <w:color w:val="000000" w:themeColor="text1"/>
        </w:rPr>
        <w:t>Benagiano</w:t>
      </w:r>
      <w:proofErr w:type="spellEnd"/>
      <w:r w:rsidR="3667DB43" w:rsidRPr="009773BF">
        <w:rPr>
          <w:color w:val="000000" w:themeColor="text1"/>
        </w:rPr>
        <w:t xml:space="preserve"> </w:t>
      </w:r>
      <w:r w:rsidR="00267E12" w:rsidRPr="009773BF">
        <w:rPr>
          <w:color w:val="000000" w:themeColor="text1"/>
        </w:rPr>
        <w:t>(</w:t>
      </w:r>
      <w:r w:rsidR="3667DB43" w:rsidRPr="009773BF">
        <w:rPr>
          <w:color w:val="000000" w:themeColor="text1"/>
        </w:rPr>
        <w:t>1977, 1978</w:t>
      </w:r>
      <w:r w:rsidR="00267E12" w:rsidRPr="009773BF">
        <w:rPr>
          <w:color w:val="000000" w:themeColor="text1"/>
        </w:rPr>
        <w:t>)</w:t>
      </w:r>
      <w:r w:rsidR="3667DB43" w:rsidRPr="009773BF">
        <w:rPr>
          <w:color w:val="000000" w:themeColor="text1"/>
        </w:rPr>
        <w:t xml:space="preserve"> </w:t>
      </w:r>
      <w:r w:rsidR="1FD45D73" w:rsidRPr="009773BF">
        <w:rPr>
          <w:color w:val="000000" w:themeColor="text1"/>
        </w:rPr>
        <w:t xml:space="preserve">is particularly important because of its size, which means that it dominates the meta-analysis of DMPA versus NET-EN. This trial was stopped early </w:t>
      </w:r>
      <w:r w:rsidR="3667DB43" w:rsidRPr="009773BF">
        <w:rPr>
          <w:color w:val="000000" w:themeColor="text1"/>
        </w:rPr>
        <w:t>because the number of pregnancies in the NET-EN group met the pre-specified stopping rule</w:t>
      </w:r>
      <w:r w:rsidR="1FD45D73" w:rsidRPr="009773BF">
        <w:rPr>
          <w:color w:val="000000" w:themeColor="text1"/>
        </w:rPr>
        <w:t xml:space="preserve"> (</w:t>
      </w:r>
      <w:r w:rsidR="3667DB43" w:rsidRPr="009773BF">
        <w:rPr>
          <w:color w:val="000000" w:themeColor="text1"/>
        </w:rPr>
        <w:t xml:space="preserve">3.6 (SE 0.7) pregnancies per </w:t>
      </w:r>
      <w:proofErr w:type="gramStart"/>
      <w:r w:rsidR="3667DB43" w:rsidRPr="009773BF">
        <w:rPr>
          <w:color w:val="000000" w:themeColor="text1"/>
        </w:rPr>
        <w:t>100 woman</w:t>
      </w:r>
      <w:proofErr w:type="gramEnd"/>
      <w:r w:rsidR="002872AE" w:rsidRPr="009773BF">
        <w:rPr>
          <w:color w:val="000000" w:themeColor="text1"/>
        </w:rPr>
        <w:t xml:space="preserve"> </w:t>
      </w:r>
      <w:r w:rsidR="3667DB43" w:rsidRPr="009773BF">
        <w:rPr>
          <w:color w:val="000000" w:themeColor="text1"/>
        </w:rPr>
        <w:t xml:space="preserve">years in the NET-EN group </w:t>
      </w:r>
      <w:r w:rsidR="1FD45D73" w:rsidRPr="009773BF">
        <w:rPr>
          <w:color w:val="000000" w:themeColor="text1"/>
        </w:rPr>
        <w:t>vs</w:t>
      </w:r>
      <w:r w:rsidR="3667DB43" w:rsidRPr="009773BF">
        <w:rPr>
          <w:color w:val="000000" w:themeColor="text1"/>
        </w:rPr>
        <w:t xml:space="preserve"> 0.7 (SE 0.7) in the DMPA group</w:t>
      </w:r>
      <w:r w:rsidR="1FD45D73" w:rsidRPr="009773BF">
        <w:rPr>
          <w:color w:val="000000" w:themeColor="text1"/>
        </w:rPr>
        <w:t>)</w:t>
      </w:r>
      <w:r w:rsidR="3667DB43" w:rsidRPr="009773BF">
        <w:rPr>
          <w:color w:val="000000" w:themeColor="text1"/>
        </w:rPr>
        <w:t xml:space="preserve">. </w:t>
      </w:r>
      <w:r w:rsidRPr="009773BF">
        <w:rPr>
          <w:color w:val="000000" w:themeColor="text1"/>
        </w:rPr>
        <w:t>However, two of 10 centres</w:t>
      </w:r>
      <w:r w:rsidR="59447A98" w:rsidRPr="009773BF">
        <w:rPr>
          <w:color w:val="000000" w:themeColor="text1"/>
        </w:rPr>
        <w:t xml:space="preserve"> </w:t>
      </w:r>
      <w:r w:rsidR="59447A98" w:rsidRPr="009773BF">
        <w:rPr>
          <w:color w:val="000000" w:themeColor="text1"/>
        </w:rPr>
        <w:lastRenderedPageBreak/>
        <w:t>(Bangkok and Chandigarh)</w:t>
      </w:r>
      <w:r w:rsidRPr="009773BF">
        <w:rPr>
          <w:color w:val="000000" w:themeColor="text1"/>
        </w:rPr>
        <w:t xml:space="preserve"> contributed</w:t>
      </w:r>
      <w:r w:rsidR="3667DB43" w:rsidRPr="009773BF">
        <w:rPr>
          <w:color w:val="000000" w:themeColor="text1"/>
        </w:rPr>
        <w:t xml:space="preserve"> </w:t>
      </w:r>
      <w:r w:rsidR="1531F74E" w:rsidRPr="009773BF">
        <w:rPr>
          <w:color w:val="000000" w:themeColor="text1"/>
        </w:rPr>
        <w:t>13/24 (</w:t>
      </w:r>
      <w:r w:rsidRPr="009773BF">
        <w:rPr>
          <w:color w:val="000000" w:themeColor="text1"/>
        </w:rPr>
        <w:t>54%</w:t>
      </w:r>
      <w:r w:rsidR="1531F74E" w:rsidRPr="009773BF">
        <w:rPr>
          <w:color w:val="000000" w:themeColor="text1"/>
        </w:rPr>
        <w:t>)</w:t>
      </w:r>
      <w:r w:rsidRPr="009773BF">
        <w:rPr>
          <w:color w:val="000000" w:themeColor="text1"/>
        </w:rPr>
        <w:t xml:space="preserve"> pregnancies in the NET-EN group</w:t>
      </w:r>
      <w:r w:rsidR="59447A98" w:rsidRPr="009773BF">
        <w:rPr>
          <w:color w:val="000000" w:themeColor="text1"/>
        </w:rPr>
        <w:t xml:space="preserve"> but only 19% of woman</w:t>
      </w:r>
      <w:r w:rsidR="00C20871" w:rsidRPr="009773BF">
        <w:rPr>
          <w:color w:val="000000" w:themeColor="text1"/>
        </w:rPr>
        <w:t xml:space="preserve"> </w:t>
      </w:r>
      <w:r w:rsidR="59447A98" w:rsidRPr="009773BF">
        <w:rPr>
          <w:color w:val="000000" w:themeColor="text1"/>
        </w:rPr>
        <w:t xml:space="preserve">years </w:t>
      </w:r>
      <w:r w:rsidR="1FD45D73" w:rsidRPr="009773BF">
        <w:rPr>
          <w:color w:val="000000" w:themeColor="text1"/>
        </w:rPr>
        <w:t xml:space="preserve">of </w:t>
      </w:r>
      <w:r w:rsidR="59447A98" w:rsidRPr="009773BF">
        <w:rPr>
          <w:color w:val="000000" w:themeColor="text1"/>
        </w:rPr>
        <w:t>exposure. There</w:t>
      </w:r>
      <w:r w:rsidR="1531F74E" w:rsidRPr="009773BF">
        <w:rPr>
          <w:color w:val="000000" w:themeColor="text1"/>
        </w:rPr>
        <w:t xml:space="preserve"> </w:t>
      </w:r>
      <w:r w:rsidR="59447A98" w:rsidRPr="009773BF">
        <w:rPr>
          <w:color w:val="000000" w:themeColor="text1"/>
        </w:rPr>
        <w:t>w</w:t>
      </w:r>
      <w:r w:rsidR="1531F74E" w:rsidRPr="009773BF">
        <w:rPr>
          <w:color w:val="000000" w:themeColor="text1"/>
        </w:rPr>
        <w:t xml:space="preserve">as </w:t>
      </w:r>
      <w:r w:rsidR="59447A98" w:rsidRPr="009773BF">
        <w:rPr>
          <w:color w:val="000000" w:themeColor="text1"/>
        </w:rPr>
        <w:t xml:space="preserve">also very marked variation among centres in </w:t>
      </w:r>
      <w:r w:rsidR="1531F74E" w:rsidRPr="009773BF">
        <w:rPr>
          <w:color w:val="000000" w:themeColor="text1"/>
        </w:rPr>
        <w:t xml:space="preserve">the rate of </w:t>
      </w:r>
      <w:r w:rsidR="59447A98" w:rsidRPr="009773BF">
        <w:rPr>
          <w:color w:val="000000" w:themeColor="text1"/>
        </w:rPr>
        <w:t xml:space="preserve">treatment discontinuation for medical reasons: in Chandigarh </w:t>
      </w:r>
      <w:r w:rsidR="1FD45D73" w:rsidRPr="009773BF">
        <w:rPr>
          <w:color w:val="000000" w:themeColor="text1"/>
        </w:rPr>
        <w:t>over 5</w:t>
      </w:r>
      <w:r w:rsidR="59447A98" w:rsidRPr="009773BF">
        <w:rPr>
          <w:color w:val="000000" w:themeColor="text1"/>
        </w:rPr>
        <w:t xml:space="preserve">0% of patients allocated to NET-EN and </w:t>
      </w:r>
      <w:r w:rsidR="1FD45D73" w:rsidRPr="009773BF">
        <w:rPr>
          <w:color w:val="000000" w:themeColor="text1"/>
        </w:rPr>
        <w:t>8</w:t>
      </w:r>
      <w:r w:rsidR="59447A98" w:rsidRPr="009773BF">
        <w:rPr>
          <w:color w:val="000000" w:themeColor="text1"/>
        </w:rPr>
        <w:t xml:space="preserve">0% allocated to DMPA had discontinued at </w:t>
      </w:r>
      <w:r w:rsidR="1FD45D73" w:rsidRPr="009773BF">
        <w:rPr>
          <w:color w:val="000000" w:themeColor="text1"/>
        </w:rPr>
        <w:t>24</w:t>
      </w:r>
      <w:r w:rsidR="59447A98" w:rsidRPr="009773BF">
        <w:rPr>
          <w:color w:val="000000" w:themeColor="text1"/>
        </w:rPr>
        <w:t xml:space="preserve"> weeks</w:t>
      </w:r>
      <w:r w:rsidR="1FD45D73" w:rsidRPr="009773BF">
        <w:rPr>
          <w:color w:val="000000" w:themeColor="text1"/>
        </w:rPr>
        <w:t>, while in Bombay less than 10% of women allocated to either treatment had discontinued at 24 weeks</w:t>
      </w:r>
      <w:r w:rsidR="59447A98" w:rsidRPr="009773BF">
        <w:rPr>
          <w:color w:val="000000" w:themeColor="text1"/>
        </w:rPr>
        <w:t xml:space="preserve">. </w:t>
      </w:r>
      <w:r w:rsidR="1FD45D73" w:rsidRPr="009773BF">
        <w:rPr>
          <w:color w:val="000000" w:themeColor="text1"/>
        </w:rPr>
        <w:t>Such large differences in outcome by centre cast doubt on the generalisability of the results.</w:t>
      </w:r>
      <w:bookmarkEnd w:id="22"/>
      <w:r w:rsidR="1FD45D73" w:rsidRPr="009773BF">
        <w:rPr>
          <w:color w:val="000000" w:themeColor="text1"/>
        </w:rPr>
        <w:t xml:space="preserve">  </w:t>
      </w:r>
    </w:p>
    <w:p w14:paraId="3E2E29B9" w14:textId="424B196C" w:rsidR="00AA0174" w:rsidRPr="009773BF" w:rsidRDefault="3FA4840E" w:rsidP="0B5D70EC">
      <w:pPr>
        <w:pStyle w:val="3-BodyText"/>
        <w:rPr>
          <w:color w:val="000000" w:themeColor="text1"/>
          <w:lang w:val="en-GB"/>
        </w:rPr>
      </w:pPr>
      <w:r w:rsidRPr="009773BF">
        <w:rPr>
          <w:color w:val="000000" w:themeColor="text1"/>
          <w:lang w:val="en-GB"/>
        </w:rPr>
        <w:t>In t</w:t>
      </w:r>
      <w:r w:rsidR="4E91B4D6" w:rsidRPr="009773BF">
        <w:rPr>
          <w:color w:val="000000" w:themeColor="text1"/>
          <w:lang w:val="en-GB"/>
        </w:rPr>
        <w:t xml:space="preserve">he trial of Swenson </w:t>
      </w:r>
      <w:r w:rsidR="002B467E" w:rsidRPr="009773BF">
        <w:rPr>
          <w:color w:val="000000" w:themeColor="text1"/>
          <w:lang w:val="en-GB"/>
        </w:rPr>
        <w:t>(</w:t>
      </w:r>
      <w:r w:rsidR="4E91B4D6" w:rsidRPr="009773BF">
        <w:rPr>
          <w:color w:val="000000" w:themeColor="text1"/>
          <w:lang w:val="en-GB"/>
        </w:rPr>
        <w:t>1980</w:t>
      </w:r>
      <w:r w:rsidR="002B467E" w:rsidRPr="009773BF">
        <w:rPr>
          <w:color w:val="000000" w:themeColor="text1"/>
          <w:lang w:val="en-GB"/>
        </w:rPr>
        <w:t>)</w:t>
      </w:r>
      <w:r w:rsidR="1FD45D73" w:rsidRPr="009773BF">
        <w:rPr>
          <w:color w:val="000000" w:themeColor="text1"/>
          <w:lang w:val="en-GB"/>
        </w:rPr>
        <w:t>,</w:t>
      </w:r>
      <w:r w:rsidR="4E91B4D6" w:rsidRPr="009773BF">
        <w:rPr>
          <w:color w:val="000000" w:themeColor="text1"/>
          <w:lang w:val="en-GB"/>
        </w:rPr>
        <w:t xml:space="preserve"> </w:t>
      </w:r>
      <w:r w:rsidRPr="009773BF">
        <w:rPr>
          <w:color w:val="000000" w:themeColor="text1"/>
          <w:lang w:val="en-GB"/>
        </w:rPr>
        <w:t xml:space="preserve">women who wished to discontinue because of amenorrhoea "were not given </w:t>
      </w:r>
      <w:proofErr w:type="spellStart"/>
      <w:r w:rsidRPr="009773BF">
        <w:rPr>
          <w:color w:val="000000" w:themeColor="text1"/>
          <w:lang w:val="en-GB"/>
        </w:rPr>
        <w:t>estrogens</w:t>
      </w:r>
      <w:proofErr w:type="spellEnd"/>
      <w:r w:rsidRPr="009773BF">
        <w:rPr>
          <w:color w:val="000000" w:themeColor="text1"/>
          <w:lang w:val="en-GB"/>
        </w:rPr>
        <w:t xml:space="preserve"> to induce withdrawal bleeding in order to encourage them to continue with the injectables". As well as being unethical, this makes it difficult to interpret discontinuations, given that amenorrhoea was commoner among women receiving DMPA and was the commonest identified reason for discontinuation. </w:t>
      </w:r>
      <w:r w:rsidR="075B869F" w:rsidRPr="009773BF">
        <w:rPr>
          <w:color w:val="000000" w:themeColor="text1"/>
          <w:lang w:val="en-GB"/>
        </w:rPr>
        <w:t>The number of pregnancies in th</w:t>
      </w:r>
      <w:r w:rsidR="246D5425" w:rsidRPr="009773BF">
        <w:rPr>
          <w:color w:val="000000" w:themeColor="text1"/>
          <w:lang w:val="en-GB"/>
        </w:rPr>
        <w:t>is</w:t>
      </w:r>
      <w:r w:rsidR="075B869F" w:rsidRPr="009773BF">
        <w:rPr>
          <w:color w:val="000000" w:themeColor="text1"/>
          <w:lang w:val="en-GB"/>
        </w:rPr>
        <w:t xml:space="preserve"> study is unclear; 13 women reported being pregnant,</w:t>
      </w:r>
      <w:r w:rsidR="1FD45D73" w:rsidRPr="009773BF">
        <w:rPr>
          <w:color w:val="000000" w:themeColor="text1"/>
          <w:lang w:val="en-GB"/>
        </w:rPr>
        <w:t xml:space="preserve"> of whom </w:t>
      </w:r>
      <w:r w:rsidR="075B869F" w:rsidRPr="009773BF">
        <w:rPr>
          <w:color w:val="000000" w:themeColor="text1"/>
          <w:lang w:val="en-GB"/>
        </w:rPr>
        <w:t xml:space="preserve">two "had menstrual irregularities with uncertain reports" (?) and two were lost to follow-up after reporting their pregnancy. Pregnancy was confirmed at the clinic in nine, but 11 pregnancies are reported in the data. </w:t>
      </w:r>
    </w:p>
    <w:p w14:paraId="0830055E" w14:textId="4B0916E1" w:rsidR="00F6391B" w:rsidRPr="009773BF" w:rsidRDefault="1FD45D73" w:rsidP="0B5D70EC">
      <w:pPr>
        <w:pStyle w:val="3-BodyText"/>
        <w:rPr>
          <w:color w:val="000000" w:themeColor="text1"/>
        </w:rPr>
      </w:pPr>
      <w:r w:rsidRPr="009773BF">
        <w:rPr>
          <w:color w:val="000000" w:themeColor="text1"/>
        </w:rPr>
        <w:t>There were also transitivity issues with the included studies. It is well known that many methods of contraception are much less effective in typical use than when used perfectly. For example, Family Planning NSW (2024) gives values for contraceptive efficacy in perfect/typical use of 99.8/96% for injections, 99.5/93% for CVR, and 99.5/93% for COCs</w:t>
      </w:r>
      <w:r w:rsidR="003C651D" w:rsidRPr="009773BF">
        <w:rPr>
          <w:color w:val="000000" w:themeColor="text1"/>
        </w:rPr>
        <w:t xml:space="preserve"> (Figure 1.1.1</w:t>
      </w:r>
      <w:r w:rsidR="00EF6429">
        <w:rPr>
          <w:color w:val="000000" w:themeColor="text1"/>
        </w:rPr>
        <w:t xml:space="preserve"> </w:t>
      </w:r>
      <w:r w:rsidR="003C651D" w:rsidRPr="009773BF">
        <w:rPr>
          <w:color w:val="000000" w:themeColor="text1"/>
        </w:rPr>
        <w:t>of the submission).</w:t>
      </w:r>
      <w:r w:rsidRPr="009773BF">
        <w:rPr>
          <w:color w:val="000000" w:themeColor="text1"/>
        </w:rPr>
        <w:t xml:space="preserve"> The only comparison of COCs with DMPA (Hubacher), and two of the studies of DMPA </w:t>
      </w:r>
      <w:r w:rsidR="10464EC2" w:rsidRPr="009773BF">
        <w:rPr>
          <w:color w:val="000000" w:themeColor="text1"/>
        </w:rPr>
        <w:t>with</w:t>
      </w:r>
      <w:r w:rsidRPr="009773BF">
        <w:rPr>
          <w:color w:val="000000" w:themeColor="text1"/>
        </w:rPr>
        <w:t xml:space="preserve"> NET-EN (Salem and Swenson) were in typical-use situations, but only data from controlled trials was used for CVR. The ITC requires the assumption that the difference between efficacy in perfect and typical use for CVR is identical to the difference between perfect and typical use for COCs and DMPA, for which there does not appear to be evidentiary support. </w:t>
      </w:r>
    </w:p>
    <w:p w14:paraId="19BA9E57" w14:textId="21642462" w:rsidR="00903478" w:rsidRPr="009773BF" w:rsidRDefault="3CA22A41" w:rsidP="001D30AE">
      <w:pPr>
        <w:pStyle w:val="3-BodyText"/>
      </w:pPr>
      <w:proofErr w:type="gramStart"/>
      <w:r w:rsidRPr="009773BF">
        <w:rPr>
          <w:lang w:val="en-GB"/>
        </w:rPr>
        <w:t xml:space="preserve">Gill </w:t>
      </w:r>
      <w:r w:rsidR="006D5A60" w:rsidRPr="009773BF">
        <w:rPr>
          <w:lang w:val="en-GB"/>
        </w:rPr>
        <w:t>(</w:t>
      </w:r>
      <w:r w:rsidRPr="009773BF">
        <w:rPr>
          <w:lang w:val="en-GB"/>
        </w:rPr>
        <w:t>2020</w:t>
      </w:r>
      <w:r w:rsidR="006D5A60" w:rsidRPr="009773BF">
        <w:rPr>
          <w:lang w:val="en-GB"/>
        </w:rPr>
        <w:t>)</w:t>
      </w:r>
      <w:r w:rsidRPr="009773BF">
        <w:rPr>
          <w:lang w:val="en-GB"/>
        </w:rPr>
        <w:t>,</w:t>
      </w:r>
      <w:proofErr w:type="gramEnd"/>
      <w:r w:rsidRPr="009773BF">
        <w:rPr>
          <w:lang w:val="en-GB"/>
        </w:rPr>
        <w:t xml:space="preserve"> is key to the indirect treatment comparison with NET</w:t>
      </w:r>
      <w:r w:rsidR="313345B2" w:rsidRPr="009773BF">
        <w:rPr>
          <w:lang w:val="en-GB"/>
        </w:rPr>
        <w:t xml:space="preserve">-EN as common comparator. The purpose of this trial was to assess the </w:t>
      </w:r>
      <w:r w:rsidR="075B869F" w:rsidRPr="009773BF">
        <w:rPr>
          <w:lang w:val="en-GB"/>
        </w:rPr>
        <w:t xml:space="preserve">likely </w:t>
      </w:r>
      <w:r w:rsidR="313345B2" w:rsidRPr="009773BF">
        <w:rPr>
          <w:lang w:val="en-GB"/>
        </w:rPr>
        <w:t xml:space="preserve">acceptability of </w:t>
      </w:r>
      <w:r w:rsidR="075B869F" w:rsidRPr="009773BF">
        <w:rPr>
          <w:lang w:val="en-GB"/>
        </w:rPr>
        <w:t xml:space="preserve">the </w:t>
      </w:r>
      <w:r w:rsidR="313345B2" w:rsidRPr="009773BF">
        <w:rPr>
          <w:lang w:val="en-GB"/>
        </w:rPr>
        <w:t>vaginal rings, depot injections, and daily pills</w:t>
      </w:r>
      <w:r w:rsidR="075B869F" w:rsidRPr="009773BF">
        <w:rPr>
          <w:lang w:val="en-GB"/>
        </w:rPr>
        <w:t xml:space="preserve"> </w:t>
      </w:r>
      <w:r w:rsidR="313345B2" w:rsidRPr="009773BF">
        <w:rPr>
          <w:lang w:val="en-GB"/>
        </w:rPr>
        <w:t>as means of delivering pre-exposure HIV prophylaxis</w:t>
      </w:r>
      <w:r w:rsidR="1FD45D73" w:rsidRPr="009773BF">
        <w:rPr>
          <w:lang w:val="en-GB"/>
        </w:rPr>
        <w:t xml:space="preserve"> (</w:t>
      </w:r>
      <w:proofErr w:type="spellStart"/>
      <w:r w:rsidR="1FD45D73" w:rsidRPr="009773BF">
        <w:rPr>
          <w:lang w:val="en-GB"/>
        </w:rPr>
        <w:t>PrEP</w:t>
      </w:r>
      <w:proofErr w:type="spellEnd"/>
      <w:r w:rsidR="1FD45D73" w:rsidRPr="009773BF">
        <w:rPr>
          <w:lang w:val="en-GB"/>
        </w:rPr>
        <w:t>)</w:t>
      </w:r>
      <w:r w:rsidR="313345B2" w:rsidRPr="009773BF">
        <w:rPr>
          <w:lang w:val="en-GB"/>
        </w:rPr>
        <w:t xml:space="preserve"> to young women at high risk of HIV infection. </w:t>
      </w:r>
      <w:r w:rsidR="1FD45D73" w:rsidRPr="009773BF">
        <w:rPr>
          <w:lang w:val="en-GB"/>
        </w:rPr>
        <w:t xml:space="preserve">The women in this study were not seeking contraception </w:t>
      </w:r>
      <w:r w:rsidR="00BC007C" w:rsidRPr="009773BF">
        <w:rPr>
          <w:color w:val="000000" w:themeColor="text1"/>
        </w:rPr>
        <w:t>–</w:t>
      </w:r>
      <w:r w:rsidR="1FD45D73" w:rsidRPr="009773BF">
        <w:rPr>
          <w:lang w:val="en-GB"/>
        </w:rPr>
        <w:t xml:space="preserve"> most (97/130, 74.6%) were current users of contraception, nearly all NET-EN or DMPA (88/97, 90.7%)</w:t>
      </w:r>
      <w:r w:rsidR="58F0EBCC" w:rsidRPr="009773BF">
        <w:rPr>
          <w:lang w:val="en-GB"/>
        </w:rPr>
        <w:t xml:space="preserve">. </w:t>
      </w:r>
      <w:r w:rsidR="1FD45D73" w:rsidRPr="009773BF">
        <w:rPr>
          <w:lang w:val="en-GB"/>
        </w:rPr>
        <w:t xml:space="preserve">CVR, </w:t>
      </w:r>
      <w:r w:rsidR="00490426" w:rsidRPr="009773BF">
        <w:rPr>
          <w:lang w:val="en-GB"/>
        </w:rPr>
        <w:t>NET-EN</w:t>
      </w:r>
      <w:r w:rsidR="1FD45D73" w:rsidRPr="009773BF">
        <w:rPr>
          <w:lang w:val="en-GB"/>
        </w:rPr>
        <w:t xml:space="preserve"> injections and COCs were chosen only because they were already available products that provide a similar user experience to the proposed </w:t>
      </w:r>
      <w:proofErr w:type="spellStart"/>
      <w:r w:rsidR="1FD45D73" w:rsidRPr="009773BF">
        <w:rPr>
          <w:lang w:val="en-GB"/>
        </w:rPr>
        <w:t>PrEP</w:t>
      </w:r>
      <w:proofErr w:type="spellEnd"/>
      <w:r w:rsidR="1FD45D73" w:rsidRPr="009773BF">
        <w:rPr>
          <w:lang w:val="en-GB"/>
        </w:rPr>
        <w:t xml:space="preserve"> products.</w:t>
      </w:r>
      <w:bookmarkStart w:id="23" w:name="_Toc22897641"/>
    </w:p>
    <w:p w14:paraId="65648F9B" w14:textId="4ECC931A" w:rsidR="006A7CDE" w:rsidRPr="00750172" w:rsidRDefault="58F0EBCC" w:rsidP="0B5D70EC">
      <w:pPr>
        <w:pStyle w:val="3-BodyText"/>
        <w:rPr>
          <w:rFonts w:ascii="Arial Narrow" w:hAnsi="Arial Narrow"/>
          <w:b/>
          <w:bCs/>
          <w:sz w:val="20"/>
          <w:szCs w:val="20"/>
        </w:rPr>
      </w:pPr>
      <w:r w:rsidRPr="009773BF">
        <w:rPr>
          <w:color w:val="000000" w:themeColor="text1"/>
        </w:rPr>
        <w:t xml:space="preserve">In Gill </w:t>
      </w:r>
      <w:r w:rsidR="00490426" w:rsidRPr="009773BF">
        <w:rPr>
          <w:color w:val="000000" w:themeColor="text1"/>
        </w:rPr>
        <w:t>(</w:t>
      </w:r>
      <w:r w:rsidRPr="009773BF">
        <w:rPr>
          <w:color w:val="000000" w:themeColor="text1"/>
        </w:rPr>
        <w:t>2020</w:t>
      </w:r>
      <w:r w:rsidR="00490426" w:rsidRPr="009773BF">
        <w:rPr>
          <w:color w:val="000000" w:themeColor="text1"/>
        </w:rPr>
        <w:t>)</w:t>
      </w:r>
      <w:r w:rsidRPr="009773BF">
        <w:rPr>
          <w:color w:val="000000" w:themeColor="text1"/>
        </w:rPr>
        <w:t>, because the focus of the study was not contraception</w:t>
      </w:r>
      <w:r w:rsidR="34CE4D2D" w:rsidRPr="009773BF">
        <w:rPr>
          <w:color w:val="000000" w:themeColor="text1"/>
        </w:rPr>
        <w:t>,</w:t>
      </w:r>
      <w:r w:rsidRPr="009773BF">
        <w:rPr>
          <w:color w:val="000000" w:themeColor="text1"/>
        </w:rPr>
        <w:t xml:space="preserve"> women who </w:t>
      </w:r>
      <w:r w:rsidRPr="009773BF">
        <w:t xml:space="preserve">were not using CVR correctly were switched to another method by study staff early in the study in order to avoid pregnancy (Gill </w:t>
      </w:r>
      <w:r w:rsidR="00B436F6" w:rsidRPr="009773BF">
        <w:t>(</w:t>
      </w:r>
      <w:r w:rsidRPr="009773BF">
        <w:t>2020</w:t>
      </w:r>
      <w:r w:rsidR="00B436F6" w:rsidRPr="009773BF">
        <w:t>)</w:t>
      </w:r>
      <w:r w:rsidRPr="009773BF">
        <w:t xml:space="preserve">, p8). </w:t>
      </w:r>
      <w:r w:rsidRPr="009773BF">
        <w:rPr>
          <w:color w:val="000000" w:themeColor="text1"/>
        </w:rPr>
        <w:t xml:space="preserve">Women were also free to switch from one method to another that they preferred. Overall, 8/45 (17.7%) women switched from CVR during the first </w:t>
      </w:r>
      <w:proofErr w:type="gramStart"/>
      <w:r w:rsidRPr="009773BF">
        <w:rPr>
          <w:color w:val="000000" w:themeColor="text1"/>
        </w:rPr>
        <w:t>16 week</w:t>
      </w:r>
      <w:proofErr w:type="gramEnd"/>
      <w:r w:rsidRPr="009773BF">
        <w:rPr>
          <w:color w:val="000000" w:themeColor="text1"/>
        </w:rPr>
        <w:t xml:space="preserve"> period and 16/71 (22.5%) did so in the second </w:t>
      </w:r>
      <w:proofErr w:type="gramStart"/>
      <w:r w:rsidRPr="009773BF">
        <w:rPr>
          <w:color w:val="000000" w:themeColor="text1"/>
        </w:rPr>
        <w:t>16 week</w:t>
      </w:r>
      <w:proofErr w:type="gramEnd"/>
      <w:r w:rsidRPr="009773BF">
        <w:rPr>
          <w:color w:val="000000" w:themeColor="text1"/>
        </w:rPr>
        <w:t xml:space="preserve"> period.</w:t>
      </w:r>
      <w:r w:rsidR="00C9627B" w:rsidRPr="009773BF">
        <w:rPr>
          <w:color w:val="000000" w:themeColor="text1"/>
        </w:rPr>
        <w:t xml:space="preserve"> At what point</w:t>
      </w:r>
      <w:r w:rsidRPr="009773BF">
        <w:rPr>
          <w:color w:val="000000" w:themeColor="text1"/>
        </w:rPr>
        <w:t xml:space="preserve"> during the treatment period patients switched was not reported, so the duration of use of each contraceptive method cannot be </w:t>
      </w:r>
      <w:r w:rsidRPr="009773BF">
        <w:rPr>
          <w:color w:val="000000" w:themeColor="text1"/>
        </w:rPr>
        <w:lastRenderedPageBreak/>
        <w:t xml:space="preserve">determined (Table 2.4.14 of the submission). This was reasonable, given the aim of the study, but </w:t>
      </w:r>
      <w:r w:rsidR="00AA4C5A" w:rsidRPr="009773BF">
        <w:rPr>
          <w:color w:val="000000" w:themeColor="text1"/>
        </w:rPr>
        <w:t>does not provide data to</w:t>
      </w:r>
      <w:r w:rsidRPr="009773BF">
        <w:rPr>
          <w:color w:val="000000" w:themeColor="text1"/>
        </w:rPr>
        <w:t xml:space="preserve"> calculat</w:t>
      </w:r>
      <w:r w:rsidR="00AA4C5A" w:rsidRPr="009773BF">
        <w:rPr>
          <w:color w:val="000000" w:themeColor="text1"/>
        </w:rPr>
        <w:t>e</w:t>
      </w:r>
      <w:r w:rsidRPr="009773BF">
        <w:rPr>
          <w:color w:val="000000" w:themeColor="text1"/>
        </w:rPr>
        <w:t xml:space="preserve"> </w:t>
      </w:r>
      <w:r w:rsidR="00910AFF" w:rsidRPr="009773BF">
        <w:rPr>
          <w:color w:val="000000" w:themeColor="text1"/>
        </w:rPr>
        <w:t xml:space="preserve">a </w:t>
      </w:r>
      <w:r w:rsidRPr="009773BF">
        <w:rPr>
          <w:color w:val="000000" w:themeColor="text1"/>
        </w:rPr>
        <w:t xml:space="preserve">rate of pregnancy. </w:t>
      </w:r>
    </w:p>
    <w:p w14:paraId="1AFB65E9" w14:textId="19342649" w:rsidR="00750172" w:rsidRPr="008E6588" w:rsidRDefault="007F084F" w:rsidP="0B5D70EC">
      <w:pPr>
        <w:pStyle w:val="3-BodyText"/>
        <w:rPr>
          <w:rFonts w:ascii="Arial Narrow" w:hAnsi="Arial Narrow"/>
          <w:b/>
          <w:bCs/>
          <w:sz w:val="20"/>
          <w:szCs w:val="20"/>
        </w:rPr>
      </w:pPr>
      <w:r w:rsidRPr="006B682B">
        <w:rPr>
          <w:color w:val="000000" w:themeColor="text1"/>
        </w:rPr>
        <w:t xml:space="preserve">The PSCR acknowledged that </w:t>
      </w:r>
      <w:r w:rsidR="006D6AAB" w:rsidRPr="006B682B">
        <w:rPr>
          <w:color w:val="000000" w:themeColor="text1"/>
        </w:rPr>
        <w:t xml:space="preserve">there was limited trial data available specifically for the population in the proposed </w:t>
      </w:r>
      <w:proofErr w:type="gramStart"/>
      <w:r w:rsidR="006D6AAB" w:rsidRPr="006B682B">
        <w:rPr>
          <w:color w:val="000000" w:themeColor="text1"/>
        </w:rPr>
        <w:t>restriction</w:t>
      </w:r>
      <w:r w:rsidR="000D5662" w:rsidRPr="006B682B">
        <w:rPr>
          <w:color w:val="000000" w:themeColor="text1"/>
        </w:rPr>
        <w:t>, and</w:t>
      </w:r>
      <w:proofErr w:type="gramEnd"/>
      <w:r w:rsidR="000D5662" w:rsidRPr="006B682B">
        <w:rPr>
          <w:color w:val="000000" w:themeColor="text1"/>
        </w:rPr>
        <w:t xml:space="preserve"> claimed that to address this </w:t>
      </w:r>
      <w:proofErr w:type="gramStart"/>
      <w:r w:rsidR="00681F08" w:rsidRPr="006B682B">
        <w:rPr>
          <w:color w:val="000000" w:themeColor="text1"/>
        </w:rPr>
        <w:t>all randomised</w:t>
      </w:r>
      <w:proofErr w:type="gramEnd"/>
      <w:r w:rsidR="00681F08" w:rsidRPr="006B682B">
        <w:rPr>
          <w:color w:val="000000" w:themeColor="text1"/>
        </w:rPr>
        <w:t xml:space="preserve"> quality trials comparing CVR and DMPA were include</w:t>
      </w:r>
      <w:r w:rsidR="004E0ECF" w:rsidRPr="006B682B">
        <w:rPr>
          <w:color w:val="000000" w:themeColor="text1"/>
        </w:rPr>
        <w:t>d, to allow evaluation of safety and efficacy</w:t>
      </w:r>
      <w:r w:rsidR="00E34925" w:rsidRPr="006B682B">
        <w:rPr>
          <w:color w:val="000000" w:themeColor="text1"/>
        </w:rPr>
        <w:t>. The PSCR claimed that this would inform the outcomes in the PBS-intended population.</w:t>
      </w:r>
      <w:r w:rsidR="009E7886" w:rsidRPr="006B682B">
        <w:rPr>
          <w:color w:val="000000" w:themeColor="text1"/>
        </w:rPr>
        <w:t xml:space="preserve"> The PSCR claimed that </w:t>
      </w:r>
      <w:r w:rsidR="00C8271D" w:rsidRPr="006B682B">
        <w:rPr>
          <w:color w:val="000000" w:themeColor="text1"/>
        </w:rPr>
        <w:t>undertaking sensitivity analyses and meta-analyses increased the reliability of the results.</w:t>
      </w:r>
    </w:p>
    <w:p w14:paraId="3D71C223" w14:textId="302B93A1" w:rsidR="008E6588" w:rsidRPr="006B682B" w:rsidRDefault="008E6588" w:rsidP="0B5D70EC">
      <w:pPr>
        <w:pStyle w:val="3-BodyText"/>
        <w:rPr>
          <w:rFonts w:ascii="Arial Narrow" w:hAnsi="Arial Narrow"/>
          <w:b/>
          <w:bCs/>
          <w:sz w:val="20"/>
          <w:szCs w:val="20"/>
        </w:rPr>
      </w:pPr>
      <w:r>
        <w:rPr>
          <w:color w:val="000000" w:themeColor="text1"/>
        </w:rPr>
        <w:t xml:space="preserve">The pre-PBAC response </w:t>
      </w:r>
      <w:r w:rsidR="00BA2A8D">
        <w:rPr>
          <w:color w:val="000000" w:themeColor="text1"/>
        </w:rPr>
        <w:t xml:space="preserve">also acknowledged the limited trial data for women with gastrointestinal issues or swallowing </w:t>
      </w:r>
      <w:proofErr w:type="gramStart"/>
      <w:r w:rsidR="00BA2A8D">
        <w:rPr>
          <w:color w:val="000000" w:themeColor="text1"/>
        </w:rPr>
        <w:t xml:space="preserve">difficulties, </w:t>
      </w:r>
      <w:r w:rsidR="00EB3C48">
        <w:rPr>
          <w:color w:val="000000" w:themeColor="text1"/>
        </w:rPr>
        <w:t>but</w:t>
      </w:r>
      <w:proofErr w:type="gramEnd"/>
      <w:r w:rsidR="00EB3C48">
        <w:rPr>
          <w:color w:val="000000" w:themeColor="text1"/>
        </w:rPr>
        <w:t xml:space="preserve"> cited van den Heuvel (2005) to support its claim that CVR has fewer estrogen-related side effects compared to COCs.</w:t>
      </w:r>
      <w:r w:rsidR="005065FF">
        <w:rPr>
          <w:color w:val="000000" w:themeColor="text1"/>
        </w:rPr>
        <w:t xml:space="preserve"> The pre-PBAC response stated that </w:t>
      </w:r>
      <w:r w:rsidR="00BA78FF">
        <w:rPr>
          <w:color w:val="000000" w:themeColor="text1"/>
        </w:rPr>
        <w:t xml:space="preserve">to address the limited trial data, the submission included all relevant randomised controlled trials comparing CVR </w:t>
      </w:r>
      <w:r w:rsidR="00901513">
        <w:rPr>
          <w:color w:val="000000" w:themeColor="text1"/>
        </w:rPr>
        <w:t>and DMPA. Ei</w:t>
      </w:r>
      <w:r w:rsidR="00D26934">
        <w:rPr>
          <w:color w:val="000000" w:themeColor="text1"/>
        </w:rPr>
        <w:t xml:space="preserve">ght randomised controlled trials were synthesised via meta-analyses, </w:t>
      </w:r>
      <w:r w:rsidR="00172146">
        <w:rPr>
          <w:color w:val="000000" w:themeColor="text1"/>
        </w:rPr>
        <w:t>with</w:t>
      </w:r>
      <w:r w:rsidR="00D26934">
        <w:rPr>
          <w:color w:val="000000" w:themeColor="text1"/>
        </w:rPr>
        <w:t xml:space="preserve"> sensitivity </w:t>
      </w:r>
      <w:r w:rsidR="00172146">
        <w:rPr>
          <w:color w:val="000000" w:themeColor="text1"/>
        </w:rPr>
        <w:t xml:space="preserve">analyses to ensure reliability despite study heterogeneity. </w:t>
      </w:r>
    </w:p>
    <w:p w14:paraId="4A841CFA" w14:textId="12CB5F75" w:rsidR="00F14367" w:rsidRPr="006B682B" w:rsidRDefault="00F14367" w:rsidP="0B5D70EC">
      <w:pPr>
        <w:pStyle w:val="3-BodyText"/>
        <w:rPr>
          <w:rFonts w:ascii="Arial Narrow" w:hAnsi="Arial Narrow"/>
          <w:b/>
          <w:bCs/>
          <w:sz w:val="20"/>
          <w:szCs w:val="20"/>
        </w:rPr>
      </w:pPr>
      <w:r w:rsidRPr="006B682B">
        <w:rPr>
          <w:color w:val="000000" w:themeColor="text1"/>
        </w:rPr>
        <w:t xml:space="preserve">The PSCR acknowledged that the studies of DMPA were older, </w:t>
      </w:r>
      <w:r w:rsidR="006552EC" w:rsidRPr="006B682B">
        <w:rPr>
          <w:color w:val="000000" w:themeColor="text1"/>
        </w:rPr>
        <w:t xml:space="preserve">however maintained that they were the most relevant and available data, </w:t>
      </w:r>
      <w:r w:rsidR="00AD4F2A" w:rsidRPr="006B682B">
        <w:rPr>
          <w:color w:val="000000" w:themeColor="text1"/>
        </w:rPr>
        <w:t xml:space="preserve">and that findings demonstrated that CVR and DMPA have similar contraceptive efficacy. </w:t>
      </w:r>
    </w:p>
    <w:p w14:paraId="28593FB8" w14:textId="5E771702" w:rsidR="002C2775" w:rsidRPr="001A60DA" w:rsidRDefault="00B60939" w:rsidP="00903478">
      <w:pPr>
        <w:pStyle w:val="4-SubsectionHeading"/>
      </w:pPr>
      <w:bookmarkStart w:id="24" w:name="_Toc193454819"/>
      <w:r w:rsidRPr="0098262F">
        <w:t>Comparative effectiveness</w:t>
      </w:r>
      <w:bookmarkEnd w:id="23"/>
      <w:bookmarkEnd w:id="24"/>
    </w:p>
    <w:p w14:paraId="50283A7D" w14:textId="2975EB6B" w:rsidR="00A8576D" w:rsidRDefault="00A8576D" w:rsidP="00EC5836">
      <w:pPr>
        <w:pStyle w:val="3-BodyText"/>
        <w:rPr>
          <w:color w:val="000000" w:themeColor="text1"/>
        </w:rPr>
      </w:pPr>
      <w:r>
        <w:rPr>
          <w:color w:val="000000" w:themeColor="text1"/>
        </w:rPr>
        <w:t>The nu</w:t>
      </w:r>
      <w:r w:rsidRPr="00A8576D">
        <w:rPr>
          <w:color w:val="000000" w:themeColor="text1"/>
        </w:rPr>
        <w:t>mber and rates</w:t>
      </w:r>
      <w:r>
        <w:rPr>
          <w:color w:val="000000" w:themeColor="text1"/>
        </w:rPr>
        <w:t xml:space="preserve"> (where calculable)</w:t>
      </w:r>
      <w:r w:rsidRPr="00A8576D">
        <w:rPr>
          <w:color w:val="000000" w:themeColor="text1"/>
        </w:rPr>
        <w:t xml:space="preserve"> of unintended pregnancy in the studies used in the indirect treatment comparison </w:t>
      </w:r>
      <w:r>
        <w:rPr>
          <w:color w:val="000000" w:themeColor="text1"/>
        </w:rPr>
        <w:t>for CVR vs DMPA with COC as</w:t>
      </w:r>
      <w:r w:rsidR="00AA7D1B">
        <w:rPr>
          <w:color w:val="000000" w:themeColor="text1"/>
        </w:rPr>
        <w:t xml:space="preserve"> the</w:t>
      </w:r>
      <w:r>
        <w:rPr>
          <w:color w:val="000000" w:themeColor="text1"/>
        </w:rPr>
        <w:t xml:space="preserve"> common comparator </w:t>
      </w:r>
      <w:r w:rsidRPr="00A8576D">
        <w:rPr>
          <w:color w:val="000000" w:themeColor="text1"/>
        </w:rPr>
        <w:t xml:space="preserve">are shown in </w:t>
      </w:r>
      <w:r w:rsidR="00117B58">
        <w:rPr>
          <w:color w:val="000000" w:themeColor="text1"/>
        </w:rPr>
        <w:fldChar w:fldCharType="begin"/>
      </w:r>
      <w:r w:rsidR="00117B58">
        <w:rPr>
          <w:color w:val="000000" w:themeColor="text1"/>
        </w:rPr>
        <w:instrText xml:space="preserve"> REF _Ref188958288 \h </w:instrText>
      </w:r>
      <w:r w:rsidR="00117B58">
        <w:rPr>
          <w:color w:val="000000" w:themeColor="text1"/>
        </w:rPr>
      </w:r>
      <w:r w:rsidR="00117B58">
        <w:rPr>
          <w:color w:val="000000" w:themeColor="text1"/>
        </w:rPr>
        <w:fldChar w:fldCharType="separate"/>
      </w:r>
      <w:r w:rsidR="00896E34">
        <w:t xml:space="preserve">Table </w:t>
      </w:r>
      <w:r w:rsidR="00896E34">
        <w:rPr>
          <w:noProof/>
        </w:rPr>
        <w:t>4</w:t>
      </w:r>
      <w:r w:rsidR="00117B58">
        <w:rPr>
          <w:color w:val="000000" w:themeColor="text1"/>
        </w:rPr>
        <w:fldChar w:fldCharType="end"/>
      </w:r>
      <w:r w:rsidR="00E4041C">
        <w:rPr>
          <w:color w:val="000000" w:themeColor="text1"/>
        </w:rPr>
        <w:t>.</w:t>
      </w:r>
    </w:p>
    <w:p w14:paraId="048C3FB2" w14:textId="525E0BE2" w:rsidR="00A8576D" w:rsidRDefault="00117B58" w:rsidP="00117B58">
      <w:pPr>
        <w:pStyle w:val="Caption"/>
      </w:pPr>
      <w:bookmarkStart w:id="25" w:name="_Ref188958288"/>
      <w:r>
        <w:t xml:space="preserve">Table </w:t>
      </w:r>
      <w:r w:rsidR="005E2A18">
        <w:fldChar w:fldCharType="begin"/>
      </w:r>
      <w:r w:rsidR="005E2A18">
        <w:instrText xml:space="preserve"> SEQ Table \* ARABIC </w:instrText>
      </w:r>
      <w:r w:rsidR="005E2A18">
        <w:fldChar w:fldCharType="separate"/>
      </w:r>
      <w:r w:rsidR="00896E34">
        <w:rPr>
          <w:noProof/>
        </w:rPr>
        <w:t>4</w:t>
      </w:r>
      <w:r w:rsidR="005E2A18">
        <w:rPr>
          <w:noProof/>
        </w:rPr>
        <w:fldChar w:fldCharType="end"/>
      </w:r>
      <w:bookmarkEnd w:id="25"/>
      <w:r>
        <w:t xml:space="preserve">: </w:t>
      </w:r>
      <w:r w:rsidR="00A8576D">
        <w:t>Unintended pregnancies in the submitted trials for ITC of CVR vs DMPA via COC</w:t>
      </w:r>
    </w:p>
    <w:tbl>
      <w:tblPr>
        <w:tblStyle w:val="TableGrid"/>
        <w:tblW w:w="0" w:type="auto"/>
        <w:tblLook w:val="04A0" w:firstRow="1" w:lastRow="0" w:firstColumn="1" w:lastColumn="0" w:noHBand="0" w:noVBand="1"/>
      </w:tblPr>
      <w:tblGrid>
        <w:gridCol w:w="1696"/>
        <w:gridCol w:w="1276"/>
        <w:gridCol w:w="1559"/>
        <w:gridCol w:w="1985"/>
        <w:gridCol w:w="2410"/>
      </w:tblGrid>
      <w:tr w:rsidR="00A8576D" w14:paraId="22FF7254" w14:textId="77777777" w:rsidTr="0B5D70EC">
        <w:tc>
          <w:tcPr>
            <w:tcW w:w="1696" w:type="dxa"/>
          </w:tcPr>
          <w:p w14:paraId="2856A222" w14:textId="77777777" w:rsidR="00A8576D" w:rsidRDefault="00A8576D" w:rsidP="00A8576D">
            <w:pPr>
              <w:pStyle w:val="TableFigureHeading"/>
            </w:pPr>
          </w:p>
        </w:tc>
        <w:tc>
          <w:tcPr>
            <w:tcW w:w="1276" w:type="dxa"/>
          </w:tcPr>
          <w:p w14:paraId="1E96C12E" w14:textId="05B6B6D1" w:rsidR="00A8576D" w:rsidRDefault="00A8576D" w:rsidP="00A8576D">
            <w:pPr>
              <w:pStyle w:val="TableFigureHeading"/>
            </w:pPr>
            <w:r>
              <w:t>CVR</w:t>
            </w:r>
          </w:p>
        </w:tc>
        <w:tc>
          <w:tcPr>
            <w:tcW w:w="1559" w:type="dxa"/>
          </w:tcPr>
          <w:p w14:paraId="187DB87C" w14:textId="496224EB" w:rsidR="00A8576D" w:rsidRDefault="00A8576D" w:rsidP="00A8576D">
            <w:pPr>
              <w:pStyle w:val="TableFigureHeading"/>
            </w:pPr>
            <w:r>
              <w:t>COC</w:t>
            </w:r>
          </w:p>
        </w:tc>
        <w:tc>
          <w:tcPr>
            <w:tcW w:w="1985" w:type="dxa"/>
          </w:tcPr>
          <w:p w14:paraId="2A1B3E6C" w14:textId="04CC83DF" w:rsidR="00A8576D" w:rsidRDefault="00A8576D" w:rsidP="00A8576D">
            <w:pPr>
              <w:pStyle w:val="TableFigureHeading"/>
            </w:pPr>
            <w:r>
              <w:t>Relative Risk (95% CI)</w:t>
            </w:r>
          </w:p>
        </w:tc>
        <w:tc>
          <w:tcPr>
            <w:tcW w:w="2410" w:type="dxa"/>
          </w:tcPr>
          <w:p w14:paraId="723672BF" w14:textId="002FB544" w:rsidR="00A8576D" w:rsidRDefault="00A8576D" w:rsidP="00A8576D">
            <w:pPr>
              <w:pStyle w:val="TableFigureHeading"/>
            </w:pPr>
            <w:r>
              <w:t>Risk Difference (95% CI)</w:t>
            </w:r>
          </w:p>
        </w:tc>
      </w:tr>
      <w:tr w:rsidR="00A8576D" w14:paraId="182F3C55" w14:textId="77777777" w:rsidTr="0B5D70EC">
        <w:tc>
          <w:tcPr>
            <w:tcW w:w="8926" w:type="dxa"/>
            <w:gridSpan w:val="5"/>
          </w:tcPr>
          <w:p w14:paraId="5EC07401" w14:textId="78255FB6" w:rsidR="00A8576D" w:rsidRDefault="075B869F" w:rsidP="00A8576D">
            <w:pPr>
              <w:pStyle w:val="TableFigureHeading"/>
            </w:pPr>
            <w:proofErr w:type="spellStart"/>
            <w:r w:rsidRPr="0B5D70EC">
              <w:t>Duijkers</w:t>
            </w:r>
            <w:proofErr w:type="spellEnd"/>
            <w:r w:rsidRPr="0B5D70EC">
              <w:t>, 2004</w:t>
            </w:r>
          </w:p>
        </w:tc>
      </w:tr>
      <w:tr w:rsidR="00A8576D" w14:paraId="2B49E3A4" w14:textId="77777777" w:rsidTr="0B5D70EC">
        <w:tc>
          <w:tcPr>
            <w:tcW w:w="1696" w:type="dxa"/>
          </w:tcPr>
          <w:p w14:paraId="20C9E0CD" w14:textId="69712808" w:rsidR="00A8576D" w:rsidRPr="00A8576D" w:rsidRDefault="00A8576D" w:rsidP="00A8576D">
            <w:pPr>
              <w:pStyle w:val="TableFigureHeading"/>
              <w:rPr>
                <w:b w:val="0"/>
                <w:bCs w:val="0"/>
              </w:rPr>
            </w:pPr>
            <w:r w:rsidRPr="00A8576D">
              <w:rPr>
                <w:b w:val="0"/>
                <w:bCs w:val="0"/>
              </w:rPr>
              <w:t>Pregnancy n/N</w:t>
            </w:r>
            <w:r>
              <w:rPr>
                <w:b w:val="0"/>
                <w:bCs w:val="0"/>
              </w:rPr>
              <w:t>, (%)</w:t>
            </w:r>
          </w:p>
        </w:tc>
        <w:tc>
          <w:tcPr>
            <w:tcW w:w="1276" w:type="dxa"/>
          </w:tcPr>
          <w:p w14:paraId="7BC1D084" w14:textId="7D8530C5" w:rsidR="00A8576D" w:rsidRPr="00A8576D" w:rsidRDefault="00A8576D" w:rsidP="00A8576D">
            <w:pPr>
              <w:pStyle w:val="TableFigureHeading"/>
              <w:rPr>
                <w:b w:val="0"/>
                <w:bCs w:val="0"/>
              </w:rPr>
            </w:pPr>
            <w:r w:rsidRPr="00A8576D">
              <w:rPr>
                <w:b w:val="0"/>
                <w:bCs w:val="0"/>
              </w:rPr>
              <w:t>0/44</w:t>
            </w:r>
            <w:r>
              <w:rPr>
                <w:b w:val="0"/>
                <w:bCs w:val="0"/>
              </w:rPr>
              <w:t xml:space="preserve"> (0%)</w:t>
            </w:r>
          </w:p>
        </w:tc>
        <w:tc>
          <w:tcPr>
            <w:tcW w:w="1559" w:type="dxa"/>
          </w:tcPr>
          <w:p w14:paraId="5569530F" w14:textId="7AF1FB41" w:rsidR="00A8576D" w:rsidRPr="00A8576D" w:rsidRDefault="00A8576D" w:rsidP="00A8576D">
            <w:pPr>
              <w:pStyle w:val="TableFigureHeading"/>
              <w:rPr>
                <w:b w:val="0"/>
                <w:bCs w:val="0"/>
              </w:rPr>
            </w:pPr>
            <w:r w:rsidRPr="00A8576D">
              <w:rPr>
                <w:b w:val="0"/>
                <w:bCs w:val="0"/>
              </w:rPr>
              <w:t>0/41</w:t>
            </w:r>
            <w:r>
              <w:rPr>
                <w:b w:val="0"/>
                <w:bCs w:val="0"/>
              </w:rPr>
              <w:t xml:space="preserve"> (0%)</w:t>
            </w:r>
          </w:p>
        </w:tc>
        <w:tc>
          <w:tcPr>
            <w:tcW w:w="1985" w:type="dxa"/>
          </w:tcPr>
          <w:p w14:paraId="44A45112" w14:textId="41F68003" w:rsidR="00A8576D" w:rsidRPr="00A8576D" w:rsidRDefault="00A8576D" w:rsidP="00A8576D">
            <w:pPr>
              <w:pStyle w:val="TableFigureHeading"/>
              <w:rPr>
                <w:b w:val="0"/>
                <w:bCs w:val="0"/>
              </w:rPr>
            </w:pPr>
            <w:r w:rsidRPr="00A8576D">
              <w:rPr>
                <w:b w:val="0"/>
                <w:bCs w:val="0"/>
              </w:rPr>
              <w:t>NE</w:t>
            </w:r>
          </w:p>
        </w:tc>
        <w:tc>
          <w:tcPr>
            <w:tcW w:w="2410" w:type="dxa"/>
          </w:tcPr>
          <w:p w14:paraId="6EC70B95" w14:textId="2DEDBD38" w:rsidR="00A8576D" w:rsidRPr="00A8576D" w:rsidRDefault="00D97BB5" w:rsidP="00A8576D">
            <w:pPr>
              <w:pStyle w:val="TableFigureHeading"/>
              <w:rPr>
                <w:b w:val="0"/>
                <w:bCs w:val="0"/>
              </w:rPr>
            </w:pPr>
            <w:r>
              <w:rPr>
                <w:b w:val="0"/>
                <w:bCs w:val="0"/>
              </w:rPr>
              <w:t>0</w:t>
            </w:r>
            <w:r w:rsidR="00A8576D">
              <w:rPr>
                <w:b w:val="0"/>
                <w:bCs w:val="0"/>
              </w:rPr>
              <w:t>.0</w:t>
            </w:r>
            <w:r w:rsidR="003C651D">
              <w:rPr>
                <w:b w:val="0"/>
                <w:bCs w:val="0"/>
              </w:rPr>
              <w:t>%</w:t>
            </w:r>
            <w:r w:rsidR="00A8576D">
              <w:rPr>
                <w:b w:val="0"/>
                <w:bCs w:val="0"/>
              </w:rPr>
              <w:t xml:space="preserve"> (-4.5, 4.5)</w:t>
            </w:r>
          </w:p>
        </w:tc>
      </w:tr>
      <w:tr w:rsidR="00A8576D" w14:paraId="3E907307" w14:textId="77777777" w:rsidTr="0B5D70EC">
        <w:tc>
          <w:tcPr>
            <w:tcW w:w="8926" w:type="dxa"/>
            <w:gridSpan w:val="5"/>
          </w:tcPr>
          <w:p w14:paraId="00CC7425" w14:textId="4CB56B37" w:rsidR="00A8576D" w:rsidRDefault="00A8576D" w:rsidP="00A8576D">
            <w:pPr>
              <w:pStyle w:val="TableFigureHeading"/>
            </w:pPr>
            <w:r w:rsidRPr="00A8576D">
              <w:t>Gill, 2020</w:t>
            </w:r>
          </w:p>
        </w:tc>
      </w:tr>
      <w:tr w:rsidR="00A8576D" w14:paraId="27166F32" w14:textId="77777777" w:rsidTr="0B5D70EC">
        <w:tc>
          <w:tcPr>
            <w:tcW w:w="1696" w:type="dxa"/>
          </w:tcPr>
          <w:p w14:paraId="05CEA497" w14:textId="30B1B65B" w:rsidR="00A8576D" w:rsidRPr="00A8576D" w:rsidRDefault="00A8576D" w:rsidP="00A8576D">
            <w:pPr>
              <w:pStyle w:val="TableFigureHeading"/>
              <w:rPr>
                <w:b w:val="0"/>
                <w:bCs w:val="0"/>
              </w:rPr>
            </w:pPr>
            <w:r w:rsidRPr="00A8576D">
              <w:rPr>
                <w:b w:val="0"/>
                <w:bCs w:val="0"/>
              </w:rPr>
              <w:t>Pregnancy n/N</w:t>
            </w:r>
            <w:r>
              <w:rPr>
                <w:b w:val="0"/>
                <w:bCs w:val="0"/>
              </w:rPr>
              <w:t xml:space="preserve"> (%)</w:t>
            </w:r>
          </w:p>
        </w:tc>
        <w:tc>
          <w:tcPr>
            <w:tcW w:w="1276" w:type="dxa"/>
          </w:tcPr>
          <w:p w14:paraId="638CE6C2" w14:textId="68B9AD7F" w:rsidR="00A8576D" w:rsidRPr="00A8576D" w:rsidRDefault="00A8576D" w:rsidP="00A8576D">
            <w:pPr>
              <w:pStyle w:val="TableFigureHeading"/>
              <w:rPr>
                <w:b w:val="0"/>
                <w:bCs w:val="0"/>
              </w:rPr>
            </w:pPr>
            <w:r w:rsidRPr="00A8576D">
              <w:rPr>
                <w:b w:val="0"/>
                <w:bCs w:val="0"/>
              </w:rPr>
              <w:t>1/116</w:t>
            </w:r>
            <w:r>
              <w:rPr>
                <w:b w:val="0"/>
                <w:bCs w:val="0"/>
              </w:rPr>
              <w:t xml:space="preserve"> (0.9%)</w:t>
            </w:r>
          </w:p>
        </w:tc>
        <w:tc>
          <w:tcPr>
            <w:tcW w:w="1559" w:type="dxa"/>
          </w:tcPr>
          <w:p w14:paraId="2F7D7945" w14:textId="27CEDA0C" w:rsidR="00A8576D" w:rsidRPr="00A8576D" w:rsidRDefault="00A8576D" w:rsidP="00A8576D">
            <w:pPr>
              <w:pStyle w:val="TableFigureHeading"/>
              <w:rPr>
                <w:b w:val="0"/>
                <w:bCs w:val="0"/>
              </w:rPr>
            </w:pPr>
            <w:r w:rsidRPr="00A8576D">
              <w:rPr>
                <w:b w:val="0"/>
                <w:bCs w:val="0"/>
              </w:rPr>
              <w:t>0/48</w:t>
            </w:r>
            <w:r>
              <w:rPr>
                <w:b w:val="0"/>
                <w:bCs w:val="0"/>
              </w:rPr>
              <w:t xml:space="preserve"> (0%)</w:t>
            </w:r>
          </w:p>
        </w:tc>
        <w:tc>
          <w:tcPr>
            <w:tcW w:w="1985" w:type="dxa"/>
          </w:tcPr>
          <w:p w14:paraId="7BA208E8" w14:textId="6783F508" w:rsidR="00A8576D" w:rsidRPr="00A8576D" w:rsidRDefault="00A8576D" w:rsidP="00A8576D">
            <w:pPr>
              <w:pStyle w:val="TableFigureHeading"/>
              <w:rPr>
                <w:b w:val="0"/>
                <w:bCs w:val="0"/>
              </w:rPr>
            </w:pPr>
            <w:r w:rsidRPr="00A8576D">
              <w:rPr>
                <w:b w:val="0"/>
                <w:bCs w:val="0"/>
              </w:rPr>
              <w:t>1.3 (0.05, 30.3)</w:t>
            </w:r>
          </w:p>
        </w:tc>
        <w:tc>
          <w:tcPr>
            <w:tcW w:w="2410" w:type="dxa"/>
          </w:tcPr>
          <w:p w14:paraId="123C9901" w14:textId="6A81BCC1" w:rsidR="00A8576D" w:rsidRPr="00A8576D" w:rsidRDefault="00A8576D" w:rsidP="00A8576D">
            <w:pPr>
              <w:pStyle w:val="TableFigureHeading"/>
              <w:rPr>
                <w:b w:val="0"/>
                <w:bCs w:val="0"/>
              </w:rPr>
            </w:pPr>
            <w:r w:rsidRPr="00A8576D">
              <w:rPr>
                <w:b w:val="0"/>
                <w:bCs w:val="0"/>
              </w:rPr>
              <w:t>0.9% (-2.6, 4.3)</w:t>
            </w:r>
          </w:p>
        </w:tc>
      </w:tr>
      <w:tr w:rsidR="00A8576D" w14:paraId="17FDD782" w14:textId="77777777" w:rsidTr="0B5D70EC">
        <w:trPr>
          <w:trHeight w:val="229"/>
        </w:trPr>
        <w:tc>
          <w:tcPr>
            <w:tcW w:w="8926" w:type="dxa"/>
            <w:gridSpan w:val="5"/>
          </w:tcPr>
          <w:p w14:paraId="4B3A55E4" w14:textId="2D9A63E2" w:rsidR="00A8576D" w:rsidRPr="00A8576D" w:rsidRDefault="00A8576D" w:rsidP="00A8576D">
            <w:pPr>
              <w:pStyle w:val="TableFigureHeading"/>
            </w:pPr>
            <w:r w:rsidRPr="00A8576D">
              <w:t>Oddsson, 2005</w:t>
            </w:r>
          </w:p>
        </w:tc>
      </w:tr>
      <w:tr w:rsidR="00A8576D" w14:paraId="389502C6" w14:textId="77777777" w:rsidTr="0B5D70EC">
        <w:trPr>
          <w:trHeight w:val="230"/>
        </w:trPr>
        <w:tc>
          <w:tcPr>
            <w:tcW w:w="1696" w:type="dxa"/>
            <w:vMerge w:val="restart"/>
          </w:tcPr>
          <w:p w14:paraId="6B24005E" w14:textId="5F1DF851" w:rsidR="00A8576D" w:rsidRPr="00A8576D" w:rsidRDefault="00A8576D" w:rsidP="00A8576D">
            <w:pPr>
              <w:pStyle w:val="TableFigureHeading"/>
              <w:rPr>
                <w:b w:val="0"/>
                <w:bCs w:val="0"/>
              </w:rPr>
            </w:pPr>
            <w:r w:rsidRPr="00A8576D">
              <w:rPr>
                <w:b w:val="0"/>
                <w:bCs w:val="0"/>
              </w:rPr>
              <w:t>Pregnancy n/N</w:t>
            </w:r>
            <w:r>
              <w:rPr>
                <w:b w:val="0"/>
                <w:bCs w:val="0"/>
              </w:rPr>
              <w:t xml:space="preserve"> (%)</w:t>
            </w:r>
          </w:p>
        </w:tc>
        <w:tc>
          <w:tcPr>
            <w:tcW w:w="1276" w:type="dxa"/>
            <w:vMerge w:val="restart"/>
          </w:tcPr>
          <w:p w14:paraId="5F2F0B1C" w14:textId="28AF8CC5" w:rsidR="00A8576D" w:rsidRPr="00A8576D" w:rsidRDefault="00A8576D" w:rsidP="00A8576D">
            <w:pPr>
              <w:pStyle w:val="TableFigureHeading"/>
              <w:rPr>
                <w:b w:val="0"/>
                <w:bCs w:val="0"/>
              </w:rPr>
            </w:pPr>
            <w:r w:rsidRPr="00A8576D">
              <w:rPr>
                <w:b w:val="0"/>
                <w:bCs w:val="0"/>
              </w:rPr>
              <w:t>5/512</w:t>
            </w:r>
            <w:r>
              <w:rPr>
                <w:b w:val="0"/>
                <w:bCs w:val="0"/>
              </w:rPr>
              <w:t xml:space="preserve"> (1.0%)</w:t>
            </w:r>
          </w:p>
        </w:tc>
        <w:tc>
          <w:tcPr>
            <w:tcW w:w="1559" w:type="dxa"/>
            <w:vMerge w:val="restart"/>
          </w:tcPr>
          <w:p w14:paraId="2ACA1FD8" w14:textId="7403A7D9" w:rsidR="00A8576D" w:rsidRPr="00A8576D" w:rsidRDefault="00A8576D" w:rsidP="00A8576D">
            <w:pPr>
              <w:pStyle w:val="TableFigureHeading"/>
              <w:rPr>
                <w:b w:val="0"/>
                <w:bCs w:val="0"/>
              </w:rPr>
            </w:pPr>
            <w:r w:rsidRPr="00A8576D">
              <w:rPr>
                <w:b w:val="0"/>
                <w:bCs w:val="0"/>
              </w:rPr>
              <w:t>5/518</w:t>
            </w:r>
            <w:r>
              <w:rPr>
                <w:b w:val="0"/>
                <w:bCs w:val="0"/>
              </w:rPr>
              <w:t xml:space="preserve"> (1.0%)</w:t>
            </w:r>
          </w:p>
        </w:tc>
        <w:tc>
          <w:tcPr>
            <w:tcW w:w="1985" w:type="dxa"/>
            <w:vMerge w:val="restart"/>
          </w:tcPr>
          <w:p w14:paraId="27345FD0" w14:textId="43AFD764" w:rsidR="00A8576D" w:rsidRPr="00A8576D" w:rsidRDefault="00A8576D" w:rsidP="00A8576D">
            <w:pPr>
              <w:pStyle w:val="TableFigureHeading"/>
              <w:rPr>
                <w:b w:val="0"/>
                <w:bCs w:val="0"/>
              </w:rPr>
            </w:pPr>
            <w:r>
              <w:rPr>
                <w:b w:val="0"/>
                <w:bCs w:val="0"/>
              </w:rPr>
              <w:t>1.01 (0.29, 3.47)</w:t>
            </w:r>
          </w:p>
        </w:tc>
        <w:tc>
          <w:tcPr>
            <w:tcW w:w="2410" w:type="dxa"/>
            <w:vMerge w:val="restart"/>
          </w:tcPr>
          <w:p w14:paraId="1F4C66D6" w14:textId="0873A4C8" w:rsidR="00A8576D" w:rsidRPr="00A8576D" w:rsidRDefault="00A8576D" w:rsidP="00A8576D">
            <w:pPr>
              <w:pStyle w:val="TableFigureHeading"/>
              <w:rPr>
                <w:b w:val="0"/>
                <w:bCs w:val="0"/>
              </w:rPr>
            </w:pPr>
            <w:r>
              <w:rPr>
                <w:b w:val="0"/>
                <w:bCs w:val="0"/>
              </w:rPr>
              <w:t>0.01% (-1.2, 1.2)</w:t>
            </w:r>
          </w:p>
        </w:tc>
      </w:tr>
      <w:tr w:rsidR="00A8576D" w14:paraId="7AA58341" w14:textId="77777777" w:rsidTr="0B5D70EC">
        <w:trPr>
          <w:trHeight w:val="230"/>
        </w:trPr>
        <w:tc>
          <w:tcPr>
            <w:tcW w:w="1696" w:type="dxa"/>
            <w:vMerge/>
          </w:tcPr>
          <w:p w14:paraId="73BED354" w14:textId="77777777" w:rsidR="00A8576D" w:rsidRPr="00A8576D" w:rsidRDefault="00A8576D" w:rsidP="00A8576D">
            <w:pPr>
              <w:pStyle w:val="TableFigureHeading"/>
              <w:rPr>
                <w:b w:val="0"/>
                <w:bCs w:val="0"/>
              </w:rPr>
            </w:pPr>
          </w:p>
        </w:tc>
        <w:tc>
          <w:tcPr>
            <w:tcW w:w="1276" w:type="dxa"/>
            <w:vMerge/>
          </w:tcPr>
          <w:p w14:paraId="7ABE2331" w14:textId="77777777" w:rsidR="00A8576D" w:rsidRPr="00A8576D" w:rsidRDefault="00A8576D" w:rsidP="00A8576D">
            <w:pPr>
              <w:pStyle w:val="TableFigureHeading"/>
              <w:rPr>
                <w:b w:val="0"/>
                <w:bCs w:val="0"/>
              </w:rPr>
            </w:pPr>
          </w:p>
        </w:tc>
        <w:tc>
          <w:tcPr>
            <w:tcW w:w="1559" w:type="dxa"/>
            <w:vMerge/>
          </w:tcPr>
          <w:p w14:paraId="6B58FB5F" w14:textId="77777777" w:rsidR="00A8576D" w:rsidRPr="00A8576D" w:rsidRDefault="00A8576D" w:rsidP="00A8576D">
            <w:pPr>
              <w:pStyle w:val="TableFigureHeading"/>
              <w:rPr>
                <w:b w:val="0"/>
                <w:bCs w:val="0"/>
              </w:rPr>
            </w:pPr>
          </w:p>
        </w:tc>
        <w:tc>
          <w:tcPr>
            <w:tcW w:w="1985" w:type="dxa"/>
            <w:vMerge/>
          </w:tcPr>
          <w:p w14:paraId="4FB04CFE" w14:textId="77777777" w:rsidR="00A8576D" w:rsidRDefault="00A8576D" w:rsidP="00A8576D">
            <w:pPr>
              <w:pStyle w:val="TableFigureHeading"/>
              <w:rPr>
                <w:b w:val="0"/>
                <w:bCs w:val="0"/>
              </w:rPr>
            </w:pPr>
          </w:p>
        </w:tc>
        <w:tc>
          <w:tcPr>
            <w:tcW w:w="2410" w:type="dxa"/>
            <w:vMerge/>
          </w:tcPr>
          <w:p w14:paraId="39869240" w14:textId="77777777" w:rsidR="00A8576D" w:rsidRDefault="00A8576D" w:rsidP="00A8576D">
            <w:pPr>
              <w:pStyle w:val="TableFigureHeading"/>
              <w:rPr>
                <w:b w:val="0"/>
                <w:bCs w:val="0"/>
              </w:rPr>
            </w:pPr>
          </w:p>
        </w:tc>
      </w:tr>
      <w:tr w:rsidR="00A8576D" w14:paraId="2FDEC80B" w14:textId="77777777" w:rsidTr="0B5D70EC">
        <w:trPr>
          <w:trHeight w:val="230"/>
        </w:trPr>
        <w:tc>
          <w:tcPr>
            <w:tcW w:w="1696" w:type="dxa"/>
            <w:vMerge/>
          </w:tcPr>
          <w:p w14:paraId="6A5B3549" w14:textId="3B8C9FAF" w:rsidR="00A8576D" w:rsidRPr="00A8576D" w:rsidRDefault="00A8576D" w:rsidP="00A8576D">
            <w:pPr>
              <w:pStyle w:val="TableFigureHeading"/>
              <w:rPr>
                <w:b w:val="0"/>
                <w:bCs w:val="0"/>
              </w:rPr>
            </w:pPr>
          </w:p>
        </w:tc>
        <w:tc>
          <w:tcPr>
            <w:tcW w:w="1276" w:type="dxa"/>
            <w:vMerge/>
          </w:tcPr>
          <w:p w14:paraId="48182775" w14:textId="376FA313" w:rsidR="00A8576D" w:rsidRPr="00A8576D" w:rsidRDefault="00A8576D" w:rsidP="00A8576D">
            <w:pPr>
              <w:pStyle w:val="TableFigureHeading"/>
              <w:rPr>
                <w:b w:val="0"/>
                <w:bCs w:val="0"/>
              </w:rPr>
            </w:pPr>
          </w:p>
        </w:tc>
        <w:tc>
          <w:tcPr>
            <w:tcW w:w="1559" w:type="dxa"/>
            <w:vMerge/>
          </w:tcPr>
          <w:p w14:paraId="61AE8998" w14:textId="038F4651" w:rsidR="00A8576D" w:rsidRPr="00A8576D" w:rsidRDefault="00A8576D" w:rsidP="00A8576D">
            <w:pPr>
              <w:pStyle w:val="TableFigureHeading"/>
              <w:rPr>
                <w:b w:val="0"/>
                <w:bCs w:val="0"/>
              </w:rPr>
            </w:pPr>
          </w:p>
        </w:tc>
        <w:tc>
          <w:tcPr>
            <w:tcW w:w="1985" w:type="dxa"/>
            <w:vMerge/>
          </w:tcPr>
          <w:p w14:paraId="7FE1811A" w14:textId="77777777" w:rsidR="00A8576D" w:rsidRDefault="00A8576D" w:rsidP="00A8576D">
            <w:pPr>
              <w:pStyle w:val="TableFigureHeading"/>
              <w:rPr>
                <w:b w:val="0"/>
                <w:bCs w:val="0"/>
              </w:rPr>
            </w:pPr>
          </w:p>
        </w:tc>
        <w:tc>
          <w:tcPr>
            <w:tcW w:w="2410" w:type="dxa"/>
            <w:vMerge/>
          </w:tcPr>
          <w:p w14:paraId="0922D070" w14:textId="77777777" w:rsidR="00A8576D" w:rsidRDefault="00A8576D" w:rsidP="00A8576D">
            <w:pPr>
              <w:pStyle w:val="TableFigureHeading"/>
              <w:rPr>
                <w:b w:val="0"/>
                <w:bCs w:val="0"/>
              </w:rPr>
            </w:pPr>
          </w:p>
        </w:tc>
      </w:tr>
      <w:tr w:rsidR="00A8576D" w14:paraId="2BC35827" w14:textId="77777777" w:rsidTr="0B5D70EC">
        <w:tc>
          <w:tcPr>
            <w:tcW w:w="1696" w:type="dxa"/>
          </w:tcPr>
          <w:p w14:paraId="2734ED2E" w14:textId="4A0C949A" w:rsidR="00A8576D" w:rsidRDefault="00A8576D" w:rsidP="00A8576D">
            <w:pPr>
              <w:pStyle w:val="TableFigureHeading"/>
            </w:pPr>
            <w:r>
              <w:t>Meta-analysis of 3 trials</w:t>
            </w:r>
          </w:p>
        </w:tc>
        <w:tc>
          <w:tcPr>
            <w:tcW w:w="1276" w:type="dxa"/>
          </w:tcPr>
          <w:p w14:paraId="347BC318" w14:textId="15FC7352" w:rsidR="00A8576D" w:rsidRPr="00A8576D" w:rsidRDefault="00A8576D" w:rsidP="00A8576D">
            <w:pPr>
              <w:pStyle w:val="TableFigureHeading"/>
              <w:rPr>
                <w:b w:val="0"/>
                <w:bCs w:val="0"/>
              </w:rPr>
            </w:pPr>
            <w:r w:rsidRPr="00A8576D">
              <w:rPr>
                <w:b w:val="0"/>
                <w:bCs w:val="0"/>
              </w:rPr>
              <w:t>6/672 (0.9%)</w:t>
            </w:r>
          </w:p>
        </w:tc>
        <w:tc>
          <w:tcPr>
            <w:tcW w:w="1559" w:type="dxa"/>
          </w:tcPr>
          <w:p w14:paraId="0AF85134" w14:textId="4E530BB5" w:rsidR="00A8576D" w:rsidRPr="00A8576D" w:rsidRDefault="00A8576D" w:rsidP="00A8576D">
            <w:pPr>
              <w:pStyle w:val="TableFigureHeading"/>
              <w:rPr>
                <w:b w:val="0"/>
                <w:bCs w:val="0"/>
              </w:rPr>
            </w:pPr>
            <w:r>
              <w:rPr>
                <w:b w:val="0"/>
                <w:bCs w:val="0"/>
              </w:rPr>
              <w:t>5/607 (0.8%)</w:t>
            </w:r>
          </w:p>
        </w:tc>
        <w:tc>
          <w:tcPr>
            <w:tcW w:w="1985" w:type="dxa"/>
          </w:tcPr>
          <w:p w14:paraId="734FF76D" w14:textId="0F2B2DDC" w:rsidR="00A8576D" w:rsidRPr="00A8576D" w:rsidRDefault="00A8576D" w:rsidP="00A8576D">
            <w:pPr>
              <w:pStyle w:val="TableFigureHeading"/>
              <w:rPr>
                <w:b w:val="0"/>
                <w:bCs w:val="0"/>
              </w:rPr>
            </w:pPr>
            <w:r>
              <w:rPr>
                <w:b w:val="0"/>
                <w:bCs w:val="0"/>
              </w:rPr>
              <w:t>1.04 (0.33, 3.29)</w:t>
            </w:r>
          </w:p>
        </w:tc>
        <w:tc>
          <w:tcPr>
            <w:tcW w:w="2410" w:type="dxa"/>
          </w:tcPr>
          <w:p w14:paraId="5DD411FF" w14:textId="5C5EF039" w:rsidR="00A8576D" w:rsidRPr="00A8576D" w:rsidRDefault="00A8576D" w:rsidP="00A8576D">
            <w:pPr>
              <w:pStyle w:val="TableFigureHeading"/>
              <w:rPr>
                <w:b w:val="0"/>
                <w:bCs w:val="0"/>
              </w:rPr>
            </w:pPr>
            <w:r>
              <w:rPr>
                <w:b w:val="0"/>
                <w:bCs w:val="0"/>
              </w:rPr>
              <w:t>0.10</w:t>
            </w:r>
            <w:r w:rsidR="00640258">
              <w:rPr>
                <w:b w:val="0"/>
                <w:bCs w:val="0"/>
              </w:rPr>
              <w:t>%</w:t>
            </w:r>
            <w:r>
              <w:rPr>
                <w:b w:val="0"/>
                <w:bCs w:val="0"/>
              </w:rPr>
              <w:t xml:space="preserve"> (-1.0, 1.2)</w:t>
            </w:r>
          </w:p>
        </w:tc>
      </w:tr>
      <w:tr w:rsidR="00A8576D" w14:paraId="6668267C" w14:textId="77777777" w:rsidTr="0B5D70EC">
        <w:tc>
          <w:tcPr>
            <w:tcW w:w="1696" w:type="dxa"/>
          </w:tcPr>
          <w:p w14:paraId="37D3E2F1" w14:textId="7F143E61" w:rsidR="00A8576D" w:rsidRDefault="00A8576D" w:rsidP="00A8576D">
            <w:pPr>
              <w:pStyle w:val="TableFigureHeading"/>
            </w:pPr>
          </w:p>
        </w:tc>
        <w:tc>
          <w:tcPr>
            <w:tcW w:w="1276" w:type="dxa"/>
          </w:tcPr>
          <w:p w14:paraId="56B60B2B" w14:textId="0FA2A78A" w:rsidR="00A8576D" w:rsidRDefault="00A8576D" w:rsidP="00A8576D">
            <w:pPr>
              <w:pStyle w:val="TableFigureHeading"/>
            </w:pPr>
            <w:r>
              <w:t>DMPA</w:t>
            </w:r>
          </w:p>
        </w:tc>
        <w:tc>
          <w:tcPr>
            <w:tcW w:w="1559" w:type="dxa"/>
          </w:tcPr>
          <w:p w14:paraId="20D765BC" w14:textId="7D170298" w:rsidR="00A8576D" w:rsidRDefault="00A8576D" w:rsidP="00A8576D">
            <w:pPr>
              <w:pStyle w:val="TableFigureHeading"/>
            </w:pPr>
            <w:r>
              <w:t>COC</w:t>
            </w:r>
          </w:p>
        </w:tc>
        <w:tc>
          <w:tcPr>
            <w:tcW w:w="1985" w:type="dxa"/>
          </w:tcPr>
          <w:p w14:paraId="0266B378" w14:textId="77777777" w:rsidR="00A8576D" w:rsidRDefault="00A8576D" w:rsidP="00A8576D">
            <w:pPr>
              <w:pStyle w:val="TableFigureHeading"/>
            </w:pPr>
          </w:p>
        </w:tc>
        <w:tc>
          <w:tcPr>
            <w:tcW w:w="2410" w:type="dxa"/>
          </w:tcPr>
          <w:p w14:paraId="38FFB1B9" w14:textId="77777777" w:rsidR="00A8576D" w:rsidRDefault="00A8576D" w:rsidP="00A8576D">
            <w:pPr>
              <w:pStyle w:val="TableFigureHeading"/>
            </w:pPr>
          </w:p>
        </w:tc>
      </w:tr>
      <w:tr w:rsidR="00A8576D" w14:paraId="44BCDA91" w14:textId="77777777" w:rsidTr="0B5D70EC">
        <w:tc>
          <w:tcPr>
            <w:tcW w:w="8926" w:type="dxa"/>
            <w:gridSpan w:val="5"/>
          </w:tcPr>
          <w:p w14:paraId="6EC633C4" w14:textId="6DD44C24" w:rsidR="00A8576D" w:rsidRPr="00A8576D" w:rsidRDefault="00A8576D" w:rsidP="00A8576D">
            <w:pPr>
              <w:pStyle w:val="TableFigureHeading"/>
              <w:rPr>
                <w:b w:val="0"/>
                <w:bCs w:val="0"/>
              </w:rPr>
            </w:pPr>
            <w:r>
              <w:t xml:space="preserve">Hubacher </w:t>
            </w:r>
            <w:r w:rsidR="00905AFC">
              <w:t>(</w:t>
            </w:r>
            <w:r>
              <w:t>2017, 2018</w:t>
            </w:r>
            <w:r w:rsidR="00905AFC">
              <w:t>)</w:t>
            </w:r>
          </w:p>
        </w:tc>
      </w:tr>
      <w:tr w:rsidR="00A8576D" w14:paraId="2B490E83" w14:textId="77777777" w:rsidTr="0B5D70EC">
        <w:tc>
          <w:tcPr>
            <w:tcW w:w="1696" w:type="dxa"/>
          </w:tcPr>
          <w:p w14:paraId="4499626D" w14:textId="13F5BBD9" w:rsidR="00A8576D" w:rsidRDefault="00A8576D" w:rsidP="00A8576D">
            <w:pPr>
              <w:pStyle w:val="TableFigureHeading"/>
            </w:pPr>
            <w:r w:rsidRPr="00A8576D">
              <w:rPr>
                <w:b w:val="0"/>
                <w:bCs w:val="0"/>
              </w:rPr>
              <w:t>Pregnancy n/N</w:t>
            </w:r>
            <w:r w:rsidRPr="00A8576D">
              <w:rPr>
                <w:b w:val="0"/>
                <w:bCs w:val="0"/>
                <w:vertAlign w:val="superscript"/>
              </w:rPr>
              <w:t>1</w:t>
            </w:r>
          </w:p>
        </w:tc>
        <w:tc>
          <w:tcPr>
            <w:tcW w:w="1276" w:type="dxa"/>
          </w:tcPr>
          <w:p w14:paraId="4B61C158" w14:textId="4ECC3D55" w:rsidR="00A8576D" w:rsidRPr="00A8576D" w:rsidRDefault="00A8576D" w:rsidP="00A8576D">
            <w:pPr>
              <w:pStyle w:val="TableFigureHeading"/>
              <w:rPr>
                <w:b w:val="0"/>
                <w:bCs w:val="0"/>
              </w:rPr>
            </w:pPr>
            <w:r w:rsidRPr="00A8576D">
              <w:rPr>
                <w:b w:val="0"/>
                <w:bCs w:val="0"/>
              </w:rPr>
              <w:t xml:space="preserve">NR </w:t>
            </w:r>
          </w:p>
        </w:tc>
        <w:tc>
          <w:tcPr>
            <w:tcW w:w="1559" w:type="dxa"/>
          </w:tcPr>
          <w:p w14:paraId="00432D55" w14:textId="563BFF66" w:rsidR="00A8576D" w:rsidRPr="00A8576D" w:rsidRDefault="00A8576D" w:rsidP="00A8576D">
            <w:pPr>
              <w:pStyle w:val="TableFigureHeading"/>
              <w:rPr>
                <w:b w:val="0"/>
                <w:bCs w:val="0"/>
              </w:rPr>
            </w:pPr>
            <w:r w:rsidRPr="00A8576D">
              <w:rPr>
                <w:b w:val="0"/>
                <w:bCs w:val="0"/>
              </w:rPr>
              <w:t>NR</w:t>
            </w:r>
          </w:p>
        </w:tc>
        <w:tc>
          <w:tcPr>
            <w:tcW w:w="1985" w:type="dxa"/>
          </w:tcPr>
          <w:p w14:paraId="2C2EB99F" w14:textId="04EA9105" w:rsidR="00A8576D" w:rsidRPr="00A8576D" w:rsidRDefault="00A8576D" w:rsidP="00A8576D">
            <w:pPr>
              <w:pStyle w:val="TableFigureHeading"/>
              <w:rPr>
                <w:b w:val="0"/>
                <w:bCs w:val="0"/>
              </w:rPr>
            </w:pPr>
          </w:p>
        </w:tc>
        <w:tc>
          <w:tcPr>
            <w:tcW w:w="2410" w:type="dxa"/>
          </w:tcPr>
          <w:p w14:paraId="1793D4E5" w14:textId="35CA2DDB" w:rsidR="00A8576D" w:rsidRPr="00A8576D" w:rsidRDefault="00A8576D" w:rsidP="00A8576D">
            <w:pPr>
              <w:pStyle w:val="TableFigureHeading"/>
              <w:rPr>
                <w:b w:val="0"/>
                <w:bCs w:val="0"/>
              </w:rPr>
            </w:pPr>
          </w:p>
        </w:tc>
      </w:tr>
      <w:tr w:rsidR="00A8576D" w14:paraId="12B641BB" w14:textId="77777777" w:rsidTr="0B5D70EC">
        <w:tc>
          <w:tcPr>
            <w:tcW w:w="1696" w:type="dxa"/>
          </w:tcPr>
          <w:p w14:paraId="2CBE76D5" w14:textId="2B3EB8B7" w:rsidR="00A8576D" w:rsidRPr="00A8576D" w:rsidRDefault="00A8576D" w:rsidP="00A8576D">
            <w:pPr>
              <w:pStyle w:val="TableFigureHeading"/>
              <w:rPr>
                <w:b w:val="0"/>
                <w:bCs w:val="0"/>
              </w:rPr>
            </w:pPr>
            <w:r w:rsidRPr="00A8576D">
              <w:rPr>
                <w:b w:val="0"/>
                <w:bCs w:val="0"/>
              </w:rPr>
              <w:t>% at 1 year</w:t>
            </w:r>
          </w:p>
        </w:tc>
        <w:tc>
          <w:tcPr>
            <w:tcW w:w="1276" w:type="dxa"/>
          </w:tcPr>
          <w:p w14:paraId="21E1888C" w14:textId="5FFBD0D9" w:rsidR="00A8576D" w:rsidRPr="00A8576D" w:rsidRDefault="00A8576D" w:rsidP="00A8576D">
            <w:pPr>
              <w:pStyle w:val="TableFigureHeading"/>
              <w:rPr>
                <w:b w:val="0"/>
                <w:bCs w:val="0"/>
              </w:rPr>
            </w:pPr>
            <w:r>
              <w:rPr>
                <w:b w:val="0"/>
                <w:bCs w:val="0"/>
              </w:rPr>
              <w:t>4.6</w:t>
            </w:r>
          </w:p>
        </w:tc>
        <w:tc>
          <w:tcPr>
            <w:tcW w:w="1559" w:type="dxa"/>
          </w:tcPr>
          <w:p w14:paraId="64401B0E" w14:textId="438D48A5" w:rsidR="00A8576D" w:rsidRPr="00A8576D" w:rsidRDefault="00A8576D" w:rsidP="00A8576D">
            <w:pPr>
              <w:pStyle w:val="TableFigureHeading"/>
              <w:rPr>
                <w:b w:val="0"/>
                <w:bCs w:val="0"/>
              </w:rPr>
            </w:pPr>
            <w:r>
              <w:rPr>
                <w:b w:val="0"/>
                <w:bCs w:val="0"/>
              </w:rPr>
              <w:t>6.1</w:t>
            </w:r>
          </w:p>
        </w:tc>
        <w:tc>
          <w:tcPr>
            <w:tcW w:w="1985" w:type="dxa"/>
          </w:tcPr>
          <w:p w14:paraId="0A5ACAC5" w14:textId="594769DB" w:rsidR="00A8576D" w:rsidRPr="00A8576D" w:rsidRDefault="00A8576D" w:rsidP="00A8576D">
            <w:pPr>
              <w:pStyle w:val="TableFigureHeading"/>
              <w:rPr>
                <w:b w:val="0"/>
                <w:bCs w:val="0"/>
              </w:rPr>
            </w:pPr>
            <w:r>
              <w:rPr>
                <w:b w:val="0"/>
                <w:bCs w:val="0"/>
              </w:rPr>
              <w:t>0.78 (0.35, 1.71)</w:t>
            </w:r>
          </w:p>
        </w:tc>
        <w:tc>
          <w:tcPr>
            <w:tcW w:w="2410" w:type="dxa"/>
          </w:tcPr>
          <w:p w14:paraId="5821A382" w14:textId="2AA00F74" w:rsidR="00A8576D" w:rsidRPr="00A8576D" w:rsidRDefault="00A8576D" w:rsidP="00A8576D">
            <w:pPr>
              <w:pStyle w:val="TableFigureHeading"/>
              <w:rPr>
                <w:b w:val="0"/>
                <w:bCs w:val="0"/>
              </w:rPr>
            </w:pPr>
            <w:r>
              <w:rPr>
                <w:b w:val="0"/>
                <w:bCs w:val="0"/>
              </w:rPr>
              <w:t>-1.4% (-5.4, 2.6)</w:t>
            </w:r>
          </w:p>
        </w:tc>
      </w:tr>
      <w:tr w:rsidR="00A8576D" w14:paraId="1700C4B3" w14:textId="77777777" w:rsidTr="0B5D70EC">
        <w:tc>
          <w:tcPr>
            <w:tcW w:w="1696" w:type="dxa"/>
          </w:tcPr>
          <w:p w14:paraId="7504605F" w14:textId="2CD751A9" w:rsidR="00A8576D" w:rsidRPr="00A8576D" w:rsidRDefault="00A8576D" w:rsidP="00A8576D">
            <w:pPr>
              <w:pStyle w:val="TableFigureHeading"/>
              <w:rPr>
                <w:b w:val="0"/>
                <w:bCs w:val="0"/>
              </w:rPr>
            </w:pPr>
            <w:r w:rsidRPr="00A8576D">
              <w:rPr>
                <w:b w:val="0"/>
                <w:bCs w:val="0"/>
              </w:rPr>
              <w:t>% at 2 years</w:t>
            </w:r>
          </w:p>
        </w:tc>
        <w:tc>
          <w:tcPr>
            <w:tcW w:w="1276" w:type="dxa"/>
          </w:tcPr>
          <w:p w14:paraId="43F21A9E" w14:textId="484031DA" w:rsidR="00A8576D" w:rsidRPr="00A8576D" w:rsidRDefault="00A8576D" w:rsidP="00A8576D">
            <w:pPr>
              <w:pStyle w:val="TableFigureHeading"/>
              <w:rPr>
                <w:b w:val="0"/>
                <w:bCs w:val="0"/>
              </w:rPr>
            </w:pPr>
            <w:r>
              <w:rPr>
                <w:b w:val="0"/>
                <w:bCs w:val="0"/>
              </w:rPr>
              <w:t>11.5</w:t>
            </w:r>
          </w:p>
        </w:tc>
        <w:tc>
          <w:tcPr>
            <w:tcW w:w="1559" w:type="dxa"/>
          </w:tcPr>
          <w:p w14:paraId="39F3EDD9" w14:textId="147F8576" w:rsidR="00A8576D" w:rsidRPr="00A8576D" w:rsidRDefault="00A8576D" w:rsidP="00A8576D">
            <w:pPr>
              <w:pStyle w:val="TableFigureHeading"/>
              <w:rPr>
                <w:b w:val="0"/>
                <w:bCs w:val="0"/>
              </w:rPr>
            </w:pPr>
            <w:r>
              <w:rPr>
                <w:b w:val="0"/>
                <w:bCs w:val="0"/>
              </w:rPr>
              <w:t>8.5</w:t>
            </w:r>
          </w:p>
        </w:tc>
        <w:tc>
          <w:tcPr>
            <w:tcW w:w="1985" w:type="dxa"/>
          </w:tcPr>
          <w:p w14:paraId="5DF87E7D" w14:textId="0E7CA2EA" w:rsidR="00A8576D" w:rsidRPr="00A8576D" w:rsidRDefault="00A8576D" w:rsidP="00A8576D">
            <w:pPr>
              <w:pStyle w:val="TableFigureHeading"/>
              <w:rPr>
                <w:b w:val="0"/>
                <w:bCs w:val="0"/>
              </w:rPr>
            </w:pPr>
            <w:r>
              <w:rPr>
                <w:b w:val="0"/>
                <w:bCs w:val="0"/>
              </w:rPr>
              <w:t>1.37 (0.81, 2.32)</w:t>
            </w:r>
          </w:p>
        </w:tc>
        <w:tc>
          <w:tcPr>
            <w:tcW w:w="2410" w:type="dxa"/>
          </w:tcPr>
          <w:p w14:paraId="21196764" w14:textId="55674033" w:rsidR="00A8576D" w:rsidRPr="00A8576D" w:rsidRDefault="00A8576D" w:rsidP="00A8576D">
            <w:pPr>
              <w:pStyle w:val="TableFigureHeading"/>
              <w:rPr>
                <w:b w:val="0"/>
                <w:bCs w:val="0"/>
              </w:rPr>
            </w:pPr>
            <w:r>
              <w:rPr>
                <w:b w:val="0"/>
                <w:bCs w:val="0"/>
              </w:rPr>
              <w:t>3.1% (-2.5, 8.8)</w:t>
            </w:r>
          </w:p>
        </w:tc>
      </w:tr>
    </w:tbl>
    <w:p w14:paraId="069E7287" w14:textId="230E218C" w:rsidR="00A8576D" w:rsidRDefault="00A8576D" w:rsidP="0053245C">
      <w:pPr>
        <w:pStyle w:val="TableFigureFooter"/>
      </w:pPr>
      <w:r>
        <w:t>Source: Table</w:t>
      </w:r>
      <w:r w:rsidR="002415BB">
        <w:t>s</w:t>
      </w:r>
      <w:r>
        <w:t xml:space="preserve"> 2.5.1, p81</w:t>
      </w:r>
      <w:r w:rsidR="003C651D">
        <w:t>,</w:t>
      </w:r>
      <w:r>
        <w:t xml:space="preserve"> 2.5.2, p82</w:t>
      </w:r>
      <w:r w:rsidR="003C651D">
        <w:t>, 2.6.2, p89, 2.6.3, p90</w:t>
      </w:r>
      <w:r>
        <w:t xml:space="preserve"> of the submission.</w:t>
      </w:r>
    </w:p>
    <w:p w14:paraId="113FD2B7" w14:textId="7E734797" w:rsidR="00A8576D" w:rsidRPr="00A8576D" w:rsidRDefault="00A8576D" w:rsidP="0053245C">
      <w:pPr>
        <w:pStyle w:val="TableFigureFooter"/>
      </w:pPr>
      <w:r w:rsidRPr="00A8576D">
        <w:rPr>
          <w:vertAlign w:val="superscript"/>
        </w:rPr>
        <w:t xml:space="preserve">1 </w:t>
      </w:r>
      <w:r>
        <w:t xml:space="preserve">A total of 34 unintended pregnancies </w:t>
      </w:r>
      <w:r w:rsidR="00FA3D3C">
        <w:t xml:space="preserve">were </w:t>
      </w:r>
      <w:r>
        <w:t xml:space="preserve">reported at </w:t>
      </w:r>
      <w:r w:rsidR="003C2E1F">
        <w:t xml:space="preserve">1 </w:t>
      </w:r>
      <w:r>
        <w:t xml:space="preserve">year and 60 at 2 years in women using COCs </w:t>
      </w:r>
      <w:r w:rsidRPr="00CE515D">
        <w:t xml:space="preserve">or </w:t>
      </w:r>
      <w:r>
        <w:t>DMPA.</w:t>
      </w:r>
    </w:p>
    <w:p w14:paraId="7DC3930B" w14:textId="118C5CEA" w:rsidR="00A8576D" w:rsidRDefault="00A8576D" w:rsidP="0053245C">
      <w:pPr>
        <w:pStyle w:val="TableFigureFooter"/>
      </w:pPr>
      <w:r>
        <w:t xml:space="preserve">CI = confidence interval; COC = combined oral contraceptive; CVR = contraceptive vaginal ring; DMPA = depot medroxyprogesterone acetate; ITC = indirect treatment comparison; NE = not evaluable; NR = not reported. </w:t>
      </w:r>
    </w:p>
    <w:p w14:paraId="06EDABFA" w14:textId="33BE94D7" w:rsidR="00A8576D" w:rsidRPr="00A8576D" w:rsidRDefault="00A8576D" w:rsidP="00A8576D">
      <w:pPr>
        <w:pStyle w:val="3-BodyText"/>
        <w:rPr>
          <w:color w:val="000000" w:themeColor="text1"/>
        </w:rPr>
      </w:pPr>
      <w:r>
        <w:rPr>
          <w:color w:val="000000" w:themeColor="text1"/>
        </w:rPr>
        <w:lastRenderedPageBreak/>
        <w:t>The nu</w:t>
      </w:r>
      <w:r w:rsidRPr="00A8576D">
        <w:rPr>
          <w:color w:val="000000" w:themeColor="text1"/>
        </w:rPr>
        <w:t>mber and rates</w:t>
      </w:r>
      <w:r>
        <w:rPr>
          <w:color w:val="000000" w:themeColor="text1"/>
        </w:rPr>
        <w:t xml:space="preserve"> (where calculable)</w:t>
      </w:r>
      <w:r w:rsidRPr="00A8576D">
        <w:rPr>
          <w:color w:val="000000" w:themeColor="text1"/>
        </w:rPr>
        <w:t xml:space="preserve"> of unintended pregnancy in the studies used in the indirect treatment comparison </w:t>
      </w:r>
      <w:r>
        <w:rPr>
          <w:color w:val="000000" w:themeColor="text1"/>
        </w:rPr>
        <w:t xml:space="preserve">for CVR vs DMPA with NET-EN as </w:t>
      </w:r>
      <w:r w:rsidR="00CD5D0A">
        <w:rPr>
          <w:color w:val="000000" w:themeColor="text1"/>
        </w:rPr>
        <w:t xml:space="preserve">the </w:t>
      </w:r>
      <w:r>
        <w:rPr>
          <w:color w:val="000000" w:themeColor="text1"/>
        </w:rPr>
        <w:t xml:space="preserve">common comparator </w:t>
      </w:r>
      <w:r w:rsidRPr="00A8576D">
        <w:rPr>
          <w:color w:val="000000" w:themeColor="text1"/>
        </w:rPr>
        <w:t xml:space="preserve">are shown in </w:t>
      </w:r>
      <w:r w:rsidR="00117B58">
        <w:rPr>
          <w:color w:val="000000" w:themeColor="text1"/>
        </w:rPr>
        <w:fldChar w:fldCharType="begin"/>
      </w:r>
      <w:r w:rsidR="00117B58">
        <w:rPr>
          <w:color w:val="000000" w:themeColor="text1"/>
        </w:rPr>
        <w:instrText xml:space="preserve"> REF _Ref188958309 \h </w:instrText>
      </w:r>
      <w:r w:rsidR="00117B58">
        <w:rPr>
          <w:color w:val="000000" w:themeColor="text1"/>
        </w:rPr>
      </w:r>
      <w:r w:rsidR="00117B58">
        <w:rPr>
          <w:color w:val="000000" w:themeColor="text1"/>
        </w:rPr>
        <w:fldChar w:fldCharType="separate"/>
      </w:r>
      <w:r w:rsidR="00896E34">
        <w:t xml:space="preserve">Table </w:t>
      </w:r>
      <w:r w:rsidR="00896E34">
        <w:rPr>
          <w:noProof/>
        </w:rPr>
        <w:t>5</w:t>
      </w:r>
      <w:r w:rsidR="00117B58">
        <w:rPr>
          <w:color w:val="000000" w:themeColor="text1"/>
        </w:rPr>
        <w:fldChar w:fldCharType="end"/>
      </w:r>
      <w:r w:rsidR="00117B58">
        <w:rPr>
          <w:color w:val="000000" w:themeColor="text1"/>
        </w:rPr>
        <w:t>.</w:t>
      </w:r>
    </w:p>
    <w:p w14:paraId="65E2B522" w14:textId="6E776947" w:rsidR="00A8576D" w:rsidRDefault="00117B58" w:rsidP="00117B58">
      <w:pPr>
        <w:pStyle w:val="Caption"/>
        <w:rPr>
          <w:color w:val="0066FF"/>
        </w:rPr>
      </w:pPr>
      <w:bookmarkStart w:id="26" w:name="_Ref188958309"/>
      <w:r>
        <w:t xml:space="preserve">Table </w:t>
      </w:r>
      <w:r w:rsidR="005E2A18">
        <w:fldChar w:fldCharType="begin"/>
      </w:r>
      <w:r w:rsidR="005E2A18">
        <w:instrText xml:space="preserve"> SEQ Table \* ARABIC </w:instrText>
      </w:r>
      <w:r w:rsidR="005E2A18">
        <w:fldChar w:fldCharType="separate"/>
      </w:r>
      <w:r w:rsidR="00896E34">
        <w:rPr>
          <w:noProof/>
        </w:rPr>
        <w:t>5</w:t>
      </w:r>
      <w:r w:rsidR="005E2A18">
        <w:rPr>
          <w:noProof/>
        </w:rPr>
        <w:fldChar w:fldCharType="end"/>
      </w:r>
      <w:bookmarkEnd w:id="26"/>
      <w:r>
        <w:t xml:space="preserve">: </w:t>
      </w:r>
      <w:r w:rsidR="00A8576D">
        <w:t>Unintended pregnancies in the submitted trials for ITC of CVR vs DMPA via NET-EN</w:t>
      </w:r>
      <w:r w:rsidR="00A8576D" w:rsidRPr="0098262F">
        <w:rPr>
          <w:color w:val="0066FF"/>
        </w:rPr>
        <w:t xml:space="preserve"> </w:t>
      </w:r>
    </w:p>
    <w:tbl>
      <w:tblPr>
        <w:tblStyle w:val="TableGrid"/>
        <w:tblW w:w="0" w:type="auto"/>
        <w:tblLook w:val="04A0" w:firstRow="1" w:lastRow="0" w:firstColumn="1" w:lastColumn="0" w:noHBand="0" w:noVBand="1"/>
      </w:tblPr>
      <w:tblGrid>
        <w:gridCol w:w="1803"/>
        <w:gridCol w:w="1311"/>
        <w:gridCol w:w="1417"/>
        <w:gridCol w:w="2268"/>
        <w:gridCol w:w="2218"/>
      </w:tblGrid>
      <w:tr w:rsidR="00A8576D" w14:paraId="5612BA90" w14:textId="77777777" w:rsidTr="0B5D70EC">
        <w:tc>
          <w:tcPr>
            <w:tcW w:w="1803" w:type="dxa"/>
          </w:tcPr>
          <w:p w14:paraId="4B2DF146" w14:textId="77777777" w:rsidR="00A8576D" w:rsidRPr="00A8576D" w:rsidRDefault="00A8576D" w:rsidP="00A8576D">
            <w:pPr>
              <w:pStyle w:val="TableFigureHeading"/>
              <w:rPr>
                <w:color w:val="000000" w:themeColor="text1"/>
              </w:rPr>
            </w:pPr>
          </w:p>
        </w:tc>
        <w:tc>
          <w:tcPr>
            <w:tcW w:w="1311" w:type="dxa"/>
          </w:tcPr>
          <w:p w14:paraId="3C8DD762" w14:textId="68FA3CD4" w:rsidR="00A8576D" w:rsidRPr="00A8576D" w:rsidRDefault="00A8576D" w:rsidP="00A8576D">
            <w:pPr>
              <w:pStyle w:val="TableFigureHeading"/>
              <w:rPr>
                <w:color w:val="000000" w:themeColor="text1"/>
              </w:rPr>
            </w:pPr>
            <w:r w:rsidRPr="00A8576D">
              <w:rPr>
                <w:color w:val="000000" w:themeColor="text1"/>
              </w:rPr>
              <w:t>CVR</w:t>
            </w:r>
          </w:p>
        </w:tc>
        <w:tc>
          <w:tcPr>
            <w:tcW w:w="1417" w:type="dxa"/>
          </w:tcPr>
          <w:p w14:paraId="288C92FC" w14:textId="0A64D201" w:rsidR="00A8576D" w:rsidRPr="00A8576D" w:rsidRDefault="00A8576D" w:rsidP="00A8576D">
            <w:pPr>
              <w:pStyle w:val="TableFigureHeading"/>
              <w:rPr>
                <w:color w:val="000000" w:themeColor="text1"/>
              </w:rPr>
            </w:pPr>
            <w:r w:rsidRPr="00A8576D">
              <w:rPr>
                <w:color w:val="000000" w:themeColor="text1"/>
              </w:rPr>
              <w:t>NET-EN</w:t>
            </w:r>
          </w:p>
        </w:tc>
        <w:tc>
          <w:tcPr>
            <w:tcW w:w="2268" w:type="dxa"/>
          </w:tcPr>
          <w:p w14:paraId="33EF92DB" w14:textId="07901C03" w:rsidR="00A8576D" w:rsidRPr="00A8576D" w:rsidRDefault="00A8576D" w:rsidP="00A8576D">
            <w:pPr>
              <w:pStyle w:val="TableFigureHeading"/>
              <w:rPr>
                <w:color w:val="000000" w:themeColor="text1"/>
              </w:rPr>
            </w:pPr>
            <w:r w:rsidRPr="00A8576D">
              <w:rPr>
                <w:color w:val="000000" w:themeColor="text1"/>
              </w:rPr>
              <w:t>Relative Risk (95% CI)</w:t>
            </w:r>
          </w:p>
        </w:tc>
        <w:tc>
          <w:tcPr>
            <w:tcW w:w="2218" w:type="dxa"/>
          </w:tcPr>
          <w:p w14:paraId="08E1B613" w14:textId="2EA9CD83" w:rsidR="00A8576D" w:rsidRPr="00A8576D" w:rsidRDefault="00A8576D" w:rsidP="00A8576D">
            <w:pPr>
              <w:pStyle w:val="TableFigureHeading"/>
              <w:rPr>
                <w:color w:val="000000" w:themeColor="text1"/>
              </w:rPr>
            </w:pPr>
            <w:r w:rsidRPr="00A8576D">
              <w:rPr>
                <w:color w:val="000000" w:themeColor="text1"/>
              </w:rPr>
              <w:t>Risk Difference (95% CI)</w:t>
            </w:r>
          </w:p>
        </w:tc>
      </w:tr>
      <w:tr w:rsidR="00A8576D" w14:paraId="67FB9D14" w14:textId="77777777" w:rsidTr="0B5D70EC">
        <w:tc>
          <w:tcPr>
            <w:tcW w:w="9017" w:type="dxa"/>
            <w:gridSpan w:val="5"/>
          </w:tcPr>
          <w:p w14:paraId="46F96099" w14:textId="15ED3579" w:rsidR="00A8576D" w:rsidRPr="00A8576D" w:rsidRDefault="00A8576D" w:rsidP="00A8576D">
            <w:pPr>
              <w:pStyle w:val="TableFigureHeading"/>
              <w:rPr>
                <w:color w:val="000000" w:themeColor="text1"/>
              </w:rPr>
            </w:pPr>
            <w:r w:rsidRPr="00A8576D">
              <w:rPr>
                <w:color w:val="000000" w:themeColor="text1"/>
              </w:rPr>
              <w:t>Gill, 2020</w:t>
            </w:r>
          </w:p>
        </w:tc>
      </w:tr>
      <w:tr w:rsidR="00A8576D" w14:paraId="7D5A8C79" w14:textId="77777777" w:rsidTr="0B5D70EC">
        <w:tc>
          <w:tcPr>
            <w:tcW w:w="1803" w:type="dxa"/>
          </w:tcPr>
          <w:p w14:paraId="3AC5FDC1" w14:textId="125760A1" w:rsidR="00A8576D" w:rsidRPr="00A8576D" w:rsidRDefault="00A8576D" w:rsidP="00A8576D">
            <w:pPr>
              <w:pStyle w:val="TableFigureHeading"/>
              <w:rPr>
                <w:b w:val="0"/>
                <w:bCs w:val="0"/>
                <w:color w:val="000000" w:themeColor="text1"/>
              </w:rPr>
            </w:pPr>
            <w:r w:rsidRPr="00A8576D">
              <w:rPr>
                <w:b w:val="0"/>
                <w:bCs w:val="0"/>
                <w:color w:val="000000" w:themeColor="text1"/>
              </w:rPr>
              <w:t>Pregnancy, n/N (%)</w:t>
            </w:r>
          </w:p>
        </w:tc>
        <w:tc>
          <w:tcPr>
            <w:tcW w:w="1311" w:type="dxa"/>
          </w:tcPr>
          <w:p w14:paraId="58A4A7C2" w14:textId="11E26CCC" w:rsidR="00A8576D" w:rsidRPr="00A8576D" w:rsidRDefault="00A8576D" w:rsidP="00A8576D">
            <w:pPr>
              <w:pStyle w:val="TableFigureHeading"/>
              <w:rPr>
                <w:b w:val="0"/>
                <w:bCs w:val="0"/>
                <w:color w:val="000000" w:themeColor="text1"/>
              </w:rPr>
            </w:pPr>
            <w:r w:rsidRPr="00A8576D">
              <w:rPr>
                <w:b w:val="0"/>
                <w:bCs w:val="0"/>
                <w:color w:val="000000" w:themeColor="text1"/>
              </w:rPr>
              <w:t>1/116 (0.9%)</w:t>
            </w:r>
          </w:p>
        </w:tc>
        <w:tc>
          <w:tcPr>
            <w:tcW w:w="1417" w:type="dxa"/>
          </w:tcPr>
          <w:p w14:paraId="3FC4A4BA" w14:textId="0E5179C3" w:rsidR="00A8576D" w:rsidRPr="00A8576D" w:rsidRDefault="00A8576D" w:rsidP="00A8576D">
            <w:pPr>
              <w:pStyle w:val="TableFigureHeading"/>
              <w:rPr>
                <w:b w:val="0"/>
                <w:bCs w:val="0"/>
                <w:color w:val="000000" w:themeColor="text1"/>
              </w:rPr>
            </w:pPr>
            <w:r w:rsidRPr="00A8576D">
              <w:rPr>
                <w:b w:val="0"/>
                <w:bCs w:val="0"/>
                <w:color w:val="000000" w:themeColor="text1"/>
              </w:rPr>
              <w:t>0/73 (0%)</w:t>
            </w:r>
          </w:p>
        </w:tc>
        <w:tc>
          <w:tcPr>
            <w:tcW w:w="2268" w:type="dxa"/>
          </w:tcPr>
          <w:p w14:paraId="75F058F2" w14:textId="25311DA5" w:rsidR="00A8576D" w:rsidRPr="00A8576D" w:rsidRDefault="00A8576D" w:rsidP="00A8576D">
            <w:pPr>
              <w:pStyle w:val="TableFigureHeading"/>
              <w:rPr>
                <w:b w:val="0"/>
                <w:bCs w:val="0"/>
                <w:color w:val="000000" w:themeColor="text1"/>
              </w:rPr>
            </w:pPr>
            <w:r w:rsidRPr="00A8576D">
              <w:rPr>
                <w:b w:val="0"/>
                <w:bCs w:val="0"/>
                <w:color w:val="000000" w:themeColor="text1"/>
              </w:rPr>
              <w:t>1.9 (0.1, 46.0)</w:t>
            </w:r>
          </w:p>
        </w:tc>
        <w:tc>
          <w:tcPr>
            <w:tcW w:w="2218" w:type="dxa"/>
          </w:tcPr>
          <w:p w14:paraId="209132E7" w14:textId="5C800F23" w:rsidR="00A8576D" w:rsidRPr="00A8576D" w:rsidRDefault="00A8576D" w:rsidP="00A8576D">
            <w:pPr>
              <w:pStyle w:val="TableFigureHeading"/>
              <w:rPr>
                <w:b w:val="0"/>
                <w:bCs w:val="0"/>
                <w:color w:val="000000" w:themeColor="text1"/>
              </w:rPr>
            </w:pPr>
            <w:r w:rsidRPr="00A8576D">
              <w:rPr>
                <w:b w:val="0"/>
                <w:bCs w:val="0"/>
                <w:color w:val="000000" w:themeColor="text1"/>
              </w:rPr>
              <w:t>0.9</w:t>
            </w:r>
            <w:r w:rsidR="003C06E6">
              <w:rPr>
                <w:b w:val="0"/>
                <w:bCs w:val="0"/>
                <w:color w:val="000000" w:themeColor="text1"/>
              </w:rPr>
              <w:t>%</w:t>
            </w:r>
            <w:r w:rsidRPr="00A8576D">
              <w:rPr>
                <w:b w:val="0"/>
                <w:bCs w:val="0"/>
                <w:color w:val="000000" w:themeColor="text1"/>
              </w:rPr>
              <w:t xml:space="preserve"> (-1.9, 3.6)</w:t>
            </w:r>
          </w:p>
        </w:tc>
      </w:tr>
      <w:tr w:rsidR="00A8576D" w14:paraId="23DF4854" w14:textId="77777777" w:rsidTr="0B5D70EC">
        <w:tc>
          <w:tcPr>
            <w:tcW w:w="1803" w:type="dxa"/>
          </w:tcPr>
          <w:p w14:paraId="15CC05E1" w14:textId="77777777" w:rsidR="00A8576D" w:rsidRPr="00A8576D" w:rsidRDefault="00A8576D" w:rsidP="00A8576D">
            <w:pPr>
              <w:pStyle w:val="TableFigureHeading"/>
              <w:rPr>
                <w:color w:val="000000" w:themeColor="text1"/>
              </w:rPr>
            </w:pPr>
          </w:p>
        </w:tc>
        <w:tc>
          <w:tcPr>
            <w:tcW w:w="1311" w:type="dxa"/>
          </w:tcPr>
          <w:p w14:paraId="4F0A4F3F" w14:textId="13F8AD40" w:rsidR="00A8576D" w:rsidRPr="00A8576D" w:rsidRDefault="00A8576D" w:rsidP="00A8576D">
            <w:pPr>
              <w:pStyle w:val="TableFigureHeading"/>
              <w:rPr>
                <w:color w:val="000000" w:themeColor="text1"/>
              </w:rPr>
            </w:pPr>
            <w:r w:rsidRPr="00A8576D">
              <w:rPr>
                <w:color w:val="000000" w:themeColor="text1"/>
              </w:rPr>
              <w:t>DMPA</w:t>
            </w:r>
          </w:p>
        </w:tc>
        <w:tc>
          <w:tcPr>
            <w:tcW w:w="1417" w:type="dxa"/>
          </w:tcPr>
          <w:p w14:paraId="598EFACD" w14:textId="2FF0748C" w:rsidR="00A8576D" w:rsidRPr="00A8576D" w:rsidRDefault="00A8576D" w:rsidP="00A8576D">
            <w:pPr>
              <w:pStyle w:val="TableFigureHeading"/>
              <w:rPr>
                <w:color w:val="000000" w:themeColor="text1"/>
              </w:rPr>
            </w:pPr>
            <w:r w:rsidRPr="00A8576D">
              <w:rPr>
                <w:color w:val="000000" w:themeColor="text1"/>
              </w:rPr>
              <w:t>NET-EN</w:t>
            </w:r>
          </w:p>
        </w:tc>
        <w:tc>
          <w:tcPr>
            <w:tcW w:w="2268" w:type="dxa"/>
          </w:tcPr>
          <w:p w14:paraId="5D387F49" w14:textId="77777777" w:rsidR="00A8576D" w:rsidRPr="00A8576D" w:rsidRDefault="00A8576D" w:rsidP="00A8576D">
            <w:pPr>
              <w:pStyle w:val="TableFigureHeading"/>
              <w:rPr>
                <w:color w:val="000000" w:themeColor="text1"/>
              </w:rPr>
            </w:pPr>
          </w:p>
        </w:tc>
        <w:tc>
          <w:tcPr>
            <w:tcW w:w="2218" w:type="dxa"/>
          </w:tcPr>
          <w:p w14:paraId="5B77F42D" w14:textId="77777777" w:rsidR="00A8576D" w:rsidRPr="00A8576D" w:rsidRDefault="00A8576D" w:rsidP="00A8576D">
            <w:pPr>
              <w:pStyle w:val="TableFigureHeading"/>
              <w:rPr>
                <w:color w:val="000000" w:themeColor="text1"/>
              </w:rPr>
            </w:pPr>
          </w:p>
        </w:tc>
      </w:tr>
      <w:tr w:rsidR="00A8576D" w14:paraId="759881F4" w14:textId="77777777" w:rsidTr="0B5D70EC">
        <w:tc>
          <w:tcPr>
            <w:tcW w:w="9017" w:type="dxa"/>
            <w:gridSpan w:val="5"/>
          </w:tcPr>
          <w:p w14:paraId="6C904448" w14:textId="7D596673" w:rsidR="00A8576D" w:rsidRPr="00A8576D" w:rsidRDefault="075B869F" w:rsidP="0B5D70EC">
            <w:pPr>
              <w:pStyle w:val="TableFigureHeading"/>
              <w:rPr>
                <w:color w:val="000000" w:themeColor="text1"/>
              </w:rPr>
            </w:pPr>
            <w:proofErr w:type="spellStart"/>
            <w:r w:rsidRPr="0B5D70EC">
              <w:rPr>
                <w:color w:val="000000" w:themeColor="text1"/>
              </w:rPr>
              <w:t>Benagiano</w:t>
            </w:r>
            <w:proofErr w:type="spellEnd"/>
            <w:r w:rsidRPr="0B5D70EC">
              <w:rPr>
                <w:color w:val="000000" w:themeColor="text1"/>
              </w:rPr>
              <w:t>, 1977, 1978</w:t>
            </w:r>
          </w:p>
        </w:tc>
      </w:tr>
      <w:tr w:rsidR="00A8576D" w14:paraId="58ABFB03" w14:textId="77777777" w:rsidTr="0B5D70EC">
        <w:tc>
          <w:tcPr>
            <w:tcW w:w="1803" w:type="dxa"/>
          </w:tcPr>
          <w:p w14:paraId="76BE5AF5" w14:textId="77AC7E27" w:rsidR="00A8576D" w:rsidRPr="00A8576D" w:rsidRDefault="00A8576D" w:rsidP="00A8576D">
            <w:pPr>
              <w:pStyle w:val="TableFigureHeading"/>
              <w:rPr>
                <w:b w:val="0"/>
                <w:bCs w:val="0"/>
                <w:color w:val="000000" w:themeColor="text1"/>
              </w:rPr>
            </w:pPr>
            <w:r w:rsidRPr="00A8576D">
              <w:rPr>
                <w:b w:val="0"/>
                <w:bCs w:val="0"/>
                <w:color w:val="000000" w:themeColor="text1"/>
              </w:rPr>
              <w:t>Pregnancy, n/N (%)</w:t>
            </w:r>
          </w:p>
        </w:tc>
        <w:tc>
          <w:tcPr>
            <w:tcW w:w="1311" w:type="dxa"/>
          </w:tcPr>
          <w:p w14:paraId="7FB469CD" w14:textId="7F587ADD" w:rsidR="00A8576D" w:rsidRPr="00A8576D" w:rsidRDefault="00A8576D" w:rsidP="00A8576D">
            <w:pPr>
              <w:pStyle w:val="TableFigureHeading"/>
              <w:rPr>
                <w:b w:val="0"/>
                <w:bCs w:val="0"/>
                <w:color w:val="000000" w:themeColor="text1"/>
              </w:rPr>
            </w:pPr>
            <w:r w:rsidRPr="00A8576D">
              <w:rPr>
                <w:b w:val="0"/>
                <w:bCs w:val="0"/>
                <w:color w:val="000000" w:themeColor="text1"/>
              </w:rPr>
              <w:t>6/846 (0.7%)</w:t>
            </w:r>
          </w:p>
        </w:tc>
        <w:tc>
          <w:tcPr>
            <w:tcW w:w="1417" w:type="dxa"/>
          </w:tcPr>
          <w:p w14:paraId="474BE6F7" w14:textId="3CDDDB2C" w:rsidR="00A8576D" w:rsidRPr="00A8576D" w:rsidRDefault="00A8576D" w:rsidP="00A8576D">
            <w:pPr>
              <w:pStyle w:val="TableFigureHeading"/>
              <w:rPr>
                <w:b w:val="0"/>
                <w:bCs w:val="0"/>
                <w:color w:val="000000" w:themeColor="text1"/>
              </w:rPr>
            </w:pPr>
            <w:r w:rsidRPr="00A8576D">
              <w:rPr>
                <w:b w:val="0"/>
                <w:bCs w:val="0"/>
                <w:color w:val="000000" w:themeColor="text1"/>
              </w:rPr>
              <w:t>24/832 (2.9%)</w:t>
            </w:r>
          </w:p>
        </w:tc>
        <w:tc>
          <w:tcPr>
            <w:tcW w:w="2268" w:type="dxa"/>
          </w:tcPr>
          <w:p w14:paraId="45E8778F" w14:textId="5E977F64" w:rsidR="00A8576D" w:rsidRPr="00A8576D" w:rsidRDefault="00A8576D" w:rsidP="00A8576D">
            <w:pPr>
              <w:pStyle w:val="TableFigureHeading"/>
              <w:rPr>
                <w:color w:val="000000" w:themeColor="text1"/>
              </w:rPr>
            </w:pPr>
            <w:r w:rsidRPr="00A8576D">
              <w:rPr>
                <w:color w:val="000000" w:themeColor="text1"/>
              </w:rPr>
              <w:t>0.25 (0.10, 0.60)</w:t>
            </w:r>
          </w:p>
        </w:tc>
        <w:tc>
          <w:tcPr>
            <w:tcW w:w="2218" w:type="dxa"/>
          </w:tcPr>
          <w:p w14:paraId="023F7D06" w14:textId="4E493A5A" w:rsidR="00A8576D" w:rsidRPr="00A8576D" w:rsidRDefault="00A8576D" w:rsidP="00A8576D">
            <w:pPr>
              <w:pStyle w:val="TableFigureHeading"/>
              <w:rPr>
                <w:color w:val="000000" w:themeColor="text1"/>
              </w:rPr>
            </w:pPr>
            <w:r w:rsidRPr="00A8576D">
              <w:rPr>
                <w:color w:val="000000" w:themeColor="text1"/>
              </w:rPr>
              <w:t>-2.2% (-3.4, -0.9)</w:t>
            </w:r>
          </w:p>
        </w:tc>
      </w:tr>
      <w:tr w:rsidR="00A8576D" w14:paraId="40AD812E" w14:textId="77777777" w:rsidTr="0B5D70EC">
        <w:tc>
          <w:tcPr>
            <w:tcW w:w="9017" w:type="dxa"/>
            <w:gridSpan w:val="5"/>
          </w:tcPr>
          <w:p w14:paraId="58835054" w14:textId="7115F4DF" w:rsidR="00A8576D" w:rsidRPr="00A8576D" w:rsidRDefault="00A8576D" w:rsidP="00A8576D">
            <w:pPr>
              <w:pStyle w:val="TableFigureHeading"/>
              <w:rPr>
                <w:color w:val="000000" w:themeColor="text1"/>
              </w:rPr>
            </w:pPr>
            <w:r w:rsidRPr="00A8576D">
              <w:rPr>
                <w:color w:val="000000" w:themeColor="text1"/>
              </w:rPr>
              <w:t>Salem, 1988</w:t>
            </w:r>
          </w:p>
        </w:tc>
      </w:tr>
      <w:tr w:rsidR="00A8576D" w14:paraId="60802CB8" w14:textId="77777777" w:rsidTr="0B5D70EC">
        <w:tc>
          <w:tcPr>
            <w:tcW w:w="1803" w:type="dxa"/>
          </w:tcPr>
          <w:p w14:paraId="5B41934E" w14:textId="70232759" w:rsidR="00A8576D" w:rsidRPr="00A8576D" w:rsidRDefault="00A8576D" w:rsidP="00A8576D">
            <w:pPr>
              <w:pStyle w:val="TableFigureHeading"/>
              <w:rPr>
                <w:b w:val="0"/>
                <w:bCs w:val="0"/>
                <w:color w:val="000000" w:themeColor="text1"/>
              </w:rPr>
            </w:pPr>
            <w:r w:rsidRPr="00A8576D">
              <w:rPr>
                <w:b w:val="0"/>
                <w:bCs w:val="0"/>
                <w:color w:val="000000" w:themeColor="text1"/>
              </w:rPr>
              <w:t>Pregnancy, n/N (%)</w:t>
            </w:r>
          </w:p>
        </w:tc>
        <w:tc>
          <w:tcPr>
            <w:tcW w:w="1311" w:type="dxa"/>
          </w:tcPr>
          <w:p w14:paraId="7DBD101E" w14:textId="39BB62D7" w:rsidR="00A8576D" w:rsidRPr="00A8576D" w:rsidRDefault="00A8576D" w:rsidP="00A8576D">
            <w:pPr>
              <w:pStyle w:val="TableFigureHeading"/>
              <w:rPr>
                <w:b w:val="0"/>
                <w:bCs w:val="0"/>
                <w:color w:val="000000" w:themeColor="text1"/>
              </w:rPr>
            </w:pPr>
            <w:r w:rsidRPr="00A8576D">
              <w:rPr>
                <w:b w:val="0"/>
                <w:bCs w:val="0"/>
                <w:color w:val="000000" w:themeColor="text1"/>
              </w:rPr>
              <w:t>1/200 (0.5%)</w:t>
            </w:r>
          </w:p>
        </w:tc>
        <w:tc>
          <w:tcPr>
            <w:tcW w:w="1417" w:type="dxa"/>
          </w:tcPr>
          <w:p w14:paraId="5920479B" w14:textId="325DB114" w:rsidR="00A8576D" w:rsidRPr="00A8576D" w:rsidRDefault="00A8576D" w:rsidP="00A8576D">
            <w:pPr>
              <w:pStyle w:val="TableFigureHeading"/>
              <w:rPr>
                <w:b w:val="0"/>
                <w:bCs w:val="0"/>
                <w:color w:val="000000" w:themeColor="text1"/>
              </w:rPr>
            </w:pPr>
            <w:r w:rsidRPr="00A8576D">
              <w:rPr>
                <w:b w:val="0"/>
                <w:bCs w:val="0"/>
                <w:color w:val="000000" w:themeColor="text1"/>
              </w:rPr>
              <w:t>2/200 (1%)</w:t>
            </w:r>
          </w:p>
        </w:tc>
        <w:tc>
          <w:tcPr>
            <w:tcW w:w="2268" w:type="dxa"/>
          </w:tcPr>
          <w:p w14:paraId="4667F720" w14:textId="505341E2" w:rsidR="00A8576D" w:rsidRPr="00A8576D" w:rsidRDefault="00A8576D" w:rsidP="00A8576D">
            <w:pPr>
              <w:pStyle w:val="TableFigureHeading"/>
              <w:rPr>
                <w:b w:val="0"/>
                <w:bCs w:val="0"/>
                <w:color w:val="000000" w:themeColor="text1"/>
              </w:rPr>
            </w:pPr>
            <w:r w:rsidRPr="00A8576D">
              <w:rPr>
                <w:b w:val="0"/>
                <w:bCs w:val="0"/>
                <w:color w:val="000000" w:themeColor="text1"/>
              </w:rPr>
              <w:t>0.50 (0.04, 5.5)</w:t>
            </w:r>
          </w:p>
        </w:tc>
        <w:tc>
          <w:tcPr>
            <w:tcW w:w="2218" w:type="dxa"/>
          </w:tcPr>
          <w:p w14:paraId="1D805D18" w14:textId="3BB0577F" w:rsidR="00A8576D" w:rsidRPr="00A8576D" w:rsidRDefault="00A8576D" w:rsidP="00A8576D">
            <w:pPr>
              <w:pStyle w:val="TableFigureHeading"/>
              <w:rPr>
                <w:b w:val="0"/>
                <w:bCs w:val="0"/>
                <w:color w:val="000000" w:themeColor="text1"/>
              </w:rPr>
            </w:pPr>
            <w:r w:rsidRPr="00A8576D">
              <w:rPr>
                <w:b w:val="0"/>
                <w:bCs w:val="0"/>
                <w:color w:val="000000" w:themeColor="text1"/>
              </w:rPr>
              <w:t>-0.05% (-2.2, 1.2)</w:t>
            </w:r>
          </w:p>
        </w:tc>
      </w:tr>
      <w:tr w:rsidR="00A8576D" w14:paraId="7BFB6AA0" w14:textId="77777777" w:rsidTr="0B5D70EC">
        <w:tc>
          <w:tcPr>
            <w:tcW w:w="1803" w:type="dxa"/>
          </w:tcPr>
          <w:p w14:paraId="3040883B" w14:textId="0A63D80F" w:rsidR="00A8576D" w:rsidRPr="00A8576D" w:rsidRDefault="00A8576D" w:rsidP="00A8576D">
            <w:pPr>
              <w:pStyle w:val="TableFigureHeading"/>
              <w:rPr>
                <w:color w:val="000000" w:themeColor="text1"/>
              </w:rPr>
            </w:pPr>
            <w:r w:rsidRPr="00A8576D">
              <w:rPr>
                <w:color w:val="000000" w:themeColor="text1"/>
              </w:rPr>
              <w:t>Swenson, 1980</w:t>
            </w:r>
          </w:p>
        </w:tc>
        <w:tc>
          <w:tcPr>
            <w:tcW w:w="1311" w:type="dxa"/>
          </w:tcPr>
          <w:p w14:paraId="36B6FCCD" w14:textId="77777777" w:rsidR="00A8576D" w:rsidRPr="00A8576D" w:rsidRDefault="00A8576D" w:rsidP="00A8576D">
            <w:pPr>
              <w:pStyle w:val="TableFigureHeading"/>
              <w:rPr>
                <w:b w:val="0"/>
                <w:bCs w:val="0"/>
                <w:color w:val="000000" w:themeColor="text1"/>
              </w:rPr>
            </w:pPr>
          </w:p>
        </w:tc>
        <w:tc>
          <w:tcPr>
            <w:tcW w:w="1417" w:type="dxa"/>
          </w:tcPr>
          <w:p w14:paraId="250D153F" w14:textId="77777777" w:rsidR="00A8576D" w:rsidRPr="00A8576D" w:rsidRDefault="00A8576D" w:rsidP="00A8576D">
            <w:pPr>
              <w:pStyle w:val="TableFigureHeading"/>
              <w:rPr>
                <w:b w:val="0"/>
                <w:bCs w:val="0"/>
                <w:color w:val="000000" w:themeColor="text1"/>
              </w:rPr>
            </w:pPr>
          </w:p>
        </w:tc>
        <w:tc>
          <w:tcPr>
            <w:tcW w:w="2268" w:type="dxa"/>
          </w:tcPr>
          <w:p w14:paraId="01F4E463" w14:textId="77777777" w:rsidR="00A8576D" w:rsidRPr="00A8576D" w:rsidRDefault="00A8576D" w:rsidP="00A8576D">
            <w:pPr>
              <w:pStyle w:val="TableFigureHeading"/>
              <w:rPr>
                <w:b w:val="0"/>
                <w:bCs w:val="0"/>
                <w:color w:val="000000" w:themeColor="text1"/>
              </w:rPr>
            </w:pPr>
          </w:p>
        </w:tc>
        <w:tc>
          <w:tcPr>
            <w:tcW w:w="2218" w:type="dxa"/>
          </w:tcPr>
          <w:p w14:paraId="2AEA5CEB" w14:textId="77777777" w:rsidR="00A8576D" w:rsidRPr="00A8576D" w:rsidRDefault="00A8576D" w:rsidP="00A8576D">
            <w:pPr>
              <w:pStyle w:val="TableFigureHeading"/>
              <w:rPr>
                <w:b w:val="0"/>
                <w:bCs w:val="0"/>
                <w:color w:val="000000" w:themeColor="text1"/>
              </w:rPr>
            </w:pPr>
          </w:p>
        </w:tc>
      </w:tr>
      <w:tr w:rsidR="00A8576D" w14:paraId="5613AA5A" w14:textId="77777777" w:rsidTr="0B5D70EC">
        <w:tc>
          <w:tcPr>
            <w:tcW w:w="1803" w:type="dxa"/>
          </w:tcPr>
          <w:p w14:paraId="7736895D" w14:textId="33647E68" w:rsidR="00A8576D" w:rsidRPr="00A8576D" w:rsidRDefault="00A8576D" w:rsidP="00A8576D">
            <w:pPr>
              <w:pStyle w:val="TableFigureHeading"/>
              <w:rPr>
                <w:b w:val="0"/>
                <w:bCs w:val="0"/>
                <w:color w:val="000000" w:themeColor="text1"/>
              </w:rPr>
            </w:pPr>
            <w:r w:rsidRPr="00A8576D">
              <w:rPr>
                <w:b w:val="0"/>
                <w:bCs w:val="0"/>
                <w:color w:val="000000" w:themeColor="text1"/>
              </w:rPr>
              <w:t>Pregnancy, n/N (%)</w:t>
            </w:r>
          </w:p>
        </w:tc>
        <w:tc>
          <w:tcPr>
            <w:tcW w:w="1311" w:type="dxa"/>
          </w:tcPr>
          <w:p w14:paraId="02409DC4" w14:textId="439A698D" w:rsidR="00A8576D" w:rsidRPr="00A8576D" w:rsidRDefault="00A8576D" w:rsidP="00A8576D">
            <w:pPr>
              <w:pStyle w:val="TableFigureHeading"/>
              <w:rPr>
                <w:b w:val="0"/>
                <w:bCs w:val="0"/>
                <w:color w:val="000000" w:themeColor="text1"/>
              </w:rPr>
            </w:pPr>
            <w:r w:rsidRPr="00A8576D">
              <w:rPr>
                <w:b w:val="0"/>
                <w:bCs w:val="0"/>
                <w:color w:val="000000" w:themeColor="text1"/>
              </w:rPr>
              <w:t>5/133 (3.8%)</w:t>
            </w:r>
          </w:p>
        </w:tc>
        <w:tc>
          <w:tcPr>
            <w:tcW w:w="1417" w:type="dxa"/>
          </w:tcPr>
          <w:p w14:paraId="03F107C0" w14:textId="2B896F49" w:rsidR="00A8576D" w:rsidRPr="00A8576D" w:rsidRDefault="00A8576D" w:rsidP="00A8576D">
            <w:pPr>
              <w:pStyle w:val="TableFigureHeading"/>
              <w:rPr>
                <w:b w:val="0"/>
                <w:bCs w:val="0"/>
                <w:color w:val="000000" w:themeColor="text1"/>
              </w:rPr>
            </w:pPr>
            <w:r w:rsidRPr="00A8576D">
              <w:rPr>
                <w:b w:val="0"/>
                <w:bCs w:val="0"/>
                <w:color w:val="000000" w:themeColor="text1"/>
              </w:rPr>
              <w:t>6/106 (5.7%)</w:t>
            </w:r>
          </w:p>
        </w:tc>
        <w:tc>
          <w:tcPr>
            <w:tcW w:w="2268" w:type="dxa"/>
          </w:tcPr>
          <w:p w14:paraId="50C31649" w14:textId="3F60FB3C" w:rsidR="00A8576D" w:rsidRPr="00A8576D" w:rsidRDefault="00A8576D" w:rsidP="00A8576D">
            <w:pPr>
              <w:pStyle w:val="TableFigureHeading"/>
              <w:rPr>
                <w:b w:val="0"/>
                <w:bCs w:val="0"/>
                <w:color w:val="000000" w:themeColor="text1"/>
              </w:rPr>
            </w:pPr>
            <w:r w:rsidRPr="00A8576D">
              <w:rPr>
                <w:b w:val="0"/>
                <w:bCs w:val="0"/>
                <w:color w:val="000000" w:themeColor="text1"/>
              </w:rPr>
              <w:t>2.0 (0.2, 22.2)</w:t>
            </w:r>
          </w:p>
        </w:tc>
        <w:tc>
          <w:tcPr>
            <w:tcW w:w="2218" w:type="dxa"/>
          </w:tcPr>
          <w:p w14:paraId="673ACE92" w14:textId="65A9204B" w:rsidR="00A8576D" w:rsidRPr="00A8576D" w:rsidRDefault="00A8576D" w:rsidP="00A8576D">
            <w:pPr>
              <w:pStyle w:val="TableFigureHeading"/>
              <w:rPr>
                <w:b w:val="0"/>
                <w:bCs w:val="0"/>
                <w:color w:val="000000" w:themeColor="text1"/>
              </w:rPr>
            </w:pPr>
            <w:r w:rsidRPr="00A8576D">
              <w:rPr>
                <w:b w:val="0"/>
                <w:bCs w:val="0"/>
                <w:color w:val="000000" w:themeColor="text1"/>
              </w:rPr>
              <w:t>-1.9% (-7.4, 3.6)</w:t>
            </w:r>
          </w:p>
        </w:tc>
      </w:tr>
      <w:tr w:rsidR="00A8576D" w14:paraId="01E732BD" w14:textId="77777777" w:rsidTr="0B5D70EC">
        <w:tc>
          <w:tcPr>
            <w:tcW w:w="9017" w:type="dxa"/>
            <w:gridSpan w:val="5"/>
          </w:tcPr>
          <w:p w14:paraId="2D9D2D7F" w14:textId="4ACD9494" w:rsidR="00A8576D" w:rsidRPr="00A8576D" w:rsidRDefault="075B869F" w:rsidP="0B5D70EC">
            <w:pPr>
              <w:pStyle w:val="TableFigureHeading"/>
              <w:rPr>
                <w:color w:val="000000" w:themeColor="text1"/>
              </w:rPr>
            </w:pPr>
            <w:proofErr w:type="spellStart"/>
            <w:r w:rsidRPr="0B5D70EC">
              <w:rPr>
                <w:color w:val="000000" w:themeColor="text1"/>
              </w:rPr>
              <w:t>Singata-Madliki</w:t>
            </w:r>
            <w:proofErr w:type="spellEnd"/>
            <w:r w:rsidRPr="0B5D70EC">
              <w:rPr>
                <w:color w:val="000000" w:themeColor="text1"/>
              </w:rPr>
              <w:t>, 2024</w:t>
            </w:r>
          </w:p>
        </w:tc>
      </w:tr>
      <w:tr w:rsidR="00A8576D" w14:paraId="28CE87EC" w14:textId="77777777" w:rsidTr="0B5D70EC">
        <w:tc>
          <w:tcPr>
            <w:tcW w:w="1803" w:type="dxa"/>
          </w:tcPr>
          <w:p w14:paraId="1D9228B8" w14:textId="4BC9BDE4" w:rsidR="00A8576D" w:rsidRPr="00A8576D" w:rsidRDefault="00A8576D" w:rsidP="00A8576D">
            <w:pPr>
              <w:pStyle w:val="TableFigureHeading"/>
              <w:rPr>
                <w:b w:val="0"/>
                <w:bCs w:val="0"/>
                <w:color w:val="000000" w:themeColor="text1"/>
              </w:rPr>
            </w:pPr>
            <w:r w:rsidRPr="00A8576D">
              <w:rPr>
                <w:b w:val="0"/>
                <w:bCs w:val="0"/>
                <w:color w:val="000000" w:themeColor="text1"/>
              </w:rPr>
              <w:t>Pregnancy, n/N (%)</w:t>
            </w:r>
          </w:p>
        </w:tc>
        <w:tc>
          <w:tcPr>
            <w:tcW w:w="1311" w:type="dxa"/>
          </w:tcPr>
          <w:p w14:paraId="0B30ED32" w14:textId="3D94C4B3" w:rsidR="00A8576D" w:rsidRPr="00A8576D" w:rsidRDefault="00A8576D" w:rsidP="00A8576D">
            <w:pPr>
              <w:pStyle w:val="TableFigureHeading"/>
              <w:rPr>
                <w:b w:val="0"/>
                <w:bCs w:val="0"/>
                <w:color w:val="000000" w:themeColor="text1"/>
              </w:rPr>
            </w:pPr>
            <w:r w:rsidRPr="00A8576D">
              <w:rPr>
                <w:b w:val="0"/>
                <w:bCs w:val="0"/>
                <w:color w:val="000000" w:themeColor="text1"/>
              </w:rPr>
              <w:t>2/223 (0.9%)</w:t>
            </w:r>
          </w:p>
        </w:tc>
        <w:tc>
          <w:tcPr>
            <w:tcW w:w="1417" w:type="dxa"/>
          </w:tcPr>
          <w:p w14:paraId="6F08532E" w14:textId="6E13004B" w:rsidR="00A8576D" w:rsidRPr="00A8576D" w:rsidRDefault="00A8576D" w:rsidP="00A8576D">
            <w:pPr>
              <w:pStyle w:val="TableFigureHeading"/>
              <w:rPr>
                <w:b w:val="0"/>
                <w:bCs w:val="0"/>
                <w:color w:val="000000" w:themeColor="text1"/>
              </w:rPr>
            </w:pPr>
            <w:r w:rsidRPr="00A8576D">
              <w:rPr>
                <w:b w:val="0"/>
                <w:bCs w:val="0"/>
                <w:color w:val="000000" w:themeColor="text1"/>
              </w:rPr>
              <w:t>1/226 (0.4%)</w:t>
            </w:r>
          </w:p>
        </w:tc>
        <w:tc>
          <w:tcPr>
            <w:tcW w:w="2268" w:type="dxa"/>
          </w:tcPr>
          <w:p w14:paraId="2D6BF882" w14:textId="457862F6" w:rsidR="00A8576D" w:rsidRPr="00A8576D" w:rsidRDefault="00A8576D" w:rsidP="00A8576D">
            <w:pPr>
              <w:pStyle w:val="TableFigureHeading"/>
              <w:rPr>
                <w:b w:val="0"/>
                <w:bCs w:val="0"/>
                <w:color w:val="000000" w:themeColor="text1"/>
              </w:rPr>
            </w:pPr>
            <w:r w:rsidRPr="00A8576D">
              <w:rPr>
                <w:b w:val="0"/>
                <w:bCs w:val="0"/>
                <w:color w:val="000000" w:themeColor="text1"/>
              </w:rPr>
              <w:t>2.0 (0.2, 22.2)</w:t>
            </w:r>
          </w:p>
        </w:tc>
        <w:tc>
          <w:tcPr>
            <w:tcW w:w="2218" w:type="dxa"/>
          </w:tcPr>
          <w:p w14:paraId="2229632D" w14:textId="12B4B8B0" w:rsidR="00A8576D" w:rsidRPr="00A8576D" w:rsidRDefault="00A8576D" w:rsidP="00A8576D">
            <w:pPr>
              <w:pStyle w:val="TableFigureHeading"/>
              <w:rPr>
                <w:b w:val="0"/>
                <w:bCs w:val="0"/>
                <w:color w:val="000000" w:themeColor="text1"/>
              </w:rPr>
            </w:pPr>
            <w:r w:rsidRPr="00A8576D">
              <w:rPr>
                <w:b w:val="0"/>
                <w:bCs w:val="0"/>
                <w:color w:val="000000" w:themeColor="text1"/>
              </w:rPr>
              <w:t>0.45% (-1.1, 2.0)</w:t>
            </w:r>
          </w:p>
        </w:tc>
      </w:tr>
      <w:tr w:rsidR="00A8576D" w14:paraId="3CCD5E4D" w14:textId="77777777" w:rsidTr="0B5D70EC">
        <w:tc>
          <w:tcPr>
            <w:tcW w:w="1803" w:type="dxa"/>
          </w:tcPr>
          <w:p w14:paraId="59C22528" w14:textId="7CA0A53A" w:rsidR="00A8576D" w:rsidRPr="00A8576D" w:rsidRDefault="00A8576D" w:rsidP="00A8576D">
            <w:pPr>
              <w:pStyle w:val="TableFigureHeading"/>
              <w:rPr>
                <w:color w:val="000000" w:themeColor="text1"/>
              </w:rPr>
            </w:pPr>
            <w:r w:rsidRPr="00A8576D">
              <w:rPr>
                <w:color w:val="000000" w:themeColor="text1"/>
              </w:rPr>
              <w:t>Meta-analysis of 4</w:t>
            </w:r>
            <w:r w:rsidR="005C0B13">
              <w:rPr>
                <w:color w:val="000000" w:themeColor="text1"/>
              </w:rPr>
              <w:t> </w:t>
            </w:r>
            <w:r w:rsidRPr="00A8576D">
              <w:rPr>
                <w:color w:val="000000" w:themeColor="text1"/>
              </w:rPr>
              <w:t>trials</w:t>
            </w:r>
          </w:p>
        </w:tc>
        <w:tc>
          <w:tcPr>
            <w:tcW w:w="1311" w:type="dxa"/>
          </w:tcPr>
          <w:p w14:paraId="08184F12" w14:textId="406F5A68" w:rsidR="00A8576D" w:rsidRPr="00A8576D" w:rsidRDefault="00A8576D" w:rsidP="00A8576D">
            <w:pPr>
              <w:pStyle w:val="TableFigureHeading"/>
              <w:rPr>
                <w:b w:val="0"/>
                <w:bCs w:val="0"/>
                <w:color w:val="000000" w:themeColor="text1"/>
              </w:rPr>
            </w:pPr>
            <w:r>
              <w:rPr>
                <w:b w:val="0"/>
                <w:bCs w:val="0"/>
                <w:color w:val="000000" w:themeColor="text1"/>
              </w:rPr>
              <w:t>14/1</w:t>
            </w:r>
            <w:r w:rsidR="005C0B13">
              <w:rPr>
                <w:b w:val="0"/>
                <w:bCs w:val="0"/>
                <w:color w:val="000000" w:themeColor="text1"/>
              </w:rPr>
              <w:t>,</w:t>
            </w:r>
            <w:r>
              <w:rPr>
                <w:b w:val="0"/>
                <w:bCs w:val="0"/>
                <w:color w:val="000000" w:themeColor="text1"/>
              </w:rPr>
              <w:t>402 (1.0%)</w:t>
            </w:r>
          </w:p>
        </w:tc>
        <w:tc>
          <w:tcPr>
            <w:tcW w:w="1417" w:type="dxa"/>
          </w:tcPr>
          <w:p w14:paraId="279E095B" w14:textId="203779D0" w:rsidR="00A8576D" w:rsidRPr="00A8576D" w:rsidRDefault="00A8576D" w:rsidP="00A8576D">
            <w:pPr>
              <w:pStyle w:val="TableFigureHeading"/>
              <w:rPr>
                <w:b w:val="0"/>
                <w:bCs w:val="0"/>
                <w:color w:val="000000" w:themeColor="text1"/>
              </w:rPr>
            </w:pPr>
            <w:r>
              <w:rPr>
                <w:b w:val="0"/>
                <w:bCs w:val="0"/>
                <w:color w:val="000000" w:themeColor="text1"/>
              </w:rPr>
              <w:t>33/1</w:t>
            </w:r>
            <w:r w:rsidR="005C0B13">
              <w:rPr>
                <w:b w:val="0"/>
                <w:bCs w:val="0"/>
                <w:color w:val="000000" w:themeColor="text1"/>
              </w:rPr>
              <w:t>,</w:t>
            </w:r>
            <w:r>
              <w:rPr>
                <w:b w:val="0"/>
                <w:bCs w:val="0"/>
                <w:color w:val="000000" w:themeColor="text1"/>
              </w:rPr>
              <w:t>364 (2.4%)</w:t>
            </w:r>
          </w:p>
        </w:tc>
        <w:tc>
          <w:tcPr>
            <w:tcW w:w="2268" w:type="dxa"/>
          </w:tcPr>
          <w:p w14:paraId="74D9BB27" w14:textId="785AD4AD" w:rsidR="00A8576D" w:rsidRPr="00A8576D" w:rsidRDefault="00A8576D" w:rsidP="00A8576D">
            <w:pPr>
              <w:pStyle w:val="TableFigureHeading"/>
              <w:rPr>
                <w:color w:val="000000" w:themeColor="text1"/>
              </w:rPr>
            </w:pPr>
            <w:r w:rsidRPr="00A8576D">
              <w:rPr>
                <w:color w:val="000000" w:themeColor="text1"/>
              </w:rPr>
              <w:t>0.45 (0.21, 0.98)</w:t>
            </w:r>
          </w:p>
        </w:tc>
        <w:tc>
          <w:tcPr>
            <w:tcW w:w="2218" w:type="dxa"/>
          </w:tcPr>
          <w:p w14:paraId="5FEDB1DD" w14:textId="1E665115" w:rsidR="00A8576D" w:rsidRPr="00A8576D" w:rsidRDefault="00A8576D" w:rsidP="00A8576D">
            <w:pPr>
              <w:pStyle w:val="TableFigureHeading"/>
              <w:rPr>
                <w:b w:val="0"/>
                <w:bCs w:val="0"/>
                <w:color w:val="000000" w:themeColor="text1"/>
              </w:rPr>
            </w:pPr>
            <w:r>
              <w:rPr>
                <w:b w:val="0"/>
                <w:bCs w:val="0"/>
                <w:color w:val="000000" w:themeColor="text1"/>
              </w:rPr>
              <w:t>-0.09 (-2.5, 0.7)</w:t>
            </w:r>
          </w:p>
        </w:tc>
      </w:tr>
    </w:tbl>
    <w:p w14:paraId="4231FF2A" w14:textId="77777777" w:rsidR="008607C3" w:rsidRDefault="00A8576D" w:rsidP="0053245C">
      <w:pPr>
        <w:pStyle w:val="TableFigureFooter"/>
      </w:pPr>
      <w:r>
        <w:t>Source: Table</w:t>
      </w:r>
      <w:r w:rsidR="00F00822">
        <w:t>s</w:t>
      </w:r>
      <w:r>
        <w:t xml:space="preserve"> 2.5.3, p82, 2.5.4, p83</w:t>
      </w:r>
      <w:r w:rsidR="003C651D">
        <w:t>, 2.6.9, p94, 2.6.10, p95</w:t>
      </w:r>
      <w:r>
        <w:t xml:space="preserve"> of the submission. </w:t>
      </w:r>
    </w:p>
    <w:p w14:paraId="394BFD50" w14:textId="1513C9EA" w:rsidR="00A8576D" w:rsidRDefault="00A8576D" w:rsidP="0053245C">
      <w:pPr>
        <w:pStyle w:val="TableFigureFooter"/>
      </w:pPr>
      <w:r>
        <w:t xml:space="preserve">CI = confidence interval; </w:t>
      </w:r>
      <w:r w:rsidRPr="00E06FC1">
        <w:t>CVR</w:t>
      </w:r>
      <w:r w:rsidR="00283CD3" w:rsidRPr="00E06FC1">
        <w:t> </w:t>
      </w:r>
      <w:r w:rsidRPr="00E06FC1">
        <w:t>=</w:t>
      </w:r>
      <w:r w:rsidR="00283CD3">
        <w:t> </w:t>
      </w:r>
      <w:r>
        <w:t>contraceptive vaginal ring; DMPA = depot medroxyprogesterone acetate; ITC = indirect treatment comparison; NET-EN</w:t>
      </w:r>
      <w:r w:rsidR="003C624E">
        <w:t> </w:t>
      </w:r>
      <w:r>
        <w:t>=</w:t>
      </w:r>
      <w:r w:rsidR="003C624E">
        <w:t> </w:t>
      </w:r>
      <w:r>
        <w:t>norethisterone enanthate.</w:t>
      </w:r>
    </w:p>
    <w:p w14:paraId="6AB20823" w14:textId="6F2A1A7C" w:rsidR="00A8576D" w:rsidRPr="009773BF" w:rsidRDefault="075B869F" w:rsidP="0B5D70EC">
      <w:pPr>
        <w:pStyle w:val="3-BodyText"/>
        <w:rPr>
          <w:color w:val="000000" w:themeColor="text1"/>
        </w:rPr>
      </w:pPr>
      <w:r w:rsidRPr="009773BF">
        <w:rPr>
          <w:color w:val="000000" w:themeColor="text1"/>
        </w:rPr>
        <w:t xml:space="preserve">For both CVR vs COC and DMPA vs NET-EN </w:t>
      </w:r>
      <w:r w:rsidR="00EB2339" w:rsidRPr="009773BF">
        <w:rPr>
          <w:color w:val="000000" w:themeColor="text1"/>
        </w:rPr>
        <w:t xml:space="preserve">results from </w:t>
      </w:r>
      <w:r w:rsidRPr="009773BF">
        <w:rPr>
          <w:color w:val="000000" w:themeColor="text1"/>
        </w:rPr>
        <w:t xml:space="preserve">the meta-analyses are </w:t>
      </w:r>
      <w:r w:rsidR="00EB2339" w:rsidRPr="009773BF">
        <w:rPr>
          <w:color w:val="000000" w:themeColor="text1"/>
        </w:rPr>
        <w:t>limited</w:t>
      </w:r>
      <w:r w:rsidRPr="009773BF">
        <w:rPr>
          <w:color w:val="000000" w:themeColor="text1"/>
        </w:rPr>
        <w:t>, because both are dominated by a single trial. As noted above (</w:t>
      </w:r>
      <w:r w:rsidR="007F79E1" w:rsidRPr="009773BF">
        <w:rPr>
          <w:color w:val="000000" w:themeColor="text1"/>
        </w:rPr>
        <w:t xml:space="preserve">paragraph </w:t>
      </w:r>
      <w:r w:rsidR="00381303" w:rsidRPr="009773BF">
        <w:rPr>
          <w:color w:val="000000" w:themeColor="text1"/>
        </w:rPr>
        <w:fldChar w:fldCharType="begin"/>
      </w:r>
      <w:r w:rsidR="00381303" w:rsidRPr="009773BF">
        <w:rPr>
          <w:color w:val="000000" w:themeColor="text1"/>
        </w:rPr>
        <w:instrText xml:space="preserve"> REF _Ref193192177 \r \h </w:instrText>
      </w:r>
      <w:r w:rsidR="009773BF">
        <w:rPr>
          <w:color w:val="000000" w:themeColor="text1"/>
        </w:rPr>
        <w:instrText xml:space="preserve"> \* MERGEFORMAT </w:instrText>
      </w:r>
      <w:r w:rsidR="00381303" w:rsidRPr="009773BF">
        <w:rPr>
          <w:color w:val="000000" w:themeColor="text1"/>
        </w:rPr>
      </w:r>
      <w:r w:rsidR="00381303" w:rsidRPr="009773BF">
        <w:rPr>
          <w:color w:val="000000" w:themeColor="text1"/>
        </w:rPr>
        <w:fldChar w:fldCharType="separate"/>
      </w:r>
      <w:r w:rsidR="00896E34">
        <w:rPr>
          <w:color w:val="000000" w:themeColor="text1"/>
        </w:rPr>
        <w:t>6.33</w:t>
      </w:r>
      <w:r w:rsidR="00381303" w:rsidRPr="009773BF">
        <w:rPr>
          <w:color w:val="000000" w:themeColor="text1"/>
        </w:rPr>
        <w:fldChar w:fldCharType="end"/>
      </w:r>
      <w:r w:rsidR="002D2A06" w:rsidRPr="009773BF">
        <w:rPr>
          <w:color w:val="000000" w:themeColor="text1"/>
        </w:rPr>
        <w:t xml:space="preserve">) </w:t>
      </w:r>
      <w:r w:rsidRPr="009773BF">
        <w:rPr>
          <w:color w:val="000000" w:themeColor="text1"/>
        </w:rPr>
        <w:t xml:space="preserve">this is </w:t>
      </w:r>
      <w:r w:rsidR="1FD45D73" w:rsidRPr="009773BF">
        <w:rPr>
          <w:color w:val="000000" w:themeColor="text1"/>
        </w:rPr>
        <w:t xml:space="preserve">especially </w:t>
      </w:r>
      <w:r w:rsidRPr="009773BF">
        <w:rPr>
          <w:color w:val="000000" w:themeColor="text1"/>
        </w:rPr>
        <w:t xml:space="preserve">problematic in the case of </w:t>
      </w:r>
      <w:proofErr w:type="spellStart"/>
      <w:r w:rsidRPr="009773BF">
        <w:rPr>
          <w:color w:val="000000" w:themeColor="text1"/>
        </w:rPr>
        <w:t>Benagiano</w:t>
      </w:r>
      <w:proofErr w:type="spellEnd"/>
      <w:r w:rsidRPr="009773BF">
        <w:rPr>
          <w:color w:val="000000" w:themeColor="text1"/>
        </w:rPr>
        <w:t xml:space="preserve"> </w:t>
      </w:r>
      <w:r w:rsidR="006D7624" w:rsidRPr="009773BF">
        <w:rPr>
          <w:color w:val="000000" w:themeColor="text1"/>
        </w:rPr>
        <w:t>(</w:t>
      </w:r>
      <w:r w:rsidRPr="009773BF">
        <w:rPr>
          <w:color w:val="000000" w:themeColor="text1"/>
        </w:rPr>
        <w:t>1977, 1978</w:t>
      </w:r>
      <w:r w:rsidR="006D7624" w:rsidRPr="009773BF">
        <w:rPr>
          <w:color w:val="000000" w:themeColor="text1"/>
        </w:rPr>
        <w:t>)</w:t>
      </w:r>
      <w:r w:rsidRPr="009773BF">
        <w:rPr>
          <w:color w:val="000000" w:themeColor="text1"/>
        </w:rPr>
        <w:t xml:space="preserve">, because </w:t>
      </w:r>
      <w:r w:rsidR="1FD45D73" w:rsidRPr="009773BF">
        <w:rPr>
          <w:color w:val="000000" w:themeColor="text1"/>
        </w:rPr>
        <w:t>of generalisability concerns</w:t>
      </w:r>
      <w:r w:rsidRPr="009773BF">
        <w:rPr>
          <w:color w:val="000000" w:themeColor="text1"/>
        </w:rPr>
        <w:t xml:space="preserve">. </w:t>
      </w:r>
    </w:p>
    <w:p w14:paraId="0D327C31" w14:textId="681C1D83" w:rsidR="00C05D06" w:rsidRDefault="00C05D06" w:rsidP="00C05D06">
      <w:pPr>
        <w:pStyle w:val="3-BodyText"/>
        <w:rPr>
          <w:color w:val="000000" w:themeColor="text1"/>
        </w:rPr>
      </w:pPr>
      <w:r w:rsidRPr="00C05D06">
        <w:rPr>
          <w:color w:val="000000" w:themeColor="text1"/>
        </w:rPr>
        <w:t xml:space="preserve">The </w:t>
      </w:r>
      <w:r>
        <w:rPr>
          <w:color w:val="000000" w:themeColor="text1"/>
        </w:rPr>
        <w:t xml:space="preserve">pre-PBAC response </w:t>
      </w:r>
      <w:r w:rsidR="00871580">
        <w:rPr>
          <w:color w:val="000000" w:themeColor="text1"/>
        </w:rPr>
        <w:t xml:space="preserve">stated that </w:t>
      </w:r>
      <w:r w:rsidR="008C68B0">
        <w:rPr>
          <w:color w:val="000000" w:themeColor="text1"/>
        </w:rPr>
        <w:t>the submission provided comprehensive clinical</w:t>
      </w:r>
      <w:r w:rsidRPr="00C05D06">
        <w:rPr>
          <w:color w:val="000000" w:themeColor="text1"/>
        </w:rPr>
        <w:t xml:space="preserve"> evaluations </w:t>
      </w:r>
      <w:r>
        <w:rPr>
          <w:color w:val="000000" w:themeColor="text1"/>
        </w:rPr>
        <w:t xml:space="preserve">of </w:t>
      </w:r>
      <w:r w:rsidR="005336E3">
        <w:rPr>
          <w:color w:val="000000" w:themeColor="text1"/>
        </w:rPr>
        <w:t>CVR</w:t>
      </w:r>
      <w:r>
        <w:rPr>
          <w:color w:val="000000" w:themeColor="text1"/>
        </w:rPr>
        <w:t xml:space="preserve"> against COCs</w:t>
      </w:r>
      <w:r w:rsidR="007C18E7">
        <w:rPr>
          <w:color w:val="000000" w:themeColor="text1"/>
        </w:rPr>
        <w:t xml:space="preserve">, </w:t>
      </w:r>
      <w:r w:rsidRPr="00C05D06">
        <w:rPr>
          <w:color w:val="000000" w:themeColor="text1"/>
        </w:rPr>
        <w:t xml:space="preserve">including four </w:t>
      </w:r>
      <w:r>
        <w:rPr>
          <w:color w:val="000000" w:themeColor="text1"/>
        </w:rPr>
        <w:t>randomised controlled trials</w:t>
      </w:r>
      <w:r w:rsidRPr="00C05D06">
        <w:rPr>
          <w:color w:val="000000" w:themeColor="text1"/>
        </w:rPr>
        <w:t xml:space="preserve"> for </w:t>
      </w:r>
      <w:r w:rsidR="005336E3">
        <w:rPr>
          <w:color w:val="000000" w:themeColor="text1"/>
        </w:rPr>
        <w:t>CVR</w:t>
      </w:r>
      <w:r w:rsidRPr="00C05D06">
        <w:rPr>
          <w:color w:val="000000" w:themeColor="text1"/>
        </w:rPr>
        <w:t xml:space="preserve"> versus </w:t>
      </w:r>
      <w:r w:rsidR="002C39B1">
        <w:rPr>
          <w:color w:val="000000" w:themeColor="text1"/>
        </w:rPr>
        <w:t>EE/DRSP</w:t>
      </w:r>
      <w:r w:rsidRPr="00C05D06">
        <w:rPr>
          <w:color w:val="000000" w:themeColor="text1"/>
        </w:rPr>
        <w:t xml:space="preserve"> (Ahrendt </w:t>
      </w:r>
      <w:r w:rsidR="009C0902">
        <w:rPr>
          <w:color w:val="000000" w:themeColor="text1"/>
        </w:rPr>
        <w:t>(</w:t>
      </w:r>
      <w:r w:rsidRPr="00C05D06">
        <w:rPr>
          <w:color w:val="000000" w:themeColor="text1"/>
        </w:rPr>
        <w:t>2006</w:t>
      </w:r>
      <w:r w:rsidR="009C0902">
        <w:rPr>
          <w:color w:val="000000" w:themeColor="text1"/>
        </w:rPr>
        <w:t>)</w:t>
      </w:r>
      <w:r w:rsidRPr="00C05D06">
        <w:rPr>
          <w:color w:val="000000" w:themeColor="text1"/>
        </w:rPr>
        <w:t xml:space="preserve">, Battaglia </w:t>
      </w:r>
      <w:r w:rsidR="009C0902">
        <w:rPr>
          <w:color w:val="000000" w:themeColor="text1"/>
        </w:rPr>
        <w:t>(</w:t>
      </w:r>
      <w:r w:rsidRPr="00C05D06">
        <w:rPr>
          <w:color w:val="000000" w:themeColor="text1"/>
        </w:rPr>
        <w:t>2014</w:t>
      </w:r>
      <w:r w:rsidR="009C0902">
        <w:rPr>
          <w:color w:val="000000" w:themeColor="text1"/>
        </w:rPr>
        <w:t>)</w:t>
      </w:r>
      <w:r w:rsidRPr="00C05D06">
        <w:rPr>
          <w:color w:val="000000" w:themeColor="text1"/>
        </w:rPr>
        <w:t xml:space="preserve">, Fan </w:t>
      </w:r>
      <w:r w:rsidR="009C0902">
        <w:rPr>
          <w:color w:val="000000" w:themeColor="text1"/>
        </w:rPr>
        <w:t>(</w:t>
      </w:r>
      <w:r w:rsidRPr="00C05D06">
        <w:rPr>
          <w:color w:val="000000" w:themeColor="text1"/>
        </w:rPr>
        <w:t>2016</w:t>
      </w:r>
      <w:r w:rsidR="009C0902">
        <w:rPr>
          <w:color w:val="000000" w:themeColor="text1"/>
        </w:rPr>
        <w:t>)</w:t>
      </w:r>
      <w:r w:rsidRPr="00C05D06">
        <w:rPr>
          <w:color w:val="000000" w:themeColor="text1"/>
        </w:rPr>
        <w:t xml:space="preserve">, Mohamed </w:t>
      </w:r>
      <w:r w:rsidR="009C0902">
        <w:rPr>
          <w:color w:val="000000" w:themeColor="text1"/>
        </w:rPr>
        <w:t>(</w:t>
      </w:r>
      <w:r w:rsidRPr="00C05D06">
        <w:rPr>
          <w:color w:val="000000" w:themeColor="text1"/>
        </w:rPr>
        <w:t>2011)</w:t>
      </w:r>
      <w:r w:rsidR="009C0902">
        <w:rPr>
          <w:color w:val="000000" w:themeColor="text1"/>
        </w:rPr>
        <w:t>)</w:t>
      </w:r>
      <w:r w:rsidRPr="00C05D06">
        <w:rPr>
          <w:color w:val="000000" w:themeColor="text1"/>
        </w:rPr>
        <w:t xml:space="preserve"> and three </w:t>
      </w:r>
      <w:r>
        <w:rPr>
          <w:color w:val="000000" w:themeColor="text1"/>
        </w:rPr>
        <w:t>randomised controlled trials</w:t>
      </w:r>
      <w:r w:rsidRPr="00C05D06">
        <w:rPr>
          <w:color w:val="000000" w:themeColor="text1"/>
        </w:rPr>
        <w:t xml:space="preserve"> for </w:t>
      </w:r>
      <w:r w:rsidR="00E95CBD">
        <w:rPr>
          <w:color w:val="000000" w:themeColor="text1"/>
        </w:rPr>
        <w:t>CVR</w:t>
      </w:r>
      <w:r w:rsidRPr="00C05D06">
        <w:rPr>
          <w:color w:val="000000" w:themeColor="text1"/>
        </w:rPr>
        <w:t xml:space="preserve"> versus levonorgestrel/ethinylestradiol. </w:t>
      </w:r>
      <w:r w:rsidR="00BF437E">
        <w:rPr>
          <w:color w:val="000000" w:themeColor="text1"/>
        </w:rPr>
        <w:t>These were not</w:t>
      </w:r>
      <w:r w:rsidR="007C2A0F">
        <w:rPr>
          <w:color w:val="000000" w:themeColor="text1"/>
        </w:rPr>
        <w:t xml:space="preserve"> included in the ITC</w:t>
      </w:r>
      <w:r w:rsidR="00BF437E">
        <w:rPr>
          <w:color w:val="000000" w:themeColor="text1"/>
        </w:rPr>
        <w:t xml:space="preserve"> (see paragraph </w:t>
      </w:r>
      <w:r w:rsidR="00BF437E">
        <w:rPr>
          <w:color w:val="000000" w:themeColor="text1"/>
        </w:rPr>
        <w:fldChar w:fldCharType="begin"/>
      </w:r>
      <w:r w:rsidR="00BF437E">
        <w:rPr>
          <w:color w:val="000000" w:themeColor="text1"/>
        </w:rPr>
        <w:instrText xml:space="preserve"> REF _Ref198815116 \r \h </w:instrText>
      </w:r>
      <w:r w:rsidR="00BF437E">
        <w:rPr>
          <w:color w:val="000000" w:themeColor="text1"/>
        </w:rPr>
      </w:r>
      <w:r w:rsidR="00BF437E">
        <w:rPr>
          <w:color w:val="000000" w:themeColor="text1"/>
        </w:rPr>
        <w:fldChar w:fldCharType="separate"/>
      </w:r>
      <w:r w:rsidR="00896E34">
        <w:rPr>
          <w:color w:val="000000" w:themeColor="text1"/>
        </w:rPr>
        <w:t>6.19</w:t>
      </w:r>
      <w:r w:rsidR="00BF437E">
        <w:rPr>
          <w:color w:val="000000" w:themeColor="text1"/>
        </w:rPr>
        <w:fldChar w:fldCharType="end"/>
      </w:r>
      <w:r w:rsidR="00BF437E">
        <w:rPr>
          <w:color w:val="000000" w:themeColor="text1"/>
        </w:rPr>
        <w:t>)</w:t>
      </w:r>
      <w:r w:rsidR="00420684">
        <w:rPr>
          <w:color w:val="000000" w:themeColor="text1"/>
        </w:rPr>
        <w:t xml:space="preserve">. </w:t>
      </w:r>
    </w:p>
    <w:p w14:paraId="79FAEE4A" w14:textId="0E528B56" w:rsidR="00257161" w:rsidRDefault="00C05D06" w:rsidP="00C05D06">
      <w:pPr>
        <w:pStyle w:val="3-BodyText"/>
        <w:rPr>
          <w:color w:val="000000" w:themeColor="text1"/>
        </w:rPr>
      </w:pPr>
      <w:r>
        <w:rPr>
          <w:color w:val="000000" w:themeColor="text1"/>
        </w:rPr>
        <w:t xml:space="preserve">The pre-PBAC </w:t>
      </w:r>
      <w:r w:rsidR="007C18E7" w:rsidRPr="007C18E7">
        <w:rPr>
          <w:color w:val="000000" w:themeColor="text1"/>
        </w:rPr>
        <w:t>response</w:t>
      </w:r>
      <w:r w:rsidR="00BF437E">
        <w:rPr>
          <w:color w:val="000000" w:themeColor="text1"/>
        </w:rPr>
        <w:t xml:space="preserve"> </w:t>
      </w:r>
      <w:r>
        <w:rPr>
          <w:color w:val="000000" w:themeColor="text1"/>
        </w:rPr>
        <w:t>stated that</w:t>
      </w:r>
      <w:r w:rsidR="00257161">
        <w:rPr>
          <w:color w:val="000000" w:themeColor="text1"/>
        </w:rPr>
        <w:t xml:space="preserve"> key findings from these evaluations included:</w:t>
      </w:r>
    </w:p>
    <w:p w14:paraId="3D75E97E" w14:textId="297F8A3A" w:rsidR="005B0B81" w:rsidRDefault="005B0B81" w:rsidP="00297838">
      <w:pPr>
        <w:pStyle w:val="3-BodyText"/>
        <w:numPr>
          <w:ilvl w:val="0"/>
          <w:numId w:val="11"/>
        </w:numPr>
        <w:tabs>
          <w:tab w:val="clear" w:pos="720"/>
        </w:tabs>
        <w:ind w:left="1134"/>
        <w:rPr>
          <w:color w:val="000000" w:themeColor="text1"/>
        </w:rPr>
      </w:pPr>
      <w:r w:rsidRPr="005B0B81">
        <w:rPr>
          <w:color w:val="000000" w:themeColor="text1"/>
        </w:rPr>
        <w:t>CVR had non-inferior efficacy compared to EE/DRSP (no significant difference in unintended pregnancies), with potential benefits in cycle control and sexual satisfaction. Tolerability was comparable, with CVR showing fewer</w:t>
      </w:r>
      <w:r w:rsidR="0055322B">
        <w:rPr>
          <w:color w:val="000000" w:themeColor="text1"/>
        </w:rPr>
        <w:t xml:space="preserve"> </w:t>
      </w:r>
      <w:r w:rsidRPr="005B0B81">
        <w:rPr>
          <w:color w:val="000000" w:themeColor="text1"/>
        </w:rPr>
        <w:t>estrogen-related adverse events (e.g., nausea).</w:t>
      </w:r>
    </w:p>
    <w:p w14:paraId="11C3889B" w14:textId="52258D77" w:rsidR="00C05D06" w:rsidRPr="005874DB" w:rsidRDefault="005B0B81" w:rsidP="00297838">
      <w:pPr>
        <w:pStyle w:val="3-BodyText"/>
        <w:numPr>
          <w:ilvl w:val="0"/>
          <w:numId w:val="11"/>
        </w:numPr>
        <w:tabs>
          <w:tab w:val="clear" w:pos="720"/>
        </w:tabs>
        <w:ind w:left="1134"/>
        <w:rPr>
          <w:color w:val="000000" w:themeColor="text1"/>
        </w:rPr>
      </w:pPr>
      <w:r>
        <w:rPr>
          <w:color w:val="000000" w:themeColor="text1"/>
        </w:rPr>
        <w:t>CVR</w:t>
      </w:r>
      <w:r w:rsidRPr="005B0B81">
        <w:rPr>
          <w:color w:val="000000" w:themeColor="text1"/>
        </w:rPr>
        <w:t xml:space="preserve"> had similar efficacy to levonorgestrel with ethinylestradiol with similar adherence, discontinuation rates, and adverse events. Lower estrogen exposure with </w:t>
      </w:r>
      <w:r w:rsidR="009412A0">
        <w:rPr>
          <w:color w:val="000000" w:themeColor="text1"/>
        </w:rPr>
        <w:t>CVR</w:t>
      </w:r>
      <w:r w:rsidRPr="005B0B81">
        <w:rPr>
          <w:color w:val="000000" w:themeColor="text1"/>
        </w:rPr>
        <w:t xml:space="preserve"> (van den Heuvel et al., 2005) reduce</w:t>
      </w:r>
      <w:r w:rsidR="009412A0">
        <w:rPr>
          <w:color w:val="000000" w:themeColor="text1"/>
        </w:rPr>
        <w:t>d</w:t>
      </w:r>
      <w:r w:rsidRPr="005B0B81">
        <w:rPr>
          <w:color w:val="000000" w:themeColor="text1"/>
        </w:rPr>
        <w:t xml:space="preserve"> side effects like breast tenderness and bloating, enhancing tolerability.</w:t>
      </w:r>
    </w:p>
    <w:p w14:paraId="5FD26533" w14:textId="3697DB1A" w:rsidR="001F74F4" w:rsidRDefault="001F74F4" w:rsidP="001F74F4">
      <w:pPr>
        <w:pStyle w:val="5-SubsectionSubheading"/>
      </w:pPr>
      <w:bookmarkStart w:id="27" w:name="_Toc193454820"/>
      <w:r>
        <w:t>Indirect treatment comparison</w:t>
      </w:r>
      <w:bookmarkEnd w:id="27"/>
    </w:p>
    <w:p w14:paraId="1FB6F15B" w14:textId="3F210F2B" w:rsidR="001F74F4" w:rsidRPr="009773BF" w:rsidRDefault="00A84732" w:rsidP="00EC5836">
      <w:pPr>
        <w:pStyle w:val="3-BodyText"/>
        <w:rPr>
          <w:color w:val="000000" w:themeColor="text1"/>
        </w:rPr>
      </w:pPr>
      <w:r w:rsidRPr="009773BF">
        <w:rPr>
          <w:color w:val="000000" w:themeColor="text1"/>
        </w:rPr>
        <w:t>Both</w:t>
      </w:r>
      <w:r w:rsidR="001F74F4" w:rsidRPr="009773BF">
        <w:rPr>
          <w:color w:val="000000" w:themeColor="text1"/>
        </w:rPr>
        <w:t xml:space="preserve"> indirect treatment comparisons (ITCs) are compromised by </w:t>
      </w:r>
      <w:r w:rsidR="00F6391B" w:rsidRPr="009773BF">
        <w:rPr>
          <w:color w:val="000000" w:themeColor="text1"/>
        </w:rPr>
        <w:t xml:space="preserve">trial quality and by </w:t>
      </w:r>
      <w:r w:rsidR="001F74F4" w:rsidRPr="009773BF">
        <w:rPr>
          <w:color w:val="000000" w:themeColor="text1"/>
        </w:rPr>
        <w:t xml:space="preserve">transitivity issues. </w:t>
      </w:r>
      <w:r w:rsidRPr="009773BF">
        <w:rPr>
          <w:color w:val="000000" w:themeColor="text1"/>
        </w:rPr>
        <w:t xml:space="preserve">The ITC of CVR vs DMPA via COC depends on the study of Hubacher (2017, 2018), which was not a randomised trial of COC vs DMPA and should not have been used. </w:t>
      </w:r>
    </w:p>
    <w:p w14:paraId="5017CE3A" w14:textId="12BA3B98" w:rsidR="00A8576D" w:rsidRPr="00A8576D" w:rsidRDefault="00A8576D" w:rsidP="00EC5836">
      <w:pPr>
        <w:pStyle w:val="3-BodyText"/>
        <w:rPr>
          <w:color w:val="000000" w:themeColor="text1"/>
        </w:rPr>
      </w:pPr>
      <w:r w:rsidRPr="00A8576D">
        <w:rPr>
          <w:color w:val="000000" w:themeColor="text1"/>
        </w:rPr>
        <w:lastRenderedPageBreak/>
        <w:t>The results of the indirect treatment comparisons for unintended pregnancy</w:t>
      </w:r>
      <w:r w:rsidR="00A86EF9">
        <w:rPr>
          <w:color w:val="000000" w:themeColor="text1"/>
        </w:rPr>
        <w:t xml:space="preserve"> are</w:t>
      </w:r>
      <w:r w:rsidRPr="00A8576D">
        <w:rPr>
          <w:color w:val="000000" w:themeColor="text1"/>
        </w:rPr>
        <w:t xml:space="preserve"> shown in</w:t>
      </w:r>
      <w:r w:rsidR="00117B58">
        <w:rPr>
          <w:color w:val="000000" w:themeColor="text1"/>
        </w:rPr>
        <w:t xml:space="preserve"> </w:t>
      </w:r>
      <w:r w:rsidR="00117B58">
        <w:rPr>
          <w:color w:val="000000" w:themeColor="text1"/>
        </w:rPr>
        <w:fldChar w:fldCharType="begin"/>
      </w:r>
      <w:r w:rsidR="00117B58">
        <w:rPr>
          <w:color w:val="000000" w:themeColor="text1"/>
        </w:rPr>
        <w:instrText xml:space="preserve"> REF _Ref188958338 \h </w:instrText>
      </w:r>
      <w:r w:rsidR="00117B58">
        <w:rPr>
          <w:color w:val="000000" w:themeColor="text1"/>
        </w:rPr>
      </w:r>
      <w:r w:rsidR="00117B58">
        <w:rPr>
          <w:color w:val="000000" w:themeColor="text1"/>
        </w:rPr>
        <w:fldChar w:fldCharType="separate"/>
      </w:r>
      <w:r w:rsidR="00896E34">
        <w:t xml:space="preserve">Table </w:t>
      </w:r>
      <w:r w:rsidR="00896E34">
        <w:rPr>
          <w:noProof/>
        </w:rPr>
        <w:t>6</w:t>
      </w:r>
      <w:r w:rsidR="00117B58">
        <w:rPr>
          <w:color w:val="000000" w:themeColor="text1"/>
        </w:rPr>
        <w:fldChar w:fldCharType="end"/>
      </w:r>
      <w:r w:rsidRPr="00A8576D">
        <w:rPr>
          <w:color w:val="000000" w:themeColor="text1"/>
        </w:rPr>
        <w:t>.</w:t>
      </w:r>
    </w:p>
    <w:p w14:paraId="6360D287" w14:textId="570945D2" w:rsidR="00A8576D" w:rsidRDefault="00117B58" w:rsidP="00117B58">
      <w:pPr>
        <w:pStyle w:val="Caption"/>
      </w:pPr>
      <w:bookmarkStart w:id="28" w:name="_Ref188958338"/>
      <w:r>
        <w:t xml:space="preserve">Table </w:t>
      </w:r>
      <w:r w:rsidR="005E2A18">
        <w:fldChar w:fldCharType="begin"/>
      </w:r>
      <w:r w:rsidR="005E2A18">
        <w:instrText xml:space="preserve"> SEQ Table \* ARABIC </w:instrText>
      </w:r>
      <w:r w:rsidR="005E2A18">
        <w:fldChar w:fldCharType="separate"/>
      </w:r>
      <w:r w:rsidR="00896E34">
        <w:rPr>
          <w:noProof/>
        </w:rPr>
        <w:t>6</w:t>
      </w:r>
      <w:r w:rsidR="005E2A18">
        <w:rPr>
          <w:noProof/>
        </w:rPr>
        <w:fldChar w:fldCharType="end"/>
      </w:r>
      <w:bookmarkEnd w:id="28"/>
      <w:r w:rsidR="00A8576D">
        <w:t>: Indirect treatment comparisons for unintended pregnancy of CVR vs DMPA with common comparators of COC and NET-EN</w:t>
      </w:r>
    </w:p>
    <w:tbl>
      <w:tblPr>
        <w:tblStyle w:val="TableGrid"/>
        <w:tblW w:w="0" w:type="auto"/>
        <w:tblLook w:val="04A0" w:firstRow="1" w:lastRow="0" w:firstColumn="1" w:lastColumn="0" w:noHBand="0" w:noVBand="1"/>
      </w:tblPr>
      <w:tblGrid>
        <w:gridCol w:w="3005"/>
        <w:gridCol w:w="3006"/>
        <w:gridCol w:w="3006"/>
      </w:tblGrid>
      <w:tr w:rsidR="00A8576D" w14:paraId="6A4ACFF9" w14:textId="77777777" w:rsidTr="00A8576D">
        <w:tc>
          <w:tcPr>
            <w:tcW w:w="3005" w:type="dxa"/>
          </w:tcPr>
          <w:p w14:paraId="53BD17E0" w14:textId="77777777" w:rsidR="00A8576D" w:rsidRDefault="00A8576D" w:rsidP="00A8576D">
            <w:pPr>
              <w:pStyle w:val="TableFigureHeading"/>
            </w:pPr>
          </w:p>
        </w:tc>
        <w:tc>
          <w:tcPr>
            <w:tcW w:w="3006" w:type="dxa"/>
          </w:tcPr>
          <w:p w14:paraId="1849DA26" w14:textId="6C492370" w:rsidR="00A8576D" w:rsidRDefault="00A8576D" w:rsidP="00A8576D">
            <w:pPr>
              <w:pStyle w:val="TableFigureHeading"/>
            </w:pPr>
            <w:r>
              <w:t>Relative Risk (95% CI)</w:t>
            </w:r>
          </w:p>
        </w:tc>
        <w:tc>
          <w:tcPr>
            <w:tcW w:w="3006" w:type="dxa"/>
          </w:tcPr>
          <w:p w14:paraId="64429B40" w14:textId="4523A05D" w:rsidR="00A8576D" w:rsidRDefault="00A8576D" w:rsidP="00A8576D">
            <w:pPr>
              <w:pStyle w:val="TableFigureHeading"/>
            </w:pPr>
            <w:r>
              <w:t>Risk Difference (95% CI)</w:t>
            </w:r>
          </w:p>
        </w:tc>
      </w:tr>
      <w:tr w:rsidR="00A8576D" w14:paraId="2E36BCB4" w14:textId="77777777" w:rsidTr="00A8576D">
        <w:tc>
          <w:tcPr>
            <w:tcW w:w="3005" w:type="dxa"/>
          </w:tcPr>
          <w:p w14:paraId="31415356" w14:textId="77777777" w:rsidR="00A8576D" w:rsidRPr="00A8576D" w:rsidRDefault="00A8576D" w:rsidP="00A8576D">
            <w:pPr>
              <w:pStyle w:val="TableFigureHeading"/>
            </w:pPr>
            <w:r w:rsidRPr="00A8576D">
              <w:t>CVR vs DMPA via COC</w:t>
            </w:r>
          </w:p>
          <w:p w14:paraId="5319689C" w14:textId="6D15D397" w:rsidR="00A8576D" w:rsidRPr="00A8576D" w:rsidRDefault="00A8576D" w:rsidP="00A8576D">
            <w:pPr>
              <w:pStyle w:val="TableFigureHeading"/>
              <w:rPr>
                <w:b w:val="0"/>
                <w:bCs w:val="0"/>
              </w:rPr>
            </w:pPr>
            <w:r>
              <w:rPr>
                <w:b w:val="0"/>
                <w:bCs w:val="0"/>
              </w:rPr>
              <w:t xml:space="preserve">RR less than 1 or negative RD favours CVR </w:t>
            </w:r>
          </w:p>
        </w:tc>
        <w:tc>
          <w:tcPr>
            <w:tcW w:w="3006" w:type="dxa"/>
          </w:tcPr>
          <w:p w14:paraId="10CF0AC2" w14:textId="6FED1D13" w:rsidR="00A8576D" w:rsidRPr="00A8576D" w:rsidRDefault="00A8576D" w:rsidP="00A8576D">
            <w:pPr>
              <w:pStyle w:val="TableFigureHeading"/>
              <w:rPr>
                <w:b w:val="0"/>
                <w:bCs w:val="0"/>
              </w:rPr>
            </w:pPr>
            <w:r w:rsidRPr="00A8576D">
              <w:rPr>
                <w:b w:val="0"/>
                <w:bCs w:val="0"/>
              </w:rPr>
              <w:t>0.79 (0.22, 2.87)</w:t>
            </w:r>
          </w:p>
        </w:tc>
        <w:tc>
          <w:tcPr>
            <w:tcW w:w="3006" w:type="dxa"/>
          </w:tcPr>
          <w:p w14:paraId="71DC5F08" w14:textId="2F262B3B" w:rsidR="00CC3294" w:rsidRPr="00A8576D" w:rsidRDefault="00A8576D" w:rsidP="00A8576D">
            <w:pPr>
              <w:pStyle w:val="TableFigureHeading"/>
              <w:rPr>
                <w:b w:val="0"/>
                <w:bCs w:val="0"/>
              </w:rPr>
            </w:pPr>
            <w:r>
              <w:rPr>
                <w:b w:val="0"/>
                <w:bCs w:val="0"/>
              </w:rPr>
              <w:t>-3.1% (-8.8, 2.7)</w:t>
            </w:r>
          </w:p>
        </w:tc>
      </w:tr>
      <w:tr w:rsidR="00A8576D" w14:paraId="1A5A983C" w14:textId="77777777" w:rsidTr="00A8576D">
        <w:tc>
          <w:tcPr>
            <w:tcW w:w="3005" w:type="dxa"/>
          </w:tcPr>
          <w:p w14:paraId="3E31583D" w14:textId="77777777" w:rsidR="00A8576D" w:rsidRDefault="00A8576D" w:rsidP="00A8576D">
            <w:pPr>
              <w:pStyle w:val="TableFigureHeading"/>
            </w:pPr>
            <w:r>
              <w:t>CVR vs DMPA via NET-EN</w:t>
            </w:r>
          </w:p>
          <w:p w14:paraId="04F2168B" w14:textId="1669E4E5" w:rsidR="00A8576D" w:rsidRDefault="00A8576D" w:rsidP="00A8576D">
            <w:pPr>
              <w:pStyle w:val="TableFigureHeading"/>
            </w:pPr>
            <w:r>
              <w:rPr>
                <w:b w:val="0"/>
                <w:bCs w:val="0"/>
              </w:rPr>
              <w:t>RR less than 1 or negative RD favours CVR</w:t>
            </w:r>
          </w:p>
        </w:tc>
        <w:tc>
          <w:tcPr>
            <w:tcW w:w="3006" w:type="dxa"/>
          </w:tcPr>
          <w:p w14:paraId="56577B1B" w14:textId="5AA68EA2" w:rsidR="00A8576D" w:rsidRPr="00A8576D" w:rsidRDefault="00A8576D" w:rsidP="00A8576D">
            <w:pPr>
              <w:pStyle w:val="TableFigureHeading"/>
              <w:rPr>
                <w:b w:val="0"/>
                <w:bCs w:val="0"/>
              </w:rPr>
            </w:pPr>
            <w:r>
              <w:rPr>
                <w:b w:val="0"/>
                <w:bCs w:val="0"/>
              </w:rPr>
              <w:t>NE</w:t>
            </w:r>
          </w:p>
        </w:tc>
        <w:tc>
          <w:tcPr>
            <w:tcW w:w="3006" w:type="dxa"/>
          </w:tcPr>
          <w:p w14:paraId="751AA5E1" w14:textId="45316452" w:rsidR="00CC3294" w:rsidRPr="00A8576D" w:rsidRDefault="00A8576D" w:rsidP="00A8576D">
            <w:pPr>
              <w:pStyle w:val="TableFigureHeading"/>
            </w:pPr>
            <w:r w:rsidRPr="00A8576D">
              <w:t>2.3% (0.3, 4.2)</w:t>
            </w:r>
          </w:p>
        </w:tc>
      </w:tr>
    </w:tbl>
    <w:p w14:paraId="743178B1" w14:textId="16D5A087" w:rsidR="00710C76" w:rsidRPr="00710C76" w:rsidRDefault="00A8576D" w:rsidP="0053245C">
      <w:pPr>
        <w:pStyle w:val="TableFigureFooter"/>
      </w:pPr>
      <w:r>
        <w:t>Source: Table 2.6.20, p109 of the submission</w:t>
      </w:r>
      <w:r w:rsidR="00B45A1F">
        <w:t xml:space="preserve"> main body</w:t>
      </w:r>
      <w:r>
        <w:t xml:space="preserve">. </w:t>
      </w:r>
      <w:r w:rsidR="00710C76">
        <w:t xml:space="preserve">Results in </w:t>
      </w:r>
      <w:r w:rsidR="00710C76" w:rsidRPr="00710C76">
        <w:rPr>
          <w:b/>
          <w:bCs/>
        </w:rPr>
        <w:t>bold</w:t>
      </w:r>
      <w:r w:rsidR="00710C76">
        <w:t xml:space="preserve"> are statistically significant. </w:t>
      </w:r>
    </w:p>
    <w:p w14:paraId="2DA12AA2" w14:textId="26707162" w:rsidR="00A8576D" w:rsidRDefault="00A8576D" w:rsidP="0053245C">
      <w:pPr>
        <w:pStyle w:val="TableFigureFooter"/>
      </w:pPr>
      <w:r>
        <w:t xml:space="preserve">CI = confidence interval; </w:t>
      </w:r>
      <w:r w:rsidR="00AF5C16">
        <w:t xml:space="preserve">COC = combined oral contraceptive; </w:t>
      </w:r>
      <w:r>
        <w:t xml:space="preserve">CVR = contraceptive vaginal ring; DMPA = depot medroxyprogesterone acetate; NE = not evaluable; NET-EN = norethisterone enanthate; RD = risk difference; RR = relative risk. </w:t>
      </w:r>
    </w:p>
    <w:p w14:paraId="14214920" w14:textId="66554D93" w:rsidR="00DA3167" w:rsidRPr="009773BF" w:rsidRDefault="1FD45D73" w:rsidP="0B5D70EC">
      <w:pPr>
        <w:pStyle w:val="3-BodyText"/>
        <w:rPr>
          <w:color w:val="0066FF"/>
        </w:rPr>
      </w:pPr>
      <w:r w:rsidRPr="009773BF">
        <w:rPr>
          <w:color w:val="000000" w:themeColor="text1"/>
        </w:rPr>
        <w:t>The</w:t>
      </w:r>
      <w:r w:rsidR="075B869F" w:rsidRPr="009773BF">
        <w:rPr>
          <w:color w:val="000000" w:themeColor="text1"/>
        </w:rPr>
        <w:t xml:space="preserve"> comparison via COC non-significantly favours CVR</w:t>
      </w:r>
      <w:r w:rsidR="007030D8" w:rsidRPr="009773BF">
        <w:rPr>
          <w:color w:val="000000" w:themeColor="text1"/>
        </w:rPr>
        <w:t xml:space="preserve"> in terms of </w:t>
      </w:r>
      <w:r w:rsidR="004403EA" w:rsidRPr="009773BF">
        <w:rPr>
          <w:color w:val="000000" w:themeColor="text1"/>
        </w:rPr>
        <w:t>contraceptive efficacy</w:t>
      </w:r>
      <w:r w:rsidR="075B869F" w:rsidRPr="009773BF">
        <w:rPr>
          <w:color w:val="000000" w:themeColor="text1"/>
        </w:rPr>
        <w:t xml:space="preserve"> and th</w:t>
      </w:r>
      <w:r w:rsidR="00DE0168" w:rsidRPr="009773BF">
        <w:rPr>
          <w:color w:val="000000" w:themeColor="text1"/>
        </w:rPr>
        <w:t>e comparison</w:t>
      </w:r>
      <w:r w:rsidR="075B869F" w:rsidRPr="009773BF">
        <w:rPr>
          <w:color w:val="000000" w:themeColor="text1"/>
        </w:rPr>
        <w:t xml:space="preserve"> via NET-EN significantly favours DMPA. </w:t>
      </w:r>
      <w:r w:rsidRPr="009773BF">
        <w:rPr>
          <w:color w:val="000000" w:themeColor="text1"/>
        </w:rPr>
        <w:t>Differences in pregnancy risk of 5% (-3</w:t>
      </w:r>
      <w:r w:rsidR="009E3D8E" w:rsidRPr="009773BF">
        <w:rPr>
          <w:color w:val="000000" w:themeColor="text1"/>
        </w:rPr>
        <w:t>%</w:t>
      </w:r>
      <w:r w:rsidRPr="009773BF">
        <w:rPr>
          <w:color w:val="000000" w:themeColor="text1"/>
        </w:rPr>
        <w:t xml:space="preserve"> to +2</w:t>
      </w:r>
      <w:r w:rsidR="009E3D8E" w:rsidRPr="009773BF">
        <w:rPr>
          <w:color w:val="000000" w:themeColor="text1"/>
        </w:rPr>
        <w:t>%</w:t>
      </w:r>
      <w:r w:rsidRPr="009773BF">
        <w:rPr>
          <w:color w:val="000000" w:themeColor="text1"/>
        </w:rPr>
        <w:t xml:space="preserve">) would be clinically significant, </w:t>
      </w:r>
      <w:r w:rsidR="246D5425" w:rsidRPr="009773BF">
        <w:rPr>
          <w:color w:val="000000" w:themeColor="text1"/>
        </w:rPr>
        <w:t>and</w:t>
      </w:r>
      <w:r w:rsidRPr="009773BF">
        <w:rPr>
          <w:color w:val="000000" w:themeColor="text1"/>
        </w:rPr>
        <w:t xml:space="preserve"> this degree of inconsistency between comparisons</w:t>
      </w:r>
      <w:r w:rsidR="246D5425" w:rsidRPr="009773BF">
        <w:rPr>
          <w:color w:val="000000" w:themeColor="text1"/>
        </w:rPr>
        <w:t xml:space="preserve"> with different common comparators</w:t>
      </w:r>
      <w:r w:rsidRPr="009773BF">
        <w:rPr>
          <w:color w:val="000000" w:themeColor="text1"/>
        </w:rPr>
        <w:t xml:space="preserve"> </w:t>
      </w:r>
      <w:r w:rsidR="246D5425" w:rsidRPr="009773BF">
        <w:rPr>
          <w:color w:val="000000" w:themeColor="text1"/>
        </w:rPr>
        <w:t>casts doubt on the reliability of the results</w:t>
      </w:r>
      <w:r w:rsidRPr="009773BF">
        <w:rPr>
          <w:color w:val="000000" w:themeColor="text1"/>
        </w:rPr>
        <w:t xml:space="preserve">. </w:t>
      </w:r>
    </w:p>
    <w:p w14:paraId="0D79B78D" w14:textId="303902BF" w:rsidR="00F6391B" w:rsidRPr="00F6391B" w:rsidRDefault="1FD45D73" w:rsidP="0B5D70EC">
      <w:pPr>
        <w:pStyle w:val="3-BodyText"/>
        <w:rPr>
          <w:color w:val="0066FF"/>
        </w:rPr>
      </w:pPr>
      <w:r w:rsidRPr="0B5D70EC">
        <w:rPr>
          <w:color w:val="000000" w:themeColor="text1"/>
        </w:rPr>
        <w:t xml:space="preserve">The submission also presented meta-analyses and indirect treatment comparisons for adherence and for the number of patients discontinuing use, </w:t>
      </w:r>
      <w:r w:rsidRPr="009773BF">
        <w:rPr>
          <w:color w:val="000000" w:themeColor="text1"/>
        </w:rPr>
        <w:t xml:space="preserve">although these outcomes were not part of the clinical claim. </w:t>
      </w:r>
    </w:p>
    <w:p w14:paraId="7C3EB58F" w14:textId="7F8F50D2" w:rsidR="00F6391B" w:rsidRPr="00F6391B" w:rsidRDefault="1FD45D73" w:rsidP="0B5D70EC">
      <w:pPr>
        <w:pStyle w:val="3-BodyText"/>
        <w:rPr>
          <w:i/>
          <w:iCs/>
          <w:color w:val="0066FF"/>
        </w:rPr>
      </w:pPr>
      <w:r w:rsidRPr="0B5D70EC">
        <w:rPr>
          <w:color w:val="000000" w:themeColor="text1"/>
        </w:rPr>
        <w:t xml:space="preserve">Data for adherence </w:t>
      </w:r>
      <w:r w:rsidR="00A84732">
        <w:rPr>
          <w:color w:val="000000" w:themeColor="text1"/>
        </w:rPr>
        <w:t>were</w:t>
      </w:r>
      <w:r w:rsidRPr="0B5D70EC">
        <w:rPr>
          <w:color w:val="000000" w:themeColor="text1"/>
        </w:rPr>
        <w:t xml:space="preserve"> presented only from Gill </w:t>
      </w:r>
      <w:r w:rsidR="00120153">
        <w:rPr>
          <w:color w:val="000000" w:themeColor="text1"/>
        </w:rPr>
        <w:t>(</w:t>
      </w:r>
      <w:r w:rsidRPr="0B5D70EC">
        <w:rPr>
          <w:color w:val="000000" w:themeColor="text1"/>
        </w:rPr>
        <w:t>2020</w:t>
      </w:r>
      <w:r w:rsidR="00120153">
        <w:rPr>
          <w:color w:val="000000" w:themeColor="text1"/>
        </w:rPr>
        <w:t>)</w:t>
      </w:r>
      <w:r w:rsidRPr="0B5D70EC">
        <w:rPr>
          <w:color w:val="000000" w:themeColor="text1"/>
        </w:rPr>
        <w:t xml:space="preserve"> and Oddsson </w:t>
      </w:r>
      <w:r w:rsidR="00120153">
        <w:rPr>
          <w:color w:val="000000" w:themeColor="text1"/>
        </w:rPr>
        <w:t>(</w:t>
      </w:r>
      <w:r w:rsidRPr="0B5D70EC">
        <w:rPr>
          <w:color w:val="000000" w:themeColor="text1"/>
        </w:rPr>
        <w:t>2005a,</w:t>
      </w:r>
      <w:r w:rsidR="00120153">
        <w:rPr>
          <w:color w:val="000000" w:themeColor="text1"/>
        </w:rPr>
        <w:t xml:space="preserve"> 2005</w:t>
      </w:r>
      <w:r w:rsidRPr="0B5D70EC">
        <w:rPr>
          <w:color w:val="000000" w:themeColor="text1"/>
        </w:rPr>
        <w:t>b</w:t>
      </w:r>
      <w:r w:rsidR="00120153">
        <w:rPr>
          <w:color w:val="000000" w:themeColor="text1"/>
        </w:rPr>
        <w:t>)</w:t>
      </w:r>
      <w:r w:rsidRPr="0B5D70EC">
        <w:rPr>
          <w:color w:val="000000" w:themeColor="text1"/>
        </w:rPr>
        <w:t xml:space="preserve">. </w:t>
      </w:r>
    </w:p>
    <w:p w14:paraId="01DEB087" w14:textId="655247B9" w:rsidR="00F6391B" w:rsidRPr="009773BF" w:rsidRDefault="00F6391B" w:rsidP="00EC5836">
      <w:pPr>
        <w:pStyle w:val="3-BodyText"/>
        <w:rPr>
          <w:color w:val="0066FF"/>
        </w:rPr>
      </w:pPr>
      <w:r w:rsidRPr="009773BF">
        <w:rPr>
          <w:color w:val="000000" w:themeColor="text1"/>
        </w:rPr>
        <w:t xml:space="preserve">Gill </w:t>
      </w:r>
      <w:r w:rsidR="006612EE" w:rsidRPr="009773BF">
        <w:rPr>
          <w:color w:val="000000" w:themeColor="text1"/>
        </w:rPr>
        <w:t>(</w:t>
      </w:r>
      <w:r w:rsidRPr="009773BF">
        <w:rPr>
          <w:color w:val="000000" w:themeColor="text1"/>
        </w:rPr>
        <w:t>2020</w:t>
      </w:r>
      <w:r w:rsidR="006612EE" w:rsidRPr="009773BF">
        <w:rPr>
          <w:color w:val="000000" w:themeColor="text1"/>
        </w:rPr>
        <w:t>)</w:t>
      </w:r>
      <w:r w:rsidRPr="009773BF">
        <w:rPr>
          <w:color w:val="000000" w:themeColor="text1"/>
        </w:rPr>
        <w:t xml:space="preserve"> reported only the proportion of patients who said their use was "exactly as instructed", but this phrase was not defined in the published report. </w:t>
      </w:r>
      <w:r w:rsidRPr="009773BF">
        <w:rPr>
          <w:lang w:eastAsia="zh-CN"/>
        </w:rPr>
        <w:t xml:space="preserve">Further, </w:t>
      </w:r>
      <w:r w:rsidRPr="009773BF">
        <w:rPr>
          <w:lang w:val="en-GB"/>
        </w:rPr>
        <w:t>patients not using CVR correctly were switched to another method by study staff early in the study in order to avoid pregnancy</w:t>
      </w:r>
      <w:r w:rsidRPr="009773BF">
        <w:rPr>
          <w:lang w:eastAsia="zh-CN"/>
        </w:rPr>
        <w:t xml:space="preserve"> (Gill </w:t>
      </w:r>
      <w:r w:rsidR="00EC6190" w:rsidRPr="009773BF">
        <w:rPr>
          <w:lang w:eastAsia="zh-CN"/>
        </w:rPr>
        <w:t>(</w:t>
      </w:r>
      <w:r w:rsidRPr="009773BF">
        <w:rPr>
          <w:lang w:eastAsia="zh-CN"/>
        </w:rPr>
        <w:t>2020</w:t>
      </w:r>
      <w:r w:rsidR="00EC6190" w:rsidRPr="009773BF">
        <w:rPr>
          <w:lang w:eastAsia="zh-CN"/>
        </w:rPr>
        <w:t>)</w:t>
      </w:r>
      <w:r w:rsidRPr="009773BF">
        <w:rPr>
          <w:lang w:eastAsia="zh-CN"/>
        </w:rPr>
        <w:t>, p8), so the reported rates of correct use of CVR were</w:t>
      </w:r>
      <w:r w:rsidR="00B2141E" w:rsidRPr="009773BF">
        <w:rPr>
          <w:lang w:eastAsia="zh-CN"/>
        </w:rPr>
        <w:t xml:space="preserve"> likely</w:t>
      </w:r>
      <w:r w:rsidRPr="009773BF">
        <w:rPr>
          <w:lang w:eastAsia="zh-CN"/>
        </w:rPr>
        <w:t xml:space="preserve"> inflated</w:t>
      </w:r>
      <w:r w:rsidR="001D30AE" w:rsidRPr="009773BF">
        <w:rPr>
          <w:lang w:eastAsia="zh-CN"/>
        </w:rPr>
        <w:t xml:space="preserve"> by removing these women from the CVR sample before any data was collected.</w:t>
      </w:r>
    </w:p>
    <w:p w14:paraId="06F2312E" w14:textId="79EDEC33" w:rsidR="00F6391B" w:rsidRPr="009773BF" w:rsidRDefault="1FD45D73" w:rsidP="0B5D70EC">
      <w:pPr>
        <w:pStyle w:val="3-BodyText"/>
        <w:rPr>
          <w:color w:val="0066FF"/>
        </w:rPr>
      </w:pPr>
      <w:r w:rsidRPr="009773BF">
        <w:rPr>
          <w:lang w:eastAsia="zh-CN"/>
        </w:rPr>
        <w:t xml:space="preserve">The value </w:t>
      </w:r>
      <w:r w:rsidR="10464EC2" w:rsidRPr="009773BF">
        <w:rPr>
          <w:lang w:eastAsia="zh-CN"/>
        </w:rPr>
        <w:t xml:space="preserve">from Gill </w:t>
      </w:r>
      <w:r w:rsidR="004B2C5D" w:rsidRPr="009773BF">
        <w:rPr>
          <w:lang w:eastAsia="zh-CN"/>
        </w:rPr>
        <w:t>(</w:t>
      </w:r>
      <w:r w:rsidR="10464EC2" w:rsidRPr="009773BF">
        <w:rPr>
          <w:lang w:eastAsia="zh-CN"/>
        </w:rPr>
        <w:t>2020</w:t>
      </w:r>
      <w:r w:rsidR="004B2C5D" w:rsidRPr="009773BF">
        <w:rPr>
          <w:lang w:eastAsia="zh-CN"/>
        </w:rPr>
        <w:t>)</w:t>
      </w:r>
      <w:r w:rsidR="10464EC2" w:rsidRPr="009773BF">
        <w:rPr>
          <w:lang w:eastAsia="zh-CN"/>
        </w:rPr>
        <w:t xml:space="preserve"> </w:t>
      </w:r>
      <w:r w:rsidRPr="009773BF">
        <w:rPr>
          <w:lang w:eastAsia="zh-CN"/>
        </w:rPr>
        <w:t>given in the submission for "complete adherence" (135/173, 78%) was misleading. Patients filled out adherence questionnaires every 8</w:t>
      </w:r>
      <w:r w:rsidR="005C48A9" w:rsidRPr="009773BF">
        <w:rPr>
          <w:lang w:eastAsia="zh-CN"/>
        </w:rPr>
        <w:t> </w:t>
      </w:r>
      <w:r w:rsidRPr="009773BF">
        <w:rPr>
          <w:lang w:eastAsia="zh-CN"/>
        </w:rPr>
        <w:t>weeks</w:t>
      </w:r>
      <w:r w:rsidR="10464EC2" w:rsidRPr="009773BF">
        <w:rPr>
          <w:lang w:eastAsia="zh-CN"/>
        </w:rPr>
        <w:t xml:space="preserve"> (i</w:t>
      </w:r>
      <w:r w:rsidR="006005A7" w:rsidRPr="009773BF">
        <w:rPr>
          <w:lang w:eastAsia="zh-CN"/>
        </w:rPr>
        <w:t>.</w:t>
      </w:r>
      <w:r w:rsidR="10464EC2" w:rsidRPr="009773BF">
        <w:rPr>
          <w:lang w:eastAsia="zh-CN"/>
        </w:rPr>
        <w:t>e</w:t>
      </w:r>
      <w:r w:rsidR="006005A7" w:rsidRPr="009773BF">
        <w:rPr>
          <w:lang w:eastAsia="zh-CN"/>
        </w:rPr>
        <w:t>.</w:t>
      </w:r>
      <w:r w:rsidR="10464EC2" w:rsidRPr="009773BF">
        <w:rPr>
          <w:lang w:eastAsia="zh-CN"/>
        </w:rPr>
        <w:t>,</w:t>
      </w:r>
      <w:r w:rsidR="006005A7" w:rsidRPr="009773BF">
        <w:rPr>
          <w:lang w:eastAsia="zh-CN"/>
        </w:rPr>
        <w:t> </w:t>
      </w:r>
      <w:r w:rsidR="10464EC2" w:rsidRPr="009773BF">
        <w:rPr>
          <w:lang w:eastAsia="zh-CN"/>
        </w:rPr>
        <w:t>twice in each treatment period)</w:t>
      </w:r>
      <w:r w:rsidRPr="009773BF">
        <w:rPr>
          <w:lang w:eastAsia="zh-CN"/>
        </w:rPr>
        <w:t>, and 78% was the proportion of questionnaires in which use exactly as instructed</w:t>
      </w:r>
      <w:r w:rsidR="00007CC5" w:rsidRPr="009773BF">
        <w:rPr>
          <w:lang w:eastAsia="zh-CN"/>
        </w:rPr>
        <w:t xml:space="preserve"> in the past 2 months</w:t>
      </w:r>
      <w:r w:rsidRPr="009773BF">
        <w:rPr>
          <w:lang w:eastAsia="zh-CN"/>
        </w:rPr>
        <w:t xml:space="preserve"> was reported.</w:t>
      </w:r>
      <w:r w:rsidR="0026576E" w:rsidRPr="009773BF">
        <w:rPr>
          <w:lang w:eastAsia="zh-CN"/>
        </w:rPr>
        <w:t xml:space="preserve"> </w:t>
      </w:r>
      <w:r w:rsidR="407D2DD5" w:rsidRPr="009773BF">
        <w:rPr>
          <w:lang w:eastAsia="zh-CN"/>
        </w:rPr>
        <w:t>C</w:t>
      </w:r>
      <w:r w:rsidRPr="009773BF">
        <w:rPr>
          <w:lang w:eastAsia="zh-CN"/>
        </w:rPr>
        <w:t xml:space="preserve">omplete adherence should be the number of participants who reported use exactly as instructed in both questionnaires </w:t>
      </w:r>
      <w:r w:rsidR="10464EC2" w:rsidRPr="009773BF">
        <w:rPr>
          <w:lang w:eastAsia="zh-CN"/>
        </w:rPr>
        <w:t>in a</w:t>
      </w:r>
      <w:r w:rsidRPr="009773BF">
        <w:rPr>
          <w:lang w:eastAsia="zh-CN"/>
        </w:rPr>
        <w:t xml:space="preserve"> </w:t>
      </w:r>
      <w:proofErr w:type="gramStart"/>
      <w:r w:rsidRPr="009773BF">
        <w:rPr>
          <w:lang w:eastAsia="zh-CN"/>
        </w:rPr>
        <w:t>16 week</w:t>
      </w:r>
      <w:proofErr w:type="gramEnd"/>
      <w:r w:rsidRPr="009773BF">
        <w:rPr>
          <w:lang w:eastAsia="zh-CN"/>
        </w:rPr>
        <w:t xml:space="preserve"> treatment period, but this was not reported. </w:t>
      </w:r>
      <w:proofErr w:type="gramStart"/>
      <w:r w:rsidR="10464EC2" w:rsidRPr="009773BF">
        <w:rPr>
          <w:lang w:eastAsia="zh-CN"/>
        </w:rPr>
        <w:t>A majority</w:t>
      </w:r>
      <w:r w:rsidRPr="009773BF">
        <w:rPr>
          <w:lang w:eastAsia="zh-CN"/>
        </w:rPr>
        <w:t xml:space="preserve"> of</w:t>
      </w:r>
      <w:proofErr w:type="gramEnd"/>
      <w:r w:rsidRPr="009773BF">
        <w:rPr>
          <w:lang w:eastAsia="zh-CN"/>
        </w:rPr>
        <w:t xml:space="preserve"> the data was </w:t>
      </w:r>
      <w:proofErr w:type="gramStart"/>
      <w:r w:rsidRPr="009773BF">
        <w:rPr>
          <w:lang w:eastAsia="zh-CN"/>
        </w:rPr>
        <w:t>missing:</w:t>
      </w:r>
      <w:proofErr w:type="gramEnd"/>
      <w:r w:rsidRPr="009773BF">
        <w:rPr>
          <w:lang w:eastAsia="zh-CN"/>
        </w:rPr>
        <w:t xml:space="preserve"> there should have been 216 completed questionnaires for the first </w:t>
      </w:r>
      <w:proofErr w:type="gramStart"/>
      <w:r w:rsidRPr="009773BF">
        <w:rPr>
          <w:lang w:eastAsia="zh-CN"/>
        </w:rPr>
        <w:t>16 week</w:t>
      </w:r>
      <w:proofErr w:type="gramEnd"/>
      <w:r w:rsidRPr="009773BF">
        <w:rPr>
          <w:lang w:eastAsia="zh-CN"/>
        </w:rPr>
        <w:t xml:space="preserve"> period and 18</w:t>
      </w:r>
      <w:r w:rsidR="0026060F" w:rsidRPr="009773BF">
        <w:rPr>
          <w:lang w:eastAsia="zh-CN"/>
        </w:rPr>
        <w:t>8</w:t>
      </w:r>
      <w:r w:rsidRPr="009773BF">
        <w:rPr>
          <w:lang w:eastAsia="zh-CN"/>
        </w:rPr>
        <w:t xml:space="preserve"> for the second 16 weeks (total 40</w:t>
      </w:r>
      <w:r w:rsidR="0026060F" w:rsidRPr="009773BF">
        <w:rPr>
          <w:lang w:eastAsia="zh-CN"/>
        </w:rPr>
        <w:t>4</w:t>
      </w:r>
      <w:r w:rsidR="00D87487">
        <w:rPr>
          <w:lang w:eastAsia="zh-CN"/>
        </w:rPr>
        <w:t>)</w:t>
      </w:r>
      <w:r w:rsidRPr="009773BF">
        <w:rPr>
          <w:lang w:eastAsia="zh-CN"/>
        </w:rPr>
        <w:t>.</w:t>
      </w:r>
      <w:r w:rsidR="00D87487">
        <w:rPr>
          <w:lang w:eastAsia="zh-CN"/>
        </w:rPr>
        <w:t xml:space="preserve"> </w:t>
      </w:r>
      <w:r w:rsidR="00612FF1" w:rsidRPr="009773BF">
        <w:rPr>
          <w:lang w:eastAsia="zh-CN"/>
        </w:rPr>
        <w:t xml:space="preserve">There was a </w:t>
      </w:r>
      <w:r w:rsidR="00327F86" w:rsidRPr="009773BF">
        <w:rPr>
          <w:lang w:eastAsia="zh-CN"/>
        </w:rPr>
        <w:t>high lost to follow-up</w:t>
      </w:r>
      <w:r w:rsidR="00BE409A" w:rsidRPr="009773BF">
        <w:rPr>
          <w:lang w:eastAsia="zh-CN"/>
        </w:rPr>
        <w:t xml:space="preserve"> rate</w:t>
      </w:r>
      <w:r w:rsidR="00676310" w:rsidRPr="009773BF">
        <w:rPr>
          <w:lang w:eastAsia="zh-CN"/>
        </w:rPr>
        <w:t>.</w:t>
      </w:r>
    </w:p>
    <w:p w14:paraId="244E99CD" w14:textId="12EB77C3" w:rsidR="001D30AE" w:rsidRPr="009773BF" w:rsidRDefault="246D5425" w:rsidP="0B5D70EC">
      <w:pPr>
        <w:pStyle w:val="3-BodyText"/>
        <w:rPr>
          <w:color w:val="0066FF"/>
        </w:rPr>
      </w:pPr>
      <w:r w:rsidRPr="009773BF">
        <w:rPr>
          <w:lang w:eastAsia="zh-CN"/>
        </w:rPr>
        <w:t>D</w:t>
      </w:r>
      <w:r w:rsidR="1FD45D73" w:rsidRPr="009773BF">
        <w:rPr>
          <w:lang w:eastAsia="zh-CN"/>
        </w:rPr>
        <w:t xml:space="preserve">ata for discontinuations </w:t>
      </w:r>
      <w:r w:rsidR="00A028E6" w:rsidRPr="009773BF">
        <w:rPr>
          <w:lang w:eastAsia="zh-CN"/>
        </w:rPr>
        <w:t>w</w:t>
      </w:r>
      <w:r w:rsidR="00A028E6">
        <w:rPr>
          <w:lang w:eastAsia="zh-CN"/>
        </w:rPr>
        <w:t>as</w:t>
      </w:r>
      <w:r w:rsidR="00A028E6" w:rsidRPr="009773BF">
        <w:rPr>
          <w:lang w:eastAsia="zh-CN"/>
        </w:rPr>
        <w:t xml:space="preserve"> </w:t>
      </w:r>
      <w:r w:rsidRPr="009773BF">
        <w:rPr>
          <w:lang w:eastAsia="zh-CN"/>
        </w:rPr>
        <w:t xml:space="preserve">also </w:t>
      </w:r>
      <w:r w:rsidR="1FD45D73" w:rsidRPr="009773BF">
        <w:rPr>
          <w:lang w:eastAsia="zh-CN"/>
        </w:rPr>
        <w:t xml:space="preserve">problematic for methodological reasons. This was particularly the case for studies of DMPA, with failure to distinguish study discontinuation from treatment discontinuation in Salem </w:t>
      </w:r>
      <w:r w:rsidR="007556EA" w:rsidRPr="009773BF">
        <w:rPr>
          <w:lang w:eastAsia="zh-CN"/>
        </w:rPr>
        <w:t>(</w:t>
      </w:r>
      <w:r w:rsidR="1FD45D73" w:rsidRPr="009773BF">
        <w:rPr>
          <w:lang w:eastAsia="zh-CN"/>
        </w:rPr>
        <w:t>1988</w:t>
      </w:r>
      <w:r w:rsidR="007556EA" w:rsidRPr="009773BF">
        <w:rPr>
          <w:lang w:eastAsia="zh-CN"/>
        </w:rPr>
        <w:t>)</w:t>
      </w:r>
      <w:r w:rsidR="1FD45D73" w:rsidRPr="009773BF">
        <w:rPr>
          <w:lang w:eastAsia="zh-CN"/>
        </w:rPr>
        <w:t xml:space="preserve"> and Swenson </w:t>
      </w:r>
      <w:r w:rsidR="007556EA" w:rsidRPr="009773BF">
        <w:rPr>
          <w:lang w:eastAsia="zh-CN"/>
        </w:rPr>
        <w:t>(</w:t>
      </w:r>
      <w:r w:rsidR="1FD45D73" w:rsidRPr="009773BF">
        <w:rPr>
          <w:lang w:eastAsia="zh-CN"/>
        </w:rPr>
        <w:t>1980</w:t>
      </w:r>
      <w:r w:rsidR="0026060F" w:rsidRPr="009773BF">
        <w:rPr>
          <w:lang w:eastAsia="zh-CN"/>
        </w:rPr>
        <w:t>), which makes the data very difficult to interpret,</w:t>
      </w:r>
      <w:r w:rsidR="1FD45D73" w:rsidRPr="009773BF">
        <w:rPr>
          <w:lang w:eastAsia="zh-CN"/>
        </w:rPr>
        <w:t xml:space="preserve"> and generalisability concerns in </w:t>
      </w:r>
      <w:proofErr w:type="spellStart"/>
      <w:r w:rsidR="1FD45D73" w:rsidRPr="009773BF">
        <w:rPr>
          <w:lang w:eastAsia="zh-CN"/>
        </w:rPr>
        <w:lastRenderedPageBreak/>
        <w:t>Benagiano</w:t>
      </w:r>
      <w:proofErr w:type="spellEnd"/>
      <w:r w:rsidR="1FD45D73" w:rsidRPr="009773BF">
        <w:rPr>
          <w:lang w:eastAsia="zh-CN"/>
        </w:rPr>
        <w:t xml:space="preserve"> </w:t>
      </w:r>
      <w:r w:rsidR="00C948B0" w:rsidRPr="009773BF">
        <w:rPr>
          <w:lang w:eastAsia="zh-CN"/>
        </w:rPr>
        <w:t>(</w:t>
      </w:r>
      <w:r w:rsidR="1FD45D73" w:rsidRPr="009773BF">
        <w:rPr>
          <w:lang w:eastAsia="zh-CN"/>
        </w:rPr>
        <w:t>1977, 1978</w:t>
      </w:r>
      <w:r w:rsidR="00C948B0" w:rsidRPr="009773BF">
        <w:rPr>
          <w:lang w:eastAsia="zh-CN"/>
        </w:rPr>
        <w:t>)</w:t>
      </w:r>
      <w:r w:rsidR="0026060F" w:rsidRPr="009773BF">
        <w:rPr>
          <w:lang w:eastAsia="zh-CN"/>
        </w:rPr>
        <w:t xml:space="preserve"> arising from marked differences in discontinuations among study centres. </w:t>
      </w:r>
    </w:p>
    <w:p w14:paraId="392736BA" w14:textId="1A0BDFFC" w:rsidR="00F6391B" w:rsidRPr="009773BF" w:rsidRDefault="246D5425" w:rsidP="0B5D70EC">
      <w:pPr>
        <w:pStyle w:val="3-BodyText"/>
        <w:rPr>
          <w:rFonts w:ascii="Arial Narrow" w:hAnsi="Arial Narrow"/>
          <w:b/>
          <w:bCs/>
          <w:sz w:val="20"/>
          <w:szCs w:val="20"/>
        </w:rPr>
      </w:pPr>
      <w:r w:rsidRPr="009773BF">
        <w:rPr>
          <w:lang w:eastAsia="zh-CN"/>
        </w:rPr>
        <w:t xml:space="preserve">In Hubacher </w:t>
      </w:r>
      <w:r w:rsidR="00196C05" w:rsidRPr="009773BF">
        <w:rPr>
          <w:lang w:eastAsia="zh-CN"/>
        </w:rPr>
        <w:t>(</w:t>
      </w:r>
      <w:r w:rsidRPr="009773BF">
        <w:rPr>
          <w:lang w:eastAsia="zh-CN"/>
        </w:rPr>
        <w:t>2017, 2018</w:t>
      </w:r>
      <w:r w:rsidR="00196C05" w:rsidRPr="009773BF">
        <w:rPr>
          <w:lang w:eastAsia="zh-CN"/>
        </w:rPr>
        <w:t>)</w:t>
      </w:r>
      <w:r w:rsidRPr="009773BF">
        <w:rPr>
          <w:lang w:eastAsia="zh-CN"/>
        </w:rPr>
        <w:t xml:space="preserve">, </w:t>
      </w:r>
      <w:r w:rsidRPr="009773BF">
        <w:rPr>
          <w:color w:val="000000" w:themeColor="text1"/>
        </w:rPr>
        <w:t>there were no scheduled follow-up visits for study purposes</w:t>
      </w:r>
      <w:r w:rsidR="00196C05" w:rsidRPr="009773BF">
        <w:rPr>
          <w:color w:val="000000" w:themeColor="text1"/>
        </w:rPr>
        <w:t>;</w:t>
      </w:r>
      <w:r w:rsidRPr="009773BF">
        <w:rPr>
          <w:color w:val="000000" w:themeColor="text1"/>
        </w:rPr>
        <w:t xml:space="preserve"> patients attended only for clinical reasons. Data </w:t>
      </w:r>
      <w:r w:rsidR="00D248F4" w:rsidRPr="009773BF">
        <w:rPr>
          <w:color w:val="000000" w:themeColor="text1"/>
        </w:rPr>
        <w:t xml:space="preserve">(including </w:t>
      </w:r>
      <w:r w:rsidR="003700BF" w:rsidRPr="009773BF">
        <w:rPr>
          <w:color w:val="000000" w:themeColor="text1"/>
        </w:rPr>
        <w:t xml:space="preserve">reason for the visit, </w:t>
      </w:r>
      <w:r w:rsidR="0056395D" w:rsidRPr="009773BF">
        <w:rPr>
          <w:color w:val="000000" w:themeColor="text1"/>
        </w:rPr>
        <w:t xml:space="preserve">any contraceptive </w:t>
      </w:r>
      <w:r w:rsidR="00F12D6A" w:rsidRPr="009773BF">
        <w:rPr>
          <w:color w:val="000000" w:themeColor="text1"/>
        </w:rPr>
        <w:t xml:space="preserve">method provided or switching of contraception) </w:t>
      </w:r>
      <w:r w:rsidRPr="009773BF">
        <w:rPr>
          <w:color w:val="000000" w:themeColor="text1"/>
        </w:rPr>
        <w:t>was collected at these visits and by on-line questionnaires at 6, 12, 18 and 24 months</w:t>
      </w:r>
      <w:r w:rsidR="008C767B" w:rsidRPr="009773BF">
        <w:rPr>
          <w:color w:val="000000" w:themeColor="text1"/>
        </w:rPr>
        <w:t xml:space="preserve"> (including </w:t>
      </w:r>
      <w:r w:rsidR="000D3501" w:rsidRPr="009773BF">
        <w:rPr>
          <w:color w:val="000000" w:themeColor="text1"/>
        </w:rPr>
        <w:t xml:space="preserve">the main reason for any switch or discontinuation of </w:t>
      </w:r>
      <w:r w:rsidR="009A39AC" w:rsidRPr="009773BF">
        <w:rPr>
          <w:color w:val="000000" w:themeColor="text1"/>
        </w:rPr>
        <w:t>any contraceptive method</w:t>
      </w:r>
      <w:r w:rsidR="007A5A89" w:rsidRPr="009773BF">
        <w:rPr>
          <w:color w:val="000000" w:themeColor="text1"/>
        </w:rPr>
        <w:t xml:space="preserve"> and pregnancy plans)</w:t>
      </w:r>
      <w:r w:rsidR="00110893" w:rsidRPr="009773BF">
        <w:rPr>
          <w:color w:val="000000" w:themeColor="text1"/>
        </w:rPr>
        <w:t>.</w:t>
      </w:r>
      <w:r w:rsidRPr="009773BF">
        <w:rPr>
          <w:color w:val="000000" w:themeColor="text1"/>
        </w:rPr>
        <w:t xml:space="preserve"> </w:t>
      </w:r>
      <w:r w:rsidR="00110893" w:rsidRPr="009773BF">
        <w:rPr>
          <w:color w:val="000000" w:themeColor="text1"/>
        </w:rPr>
        <w:t>D</w:t>
      </w:r>
      <w:r w:rsidRPr="009773BF">
        <w:rPr>
          <w:color w:val="000000" w:themeColor="text1"/>
        </w:rPr>
        <w:t>ata sources for DMPA users who needed to attend the clinic regularly were</w:t>
      </w:r>
      <w:r w:rsidR="00110893" w:rsidRPr="009773BF">
        <w:rPr>
          <w:color w:val="000000" w:themeColor="text1"/>
        </w:rPr>
        <w:t xml:space="preserve"> therefore</w:t>
      </w:r>
      <w:r w:rsidRPr="009773BF">
        <w:rPr>
          <w:color w:val="000000" w:themeColor="text1"/>
        </w:rPr>
        <w:t xml:space="preserve"> different from data sources for users of COCs or LARC. The definitions of discontinuation also differed by method: for DMPA it was a clinic record of non-attendance for a repeat injection, and for LARC it was a clinic record of removal, while for COCs it was patient report.</w:t>
      </w:r>
      <w:r w:rsidR="001460C7" w:rsidRPr="009773BF">
        <w:rPr>
          <w:color w:val="000000" w:themeColor="text1"/>
        </w:rPr>
        <w:t xml:space="preserve"> Because the data sources were different, the data are subject to different biases and sources of error and are difficult to compare. </w:t>
      </w:r>
    </w:p>
    <w:p w14:paraId="13BFE8AF" w14:textId="53CC1B1E" w:rsidR="00F6391B" w:rsidRPr="009773BF" w:rsidRDefault="00F6391B" w:rsidP="00EC5836">
      <w:pPr>
        <w:pStyle w:val="3-BodyText"/>
        <w:rPr>
          <w:color w:val="0066FF"/>
        </w:rPr>
      </w:pPr>
      <w:r w:rsidRPr="009773BF">
        <w:rPr>
          <w:lang w:eastAsia="zh-CN"/>
        </w:rPr>
        <w:t>For these reasons, the adherence and discontinuation data will not be presented in the evaluation.</w:t>
      </w:r>
    </w:p>
    <w:p w14:paraId="1452C351" w14:textId="0D19F1B0" w:rsidR="00B60939" w:rsidRDefault="00B60939" w:rsidP="00D86231">
      <w:pPr>
        <w:pStyle w:val="4-SubsectionHeading"/>
      </w:pPr>
      <w:bookmarkStart w:id="29" w:name="_Toc22897642"/>
      <w:bookmarkStart w:id="30" w:name="_Toc193454821"/>
      <w:r w:rsidRPr="0098262F">
        <w:t>Comparative harms</w:t>
      </w:r>
      <w:bookmarkEnd w:id="29"/>
      <w:bookmarkEnd w:id="30"/>
    </w:p>
    <w:p w14:paraId="72B6549F" w14:textId="63C7A6CE" w:rsidR="00F6391B" w:rsidRPr="009773BF" w:rsidRDefault="1FD45D73" w:rsidP="0B5D70EC">
      <w:pPr>
        <w:pStyle w:val="3-BodyText"/>
        <w:rPr>
          <w:lang w:eastAsia="en-US"/>
        </w:rPr>
      </w:pPr>
      <w:r w:rsidRPr="009773BF">
        <w:rPr>
          <w:rFonts w:eastAsia="Calibri"/>
        </w:rPr>
        <w:t xml:space="preserve">Adverse event reporting in a number of </w:t>
      </w:r>
      <w:r w:rsidR="7F3126FB" w:rsidRPr="009773BF">
        <w:rPr>
          <w:rFonts w:eastAsia="Calibri"/>
        </w:rPr>
        <w:t xml:space="preserve">the </w:t>
      </w:r>
      <w:r w:rsidRPr="009773BF">
        <w:rPr>
          <w:rFonts w:eastAsia="Calibri"/>
        </w:rPr>
        <w:t xml:space="preserve">trials was problematic. </w:t>
      </w:r>
    </w:p>
    <w:p w14:paraId="447899DD" w14:textId="718DE3C1" w:rsidR="00F6391B" w:rsidRPr="009773BF" w:rsidRDefault="1FD45D73" w:rsidP="0B5D70EC">
      <w:pPr>
        <w:pStyle w:val="3-BodyText"/>
        <w:rPr>
          <w:lang w:eastAsia="en-US"/>
        </w:rPr>
      </w:pPr>
      <w:r w:rsidRPr="009773BF">
        <w:rPr>
          <w:rFonts w:eastAsia="Calibri"/>
        </w:rPr>
        <w:t>The older trials (</w:t>
      </w:r>
      <w:proofErr w:type="spellStart"/>
      <w:r w:rsidRPr="009773BF">
        <w:rPr>
          <w:rFonts w:eastAsia="Calibri"/>
        </w:rPr>
        <w:t>Benagiano</w:t>
      </w:r>
      <w:proofErr w:type="spellEnd"/>
      <w:r w:rsidRPr="009773BF">
        <w:rPr>
          <w:rFonts w:eastAsia="Calibri"/>
        </w:rPr>
        <w:t xml:space="preserve"> </w:t>
      </w:r>
      <w:r w:rsidR="00CC7324" w:rsidRPr="009773BF">
        <w:rPr>
          <w:rFonts w:eastAsia="Calibri"/>
        </w:rPr>
        <w:t>(</w:t>
      </w:r>
      <w:r w:rsidRPr="009773BF">
        <w:rPr>
          <w:rFonts w:eastAsia="Calibri"/>
        </w:rPr>
        <w:t>1977, 1978</w:t>
      </w:r>
      <w:r w:rsidR="00CC7324" w:rsidRPr="009773BF">
        <w:rPr>
          <w:rFonts w:eastAsia="Calibri"/>
        </w:rPr>
        <w:t>)</w:t>
      </w:r>
      <w:r w:rsidRPr="009773BF">
        <w:rPr>
          <w:rFonts w:eastAsia="Calibri"/>
        </w:rPr>
        <w:t xml:space="preserve">, Swenson </w:t>
      </w:r>
      <w:r w:rsidR="00CC7324" w:rsidRPr="009773BF">
        <w:rPr>
          <w:rFonts w:eastAsia="Calibri"/>
        </w:rPr>
        <w:t>(</w:t>
      </w:r>
      <w:r w:rsidRPr="009773BF">
        <w:rPr>
          <w:rFonts w:eastAsia="Calibri"/>
        </w:rPr>
        <w:t>1980</w:t>
      </w:r>
      <w:r w:rsidR="00CC7324" w:rsidRPr="009773BF">
        <w:rPr>
          <w:rFonts w:eastAsia="Calibri"/>
        </w:rPr>
        <w:t>) and</w:t>
      </w:r>
      <w:r w:rsidRPr="009773BF">
        <w:rPr>
          <w:rFonts w:eastAsia="Calibri"/>
        </w:rPr>
        <w:t xml:space="preserve"> Salem </w:t>
      </w:r>
      <w:r w:rsidR="00CC7324" w:rsidRPr="009773BF">
        <w:rPr>
          <w:rFonts w:eastAsia="Calibri"/>
        </w:rPr>
        <w:t>(</w:t>
      </w:r>
      <w:r w:rsidRPr="009773BF">
        <w:rPr>
          <w:rFonts w:eastAsia="Calibri"/>
        </w:rPr>
        <w:t>1988</w:t>
      </w:r>
      <w:r w:rsidR="00CC7324" w:rsidRPr="009773BF">
        <w:rPr>
          <w:rFonts w:eastAsia="Calibri"/>
        </w:rPr>
        <w:t>)</w:t>
      </w:r>
      <w:r w:rsidRPr="009773BF">
        <w:rPr>
          <w:rFonts w:eastAsia="Calibri"/>
        </w:rPr>
        <w:t>) did not follow current standards of reporting</w:t>
      </w:r>
      <w:r w:rsidR="246D5425" w:rsidRPr="009773BF">
        <w:rPr>
          <w:rFonts w:eastAsia="Calibri"/>
        </w:rPr>
        <w:t>.</w:t>
      </w:r>
      <w:r w:rsidRPr="009773BF">
        <w:rPr>
          <w:rFonts w:eastAsia="Calibri"/>
        </w:rPr>
        <w:t xml:space="preserve"> </w:t>
      </w:r>
      <w:proofErr w:type="spellStart"/>
      <w:r w:rsidRPr="009773BF">
        <w:rPr>
          <w:rFonts w:eastAsia="Calibri"/>
        </w:rPr>
        <w:t>Benagiano</w:t>
      </w:r>
      <w:proofErr w:type="spellEnd"/>
      <w:r w:rsidRPr="009773BF">
        <w:rPr>
          <w:rFonts w:eastAsia="Calibri"/>
        </w:rPr>
        <w:t xml:space="preserve"> </w:t>
      </w:r>
      <w:r w:rsidR="003319D4" w:rsidRPr="009773BF">
        <w:rPr>
          <w:rFonts w:eastAsia="Calibri"/>
        </w:rPr>
        <w:t>(</w:t>
      </w:r>
      <w:r w:rsidRPr="009773BF">
        <w:rPr>
          <w:rFonts w:eastAsia="Calibri"/>
        </w:rPr>
        <w:t>1978</w:t>
      </w:r>
      <w:r w:rsidR="003319D4" w:rsidRPr="009773BF">
        <w:rPr>
          <w:rFonts w:eastAsia="Calibri"/>
        </w:rPr>
        <w:t>)</w:t>
      </w:r>
      <w:r w:rsidRPr="009773BF">
        <w:rPr>
          <w:rFonts w:eastAsia="Calibri"/>
        </w:rPr>
        <w:t>, states that "[a]t each follow-up visit a variety of symptoms were volunteered, but many events were either too nonspecific or too infrequent to permit detailed analysis"</w:t>
      </w:r>
      <w:r w:rsidR="10464EC2" w:rsidRPr="009773BF">
        <w:rPr>
          <w:rFonts w:eastAsia="Calibri"/>
        </w:rPr>
        <w:t xml:space="preserve"> </w:t>
      </w:r>
      <w:r w:rsidR="246D5425" w:rsidRPr="009773BF">
        <w:rPr>
          <w:rFonts w:eastAsia="Calibri"/>
        </w:rPr>
        <w:t>and reports only the proportion of women who "[o]</w:t>
      </w:r>
      <w:proofErr w:type="spellStart"/>
      <w:r w:rsidR="246D5425" w:rsidRPr="009773BF">
        <w:rPr>
          <w:rFonts w:eastAsia="Calibri"/>
        </w:rPr>
        <w:t>ver</w:t>
      </w:r>
      <w:proofErr w:type="spellEnd"/>
      <w:r w:rsidR="246D5425" w:rsidRPr="009773BF">
        <w:rPr>
          <w:rFonts w:eastAsia="Calibri"/>
        </w:rPr>
        <w:t xml:space="preserve"> the duration of the study [...] registered some complaint". </w:t>
      </w:r>
    </w:p>
    <w:p w14:paraId="71EC9230" w14:textId="778535BD" w:rsidR="001D30AE" w:rsidRPr="009773BF" w:rsidRDefault="00402F30" w:rsidP="001D30AE">
      <w:pPr>
        <w:pStyle w:val="3-BodyText"/>
        <w:rPr>
          <w:rFonts w:eastAsia="Calibri"/>
          <w:lang w:val="en-GB"/>
        </w:rPr>
      </w:pPr>
      <w:r w:rsidRPr="009773BF">
        <w:rPr>
          <w:rFonts w:eastAsia="Calibri"/>
          <w:lang w:val="en-GB"/>
        </w:rPr>
        <w:t xml:space="preserve">Due to studies of DMPA </w:t>
      </w:r>
      <w:r w:rsidR="001B25CF" w:rsidRPr="009773BF">
        <w:rPr>
          <w:rFonts w:eastAsia="Calibri"/>
          <w:lang w:val="en-GB"/>
        </w:rPr>
        <w:t>vs NET-EN not reporting adverse effects consistently</w:t>
      </w:r>
      <w:r w:rsidR="001D30AE" w:rsidRPr="009773BF">
        <w:rPr>
          <w:rFonts w:eastAsia="Calibri"/>
          <w:lang w:val="en-GB"/>
        </w:rPr>
        <w:t xml:space="preserve">, the submission used data from </w:t>
      </w:r>
      <w:proofErr w:type="spellStart"/>
      <w:r w:rsidR="001D30AE" w:rsidRPr="009773BF">
        <w:rPr>
          <w:rFonts w:eastAsia="Calibri"/>
          <w:lang w:val="en-GB"/>
        </w:rPr>
        <w:t>Benagiano</w:t>
      </w:r>
      <w:proofErr w:type="spellEnd"/>
      <w:r w:rsidR="001D30AE" w:rsidRPr="009773BF">
        <w:rPr>
          <w:rFonts w:eastAsia="Calibri"/>
          <w:lang w:val="en-GB"/>
        </w:rPr>
        <w:t xml:space="preserve"> </w:t>
      </w:r>
      <w:r w:rsidR="007E656E" w:rsidRPr="009773BF">
        <w:rPr>
          <w:rFonts w:eastAsia="Calibri"/>
          <w:lang w:val="en-GB"/>
        </w:rPr>
        <w:t>(</w:t>
      </w:r>
      <w:r w:rsidR="001D30AE" w:rsidRPr="009773BF">
        <w:rPr>
          <w:rFonts w:eastAsia="Calibri"/>
          <w:lang w:val="en-GB"/>
        </w:rPr>
        <w:t>1977, 1978</w:t>
      </w:r>
      <w:r w:rsidR="007E656E" w:rsidRPr="009773BF">
        <w:rPr>
          <w:rFonts w:eastAsia="Calibri"/>
          <w:lang w:val="en-GB"/>
        </w:rPr>
        <w:t>)</w:t>
      </w:r>
      <w:r w:rsidR="00606DC3" w:rsidRPr="009773BF">
        <w:rPr>
          <w:rFonts w:eastAsia="Calibri"/>
          <w:lang w:val="en-GB"/>
        </w:rPr>
        <w:t>, Salem (1988) and Swenson (1980)</w:t>
      </w:r>
      <w:r w:rsidR="001D30AE" w:rsidRPr="009773BF">
        <w:rPr>
          <w:rFonts w:eastAsia="Calibri"/>
          <w:lang w:val="en-GB"/>
        </w:rPr>
        <w:t xml:space="preserve"> for discontinuation for "medical reasons</w:t>
      </w:r>
      <w:r w:rsidR="00721FDD" w:rsidRPr="009773BF">
        <w:rPr>
          <w:rFonts w:eastAsia="Calibri"/>
          <w:lang w:val="en-GB"/>
        </w:rPr>
        <w:t>"</w:t>
      </w:r>
      <w:r w:rsidR="00606DC3" w:rsidRPr="009773BF">
        <w:rPr>
          <w:rFonts w:eastAsia="Calibri"/>
          <w:lang w:val="en-GB"/>
        </w:rPr>
        <w:t xml:space="preserve"> </w:t>
      </w:r>
      <w:r w:rsidR="001D30AE" w:rsidRPr="009773BF">
        <w:rPr>
          <w:rFonts w:eastAsia="Calibri"/>
          <w:lang w:val="en-GB"/>
        </w:rPr>
        <w:t>as a proxy for adverse events (Table</w:t>
      </w:r>
      <w:r w:rsidR="007D2240">
        <w:rPr>
          <w:rFonts w:eastAsia="Calibri"/>
          <w:lang w:val="en-GB"/>
        </w:rPr>
        <w:t> </w:t>
      </w:r>
      <w:r w:rsidR="001D30AE" w:rsidRPr="009773BF">
        <w:rPr>
          <w:rFonts w:eastAsia="Calibri"/>
          <w:lang w:val="en-GB"/>
        </w:rPr>
        <w:t>2.5.8</w:t>
      </w:r>
      <w:r w:rsidR="003A0CFC">
        <w:rPr>
          <w:rFonts w:eastAsia="Calibri"/>
          <w:lang w:val="en-GB"/>
        </w:rPr>
        <w:t xml:space="preserve"> </w:t>
      </w:r>
      <w:r w:rsidR="001D30AE" w:rsidRPr="009773BF">
        <w:rPr>
          <w:rFonts w:eastAsia="Calibri"/>
          <w:lang w:val="en-GB"/>
        </w:rPr>
        <w:t xml:space="preserve">of the submission); this was </w:t>
      </w:r>
      <w:r w:rsidR="00867B36" w:rsidRPr="009773BF">
        <w:rPr>
          <w:rFonts w:eastAsia="Calibri"/>
          <w:lang w:val="en-GB"/>
        </w:rPr>
        <w:t xml:space="preserve">not </w:t>
      </w:r>
      <w:r w:rsidR="001D30AE" w:rsidRPr="009773BF">
        <w:rPr>
          <w:rFonts w:eastAsia="Calibri"/>
          <w:lang w:val="en-GB"/>
        </w:rPr>
        <w:t xml:space="preserve">appropriate. </w:t>
      </w:r>
    </w:p>
    <w:p w14:paraId="1C323C8B" w14:textId="09457481" w:rsidR="00F6391B" w:rsidRPr="009773BF" w:rsidRDefault="1FD45D73" w:rsidP="0B5D70EC">
      <w:pPr>
        <w:pStyle w:val="3-BodyText"/>
      </w:pPr>
      <w:r w:rsidRPr="009773BF">
        <w:t>Hubacher</w:t>
      </w:r>
      <w:r w:rsidR="001460C7" w:rsidRPr="009773BF">
        <w:t xml:space="preserve"> </w:t>
      </w:r>
      <w:r w:rsidR="004A56C4" w:rsidRPr="009773BF">
        <w:t>(</w:t>
      </w:r>
      <w:r w:rsidRPr="009773BF">
        <w:t>2017, 2018</w:t>
      </w:r>
      <w:r w:rsidR="004A56C4" w:rsidRPr="009773BF">
        <w:t>)</w:t>
      </w:r>
      <w:r w:rsidRPr="009773BF">
        <w:t xml:space="preserve"> and </w:t>
      </w:r>
      <w:proofErr w:type="spellStart"/>
      <w:r w:rsidRPr="009773BF">
        <w:t>Singata-Madliki</w:t>
      </w:r>
      <w:proofErr w:type="spellEnd"/>
      <w:r w:rsidR="00956777">
        <w:t xml:space="preserve"> </w:t>
      </w:r>
      <w:r w:rsidR="004A56C4" w:rsidRPr="009773BF">
        <w:t>(</w:t>
      </w:r>
      <w:r w:rsidRPr="009773BF">
        <w:t>2024</w:t>
      </w:r>
      <w:r w:rsidR="004A56C4" w:rsidRPr="009773BF">
        <w:t>)</w:t>
      </w:r>
      <w:r w:rsidRPr="009773BF">
        <w:t xml:space="preserve"> did not report adverse events. </w:t>
      </w:r>
    </w:p>
    <w:p w14:paraId="2CE6127C" w14:textId="1527BA77" w:rsidR="00F6391B" w:rsidRPr="009773BF" w:rsidRDefault="1FD45D73" w:rsidP="0B5D70EC">
      <w:pPr>
        <w:pStyle w:val="3-BodyText"/>
      </w:pPr>
      <w:proofErr w:type="spellStart"/>
      <w:r w:rsidRPr="009773BF">
        <w:t>Duijkers</w:t>
      </w:r>
      <w:proofErr w:type="spellEnd"/>
      <w:r w:rsidR="00956777">
        <w:t xml:space="preserve"> </w:t>
      </w:r>
      <w:r w:rsidR="004A56C4" w:rsidRPr="009773BF">
        <w:t>(</w:t>
      </w:r>
      <w:r w:rsidRPr="009773BF">
        <w:t>2004</w:t>
      </w:r>
      <w:r w:rsidR="00721FDD" w:rsidRPr="009773BF">
        <w:t>)</w:t>
      </w:r>
      <w:r w:rsidRPr="009773BF">
        <w:t xml:space="preserve"> reported that six subjects allocated to CVR withdrew, one due to adverse event (vaginal discomfort), and five for "non-medical or ring related reasons"</w:t>
      </w:r>
      <w:r w:rsidR="00721FDD" w:rsidRPr="009773BF">
        <w:t>. T</w:t>
      </w:r>
      <w:r w:rsidRPr="009773BF">
        <w:t xml:space="preserve">wo </w:t>
      </w:r>
      <w:r w:rsidR="001460C7" w:rsidRPr="009773BF">
        <w:t xml:space="preserve">subjects </w:t>
      </w:r>
      <w:r w:rsidRPr="009773BF">
        <w:t>allocated to COCs withdrew, one due to adverse event</w:t>
      </w:r>
      <w:r w:rsidR="00F1201C" w:rsidRPr="009773BF">
        <w:t xml:space="preserve"> (increased appetite)</w:t>
      </w:r>
      <w:r w:rsidRPr="009773BF">
        <w:t xml:space="preserve"> and one for "non-medical reasons"</w:t>
      </w:r>
      <w:r w:rsidR="001460C7" w:rsidRPr="009773BF">
        <w:t>. W</w:t>
      </w:r>
      <w:r w:rsidRPr="009773BF">
        <w:t>hat th</w:t>
      </w:r>
      <w:r w:rsidR="00721FDD" w:rsidRPr="009773BF">
        <w:t>e non-medical</w:t>
      </w:r>
      <w:r w:rsidR="10464EC2" w:rsidRPr="009773BF">
        <w:t xml:space="preserve"> reasons </w:t>
      </w:r>
      <w:r w:rsidRPr="009773BF">
        <w:t xml:space="preserve">were </w:t>
      </w:r>
      <w:r w:rsidR="10464EC2" w:rsidRPr="009773BF">
        <w:t>is not stated</w:t>
      </w:r>
      <w:r w:rsidRPr="009773BF">
        <w:t>.</w:t>
      </w:r>
      <w:r w:rsidR="10464EC2" w:rsidRPr="009773BF">
        <w:t xml:space="preserve"> </w:t>
      </w:r>
    </w:p>
    <w:p w14:paraId="32FC38D8" w14:textId="1FA486E8" w:rsidR="00F6391B" w:rsidRPr="009773BF" w:rsidRDefault="1FD45D73" w:rsidP="0B5D70EC">
      <w:pPr>
        <w:pStyle w:val="3-BodyText"/>
        <w:rPr>
          <w:rFonts w:eastAsia="Calibri"/>
          <w:lang w:val="en-GB"/>
        </w:rPr>
      </w:pPr>
      <w:r w:rsidRPr="009773BF">
        <w:rPr>
          <w:rFonts w:eastAsia="Calibri"/>
          <w:lang w:val="en-GB"/>
        </w:rPr>
        <w:t>In Gill</w:t>
      </w:r>
      <w:r w:rsidR="00D52265" w:rsidRPr="009773BF">
        <w:rPr>
          <w:rFonts w:eastAsia="Calibri"/>
          <w:lang w:val="en-GB"/>
        </w:rPr>
        <w:t xml:space="preserve"> </w:t>
      </w:r>
      <w:r w:rsidR="004A56C4" w:rsidRPr="009773BF">
        <w:rPr>
          <w:rFonts w:eastAsia="Calibri"/>
          <w:lang w:val="en-GB"/>
        </w:rPr>
        <w:t>(</w:t>
      </w:r>
      <w:r w:rsidRPr="009773BF">
        <w:rPr>
          <w:rFonts w:eastAsia="Calibri"/>
          <w:lang w:val="en-GB"/>
        </w:rPr>
        <w:t>2020</w:t>
      </w:r>
      <w:r w:rsidR="004A56C4" w:rsidRPr="009773BF">
        <w:rPr>
          <w:rFonts w:eastAsia="Calibri"/>
          <w:lang w:val="en-GB"/>
        </w:rPr>
        <w:t>)</w:t>
      </w:r>
      <w:r w:rsidR="009773BF" w:rsidRPr="009773BF">
        <w:rPr>
          <w:rFonts w:eastAsia="Calibri"/>
          <w:lang w:val="en-GB"/>
        </w:rPr>
        <w:t xml:space="preserve"> </w:t>
      </w:r>
      <w:r w:rsidRPr="009773BF">
        <w:rPr>
          <w:rFonts w:eastAsia="Calibri"/>
          <w:lang w:val="en-GB"/>
        </w:rPr>
        <w:t xml:space="preserve">adverse event reporting </w:t>
      </w:r>
      <w:r w:rsidR="00721FDD" w:rsidRPr="009773BF">
        <w:rPr>
          <w:rFonts w:eastAsia="Calibri"/>
          <w:lang w:val="en-GB"/>
        </w:rPr>
        <w:t>did not follow</w:t>
      </w:r>
      <w:r w:rsidRPr="009773BF">
        <w:rPr>
          <w:rFonts w:eastAsia="Calibri"/>
          <w:lang w:val="en-GB"/>
        </w:rPr>
        <w:t xml:space="preserve"> standard procedures. It was stated that "[t]here were no serious adverse events (AEs) noted on this trial", but there was one new HIV infection and 16 new infections with </w:t>
      </w:r>
      <w:r w:rsidRPr="007C2C8D">
        <w:rPr>
          <w:rFonts w:eastAsia="Calibri"/>
          <w:i/>
          <w:iCs/>
          <w:lang w:val="en-GB"/>
        </w:rPr>
        <w:t>N</w:t>
      </w:r>
      <w:r w:rsidR="1FBFB50E" w:rsidRPr="007C2C8D">
        <w:rPr>
          <w:rFonts w:eastAsia="Calibri"/>
          <w:i/>
          <w:iCs/>
          <w:lang w:val="en-GB"/>
        </w:rPr>
        <w:t>.</w:t>
      </w:r>
      <w:r w:rsidR="00922485" w:rsidRPr="007C2C8D">
        <w:rPr>
          <w:rFonts w:eastAsia="Calibri"/>
          <w:i/>
          <w:iCs/>
          <w:lang w:val="en-GB"/>
        </w:rPr>
        <w:t> </w:t>
      </w:r>
      <w:r w:rsidRPr="007C2C8D">
        <w:rPr>
          <w:rFonts w:eastAsia="Calibri"/>
          <w:i/>
          <w:iCs/>
          <w:lang w:val="en-GB"/>
        </w:rPr>
        <w:t>gonorrhoeae</w:t>
      </w:r>
      <w:r w:rsidRPr="009773BF">
        <w:rPr>
          <w:rFonts w:eastAsia="Calibri"/>
          <w:lang w:val="en-GB"/>
        </w:rPr>
        <w:t xml:space="preserve"> during the trial (Gill, 2020, p4, Table </w:t>
      </w:r>
      <w:r w:rsidR="00721FDD" w:rsidRPr="009773BF">
        <w:rPr>
          <w:rFonts w:eastAsia="Calibri"/>
          <w:lang w:val="en-GB"/>
        </w:rPr>
        <w:t>2</w:t>
      </w:r>
      <w:r w:rsidRPr="009773BF">
        <w:rPr>
          <w:rFonts w:eastAsia="Calibri"/>
          <w:lang w:val="en-GB"/>
        </w:rPr>
        <w:t>). It was stated that "[o]</w:t>
      </w:r>
      <w:proofErr w:type="spellStart"/>
      <w:r w:rsidRPr="009773BF">
        <w:rPr>
          <w:rFonts w:eastAsia="Calibri"/>
          <w:lang w:val="en-GB"/>
        </w:rPr>
        <w:t>nly</w:t>
      </w:r>
      <w:proofErr w:type="spellEnd"/>
      <w:r w:rsidRPr="009773BF">
        <w:rPr>
          <w:rFonts w:eastAsia="Calibri"/>
          <w:lang w:val="en-GB"/>
        </w:rPr>
        <w:t xml:space="preserve"> 15% of reported AEs were related to study product use and included already recognized side effects of hormonal contraceptives, such as abnormal uterine bleeding, headaches, </w:t>
      </w:r>
      <w:proofErr w:type="spellStart"/>
      <w:r w:rsidRPr="009773BF">
        <w:rPr>
          <w:rFonts w:eastAsia="Calibri"/>
          <w:lang w:val="en-GB"/>
        </w:rPr>
        <w:t>mastalgia</w:t>
      </w:r>
      <w:proofErr w:type="spellEnd"/>
      <w:r w:rsidRPr="009773BF">
        <w:rPr>
          <w:rFonts w:eastAsia="Calibri"/>
          <w:lang w:val="en-GB"/>
        </w:rPr>
        <w:t xml:space="preserve"> and weight </w:t>
      </w:r>
      <w:r w:rsidRPr="009773BF">
        <w:rPr>
          <w:rFonts w:eastAsia="Calibri"/>
          <w:lang w:val="en-GB"/>
        </w:rPr>
        <w:lastRenderedPageBreak/>
        <w:t>gain", but patients using CVR reported among reasons for not using it as instructed "Ring came out", "Ring was uncomfortable", and "Did not like the way ring made them feel"</w:t>
      </w:r>
      <w:r w:rsidR="00073A83" w:rsidRPr="009773BF">
        <w:rPr>
          <w:rFonts w:eastAsia="Calibri"/>
          <w:lang w:val="en-GB"/>
        </w:rPr>
        <w:t xml:space="preserve">. </w:t>
      </w:r>
      <w:r w:rsidR="00CF29F9" w:rsidRPr="009773BF">
        <w:rPr>
          <w:rFonts w:eastAsia="Calibri"/>
          <w:lang w:val="en-GB"/>
        </w:rPr>
        <w:t>I</w:t>
      </w:r>
      <w:r w:rsidR="246D5425" w:rsidRPr="009773BF">
        <w:rPr>
          <w:rFonts w:eastAsia="Calibri"/>
          <w:lang w:val="en-GB"/>
        </w:rPr>
        <w:t>t is not clear whether these were considered adverse events</w:t>
      </w:r>
      <w:r w:rsidRPr="009773BF">
        <w:rPr>
          <w:rFonts w:eastAsia="Calibri"/>
          <w:lang w:val="en-GB"/>
        </w:rPr>
        <w:t xml:space="preserve">. This approach to adverse events </w:t>
      </w:r>
      <w:r w:rsidR="1FBFB50E" w:rsidRPr="009773BF">
        <w:rPr>
          <w:rFonts w:eastAsia="Calibri"/>
          <w:lang w:val="en-GB"/>
        </w:rPr>
        <w:t>wa</w:t>
      </w:r>
      <w:r w:rsidRPr="009773BF">
        <w:rPr>
          <w:rFonts w:eastAsia="Calibri"/>
          <w:lang w:val="en-GB"/>
        </w:rPr>
        <w:t xml:space="preserve">s defensible given the purpose of the trial but makes it unsuitable as a source of adverse event data for the purpose of the submission. </w:t>
      </w:r>
    </w:p>
    <w:p w14:paraId="4EF3DD8E" w14:textId="56C68F03" w:rsidR="00F6391B" w:rsidRPr="009773BF" w:rsidRDefault="00F6391B" w:rsidP="00DF3662">
      <w:pPr>
        <w:pStyle w:val="3-BodyText"/>
        <w:rPr>
          <w:rFonts w:eastAsia="Calibri"/>
          <w:lang w:val="en-GB"/>
        </w:rPr>
      </w:pPr>
      <w:r w:rsidRPr="009773BF">
        <w:rPr>
          <w:rFonts w:eastAsia="Calibri"/>
          <w:lang w:val="en-GB"/>
        </w:rPr>
        <w:t>For Gil</w:t>
      </w:r>
      <w:r w:rsidR="00CA67ED" w:rsidRPr="009773BF">
        <w:rPr>
          <w:rFonts w:eastAsia="Calibri"/>
          <w:lang w:val="en-GB"/>
        </w:rPr>
        <w:t xml:space="preserve">l </w:t>
      </w:r>
      <w:r w:rsidR="004A56C4" w:rsidRPr="009773BF">
        <w:rPr>
          <w:rFonts w:eastAsia="Calibri"/>
          <w:lang w:val="en-GB"/>
        </w:rPr>
        <w:t>(</w:t>
      </w:r>
      <w:r w:rsidRPr="009773BF">
        <w:rPr>
          <w:rFonts w:eastAsia="Calibri"/>
          <w:lang w:val="en-GB"/>
        </w:rPr>
        <w:t>2020</w:t>
      </w:r>
      <w:r w:rsidR="004A56C4" w:rsidRPr="009773BF">
        <w:rPr>
          <w:rFonts w:eastAsia="Calibri"/>
          <w:lang w:val="en-GB"/>
        </w:rPr>
        <w:t>)</w:t>
      </w:r>
      <w:r w:rsidRPr="009773BF">
        <w:rPr>
          <w:rFonts w:eastAsia="Calibri"/>
          <w:lang w:val="en-GB"/>
        </w:rPr>
        <w:t>, the submission us</w:t>
      </w:r>
      <w:r w:rsidR="00CA67ED" w:rsidRPr="009773BF">
        <w:rPr>
          <w:rFonts w:eastAsia="Calibri"/>
          <w:lang w:val="en-GB"/>
        </w:rPr>
        <w:t>ed</w:t>
      </w:r>
      <w:r w:rsidRPr="009773BF">
        <w:rPr>
          <w:rFonts w:eastAsia="Calibri"/>
          <w:lang w:val="en-GB"/>
        </w:rPr>
        <w:t xml:space="preserve"> as adverse event data the number of participants who preferred the CVR but did not give as their reason for preferring it "Did not make me sick" (Table 2.5.6 of the submission); this was </w:t>
      </w:r>
      <w:r w:rsidR="00867B36" w:rsidRPr="009773BF">
        <w:rPr>
          <w:rFonts w:eastAsia="Calibri"/>
          <w:lang w:val="en-GB"/>
        </w:rPr>
        <w:t xml:space="preserve">not </w:t>
      </w:r>
      <w:r w:rsidRPr="009773BF">
        <w:rPr>
          <w:rFonts w:eastAsia="Calibri"/>
          <w:lang w:val="en-GB"/>
        </w:rPr>
        <w:t xml:space="preserve">appropriate. </w:t>
      </w:r>
    </w:p>
    <w:p w14:paraId="410F0E7C" w14:textId="73D2E516" w:rsidR="00F6391B" w:rsidRDefault="00F6391B" w:rsidP="00DF3662">
      <w:pPr>
        <w:pStyle w:val="3-BodyText"/>
        <w:rPr>
          <w:rFonts w:eastAsia="Calibri"/>
          <w:lang w:val="en-GB"/>
        </w:rPr>
      </w:pPr>
      <w:r>
        <w:rPr>
          <w:rFonts w:eastAsia="Calibri"/>
          <w:lang w:val="en-GB"/>
        </w:rPr>
        <w:t>A</w:t>
      </w:r>
      <w:r w:rsidRPr="00F6391B">
        <w:rPr>
          <w:rFonts w:eastAsia="Calibri"/>
          <w:lang w:val="en-GB"/>
        </w:rPr>
        <w:t xml:space="preserve">dverse event data for trials </w:t>
      </w:r>
      <w:r>
        <w:rPr>
          <w:rFonts w:eastAsia="Calibri"/>
          <w:lang w:val="en-GB"/>
        </w:rPr>
        <w:t xml:space="preserve">from which adverse event data </w:t>
      </w:r>
      <w:r w:rsidR="00E4041C">
        <w:rPr>
          <w:rFonts w:eastAsia="Calibri"/>
          <w:lang w:val="en-GB"/>
        </w:rPr>
        <w:t xml:space="preserve">could </w:t>
      </w:r>
      <w:r>
        <w:rPr>
          <w:rFonts w:eastAsia="Calibri"/>
          <w:lang w:val="en-GB"/>
        </w:rPr>
        <w:t>be extracted</w:t>
      </w:r>
      <w:r w:rsidRPr="00F6391B">
        <w:rPr>
          <w:rFonts w:eastAsia="Calibri"/>
          <w:lang w:val="en-GB"/>
        </w:rPr>
        <w:t xml:space="preserve"> are presented in</w:t>
      </w:r>
      <w:r w:rsidR="00117B58">
        <w:rPr>
          <w:rFonts w:eastAsia="Calibri"/>
          <w:lang w:val="en-GB"/>
        </w:rPr>
        <w:t xml:space="preserve"> </w:t>
      </w:r>
      <w:r w:rsidR="00117B58">
        <w:rPr>
          <w:rFonts w:eastAsia="Calibri"/>
          <w:lang w:val="en-GB"/>
        </w:rPr>
        <w:fldChar w:fldCharType="begin"/>
      </w:r>
      <w:r w:rsidR="00117B58">
        <w:rPr>
          <w:rFonts w:eastAsia="Calibri"/>
          <w:lang w:val="en-GB"/>
        </w:rPr>
        <w:instrText xml:space="preserve"> REF _Ref188958395 \h </w:instrText>
      </w:r>
      <w:r w:rsidR="00117B58">
        <w:rPr>
          <w:rFonts w:eastAsia="Calibri"/>
          <w:lang w:val="en-GB"/>
        </w:rPr>
      </w:r>
      <w:r w:rsidR="00117B58">
        <w:rPr>
          <w:rFonts w:eastAsia="Calibri"/>
          <w:lang w:val="en-GB"/>
        </w:rPr>
        <w:fldChar w:fldCharType="separate"/>
      </w:r>
      <w:r w:rsidR="00896E34">
        <w:t xml:space="preserve">Table </w:t>
      </w:r>
      <w:r w:rsidR="00896E34">
        <w:rPr>
          <w:noProof/>
        </w:rPr>
        <w:t>7</w:t>
      </w:r>
      <w:r w:rsidR="00117B58">
        <w:rPr>
          <w:rFonts w:eastAsia="Calibri"/>
          <w:lang w:val="en-GB"/>
        </w:rPr>
        <w:fldChar w:fldCharType="end"/>
      </w:r>
      <w:r w:rsidRPr="00F6391B">
        <w:rPr>
          <w:rFonts w:eastAsia="Calibri"/>
          <w:lang w:val="en-GB"/>
        </w:rPr>
        <w:t xml:space="preserve">. </w:t>
      </w:r>
    </w:p>
    <w:p w14:paraId="6BDC7F40" w14:textId="254A4AE7" w:rsidR="00444D53" w:rsidRPr="009773BF" w:rsidRDefault="00A551E5" w:rsidP="00DF3662">
      <w:pPr>
        <w:pStyle w:val="3-BodyText"/>
        <w:rPr>
          <w:rFonts w:eastAsia="Calibri"/>
          <w:lang w:val="en-GB"/>
        </w:rPr>
      </w:pPr>
      <w:r w:rsidRPr="009773BF">
        <w:rPr>
          <w:rFonts w:eastAsia="Calibri"/>
          <w:lang w:val="en-GB"/>
        </w:rPr>
        <w:t>S</w:t>
      </w:r>
      <w:r w:rsidR="00444D53" w:rsidRPr="009773BF">
        <w:rPr>
          <w:rFonts w:eastAsia="Calibri"/>
          <w:lang w:val="en-GB"/>
        </w:rPr>
        <w:t>ome systemic adverse events (</w:t>
      </w:r>
      <w:r w:rsidRPr="009773BF">
        <w:rPr>
          <w:rFonts w:eastAsia="Calibri"/>
          <w:lang w:val="en-GB"/>
        </w:rPr>
        <w:t>e.g.</w:t>
      </w:r>
      <w:r w:rsidR="00C36E79">
        <w:rPr>
          <w:rFonts w:eastAsia="Calibri"/>
          <w:lang w:val="en-GB"/>
        </w:rPr>
        <w:t>,</w:t>
      </w:r>
      <w:r w:rsidRPr="009773BF">
        <w:rPr>
          <w:rFonts w:eastAsia="Calibri"/>
          <w:lang w:val="en-GB"/>
        </w:rPr>
        <w:t> </w:t>
      </w:r>
      <w:r w:rsidR="00444D53" w:rsidRPr="009773BF">
        <w:rPr>
          <w:rFonts w:eastAsia="Calibri"/>
          <w:lang w:val="en-GB"/>
        </w:rPr>
        <w:t xml:space="preserve">hypertension, acne) </w:t>
      </w:r>
      <w:r w:rsidR="001D30AE" w:rsidRPr="009773BF">
        <w:rPr>
          <w:rFonts w:eastAsia="Calibri"/>
          <w:lang w:val="en-GB"/>
        </w:rPr>
        <w:t>we</w:t>
      </w:r>
      <w:r w:rsidR="00444D53" w:rsidRPr="009773BF">
        <w:rPr>
          <w:rFonts w:eastAsia="Calibri"/>
          <w:lang w:val="en-GB"/>
        </w:rPr>
        <w:t xml:space="preserve">re more common with COCs, </w:t>
      </w:r>
      <w:r w:rsidR="001D30AE" w:rsidRPr="009773BF">
        <w:rPr>
          <w:rFonts w:eastAsia="Calibri"/>
          <w:lang w:val="en-GB"/>
        </w:rPr>
        <w:t xml:space="preserve">and </w:t>
      </w:r>
      <w:r w:rsidR="00444D53" w:rsidRPr="009773BF">
        <w:rPr>
          <w:rFonts w:eastAsia="Calibri"/>
          <w:lang w:val="en-GB"/>
        </w:rPr>
        <w:t>local adverse events (</w:t>
      </w:r>
      <w:r w:rsidRPr="009773BF">
        <w:rPr>
          <w:rFonts w:eastAsia="Calibri"/>
          <w:lang w:val="en-GB"/>
        </w:rPr>
        <w:t>e.g.</w:t>
      </w:r>
      <w:r w:rsidR="00C36E79">
        <w:rPr>
          <w:rFonts w:eastAsia="Calibri"/>
          <w:lang w:val="en-GB"/>
        </w:rPr>
        <w:t>,</w:t>
      </w:r>
      <w:r w:rsidRPr="009773BF">
        <w:rPr>
          <w:rFonts w:eastAsia="Calibri"/>
          <w:lang w:val="en-GB"/>
        </w:rPr>
        <w:t> </w:t>
      </w:r>
      <w:r w:rsidR="00444D53" w:rsidRPr="009773BF">
        <w:rPr>
          <w:rFonts w:eastAsia="Calibri"/>
          <w:lang w:val="en-GB"/>
        </w:rPr>
        <w:t xml:space="preserve">vaginitis </w:t>
      </w:r>
      <w:proofErr w:type="spellStart"/>
      <w:r w:rsidR="00444D53" w:rsidRPr="009773BF">
        <w:rPr>
          <w:rFonts w:eastAsia="Calibri"/>
          <w:lang w:val="en-GB"/>
        </w:rPr>
        <w:t>leukorrhoea</w:t>
      </w:r>
      <w:proofErr w:type="spellEnd"/>
      <w:r w:rsidR="00444D53" w:rsidRPr="009773BF">
        <w:rPr>
          <w:rFonts w:eastAsia="Calibri"/>
          <w:lang w:val="en-GB"/>
        </w:rPr>
        <w:t xml:space="preserve">, genital itch) </w:t>
      </w:r>
      <w:r w:rsidR="001D30AE" w:rsidRPr="009773BF">
        <w:rPr>
          <w:rFonts w:eastAsia="Calibri"/>
          <w:lang w:val="en-GB"/>
        </w:rPr>
        <w:t>we</w:t>
      </w:r>
      <w:r w:rsidR="00444D53" w:rsidRPr="009773BF">
        <w:rPr>
          <w:rFonts w:eastAsia="Calibri"/>
          <w:lang w:val="en-GB"/>
        </w:rPr>
        <w:t xml:space="preserve">re more common with CVR. </w:t>
      </w:r>
    </w:p>
    <w:p w14:paraId="310B2246" w14:textId="73CA4CF3" w:rsidR="00B60939" w:rsidRPr="001D30AE" w:rsidRDefault="00117B58" w:rsidP="00804587">
      <w:pPr>
        <w:pStyle w:val="Caption"/>
        <w:rPr>
          <w:rStyle w:val="CommentReference"/>
          <w:b/>
          <w:szCs w:val="24"/>
        </w:rPr>
      </w:pPr>
      <w:bookmarkStart w:id="31" w:name="_Ref188958395"/>
      <w:r>
        <w:lastRenderedPageBreak/>
        <w:t xml:space="preserve">Table </w:t>
      </w:r>
      <w:r w:rsidR="005E2A18">
        <w:fldChar w:fldCharType="begin"/>
      </w:r>
      <w:r w:rsidR="005E2A18">
        <w:instrText xml:space="preserve"> SEQ Table \* ARABIC </w:instrText>
      </w:r>
      <w:r w:rsidR="005E2A18">
        <w:fldChar w:fldCharType="separate"/>
      </w:r>
      <w:r w:rsidR="00896E34">
        <w:rPr>
          <w:noProof/>
        </w:rPr>
        <w:t>7</w:t>
      </w:r>
      <w:r w:rsidR="005E2A18">
        <w:rPr>
          <w:noProof/>
        </w:rPr>
        <w:fldChar w:fldCharType="end"/>
      </w:r>
      <w:bookmarkEnd w:id="31"/>
      <w:r>
        <w:t xml:space="preserve">: </w:t>
      </w:r>
      <w:r w:rsidR="00F6391B">
        <w:t>A</w:t>
      </w:r>
      <w:r w:rsidR="005D26B4" w:rsidRPr="001D30AE">
        <w:rPr>
          <w:rStyle w:val="CommentReference"/>
          <w:b/>
          <w:szCs w:val="24"/>
        </w:rPr>
        <w:t xml:space="preserve">dverse events in the </w:t>
      </w:r>
      <w:r w:rsidR="00F6391B" w:rsidRPr="001D30AE">
        <w:rPr>
          <w:rStyle w:val="CommentReference"/>
          <w:b/>
          <w:szCs w:val="24"/>
        </w:rPr>
        <w:t xml:space="preserve">submitted </w:t>
      </w:r>
      <w:r w:rsidR="005D26B4" w:rsidRPr="001D30AE">
        <w:rPr>
          <w:rStyle w:val="CommentReference"/>
          <w:b/>
          <w:szCs w:val="24"/>
        </w:rPr>
        <w:t>trials</w:t>
      </w:r>
      <w:r w:rsidR="00F6391B" w:rsidRPr="001D30AE">
        <w:rPr>
          <w:rStyle w:val="CommentReference"/>
          <w:b/>
          <w:szCs w:val="24"/>
        </w:rPr>
        <w:t xml:space="preserve"> providing adverse event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2961"/>
        <w:gridCol w:w="2965"/>
      </w:tblGrid>
      <w:tr w:rsidR="00F6391B" w:rsidRPr="0098262F" w14:paraId="3ADA51C0" w14:textId="77777777" w:rsidTr="00AC02D0">
        <w:trPr>
          <w:cantSplit/>
          <w:tblHeader/>
        </w:trPr>
        <w:tc>
          <w:tcPr>
            <w:tcW w:w="1714" w:type="pct"/>
            <w:vAlign w:val="center"/>
          </w:tcPr>
          <w:p w14:paraId="21B479AB" w14:textId="3FF3C4E0" w:rsidR="00F6391B" w:rsidRPr="0098262F" w:rsidRDefault="00F6391B" w:rsidP="00804587">
            <w:pPr>
              <w:pStyle w:val="In-tableHeading"/>
              <w:rPr>
                <w:lang w:val="en-AU"/>
              </w:rPr>
            </w:pPr>
          </w:p>
        </w:tc>
        <w:tc>
          <w:tcPr>
            <w:tcW w:w="1642" w:type="pct"/>
            <w:vAlign w:val="center"/>
          </w:tcPr>
          <w:p w14:paraId="25AE8D22" w14:textId="03235385" w:rsidR="00F6391B" w:rsidRPr="0098262F" w:rsidRDefault="00F6391B" w:rsidP="00804587">
            <w:pPr>
              <w:pStyle w:val="In-tableHeading"/>
              <w:jc w:val="center"/>
              <w:rPr>
                <w:lang w:val="en-AU"/>
              </w:rPr>
            </w:pPr>
            <w:r>
              <w:rPr>
                <w:lang w:val="en-AU"/>
              </w:rPr>
              <w:t>CVR</w:t>
            </w:r>
          </w:p>
        </w:tc>
        <w:tc>
          <w:tcPr>
            <w:tcW w:w="1644" w:type="pct"/>
            <w:vAlign w:val="center"/>
          </w:tcPr>
          <w:p w14:paraId="3D94778C" w14:textId="23CE02C6" w:rsidR="00F6391B" w:rsidRPr="0098262F" w:rsidRDefault="00F6391B" w:rsidP="00804587">
            <w:pPr>
              <w:pStyle w:val="In-tableHeading"/>
              <w:jc w:val="center"/>
              <w:rPr>
                <w:lang w:val="en-AU"/>
              </w:rPr>
            </w:pPr>
            <w:r>
              <w:rPr>
                <w:lang w:val="en-AU"/>
              </w:rPr>
              <w:t>COC</w:t>
            </w:r>
          </w:p>
        </w:tc>
      </w:tr>
      <w:tr w:rsidR="00F6391B" w:rsidRPr="0098262F" w14:paraId="6F7DA225" w14:textId="77777777" w:rsidTr="00AC02D0">
        <w:trPr>
          <w:cantSplit/>
        </w:trPr>
        <w:tc>
          <w:tcPr>
            <w:tcW w:w="5000" w:type="pct"/>
            <w:gridSpan w:val="3"/>
            <w:vAlign w:val="center"/>
          </w:tcPr>
          <w:p w14:paraId="015330A4" w14:textId="75249927" w:rsidR="00F6391B" w:rsidRDefault="00F6391B" w:rsidP="00804587">
            <w:pPr>
              <w:pStyle w:val="TableText0"/>
            </w:pPr>
            <w:r w:rsidRPr="00F6391B">
              <w:rPr>
                <w:b/>
                <w:bCs w:val="0"/>
              </w:rPr>
              <w:t xml:space="preserve">Oddsson </w:t>
            </w:r>
            <w:r w:rsidR="003B67AB">
              <w:rPr>
                <w:b/>
                <w:bCs w:val="0"/>
              </w:rPr>
              <w:t>(</w:t>
            </w:r>
            <w:r w:rsidRPr="00F6391B">
              <w:rPr>
                <w:b/>
                <w:bCs w:val="0"/>
              </w:rPr>
              <w:t>2005b</w:t>
            </w:r>
            <w:r w:rsidR="003B67AB">
              <w:rPr>
                <w:b/>
                <w:bCs w:val="0"/>
              </w:rPr>
              <w:t>)</w:t>
            </w:r>
          </w:p>
        </w:tc>
      </w:tr>
      <w:tr w:rsidR="00F6391B" w:rsidRPr="0098262F" w14:paraId="68C9E2EE" w14:textId="77777777" w:rsidTr="00AC02D0">
        <w:trPr>
          <w:cantSplit/>
        </w:trPr>
        <w:tc>
          <w:tcPr>
            <w:tcW w:w="1714" w:type="pct"/>
            <w:vAlign w:val="center"/>
          </w:tcPr>
          <w:p w14:paraId="1AF90B01" w14:textId="77777777" w:rsidR="00F6391B" w:rsidRDefault="00F6391B" w:rsidP="00804587">
            <w:pPr>
              <w:pStyle w:val="TableText0"/>
            </w:pPr>
          </w:p>
        </w:tc>
        <w:tc>
          <w:tcPr>
            <w:tcW w:w="1642" w:type="pct"/>
            <w:vAlign w:val="center"/>
          </w:tcPr>
          <w:p w14:paraId="5F27F78F" w14:textId="04F2F434" w:rsidR="00F6391B" w:rsidRPr="0098262F" w:rsidRDefault="00F6391B" w:rsidP="00804587">
            <w:pPr>
              <w:pStyle w:val="TableText0"/>
              <w:jc w:val="center"/>
            </w:pPr>
            <w:r>
              <w:t>N = 512</w:t>
            </w:r>
          </w:p>
        </w:tc>
        <w:tc>
          <w:tcPr>
            <w:tcW w:w="1644" w:type="pct"/>
            <w:vAlign w:val="center"/>
          </w:tcPr>
          <w:p w14:paraId="1B510CC2" w14:textId="23A66507" w:rsidR="00F6391B" w:rsidRPr="0098262F" w:rsidRDefault="00F6391B" w:rsidP="00804587">
            <w:pPr>
              <w:pStyle w:val="TableText0"/>
              <w:jc w:val="center"/>
            </w:pPr>
            <w:r>
              <w:t>N = 518</w:t>
            </w:r>
          </w:p>
        </w:tc>
      </w:tr>
      <w:tr w:rsidR="00F6391B" w:rsidRPr="0098262F" w14:paraId="538BEF05" w14:textId="77777777" w:rsidTr="00AC02D0">
        <w:trPr>
          <w:cantSplit/>
        </w:trPr>
        <w:tc>
          <w:tcPr>
            <w:tcW w:w="1714" w:type="pct"/>
            <w:vAlign w:val="center"/>
          </w:tcPr>
          <w:p w14:paraId="0DC96666" w14:textId="344CB608" w:rsidR="00F6391B" w:rsidRDefault="00F6391B" w:rsidP="00804587">
            <w:pPr>
              <w:pStyle w:val="TableText0"/>
            </w:pPr>
            <w:r>
              <w:t>Any AE, n (%)</w:t>
            </w:r>
          </w:p>
        </w:tc>
        <w:tc>
          <w:tcPr>
            <w:tcW w:w="1642" w:type="pct"/>
            <w:vAlign w:val="center"/>
          </w:tcPr>
          <w:p w14:paraId="026A1F24" w14:textId="0054C437" w:rsidR="00F6391B" w:rsidRDefault="00F6391B" w:rsidP="00804587">
            <w:pPr>
              <w:pStyle w:val="TableText0"/>
              <w:jc w:val="center"/>
            </w:pPr>
            <w:r>
              <w:t>294 (57.6%)</w:t>
            </w:r>
          </w:p>
        </w:tc>
        <w:tc>
          <w:tcPr>
            <w:tcW w:w="1644" w:type="pct"/>
            <w:vAlign w:val="center"/>
          </w:tcPr>
          <w:p w14:paraId="3C395184" w14:textId="17284D60" w:rsidR="00F6391B" w:rsidRDefault="00F6391B" w:rsidP="00804587">
            <w:pPr>
              <w:pStyle w:val="TableText0"/>
              <w:jc w:val="center"/>
            </w:pPr>
            <w:r>
              <w:t>281 (54.3%)</w:t>
            </w:r>
          </w:p>
        </w:tc>
      </w:tr>
      <w:tr w:rsidR="00F6391B" w:rsidRPr="0098262F" w14:paraId="222746FA" w14:textId="77777777" w:rsidTr="00AC02D0">
        <w:trPr>
          <w:cantSplit/>
        </w:trPr>
        <w:tc>
          <w:tcPr>
            <w:tcW w:w="1714" w:type="pct"/>
            <w:vAlign w:val="center"/>
          </w:tcPr>
          <w:p w14:paraId="3823D7CF" w14:textId="21CA7B45" w:rsidR="00F6391B" w:rsidRPr="0098262F" w:rsidRDefault="00F6391B" w:rsidP="00804587">
            <w:pPr>
              <w:pStyle w:val="TableText0"/>
              <w:jc w:val="right"/>
            </w:pPr>
            <w:r>
              <w:t xml:space="preserve">Headache, n (%) </w:t>
            </w:r>
          </w:p>
        </w:tc>
        <w:tc>
          <w:tcPr>
            <w:tcW w:w="1642" w:type="pct"/>
            <w:vAlign w:val="center"/>
          </w:tcPr>
          <w:p w14:paraId="521AF77D" w14:textId="4E52CD12" w:rsidR="00F6391B" w:rsidRPr="0098262F" w:rsidRDefault="00F6391B" w:rsidP="00804587">
            <w:pPr>
              <w:pStyle w:val="TableText0"/>
              <w:jc w:val="center"/>
            </w:pPr>
            <w:r>
              <w:t>97 (18.9%)</w:t>
            </w:r>
          </w:p>
        </w:tc>
        <w:tc>
          <w:tcPr>
            <w:tcW w:w="1644" w:type="pct"/>
            <w:vAlign w:val="center"/>
          </w:tcPr>
          <w:p w14:paraId="6F9567B3" w14:textId="2BC9B921" w:rsidR="00F6391B" w:rsidRPr="0098262F" w:rsidRDefault="00F6391B" w:rsidP="00804587">
            <w:pPr>
              <w:pStyle w:val="TableText0"/>
              <w:jc w:val="center"/>
            </w:pPr>
            <w:r>
              <w:t>77 (14.8%)</w:t>
            </w:r>
          </w:p>
        </w:tc>
      </w:tr>
      <w:tr w:rsidR="00F6391B" w:rsidRPr="0098262F" w14:paraId="0384327F" w14:textId="77777777" w:rsidTr="00AC02D0">
        <w:trPr>
          <w:cantSplit/>
        </w:trPr>
        <w:tc>
          <w:tcPr>
            <w:tcW w:w="1714" w:type="pct"/>
            <w:vAlign w:val="center"/>
          </w:tcPr>
          <w:p w14:paraId="57DABC30" w14:textId="65AF1DD3" w:rsidR="00F6391B" w:rsidRPr="0098262F" w:rsidRDefault="00F6391B" w:rsidP="00804587">
            <w:pPr>
              <w:pStyle w:val="TableText0"/>
              <w:jc w:val="right"/>
            </w:pPr>
            <w:r>
              <w:t>Ring-related problems, n (%)</w:t>
            </w:r>
          </w:p>
        </w:tc>
        <w:tc>
          <w:tcPr>
            <w:tcW w:w="1642" w:type="pct"/>
            <w:vAlign w:val="center"/>
          </w:tcPr>
          <w:p w14:paraId="7D724F55" w14:textId="23C1FD69" w:rsidR="00F6391B" w:rsidRPr="0098262F" w:rsidRDefault="00F6391B" w:rsidP="00804587">
            <w:pPr>
              <w:pStyle w:val="TableText0"/>
              <w:jc w:val="center"/>
            </w:pPr>
            <w:r>
              <w:t>30 (5.9%)</w:t>
            </w:r>
          </w:p>
        </w:tc>
        <w:tc>
          <w:tcPr>
            <w:tcW w:w="1644" w:type="pct"/>
            <w:vAlign w:val="center"/>
          </w:tcPr>
          <w:p w14:paraId="255A5E2D" w14:textId="01323D3B" w:rsidR="00F6391B" w:rsidRPr="0098262F" w:rsidRDefault="00F6391B" w:rsidP="00804587">
            <w:pPr>
              <w:pStyle w:val="TableText0"/>
              <w:jc w:val="center"/>
            </w:pPr>
            <w:r>
              <w:t>0</w:t>
            </w:r>
          </w:p>
        </w:tc>
      </w:tr>
      <w:tr w:rsidR="00F6391B" w:rsidRPr="0098262F" w14:paraId="288735B9" w14:textId="77777777" w:rsidTr="00AC02D0">
        <w:trPr>
          <w:cantSplit/>
        </w:trPr>
        <w:tc>
          <w:tcPr>
            <w:tcW w:w="1714" w:type="pct"/>
            <w:vAlign w:val="center"/>
          </w:tcPr>
          <w:p w14:paraId="0191F38E" w14:textId="5A9C4BD3" w:rsidR="00F6391B" w:rsidRPr="0098262F" w:rsidRDefault="00F6391B" w:rsidP="00804587">
            <w:pPr>
              <w:pStyle w:val="TableText0"/>
              <w:jc w:val="right"/>
            </w:pPr>
            <w:r>
              <w:t>Vaginitis, n (%)</w:t>
            </w:r>
          </w:p>
        </w:tc>
        <w:tc>
          <w:tcPr>
            <w:tcW w:w="1642" w:type="pct"/>
            <w:vAlign w:val="center"/>
          </w:tcPr>
          <w:p w14:paraId="573931A7" w14:textId="57F73086" w:rsidR="00F6391B" w:rsidRPr="0098262F" w:rsidRDefault="00F6391B" w:rsidP="00804587">
            <w:pPr>
              <w:pStyle w:val="TableText0"/>
              <w:jc w:val="center"/>
            </w:pPr>
            <w:r>
              <w:t>54 (10.5%)</w:t>
            </w:r>
          </w:p>
        </w:tc>
        <w:tc>
          <w:tcPr>
            <w:tcW w:w="1644" w:type="pct"/>
            <w:vAlign w:val="center"/>
          </w:tcPr>
          <w:p w14:paraId="4832ADCF" w14:textId="40960D44" w:rsidR="00F6391B" w:rsidRPr="0098262F" w:rsidRDefault="00F6391B" w:rsidP="00804587">
            <w:pPr>
              <w:pStyle w:val="TableText0"/>
              <w:jc w:val="center"/>
            </w:pPr>
            <w:r>
              <w:t>24 (4.6%)</w:t>
            </w:r>
          </w:p>
        </w:tc>
      </w:tr>
      <w:tr w:rsidR="00F6391B" w:rsidRPr="0098262F" w14:paraId="097999E8" w14:textId="77777777" w:rsidTr="00AC02D0">
        <w:trPr>
          <w:cantSplit/>
        </w:trPr>
        <w:tc>
          <w:tcPr>
            <w:tcW w:w="1714" w:type="pct"/>
            <w:vAlign w:val="center"/>
          </w:tcPr>
          <w:p w14:paraId="73C7D16F" w14:textId="71FDE6EC" w:rsidR="00F6391B" w:rsidRPr="0098262F" w:rsidRDefault="1FD45D73" w:rsidP="00804587">
            <w:pPr>
              <w:pStyle w:val="TableText0"/>
              <w:jc w:val="right"/>
            </w:pPr>
            <w:proofErr w:type="spellStart"/>
            <w:r w:rsidRPr="0B5D70EC">
              <w:t>Leukorrhoea</w:t>
            </w:r>
            <w:proofErr w:type="spellEnd"/>
            <w:r w:rsidRPr="0B5D70EC">
              <w:t>, n (%)</w:t>
            </w:r>
          </w:p>
        </w:tc>
        <w:tc>
          <w:tcPr>
            <w:tcW w:w="1642" w:type="pct"/>
            <w:vAlign w:val="center"/>
          </w:tcPr>
          <w:p w14:paraId="53BA973E" w14:textId="0B8FA122" w:rsidR="00F6391B" w:rsidRPr="0098262F" w:rsidRDefault="00F6391B" w:rsidP="00804587">
            <w:pPr>
              <w:pStyle w:val="TableText0"/>
              <w:jc w:val="center"/>
            </w:pPr>
            <w:r>
              <w:t>26 (5.1%)</w:t>
            </w:r>
          </w:p>
        </w:tc>
        <w:tc>
          <w:tcPr>
            <w:tcW w:w="1644" w:type="pct"/>
            <w:vAlign w:val="center"/>
          </w:tcPr>
          <w:p w14:paraId="3849128B" w14:textId="687D4E64" w:rsidR="00F6391B" w:rsidRPr="0098262F" w:rsidRDefault="00F6391B" w:rsidP="00804587">
            <w:pPr>
              <w:pStyle w:val="TableText0"/>
              <w:jc w:val="center"/>
            </w:pPr>
            <w:r>
              <w:t>12 (2.3%)</w:t>
            </w:r>
          </w:p>
        </w:tc>
      </w:tr>
      <w:tr w:rsidR="00F6391B" w:rsidRPr="0098262F" w14:paraId="21E7BF5A" w14:textId="77777777" w:rsidTr="00AC02D0">
        <w:trPr>
          <w:cantSplit/>
        </w:trPr>
        <w:tc>
          <w:tcPr>
            <w:tcW w:w="1714" w:type="pct"/>
            <w:vAlign w:val="center"/>
          </w:tcPr>
          <w:p w14:paraId="19121454" w14:textId="51C76F7C" w:rsidR="00F6391B" w:rsidRPr="0098262F" w:rsidRDefault="00F6391B" w:rsidP="00804587">
            <w:pPr>
              <w:pStyle w:val="TableText0"/>
              <w:jc w:val="right"/>
            </w:pPr>
            <w:r>
              <w:t xml:space="preserve">Breast </w:t>
            </w:r>
            <w:r w:rsidR="004A725F">
              <w:t>s</w:t>
            </w:r>
            <w:r>
              <w:t>oreness, n (%)</w:t>
            </w:r>
          </w:p>
        </w:tc>
        <w:tc>
          <w:tcPr>
            <w:tcW w:w="1642" w:type="pct"/>
            <w:vAlign w:val="center"/>
          </w:tcPr>
          <w:p w14:paraId="65A29316" w14:textId="29381776" w:rsidR="00F6391B" w:rsidRPr="0098262F" w:rsidRDefault="00F6391B" w:rsidP="00804587">
            <w:pPr>
              <w:pStyle w:val="TableText0"/>
              <w:jc w:val="center"/>
            </w:pPr>
            <w:r>
              <w:t>17 (3.3%)</w:t>
            </w:r>
          </w:p>
        </w:tc>
        <w:tc>
          <w:tcPr>
            <w:tcW w:w="1644" w:type="pct"/>
            <w:vAlign w:val="center"/>
          </w:tcPr>
          <w:p w14:paraId="28F19227" w14:textId="4FF1911B" w:rsidR="00F6391B" w:rsidRPr="0098262F" w:rsidRDefault="00F6391B" w:rsidP="00804587">
            <w:pPr>
              <w:pStyle w:val="TableText0"/>
              <w:jc w:val="center"/>
            </w:pPr>
            <w:r>
              <w:t>11 (2.1%)</w:t>
            </w:r>
          </w:p>
        </w:tc>
      </w:tr>
      <w:tr w:rsidR="00F6391B" w:rsidRPr="0098262F" w14:paraId="1FD513A6" w14:textId="77777777" w:rsidTr="00AC02D0">
        <w:trPr>
          <w:cantSplit/>
        </w:trPr>
        <w:tc>
          <w:tcPr>
            <w:tcW w:w="1714" w:type="pct"/>
            <w:vAlign w:val="center"/>
          </w:tcPr>
          <w:p w14:paraId="56550422" w14:textId="3735DC57" w:rsidR="00F6391B" w:rsidRDefault="00F6391B" w:rsidP="00804587">
            <w:pPr>
              <w:pStyle w:val="TableText0"/>
              <w:jc w:val="right"/>
            </w:pPr>
            <w:r>
              <w:t xml:space="preserve">Genital </w:t>
            </w:r>
            <w:r w:rsidR="00B65343">
              <w:t>i</w:t>
            </w:r>
            <w:r>
              <w:t>tch, n (%)</w:t>
            </w:r>
          </w:p>
        </w:tc>
        <w:tc>
          <w:tcPr>
            <w:tcW w:w="1642" w:type="pct"/>
            <w:vAlign w:val="center"/>
          </w:tcPr>
          <w:p w14:paraId="168C7E3F" w14:textId="36EC4535" w:rsidR="00F6391B" w:rsidRDefault="00F6391B" w:rsidP="00804587">
            <w:pPr>
              <w:pStyle w:val="TableText0"/>
              <w:jc w:val="center"/>
            </w:pPr>
            <w:r>
              <w:t>13 (2.5%)</w:t>
            </w:r>
          </w:p>
        </w:tc>
        <w:tc>
          <w:tcPr>
            <w:tcW w:w="1644" w:type="pct"/>
            <w:vAlign w:val="center"/>
          </w:tcPr>
          <w:p w14:paraId="26D3EDF6" w14:textId="728E449A" w:rsidR="00F6391B" w:rsidRDefault="00F6391B" w:rsidP="00804587">
            <w:pPr>
              <w:pStyle w:val="TableText0"/>
              <w:jc w:val="center"/>
            </w:pPr>
            <w:r>
              <w:t>5 (1.0%)</w:t>
            </w:r>
          </w:p>
        </w:tc>
      </w:tr>
      <w:tr w:rsidR="00F6391B" w:rsidRPr="0098262F" w14:paraId="0AB3C044" w14:textId="77777777" w:rsidTr="00AC02D0">
        <w:trPr>
          <w:cantSplit/>
        </w:trPr>
        <w:tc>
          <w:tcPr>
            <w:tcW w:w="1714" w:type="pct"/>
            <w:vAlign w:val="center"/>
          </w:tcPr>
          <w:p w14:paraId="1515866C" w14:textId="47AC7A4C" w:rsidR="00F6391B" w:rsidRDefault="00F6391B" w:rsidP="00804587">
            <w:pPr>
              <w:pStyle w:val="TableText0"/>
              <w:jc w:val="right"/>
            </w:pPr>
            <w:r>
              <w:t>Acne, n (%)</w:t>
            </w:r>
          </w:p>
        </w:tc>
        <w:tc>
          <w:tcPr>
            <w:tcW w:w="1642" w:type="pct"/>
            <w:vAlign w:val="center"/>
          </w:tcPr>
          <w:p w14:paraId="75D29713" w14:textId="08D768B2" w:rsidR="00F6391B" w:rsidRDefault="00F6391B" w:rsidP="00804587">
            <w:pPr>
              <w:pStyle w:val="TableText0"/>
              <w:jc w:val="center"/>
            </w:pPr>
            <w:r>
              <w:t>4 (0.8%)</w:t>
            </w:r>
          </w:p>
        </w:tc>
        <w:tc>
          <w:tcPr>
            <w:tcW w:w="1644" w:type="pct"/>
            <w:vAlign w:val="center"/>
          </w:tcPr>
          <w:p w14:paraId="2AFABCCC" w14:textId="2E81C975" w:rsidR="00F6391B" w:rsidRDefault="00F6391B" w:rsidP="00804587">
            <w:pPr>
              <w:pStyle w:val="TableText0"/>
              <w:jc w:val="center"/>
            </w:pPr>
            <w:r>
              <w:t>15 (2.9%)</w:t>
            </w:r>
          </w:p>
        </w:tc>
      </w:tr>
      <w:tr w:rsidR="00F6391B" w:rsidRPr="0098262F" w14:paraId="5E325E10" w14:textId="77777777" w:rsidTr="00AC02D0">
        <w:trPr>
          <w:cantSplit/>
        </w:trPr>
        <w:tc>
          <w:tcPr>
            <w:tcW w:w="1714" w:type="pct"/>
            <w:vAlign w:val="center"/>
          </w:tcPr>
          <w:p w14:paraId="1CC463DC" w14:textId="241FC289" w:rsidR="00F6391B" w:rsidRDefault="00F6391B" w:rsidP="00804587">
            <w:pPr>
              <w:pStyle w:val="TableText0"/>
              <w:jc w:val="right"/>
            </w:pPr>
            <w:r>
              <w:t>Hypertension, n (%)</w:t>
            </w:r>
          </w:p>
        </w:tc>
        <w:tc>
          <w:tcPr>
            <w:tcW w:w="1642" w:type="pct"/>
            <w:vAlign w:val="center"/>
          </w:tcPr>
          <w:p w14:paraId="35379EE1" w14:textId="6A0E5016" w:rsidR="00F6391B" w:rsidRDefault="00F6391B" w:rsidP="00804587">
            <w:pPr>
              <w:pStyle w:val="TableText0"/>
              <w:jc w:val="center"/>
            </w:pPr>
            <w:r>
              <w:t>4 (0.8%)</w:t>
            </w:r>
          </w:p>
        </w:tc>
        <w:tc>
          <w:tcPr>
            <w:tcW w:w="1644" w:type="pct"/>
            <w:vAlign w:val="center"/>
          </w:tcPr>
          <w:p w14:paraId="31D6DACE" w14:textId="020E33C9" w:rsidR="00F6391B" w:rsidRDefault="00F6391B" w:rsidP="00804587">
            <w:pPr>
              <w:pStyle w:val="TableText0"/>
              <w:jc w:val="center"/>
            </w:pPr>
            <w:r>
              <w:t>8 (2.6%)</w:t>
            </w:r>
          </w:p>
        </w:tc>
      </w:tr>
      <w:tr w:rsidR="00DC191C" w:rsidRPr="0098262F" w14:paraId="55EEC812" w14:textId="77777777" w:rsidTr="00AC02D0">
        <w:trPr>
          <w:cantSplit/>
        </w:trPr>
        <w:tc>
          <w:tcPr>
            <w:tcW w:w="1714" w:type="pct"/>
            <w:vAlign w:val="center"/>
          </w:tcPr>
          <w:p w14:paraId="18D401B5" w14:textId="6E4A0466" w:rsidR="00DC191C" w:rsidRDefault="00DC191C" w:rsidP="00804587">
            <w:pPr>
              <w:pStyle w:val="TableText0"/>
              <w:jc w:val="right"/>
            </w:pPr>
            <w:r>
              <w:t xml:space="preserve">Weight </w:t>
            </w:r>
            <w:r w:rsidR="0037297D">
              <w:t>g</w:t>
            </w:r>
            <w:r>
              <w:t>ain,  n</w:t>
            </w:r>
            <w:r w:rsidR="0037297D">
              <w:t xml:space="preserve"> </w:t>
            </w:r>
            <w:r>
              <w:t>(%)</w:t>
            </w:r>
          </w:p>
        </w:tc>
        <w:tc>
          <w:tcPr>
            <w:tcW w:w="1642" w:type="pct"/>
            <w:vAlign w:val="center"/>
          </w:tcPr>
          <w:p w14:paraId="18524BBB" w14:textId="61E24C43" w:rsidR="00DC191C" w:rsidRDefault="00DC191C" w:rsidP="00804587">
            <w:pPr>
              <w:pStyle w:val="TableText0"/>
              <w:jc w:val="center"/>
            </w:pPr>
            <w:r>
              <w:t>13 (2.5%)</w:t>
            </w:r>
          </w:p>
        </w:tc>
        <w:tc>
          <w:tcPr>
            <w:tcW w:w="1644" w:type="pct"/>
            <w:vAlign w:val="center"/>
          </w:tcPr>
          <w:p w14:paraId="283009A5" w14:textId="2451DD04" w:rsidR="00DC191C" w:rsidRDefault="000D7EBA" w:rsidP="00804587">
            <w:pPr>
              <w:pStyle w:val="TableText0"/>
              <w:jc w:val="center"/>
            </w:pPr>
            <w:r>
              <w:t>15 (2.9%)</w:t>
            </w:r>
          </w:p>
        </w:tc>
      </w:tr>
      <w:tr w:rsidR="00F6391B" w:rsidRPr="0098262F" w14:paraId="27D890F7" w14:textId="77777777" w:rsidTr="00AC02D0">
        <w:trPr>
          <w:cantSplit/>
        </w:trPr>
        <w:tc>
          <w:tcPr>
            <w:tcW w:w="1714" w:type="pct"/>
            <w:vAlign w:val="center"/>
          </w:tcPr>
          <w:p w14:paraId="56191FFB" w14:textId="7CC8D17B" w:rsidR="00F6391B" w:rsidRDefault="00F6391B" w:rsidP="00804587">
            <w:pPr>
              <w:pStyle w:val="TableText0"/>
            </w:pPr>
            <w:r>
              <w:t>Any SAE, n (%)</w:t>
            </w:r>
          </w:p>
        </w:tc>
        <w:tc>
          <w:tcPr>
            <w:tcW w:w="1642" w:type="pct"/>
            <w:vAlign w:val="center"/>
          </w:tcPr>
          <w:p w14:paraId="1CECBB39" w14:textId="75B09C88" w:rsidR="00F6391B" w:rsidRDefault="00F6391B" w:rsidP="00804587">
            <w:pPr>
              <w:pStyle w:val="TableText0"/>
              <w:jc w:val="center"/>
            </w:pPr>
            <w:r>
              <w:t>11 (2.1%)</w:t>
            </w:r>
          </w:p>
        </w:tc>
        <w:tc>
          <w:tcPr>
            <w:tcW w:w="1644" w:type="pct"/>
            <w:vAlign w:val="center"/>
          </w:tcPr>
          <w:p w14:paraId="40D747C8" w14:textId="56911076" w:rsidR="00F6391B" w:rsidRDefault="00F6391B" w:rsidP="00804587">
            <w:pPr>
              <w:pStyle w:val="TableText0"/>
              <w:jc w:val="center"/>
            </w:pPr>
            <w:r>
              <w:t>7 (1.4%)</w:t>
            </w:r>
          </w:p>
        </w:tc>
      </w:tr>
      <w:tr w:rsidR="00F6391B" w:rsidRPr="0098262F" w14:paraId="09015DEA" w14:textId="77777777" w:rsidTr="00AC02D0">
        <w:trPr>
          <w:cantSplit/>
        </w:trPr>
        <w:tc>
          <w:tcPr>
            <w:tcW w:w="1714" w:type="pct"/>
            <w:vAlign w:val="center"/>
          </w:tcPr>
          <w:p w14:paraId="2D75C614" w14:textId="3B9653FF" w:rsidR="00F6391B" w:rsidRDefault="00F6391B" w:rsidP="00804587">
            <w:pPr>
              <w:pStyle w:val="TableText0"/>
            </w:pPr>
            <w:r>
              <w:t>Deep Vein Thrombosis</w:t>
            </w:r>
          </w:p>
        </w:tc>
        <w:tc>
          <w:tcPr>
            <w:tcW w:w="1642" w:type="pct"/>
            <w:vAlign w:val="center"/>
          </w:tcPr>
          <w:p w14:paraId="1A3CA624" w14:textId="76186EC1" w:rsidR="00F6391B" w:rsidRDefault="00F6391B" w:rsidP="00804587">
            <w:pPr>
              <w:pStyle w:val="TableText0"/>
              <w:jc w:val="center"/>
            </w:pPr>
            <w:r>
              <w:t>1 (0.2%)</w:t>
            </w:r>
          </w:p>
        </w:tc>
        <w:tc>
          <w:tcPr>
            <w:tcW w:w="1644" w:type="pct"/>
            <w:vAlign w:val="center"/>
          </w:tcPr>
          <w:p w14:paraId="23BE6163" w14:textId="225DD641" w:rsidR="00F6391B" w:rsidRDefault="00F6391B" w:rsidP="00804587">
            <w:pPr>
              <w:pStyle w:val="TableText0"/>
              <w:jc w:val="center"/>
            </w:pPr>
            <w:r>
              <w:t>0</w:t>
            </w:r>
          </w:p>
        </w:tc>
      </w:tr>
      <w:tr w:rsidR="00F6391B" w:rsidRPr="0098262F" w14:paraId="702E875E" w14:textId="77777777" w:rsidTr="00AC02D0">
        <w:trPr>
          <w:cantSplit/>
        </w:trPr>
        <w:tc>
          <w:tcPr>
            <w:tcW w:w="1714" w:type="pct"/>
            <w:vAlign w:val="center"/>
          </w:tcPr>
          <w:p w14:paraId="49BB75CF" w14:textId="4783E015" w:rsidR="00F6391B" w:rsidRDefault="00F6391B" w:rsidP="00804587">
            <w:pPr>
              <w:pStyle w:val="TableText0"/>
            </w:pPr>
            <w:r>
              <w:t>Discontinuation due to AE, n (%)</w:t>
            </w:r>
            <w:r w:rsidR="0087375B">
              <w:t>*</w:t>
            </w:r>
          </w:p>
        </w:tc>
        <w:tc>
          <w:tcPr>
            <w:tcW w:w="1642" w:type="pct"/>
            <w:vAlign w:val="center"/>
          </w:tcPr>
          <w:p w14:paraId="37A36A3B" w14:textId="727A4457" w:rsidR="00F6391B" w:rsidRDefault="00F6391B" w:rsidP="00804587">
            <w:pPr>
              <w:pStyle w:val="TableText0"/>
              <w:jc w:val="center"/>
            </w:pPr>
            <w:r>
              <w:t>58 (11.3%)</w:t>
            </w:r>
          </w:p>
        </w:tc>
        <w:tc>
          <w:tcPr>
            <w:tcW w:w="1644" w:type="pct"/>
            <w:vAlign w:val="center"/>
          </w:tcPr>
          <w:p w14:paraId="132F1FB8" w14:textId="117840EE" w:rsidR="00F6391B" w:rsidRDefault="00F6391B" w:rsidP="00804587">
            <w:pPr>
              <w:pStyle w:val="TableText0"/>
              <w:jc w:val="center"/>
            </w:pPr>
            <w:r>
              <w:t>45 (8.7%)</w:t>
            </w:r>
          </w:p>
        </w:tc>
      </w:tr>
      <w:tr w:rsidR="00F6391B" w:rsidRPr="0098262F" w14:paraId="06C60AC6" w14:textId="77777777" w:rsidTr="00AC02D0">
        <w:trPr>
          <w:cantSplit/>
        </w:trPr>
        <w:tc>
          <w:tcPr>
            <w:tcW w:w="5000" w:type="pct"/>
            <w:gridSpan w:val="3"/>
            <w:vAlign w:val="center"/>
          </w:tcPr>
          <w:p w14:paraId="489E94FA" w14:textId="6A98E751" w:rsidR="00F6391B" w:rsidRDefault="1FD45D73" w:rsidP="00804587">
            <w:pPr>
              <w:pStyle w:val="TableText0"/>
            </w:pPr>
            <w:proofErr w:type="spellStart"/>
            <w:r w:rsidRPr="0B5D70EC">
              <w:rPr>
                <w:b/>
              </w:rPr>
              <w:t>Duijkers</w:t>
            </w:r>
            <w:proofErr w:type="spellEnd"/>
            <w:r w:rsidRPr="0B5D70EC">
              <w:rPr>
                <w:b/>
              </w:rPr>
              <w:t xml:space="preserve"> </w:t>
            </w:r>
            <w:r w:rsidR="00443431">
              <w:rPr>
                <w:b/>
              </w:rPr>
              <w:t>(</w:t>
            </w:r>
            <w:r w:rsidRPr="0B5D70EC">
              <w:rPr>
                <w:b/>
              </w:rPr>
              <w:t>2004</w:t>
            </w:r>
            <w:r w:rsidR="00443431">
              <w:rPr>
                <w:b/>
              </w:rPr>
              <w:t>)</w:t>
            </w:r>
          </w:p>
        </w:tc>
      </w:tr>
      <w:tr w:rsidR="00F6391B" w:rsidRPr="0098262F" w14:paraId="4B0BA1D4" w14:textId="77777777" w:rsidTr="00AC02D0">
        <w:trPr>
          <w:cantSplit/>
        </w:trPr>
        <w:tc>
          <w:tcPr>
            <w:tcW w:w="1714" w:type="pct"/>
            <w:vAlign w:val="center"/>
          </w:tcPr>
          <w:p w14:paraId="0948A652" w14:textId="77777777" w:rsidR="00F6391B" w:rsidRDefault="00F6391B" w:rsidP="00804587">
            <w:pPr>
              <w:pStyle w:val="TableText0"/>
            </w:pPr>
          </w:p>
        </w:tc>
        <w:tc>
          <w:tcPr>
            <w:tcW w:w="1642" w:type="pct"/>
            <w:vAlign w:val="center"/>
          </w:tcPr>
          <w:p w14:paraId="43215C33" w14:textId="24034DDE" w:rsidR="00F6391B" w:rsidRDefault="00F6391B" w:rsidP="00804587">
            <w:pPr>
              <w:pStyle w:val="TableText0"/>
              <w:jc w:val="center"/>
            </w:pPr>
            <w:r>
              <w:t>N = 37</w:t>
            </w:r>
          </w:p>
        </w:tc>
        <w:tc>
          <w:tcPr>
            <w:tcW w:w="1644" w:type="pct"/>
            <w:vAlign w:val="center"/>
          </w:tcPr>
          <w:p w14:paraId="71DAE425" w14:textId="342D0A8F" w:rsidR="00F6391B" w:rsidRDefault="00F6391B" w:rsidP="00804587">
            <w:pPr>
              <w:pStyle w:val="TableText0"/>
              <w:jc w:val="center"/>
            </w:pPr>
            <w:r>
              <w:t>N = 40</w:t>
            </w:r>
          </w:p>
        </w:tc>
      </w:tr>
      <w:tr w:rsidR="00F6391B" w:rsidRPr="0098262F" w14:paraId="0031FBD8" w14:textId="77777777" w:rsidTr="00AC02D0">
        <w:trPr>
          <w:cantSplit/>
        </w:trPr>
        <w:tc>
          <w:tcPr>
            <w:tcW w:w="1714" w:type="pct"/>
            <w:vAlign w:val="center"/>
          </w:tcPr>
          <w:p w14:paraId="752A72C6" w14:textId="48B6411D" w:rsidR="00F6391B" w:rsidRDefault="00F6391B" w:rsidP="00804587">
            <w:pPr>
              <w:pStyle w:val="TableText0"/>
            </w:pPr>
            <w:r>
              <w:t>Nausea, n (%)</w:t>
            </w:r>
          </w:p>
        </w:tc>
        <w:tc>
          <w:tcPr>
            <w:tcW w:w="1642" w:type="pct"/>
            <w:vAlign w:val="center"/>
          </w:tcPr>
          <w:p w14:paraId="7881FB74" w14:textId="60D39EB4" w:rsidR="00F6391B" w:rsidRDefault="00F6391B" w:rsidP="00804587">
            <w:pPr>
              <w:pStyle w:val="TableText0"/>
              <w:jc w:val="center"/>
            </w:pPr>
            <w:r>
              <w:t>6 (16.2%)</w:t>
            </w:r>
          </w:p>
        </w:tc>
        <w:tc>
          <w:tcPr>
            <w:tcW w:w="1644" w:type="pct"/>
            <w:vAlign w:val="center"/>
          </w:tcPr>
          <w:p w14:paraId="2D989624" w14:textId="536D32A6" w:rsidR="00F6391B" w:rsidRDefault="00F6391B" w:rsidP="00804587">
            <w:pPr>
              <w:pStyle w:val="TableText0"/>
              <w:jc w:val="center"/>
            </w:pPr>
            <w:r>
              <w:t>2 (5%)</w:t>
            </w:r>
          </w:p>
        </w:tc>
      </w:tr>
      <w:tr w:rsidR="00F6391B" w:rsidRPr="0098262F" w14:paraId="3B5F20EB" w14:textId="77777777" w:rsidTr="00AC02D0">
        <w:trPr>
          <w:cantSplit/>
        </w:trPr>
        <w:tc>
          <w:tcPr>
            <w:tcW w:w="1714" w:type="pct"/>
            <w:vAlign w:val="center"/>
          </w:tcPr>
          <w:p w14:paraId="52D9F38F" w14:textId="2237805F" w:rsidR="00F6391B" w:rsidRDefault="00F6391B" w:rsidP="00804587">
            <w:pPr>
              <w:pStyle w:val="TableText0"/>
            </w:pPr>
            <w:r>
              <w:t>Breast Tenderness, n (%)</w:t>
            </w:r>
          </w:p>
        </w:tc>
        <w:tc>
          <w:tcPr>
            <w:tcW w:w="1642" w:type="pct"/>
            <w:vAlign w:val="center"/>
          </w:tcPr>
          <w:p w14:paraId="0E6198E8" w14:textId="55E07E33" w:rsidR="00F6391B" w:rsidRDefault="00F6391B" w:rsidP="00804587">
            <w:pPr>
              <w:pStyle w:val="TableText0"/>
              <w:jc w:val="center"/>
            </w:pPr>
            <w:r>
              <w:t>2 (5.4%)</w:t>
            </w:r>
          </w:p>
        </w:tc>
        <w:tc>
          <w:tcPr>
            <w:tcW w:w="1644" w:type="pct"/>
            <w:vAlign w:val="center"/>
          </w:tcPr>
          <w:p w14:paraId="5133BB98" w14:textId="40808550" w:rsidR="00F6391B" w:rsidRDefault="00F6391B" w:rsidP="00804587">
            <w:pPr>
              <w:pStyle w:val="TableText0"/>
              <w:jc w:val="center"/>
            </w:pPr>
            <w:r>
              <w:t>5 (12.5%)</w:t>
            </w:r>
          </w:p>
        </w:tc>
      </w:tr>
      <w:tr w:rsidR="00F6391B" w:rsidRPr="0098262F" w14:paraId="28A63085" w14:textId="77777777" w:rsidTr="00AC02D0">
        <w:trPr>
          <w:cantSplit/>
        </w:trPr>
        <w:tc>
          <w:tcPr>
            <w:tcW w:w="1714" w:type="pct"/>
            <w:vAlign w:val="center"/>
          </w:tcPr>
          <w:p w14:paraId="3D17302C" w14:textId="2C2C6861" w:rsidR="00F6391B" w:rsidRDefault="1FD45D73" w:rsidP="00804587">
            <w:pPr>
              <w:pStyle w:val="TableText0"/>
            </w:pPr>
            <w:proofErr w:type="spellStart"/>
            <w:r w:rsidRPr="0B5D70EC">
              <w:t>Leukorrhoea</w:t>
            </w:r>
            <w:proofErr w:type="spellEnd"/>
            <w:r w:rsidRPr="0B5D70EC">
              <w:t>, n (%)</w:t>
            </w:r>
          </w:p>
        </w:tc>
        <w:tc>
          <w:tcPr>
            <w:tcW w:w="1642" w:type="pct"/>
            <w:vAlign w:val="center"/>
          </w:tcPr>
          <w:p w14:paraId="3D9FD17D" w14:textId="68AE0526" w:rsidR="00F6391B" w:rsidRDefault="00F6391B" w:rsidP="00804587">
            <w:pPr>
              <w:pStyle w:val="TableText0"/>
              <w:jc w:val="center"/>
            </w:pPr>
            <w:r>
              <w:t>2 (5.4%)</w:t>
            </w:r>
          </w:p>
        </w:tc>
        <w:tc>
          <w:tcPr>
            <w:tcW w:w="1644" w:type="pct"/>
            <w:vAlign w:val="center"/>
          </w:tcPr>
          <w:p w14:paraId="37348985" w14:textId="1F6621D3" w:rsidR="00F6391B" w:rsidRDefault="00F6391B" w:rsidP="00804587">
            <w:pPr>
              <w:pStyle w:val="TableText0"/>
              <w:jc w:val="center"/>
            </w:pPr>
            <w:r>
              <w:t>0</w:t>
            </w:r>
          </w:p>
        </w:tc>
      </w:tr>
      <w:tr w:rsidR="00F6391B" w:rsidRPr="0098262F" w14:paraId="5B429BDF" w14:textId="77777777" w:rsidTr="00AC02D0">
        <w:trPr>
          <w:cantSplit/>
        </w:trPr>
        <w:tc>
          <w:tcPr>
            <w:tcW w:w="1714" w:type="pct"/>
            <w:vAlign w:val="center"/>
          </w:tcPr>
          <w:p w14:paraId="44898607" w14:textId="78F2DD9A" w:rsidR="00F6391B" w:rsidRDefault="00F6391B" w:rsidP="00804587">
            <w:pPr>
              <w:pStyle w:val="TableText0"/>
            </w:pPr>
            <w:r>
              <w:t>Vaginitis, n (%)</w:t>
            </w:r>
          </w:p>
        </w:tc>
        <w:tc>
          <w:tcPr>
            <w:tcW w:w="1642" w:type="pct"/>
            <w:vAlign w:val="center"/>
          </w:tcPr>
          <w:p w14:paraId="6AE78685" w14:textId="1790F89D" w:rsidR="00F6391B" w:rsidRDefault="00F6391B" w:rsidP="00804587">
            <w:pPr>
              <w:pStyle w:val="TableText0"/>
              <w:jc w:val="center"/>
            </w:pPr>
            <w:r>
              <w:t>1 (2.7%)</w:t>
            </w:r>
          </w:p>
        </w:tc>
        <w:tc>
          <w:tcPr>
            <w:tcW w:w="1644" w:type="pct"/>
            <w:vAlign w:val="center"/>
          </w:tcPr>
          <w:p w14:paraId="4F207D33" w14:textId="4E4ACE8F" w:rsidR="00F6391B" w:rsidRDefault="00F6391B" w:rsidP="00804587">
            <w:pPr>
              <w:pStyle w:val="TableText0"/>
              <w:jc w:val="center"/>
            </w:pPr>
            <w:r>
              <w:t>2 (5%)</w:t>
            </w:r>
          </w:p>
        </w:tc>
      </w:tr>
      <w:tr w:rsidR="00F6391B" w:rsidRPr="0098262F" w14:paraId="675E1078" w14:textId="77777777" w:rsidTr="00AC02D0">
        <w:trPr>
          <w:cantSplit/>
        </w:trPr>
        <w:tc>
          <w:tcPr>
            <w:tcW w:w="1714" w:type="pct"/>
            <w:vAlign w:val="center"/>
          </w:tcPr>
          <w:p w14:paraId="62E6759D" w14:textId="5CDD606D" w:rsidR="00F6391B" w:rsidRDefault="00F6391B" w:rsidP="00804587">
            <w:pPr>
              <w:pStyle w:val="TableText0"/>
            </w:pPr>
            <w:r>
              <w:t>Headache, n (%)</w:t>
            </w:r>
          </w:p>
        </w:tc>
        <w:tc>
          <w:tcPr>
            <w:tcW w:w="1642" w:type="pct"/>
            <w:vAlign w:val="center"/>
          </w:tcPr>
          <w:p w14:paraId="3E3AE181" w14:textId="0598F63A" w:rsidR="00F6391B" w:rsidRDefault="00F6391B" w:rsidP="00804587">
            <w:pPr>
              <w:pStyle w:val="TableText0"/>
              <w:jc w:val="center"/>
            </w:pPr>
            <w:r>
              <w:t>2 (5.4%)</w:t>
            </w:r>
          </w:p>
        </w:tc>
        <w:tc>
          <w:tcPr>
            <w:tcW w:w="1644" w:type="pct"/>
            <w:vAlign w:val="center"/>
          </w:tcPr>
          <w:p w14:paraId="73E9D7B2" w14:textId="76F6CCCC" w:rsidR="00F6391B" w:rsidRDefault="00F6391B" w:rsidP="00804587">
            <w:pPr>
              <w:pStyle w:val="TableText0"/>
              <w:jc w:val="center"/>
            </w:pPr>
            <w:r>
              <w:t>1 (2.5%)</w:t>
            </w:r>
          </w:p>
        </w:tc>
      </w:tr>
      <w:tr w:rsidR="00DC6B00" w:rsidRPr="0098262F" w14:paraId="3FC9E698" w14:textId="77777777" w:rsidTr="00AC02D0">
        <w:trPr>
          <w:cantSplit/>
        </w:trPr>
        <w:tc>
          <w:tcPr>
            <w:tcW w:w="1714" w:type="pct"/>
            <w:vAlign w:val="center"/>
          </w:tcPr>
          <w:p w14:paraId="3639378E" w14:textId="4780F01A" w:rsidR="00DC6B00" w:rsidRDefault="00DC6B00" w:rsidP="00804587">
            <w:pPr>
              <w:pStyle w:val="TableText0"/>
            </w:pPr>
            <w:r>
              <w:t>Nervousness, n</w:t>
            </w:r>
            <w:r w:rsidR="00017872">
              <w:t xml:space="preserve"> </w:t>
            </w:r>
            <w:r>
              <w:t>(%)</w:t>
            </w:r>
          </w:p>
        </w:tc>
        <w:tc>
          <w:tcPr>
            <w:tcW w:w="1642" w:type="pct"/>
            <w:vAlign w:val="center"/>
          </w:tcPr>
          <w:p w14:paraId="4C1518E7" w14:textId="68AD6DDB" w:rsidR="00DC6B00" w:rsidRDefault="00017872" w:rsidP="00804587">
            <w:pPr>
              <w:pStyle w:val="TableText0"/>
              <w:jc w:val="center"/>
            </w:pPr>
            <w:r>
              <w:t>2</w:t>
            </w:r>
            <w:r w:rsidR="00BB59F8">
              <w:t xml:space="preserve"> (5.4%)</w:t>
            </w:r>
          </w:p>
        </w:tc>
        <w:tc>
          <w:tcPr>
            <w:tcW w:w="1644" w:type="pct"/>
            <w:vAlign w:val="center"/>
          </w:tcPr>
          <w:p w14:paraId="60693959" w14:textId="268B17B2" w:rsidR="00DC6B00" w:rsidRDefault="00017872" w:rsidP="00804587">
            <w:pPr>
              <w:pStyle w:val="TableText0"/>
              <w:jc w:val="center"/>
            </w:pPr>
            <w:r>
              <w:t>0</w:t>
            </w:r>
          </w:p>
        </w:tc>
      </w:tr>
      <w:tr w:rsidR="00DC6B00" w:rsidRPr="0098262F" w14:paraId="1ABAAA2F" w14:textId="77777777" w:rsidTr="00AC02D0">
        <w:trPr>
          <w:cantSplit/>
        </w:trPr>
        <w:tc>
          <w:tcPr>
            <w:tcW w:w="1714" w:type="pct"/>
            <w:vAlign w:val="center"/>
          </w:tcPr>
          <w:p w14:paraId="3428717D" w14:textId="6BFF4FEA" w:rsidR="00DC6B00" w:rsidRDefault="00DC6B00" w:rsidP="00804587">
            <w:pPr>
              <w:pStyle w:val="TableText0"/>
            </w:pPr>
            <w:r>
              <w:t>Weight gai</w:t>
            </w:r>
            <w:r w:rsidR="00017872">
              <w:t>n, n (%)</w:t>
            </w:r>
          </w:p>
        </w:tc>
        <w:tc>
          <w:tcPr>
            <w:tcW w:w="1642" w:type="pct"/>
            <w:vAlign w:val="center"/>
          </w:tcPr>
          <w:p w14:paraId="0E969690" w14:textId="1F2C070D" w:rsidR="00DC6B00" w:rsidRPr="00BB59F8" w:rsidRDefault="00BB59F8" w:rsidP="00804587">
            <w:pPr>
              <w:pStyle w:val="TableText0"/>
              <w:jc w:val="center"/>
            </w:pPr>
            <w:r>
              <w:t>2 (5.4%)</w:t>
            </w:r>
          </w:p>
        </w:tc>
        <w:tc>
          <w:tcPr>
            <w:tcW w:w="1644" w:type="pct"/>
            <w:vAlign w:val="center"/>
          </w:tcPr>
          <w:p w14:paraId="421AD719" w14:textId="02887A5D" w:rsidR="00DC6B00" w:rsidRPr="00BB59F8" w:rsidRDefault="00BB59F8" w:rsidP="00804587">
            <w:pPr>
              <w:pStyle w:val="TableText0"/>
              <w:jc w:val="center"/>
            </w:pPr>
            <w:r>
              <w:t>0</w:t>
            </w:r>
          </w:p>
        </w:tc>
      </w:tr>
      <w:tr w:rsidR="00F6391B" w:rsidRPr="0098262F" w14:paraId="4F2E11CF" w14:textId="77777777" w:rsidTr="00AC02D0">
        <w:trPr>
          <w:cantSplit/>
        </w:trPr>
        <w:tc>
          <w:tcPr>
            <w:tcW w:w="1714" w:type="pct"/>
            <w:vAlign w:val="center"/>
          </w:tcPr>
          <w:p w14:paraId="241F72CF" w14:textId="77777777" w:rsidR="00F6391B" w:rsidRDefault="00F6391B" w:rsidP="00804587">
            <w:pPr>
              <w:pStyle w:val="TableText0"/>
            </w:pPr>
          </w:p>
        </w:tc>
        <w:tc>
          <w:tcPr>
            <w:tcW w:w="1642" w:type="pct"/>
            <w:vAlign w:val="center"/>
          </w:tcPr>
          <w:p w14:paraId="658428E4" w14:textId="42729696" w:rsidR="00F6391B" w:rsidRPr="00F6391B" w:rsidRDefault="00F6391B" w:rsidP="00804587">
            <w:pPr>
              <w:pStyle w:val="TableText0"/>
              <w:jc w:val="center"/>
              <w:rPr>
                <w:b/>
                <w:bCs w:val="0"/>
              </w:rPr>
            </w:pPr>
            <w:r w:rsidRPr="00F6391B">
              <w:rPr>
                <w:b/>
                <w:bCs w:val="0"/>
              </w:rPr>
              <w:t>DMPA</w:t>
            </w:r>
          </w:p>
        </w:tc>
        <w:tc>
          <w:tcPr>
            <w:tcW w:w="1644" w:type="pct"/>
            <w:vAlign w:val="center"/>
          </w:tcPr>
          <w:p w14:paraId="1A21ADCA" w14:textId="22F49A48" w:rsidR="00F6391B" w:rsidRPr="00F6391B" w:rsidRDefault="00F6391B" w:rsidP="00804587">
            <w:pPr>
              <w:pStyle w:val="TableText0"/>
              <w:jc w:val="center"/>
              <w:rPr>
                <w:b/>
                <w:bCs w:val="0"/>
              </w:rPr>
            </w:pPr>
            <w:r w:rsidRPr="00F6391B">
              <w:rPr>
                <w:b/>
                <w:bCs w:val="0"/>
              </w:rPr>
              <w:t>NET-EN</w:t>
            </w:r>
          </w:p>
        </w:tc>
      </w:tr>
      <w:tr w:rsidR="00F6391B" w:rsidRPr="0098262F" w14:paraId="409BB3CA" w14:textId="77777777" w:rsidTr="00AC02D0">
        <w:trPr>
          <w:cantSplit/>
        </w:trPr>
        <w:tc>
          <w:tcPr>
            <w:tcW w:w="5000" w:type="pct"/>
            <w:gridSpan w:val="3"/>
            <w:vAlign w:val="center"/>
          </w:tcPr>
          <w:p w14:paraId="3A5A9891" w14:textId="79A2FDC0" w:rsidR="00F6391B" w:rsidRDefault="1FD45D73" w:rsidP="00804587">
            <w:pPr>
              <w:pStyle w:val="TableText0"/>
            </w:pPr>
            <w:proofErr w:type="spellStart"/>
            <w:r w:rsidRPr="0B5D70EC">
              <w:rPr>
                <w:b/>
              </w:rPr>
              <w:t>Benagiano</w:t>
            </w:r>
            <w:proofErr w:type="spellEnd"/>
            <w:r w:rsidRPr="0B5D70EC">
              <w:rPr>
                <w:b/>
              </w:rPr>
              <w:t xml:space="preserve"> </w:t>
            </w:r>
            <w:r w:rsidR="00443431">
              <w:rPr>
                <w:b/>
              </w:rPr>
              <w:t>(</w:t>
            </w:r>
            <w:r w:rsidRPr="0B5D70EC">
              <w:rPr>
                <w:b/>
              </w:rPr>
              <w:t>1978</w:t>
            </w:r>
            <w:r w:rsidR="00443431">
              <w:rPr>
                <w:b/>
              </w:rPr>
              <w:t>)</w:t>
            </w:r>
          </w:p>
        </w:tc>
      </w:tr>
      <w:tr w:rsidR="00F6391B" w:rsidRPr="0098262F" w14:paraId="5292741C" w14:textId="77777777" w:rsidTr="00AC02D0">
        <w:trPr>
          <w:cantSplit/>
        </w:trPr>
        <w:tc>
          <w:tcPr>
            <w:tcW w:w="1714" w:type="pct"/>
            <w:vAlign w:val="center"/>
          </w:tcPr>
          <w:p w14:paraId="374A990B" w14:textId="77777777" w:rsidR="00F6391B" w:rsidRDefault="00F6391B" w:rsidP="00804587">
            <w:pPr>
              <w:pStyle w:val="TableText0"/>
            </w:pPr>
          </w:p>
        </w:tc>
        <w:tc>
          <w:tcPr>
            <w:tcW w:w="1642" w:type="pct"/>
            <w:vAlign w:val="center"/>
          </w:tcPr>
          <w:p w14:paraId="43DDFD4F" w14:textId="6A00E460" w:rsidR="00F6391B" w:rsidRDefault="00F6391B" w:rsidP="00804587">
            <w:pPr>
              <w:pStyle w:val="TableText0"/>
              <w:jc w:val="center"/>
            </w:pPr>
            <w:r>
              <w:t>N = 846</w:t>
            </w:r>
          </w:p>
        </w:tc>
        <w:tc>
          <w:tcPr>
            <w:tcW w:w="1644" w:type="pct"/>
            <w:vAlign w:val="center"/>
          </w:tcPr>
          <w:p w14:paraId="364B9006" w14:textId="32282AF4" w:rsidR="00F6391B" w:rsidRDefault="00F6391B" w:rsidP="00804587">
            <w:pPr>
              <w:pStyle w:val="TableText0"/>
              <w:jc w:val="center"/>
            </w:pPr>
            <w:r>
              <w:t>N = 832</w:t>
            </w:r>
          </w:p>
        </w:tc>
      </w:tr>
      <w:tr w:rsidR="00F6391B" w:rsidRPr="0098262F" w14:paraId="464EC4ED" w14:textId="77777777" w:rsidTr="00AC02D0">
        <w:trPr>
          <w:cantSplit/>
        </w:trPr>
        <w:tc>
          <w:tcPr>
            <w:tcW w:w="1714" w:type="pct"/>
            <w:vAlign w:val="center"/>
          </w:tcPr>
          <w:p w14:paraId="06A8EA3B" w14:textId="215D6F23" w:rsidR="00F6391B" w:rsidRDefault="00F6391B" w:rsidP="00804587">
            <w:pPr>
              <w:pStyle w:val="TableText0"/>
            </w:pPr>
            <w:r>
              <w:t>"Registered some complaint"</w:t>
            </w:r>
          </w:p>
        </w:tc>
        <w:tc>
          <w:tcPr>
            <w:tcW w:w="1642" w:type="pct"/>
            <w:vAlign w:val="center"/>
          </w:tcPr>
          <w:p w14:paraId="192E8160" w14:textId="1D1B986B" w:rsidR="00F6391B" w:rsidRDefault="00F6391B" w:rsidP="00804587">
            <w:pPr>
              <w:pStyle w:val="TableText0"/>
              <w:jc w:val="center"/>
            </w:pPr>
            <w:r>
              <w:t>60%</w:t>
            </w:r>
          </w:p>
        </w:tc>
        <w:tc>
          <w:tcPr>
            <w:tcW w:w="1644" w:type="pct"/>
            <w:vAlign w:val="center"/>
          </w:tcPr>
          <w:p w14:paraId="2825EC3C" w14:textId="7395B17F" w:rsidR="00F6391B" w:rsidRDefault="00F6391B" w:rsidP="00804587">
            <w:pPr>
              <w:pStyle w:val="TableText0"/>
              <w:jc w:val="center"/>
            </w:pPr>
            <w:r>
              <w:t>46%</w:t>
            </w:r>
          </w:p>
        </w:tc>
      </w:tr>
      <w:tr w:rsidR="00F6391B" w:rsidRPr="0098262F" w14:paraId="592C2037" w14:textId="77777777" w:rsidTr="00AC02D0">
        <w:trPr>
          <w:cantSplit/>
        </w:trPr>
        <w:tc>
          <w:tcPr>
            <w:tcW w:w="1714" w:type="pct"/>
            <w:vAlign w:val="center"/>
          </w:tcPr>
          <w:p w14:paraId="1754BE19" w14:textId="74FFB536" w:rsidR="00F6391B" w:rsidRDefault="00F6391B" w:rsidP="00804587">
            <w:pPr>
              <w:pStyle w:val="TableText0"/>
            </w:pPr>
            <w:r>
              <w:t>Menstrual abnormalities</w:t>
            </w:r>
          </w:p>
        </w:tc>
        <w:tc>
          <w:tcPr>
            <w:tcW w:w="1642" w:type="pct"/>
            <w:vAlign w:val="center"/>
          </w:tcPr>
          <w:p w14:paraId="290D793C" w14:textId="2138BCBA" w:rsidR="00F6391B" w:rsidRDefault="00F6391B" w:rsidP="00804587">
            <w:pPr>
              <w:pStyle w:val="TableText0"/>
              <w:jc w:val="center"/>
            </w:pPr>
            <w:r>
              <w:t>24.9%</w:t>
            </w:r>
          </w:p>
        </w:tc>
        <w:tc>
          <w:tcPr>
            <w:tcW w:w="1644" w:type="pct"/>
            <w:vAlign w:val="center"/>
          </w:tcPr>
          <w:p w14:paraId="04F0B676" w14:textId="3BC0167B" w:rsidR="00F6391B" w:rsidRDefault="00F6391B" w:rsidP="00804587">
            <w:pPr>
              <w:pStyle w:val="TableText0"/>
              <w:jc w:val="center"/>
            </w:pPr>
            <w:r>
              <w:t>19%</w:t>
            </w:r>
          </w:p>
        </w:tc>
      </w:tr>
      <w:tr w:rsidR="00F6391B" w:rsidRPr="0098262F" w14:paraId="63D449FF" w14:textId="77777777" w:rsidTr="00AC02D0">
        <w:trPr>
          <w:cantSplit/>
        </w:trPr>
        <w:tc>
          <w:tcPr>
            <w:tcW w:w="1714" w:type="pct"/>
            <w:vAlign w:val="center"/>
          </w:tcPr>
          <w:p w14:paraId="3337528A" w14:textId="52C504FA" w:rsidR="00F6391B" w:rsidRDefault="00F6391B" w:rsidP="00804587">
            <w:pPr>
              <w:pStyle w:val="TableText0"/>
            </w:pPr>
            <w:r>
              <w:t>Headache</w:t>
            </w:r>
          </w:p>
        </w:tc>
        <w:tc>
          <w:tcPr>
            <w:tcW w:w="1642" w:type="pct"/>
            <w:vAlign w:val="center"/>
          </w:tcPr>
          <w:p w14:paraId="6C664AC7" w14:textId="0B13CFAC" w:rsidR="00F6391B" w:rsidRDefault="00F6391B" w:rsidP="00804587">
            <w:pPr>
              <w:pStyle w:val="TableText0"/>
              <w:jc w:val="center"/>
            </w:pPr>
            <w:r>
              <w:t>10.7%</w:t>
            </w:r>
          </w:p>
        </w:tc>
        <w:tc>
          <w:tcPr>
            <w:tcW w:w="1644" w:type="pct"/>
            <w:vAlign w:val="center"/>
          </w:tcPr>
          <w:p w14:paraId="2B4F9B8C" w14:textId="03C975CB" w:rsidR="00F6391B" w:rsidRDefault="00F6391B" w:rsidP="00804587">
            <w:pPr>
              <w:pStyle w:val="TableText0"/>
              <w:jc w:val="center"/>
            </w:pPr>
            <w:r>
              <w:t>6.9%</w:t>
            </w:r>
          </w:p>
        </w:tc>
      </w:tr>
      <w:tr w:rsidR="00F6391B" w:rsidRPr="0098262F" w14:paraId="0DEDBE0F" w14:textId="77777777" w:rsidTr="00AC02D0">
        <w:trPr>
          <w:cantSplit/>
        </w:trPr>
        <w:tc>
          <w:tcPr>
            <w:tcW w:w="1714" w:type="pct"/>
            <w:vAlign w:val="center"/>
          </w:tcPr>
          <w:p w14:paraId="67F123EB" w14:textId="6149A870" w:rsidR="00F6391B" w:rsidRDefault="00F6391B" w:rsidP="00804587">
            <w:pPr>
              <w:pStyle w:val="TableText0"/>
            </w:pPr>
            <w:r>
              <w:t xml:space="preserve">Abdominal </w:t>
            </w:r>
            <w:r w:rsidR="00081593">
              <w:t>d</w:t>
            </w:r>
            <w:r>
              <w:t>iscomfort</w:t>
            </w:r>
          </w:p>
        </w:tc>
        <w:tc>
          <w:tcPr>
            <w:tcW w:w="1642" w:type="pct"/>
            <w:vAlign w:val="center"/>
          </w:tcPr>
          <w:p w14:paraId="28FBE356" w14:textId="59849B16" w:rsidR="00F6391B" w:rsidRDefault="00F6391B" w:rsidP="00804587">
            <w:pPr>
              <w:pStyle w:val="TableText0"/>
              <w:jc w:val="center"/>
            </w:pPr>
            <w:r>
              <w:t>5.2%</w:t>
            </w:r>
          </w:p>
        </w:tc>
        <w:tc>
          <w:tcPr>
            <w:tcW w:w="1644" w:type="pct"/>
            <w:vAlign w:val="center"/>
          </w:tcPr>
          <w:p w14:paraId="624D2279" w14:textId="1CCEAE32" w:rsidR="00F6391B" w:rsidRDefault="00F6391B" w:rsidP="00804587">
            <w:pPr>
              <w:pStyle w:val="TableText0"/>
              <w:jc w:val="center"/>
            </w:pPr>
            <w:r>
              <w:t>3.1%</w:t>
            </w:r>
          </w:p>
        </w:tc>
      </w:tr>
      <w:tr w:rsidR="00081593" w:rsidRPr="0098262F" w14:paraId="6AE119D6" w14:textId="77777777" w:rsidTr="00AC02D0">
        <w:trPr>
          <w:cantSplit/>
        </w:trPr>
        <w:tc>
          <w:tcPr>
            <w:tcW w:w="1714" w:type="pct"/>
            <w:vAlign w:val="center"/>
          </w:tcPr>
          <w:p w14:paraId="1A4F6AC7" w14:textId="61CFB5D7" w:rsidR="00081593" w:rsidRDefault="00081593" w:rsidP="00804587">
            <w:pPr>
              <w:pStyle w:val="TableText0"/>
            </w:pPr>
            <w:r>
              <w:t>Anxiety/nervousness</w:t>
            </w:r>
          </w:p>
        </w:tc>
        <w:tc>
          <w:tcPr>
            <w:tcW w:w="1642" w:type="pct"/>
            <w:vAlign w:val="center"/>
          </w:tcPr>
          <w:p w14:paraId="73C013E7" w14:textId="72605193" w:rsidR="00081593" w:rsidRDefault="000112F8" w:rsidP="00804587">
            <w:pPr>
              <w:pStyle w:val="TableText0"/>
              <w:jc w:val="center"/>
            </w:pPr>
            <w:r>
              <w:t>3.9%</w:t>
            </w:r>
          </w:p>
        </w:tc>
        <w:tc>
          <w:tcPr>
            <w:tcW w:w="1644" w:type="pct"/>
            <w:vAlign w:val="center"/>
          </w:tcPr>
          <w:p w14:paraId="2AC88D4A" w14:textId="6A3348CC" w:rsidR="00081593" w:rsidRDefault="000112F8" w:rsidP="00804587">
            <w:pPr>
              <w:pStyle w:val="TableText0"/>
              <w:jc w:val="center"/>
            </w:pPr>
            <w:r>
              <w:t>2.9%</w:t>
            </w:r>
          </w:p>
        </w:tc>
      </w:tr>
    </w:tbl>
    <w:p w14:paraId="77412402" w14:textId="3A467A1A" w:rsidR="005D26B4" w:rsidRDefault="005D26B4" w:rsidP="00804587">
      <w:pPr>
        <w:pStyle w:val="FooterTableFigure"/>
        <w:keepNext/>
        <w:keepLines/>
      </w:pPr>
      <w:r w:rsidRPr="0098262F">
        <w:t xml:space="preserve">Source: </w:t>
      </w:r>
      <w:r w:rsidR="00F6391B">
        <w:t xml:space="preserve">Constructed during the evaluation from published reports. </w:t>
      </w:r>
    </w:p>
    <w:p w14:paraId="72ABADEB" w14:textId="47280F94" w:rsidR="0087375B" w:rsidRPr="0098262F" w:rsidRDefault="0087375B" w:rsidP="00804587">
      <w:pPr>
        <w:pStyle w:val="FooterTableFigure"/>
        <w:keepNext/>
        <w:keepLines/>
        <w:rPr>
          <w:sz w:val="20"/>
        </w:rPr>
      </w:pPr>
      <w:r>
        <w:t>*</w:t>
      </w:r>
      <w:r w:rsidRPr="0087375B">
        <w:t xml:space="preserve"> For NuvaRing,</w:t>
      </w:r>
      <w:r>
        <w:t xml:space="preserve"> the</w:t>
      </w:r>
      <w:r w:rsidRPr="0087375B">
        <w:t xml:space="preserve"> most frequent AEs leading to discontinuation were ring-related problems, </w:t>
      </w:r>
      <w:proofErr w:type="spellStart"/>
      <w:r w:rsidRPr="0087375B">
        <w:t>leukorrhoea</w:t>
      </w:r>
      <w:proofErr w:type="spellEnd"/>
      <w:r w:rsidRPr="0087375B">
        <w:t>, headache, depression, vaginal discomfort</w:t>
      </w:r>
      <w:r w:rsidR="008B6EA5">
        <w:t xml:space="preserve"> and</w:t>
      </w:r>
      <w:r w:rsidRPr="0087375B">
        <w:t xml:space="preserve"> nausea. For COC, </w:t>
      </w:r>
      <w:r w:rsidR="008B6EA5">
        <w:t xml:space="preserve">the most frequent AEs leading to discontinuation were </w:t>
      </w:r>
      <w:r w:rsidRPr="0087375B">
        <w:t xml:space="preserve">headache, </w:t>
      </w:r>
      <w:r w:rsidR="002974CA">
        <w:t>increased weight</w:t>
      </w:r>
      <w:r w:rsidRPr="0087375B">
        <w:t>, decreased libido, hypertension, nausea, acne</w:t>
      </w:r>
      <w:r w:rsidR="005F3E4E">
        <w:t xml:space="preserve"> and </w:t>
      </w:r>
      <w:r w:rsidRPr="0087375B">
        <w:t>depression</w:t>
      </w:r>
      <w:r w:rsidR="005F3E4E">
        <w:t>.</w:t>
      </w:r>
    </w:p>
    <w:p w14:paraId="0184569E" w14:textId="0D066A35" w:rsidR="001D30AE" w:rsidRDefault="00F6391B" w:rsidP="00D86231">
      <w:pPr>
        <w:pStyle w:val="FooterTableFigure"/>
        <w:rPr>
          <w:rFonts w:eastAsia="Calibri"/>
        </w:rPr>
      </w:pPr>
      <w:r>
        <w:rPr>
          <w:rFonts w:eastAsia="Calibri"/>
        </w:rPr>
        <w:t xml:space="preserve">AE = adverse event; </w:t>
      </w:r>
      <w:r w:rsidR="003A6AB3">
        <w:rPr>
          <w:rFonts w:eastAsia="Calibri"/>
        </w:rPr>
        <w:t xml:space="preserve">COC = combined oral contraceptive; </w:t>
      </w:r>
      <w:r>
        <w:rPr>
          <w:rFonts w:eastAsia="Calibri"/>
        </w:rPr>
        <w:t>CVR = contraceptive vaginal ring; DMPA = depot medroxyprogesterone acetate; NET-EN = norethisterone enanthate</w:t>
      </w:r>
      <w:r w:rsidR="003A6AB3">
        <w:rPr>
          <w:rFonts w:eastAsia="Calibri"/>
        </w:rPr>
        <w:t>; SAE = serious adverse event</w:t>
      </w:r>
      <w:r>
        <w:rPr>
          <w:rFonts w:eastAsia="Calibri"/>
        </w:rPr>
        <w:t xml:space="preserve">. </w:t>
      </w:r>
    </w:p>
    <w:p w14:paraId="6A2ABEA5" w14:textId="6566E04C" w:rsidR="001D30AE" w:rsidRDefault="001D30AE" w:rsidP="001D30AE">
      <w:pPr>
        <w:pStyle w:val="5-SubsectionSubheading"/>
      </w:pPr>
      <w:bookmarkStart w:id="32" w:name="_Toc193454822"/>
      <w:r>
        <w:t>Extended assessment of harms</w:t>
      </w:r>
      <w:bookmarkEnd w:id="32"/>
    </w:p>
    <w:p w14:paraId="43D23632" w14:textId="5BBC3DCA" w:rsidR="001D30AE" w:rsidRDefault="001D30AE" w:rsidP="001D30AE">
      <w:pPr>
        <w:pStyle w:val="3-BodyText"/>
      </w:pPr>
      <w:r>
        <w:t xml:space="preserve">The submission noted that CVR has been </w:t>
      </w:r>
      <w:r w:rsidR="00B21630">
        <w:t>widely available</w:t>
      </w:r>
      <w:r>
        <w:t xml:space="preserve"> since 2001 and is approved in 71 countries, so safety data from this extensive clinical experience is available. This was provided in the Periodic Safety Update Report (PSUR) for NuvaRing, covering the period 2001 to 2024. </w:t>
      </w:r>
    </w:p>
    <w:p w14:paraId="456FCD08" w14:textId="4B318599" w:rsidR="001D30AE" w:rsidRPr="009773BF" w:rsidRDefault="001D30AE" w:rsidP="001D30AE">
      <w:pPr>
        <w:pStyle w:val="3-BodyText"/>
      </w:pPr>
      <w:r w:rsidRPr="009773BF">
        <w:t>The PSUR data</w:t>
      </w:r>
      <w:r w:rsidRPr="009773BF">
        <w:rPr>
          <w:rFonts w:eastAsia="Calibri"/>
          <w:lang w:val="en-GB"/>
        </w:rPr>
        <w:t xml:space="preserve"> </w:t>
      </w:r>
      <w:r w:rsidR="00E4041C" w:rsidRPr="009773BF">
        <w:rPr>
          <w:rFonts w:eastAsia="Calibri"/>
          <w:lang w:val="en-GB"/>
        </w:rPr>
        <w:t>was</w:t>
      </w:r>
      <w:r w:rsidRPr="009773BF">
        <w:rPr>
          <w:rFonts w:eastAsia="Calibri"/>
          <w:lang w:val="en-GB"/>
        </w:rPr>
        <w:t xml:space="preserve"> particularly relevant to the risk of VTE. Clinical trials of hormonal contraceptives routinely exclude for ethical reasons women at high risk of VTE, and trials with </w:t>
      </w:r>
      <w:r w:rsidR="00AF5C16" w:rsidRPr="009773BF">
        <w:rPr>
          <w:rFonts w:eastAsia="Calibri"/>
          <w:lang w:val="en-GB"/>
        </w:rPr>
        <w:t>one or two</w:t>
      </w:r>
      <w:r w:rsidRPr="009773BF">
        <w:rPr>
          <w:rFonts w:eastAsia="Calibri"/>
          <w:lang w:val="en-GB"/>
        </w:rPr>
        <w:t xml:space="preserve"> thousand participants would expect to see </w:t>
      </w:r>
      <w:r w:rsidR="00FE5503" w:rsidRPr="009773BF">
        <w:rPr>
          <w:rFonts w:eastAsia="Calibri"/>
          <w:lang w:val="en-GB"/>
        </w:rPr>
        <w:t>a minimal number of cases</w:t>
      </w:r>
      <w:r w:rsidRPr="009773BF">
        <w:rPr>
          <w:rFonts w:eastAsia="Calibri"/>
          <w:lang w:val="en-GB"/>
        </w:rPr>
        <w:t>. The trial data submitted d</w:t>
      </w:r>
      <w:r w:rsidR="00E4041C" w:rsidRPr="009773BF">
        <w:rPr>
          <w:rFonts w:eastAsia="Calibri"/>
          <w:lang w:val="en-GB"/>
        </w:rPr>
        <w:t>id</w:t>
      </w:r>
      <w:r w:rsidRPr="009773BF">
        <w:rPr>
          <w:rFonts w:eastAsia="Calibri"/>
          <w:lang w:val="en-GB"/>
        </w:rPr>
        <w:t xml:space="preserve"> not, therefore, address the question of</w:t>
      </w:r>
      <w:r w:rsidR="0048038A" w:rsidRPr="009773BF">
        <w:rPr>
          <w:rFonts w:eastAsia="Calibri"/>
          <w:lang w:val="en-GB"/>
        </w:rPr>
        <w:t xml:space="preserve"> the risk of</w:t>
      </w:r>
      <w:r w:rsidRPr="009773BF">
        <w:rPr>
          <w:rFonts w:eastAsia="Calibri"/>
          <w:lang w:val="en-GB"/>
        </w:rPr>
        <w:t xml:space="preserve"> VTE as an adverse event in CVR use. </w:t>
      </w:r>
    </w:p>
    <w:p w14:paraId="1FFAB3EA" w14:textId="18F4B479" w:rsidR="001D30AE" w:rsidRPr="00B21630" w:rsidRDefault="246D5425" w:rsidP="001D30AE">
      <w:pPr>
        <w:pStyle w:val="3-BodyText"/>
        <w:rPr>
          <w:i/>
          <w:iCs/>
        </w:rPr>
      </w:pPr>
      <w:r w:rsidRPr="0B5D70EC">
        <w:lastRenderedPageBreak/>
        <w:t>In the PSUR review of published data and case reports of VTE</w:t>
      </w:r>
      <w:r w:rsidR="00B21630">
        <w:t>,</w:t>
      </w:r>
      <w:r w:rsidRPr="0B5D70EC">
        <w:t xml:space="preserve"> three large studies were identified reporting rates of VTE with CVR vs COCs</w:t>
      </w:r>
      <w:r w:rsidR="00937BA9">
        <w:t>.</w:t>
      </w:r>
      <w:r w:rsidR="004222FB">
        <w:t xml:space="preserve"> </w:t>
      </w:r>
      <w:r w:rsidR="00B21630" w:rsidRPr="009773BF">
        <w:t>The results</w:t>
      </w:r>
      <w:r w:rsidR="001D30AE" w:rsidRPr="009773BF">
        <w:t xml:space="preserve"> </w:t>
      </w:r>
      <w:r w:rsidR="00B21630" w:rsidRPr="009773BF">
        <w:t>are</w:t>
      </w:r>
      <w:r w:rsidR="001D30AE" w:rsidRPr="009773BF">
        <w:t xml:space="preserve"> consistent with existing regulatory advice that etonogestrel is associated with</w:t>
      </w:r>
      <w:r w:rsidR="0013177F" w:rsidRPr="009773BF">
        <w:t xml:space="preserve"> a</w:t>
      </w:r>
      <w:r w:rsidR="001D30AE" w:rsidRPr="009773BF">
        <w:t xml:space="preserve"> greater risk of VTE than levonorgestrel.</w:t>
      </w:r>
      <w:r w:rsidR="00277F65">
        <w:rPr>
          <w:rStyle w:val="FootnoteReference"/>
        </w:rPr>
        <w:t>4</w:t>
      </w:r>
      <w:r w:rsidR="00277F65" w:rsidRPr="00B21630">
        <w:rPr>
          <w:i/>
          <w:iCs/>
        </w:rPr>
        <w:t xml:space="preserve"> </w:t>
      </w:r>
    </w:p>
    <w:p w14:paraId="2772206F" w14:textId="4DC522EC" w:rsidR="001D30AE" w:rsidRDefault="001D30AE" w:rsidP="001D30AE">
      <w:pPr>
        <w:pStyle w:val="3-BodyText"/>
      </w:pPr>
      <w:r>
        <w:t xml:space="preserve">Arterial thromboembolic events are much less common than VTE but carry a higher risk of mortality or serious morbidity. The PSUR reports that seven cases have been reported, which is too few to estimate relative risks. </w:t>
      </w:r>
    </w:p>
    <w:p w14:paraId="576C65AE" w14:textId="28272C0F" w:rsidR="001D30AE" w:rsidRPr="001D30AE" w:rsidRDefault="246D5425" w:rsidP="001D30AE">
      <w:pPr>
        <w:pStyle w:val="3-BodyText"/>
      </w:pPr>
      <w:r w:rsidRPr="0B5D70EC">
        <w:t>Toxic shock syndrome (TSS) is a rare (&lt;</w:t>
      </w:r>
      <w:r w:rsidR="002F3345">
        <w:t> </w:t>
      </w:r>
      <w:r w:rsidRPr="0B5D70EC">
        <w:t xml:space="preserve">1 case per 1,000,000 population per year) acute illness with fever, rash, hypotension and in some cases organ failure, caused by toxins produced by bacteria, </w:t>
      </w:r>
      <w:r w:rsidRPr="006B682B">
        <w:t xml:space="preserve">especially </w:t>
      </w:r>
      <w:r w:rsidRPr="005E44D0">
        <w:rPr>
          <w:i/>
          <w:iCs/>
        </w:rPr>
        <w:t>S</w:t>
      </w:r>
      <w:r w:rsidR="00120D84" w:rsidRPr="005E44D0">
        <w:rPr>
          <w:i/>
          <w:iCs/>
        </w:rPr>
        <w:t>taphylococcus</w:t>
      </w:r>
      <w:r w:rsidRPr="005E44D0">
        <w:rPr>
          <w:i/>
          <w:iCs/>
        </w:rPr>
        <w:t xml:space="preserve"> aureus</w:t>
      </w:r>
      <w:r w:rsidRPr="006B682B">
        <w:t>. Many cases are associated with the use of tampons during menstruation, but menstrual cups and barrier contraceptives have also been identified as risk factors</w:t>
      </w:r>
      <w:r w:rsidR="005B3312" w:rsidRPr="006B682B">
        <w:t>.</w:t>
      </w:r>
      <w:r w:rsidRPr="006B682B">
        <w:t xml:space="preserve"> </w:t>
      </w:r>
      <w:r w:rsidR="005B3312" w:rsidRPr="006B682B">
        <w:t>T</w:t>
      </w:r>
      <w:r w:rsidRPr="006B682B">
        <w:t xml:space="preserve">he possibility that the CVR could also be a risk factor for TSS has been raised. The PSUR reports that short-term studies of vaginal flora and studies of the growth of </w:t>
      </w:r>
      <w:r w:rsidRPr="00503D3F">
        <w:rPr>
          <w:i/>
          <w:iCs/>
        </w:rPr>
        <w:t>S</w:t>
      </w:r>
      <w:r w:rsidR="009C5A0D" w:rsidRPr="00503D3F">
        <w:rPr>
          <w:i/>
          <w:iCs/>
        </w:rPr>
        <w:t>.</w:t>
      </w:r>
      <w:r w:rsidRPr="00503D3F">
        <w:rPr>
          <w:i/>
          <w:iCs/>
        </w:rPr>
        <w:t xml:space="preserve"> aureus</w:t>
      </w:r>
      <w:r w:rsidRPr="006B682B">
        <w:t xml:space="preserve"> on CVR do not suggest that CVR creates conditions conducive to toxin production by </w:t>
      </w:r>
      <w:r w:rsidRPr="00DF45F4">
        <w:rPr>
          <w:i/>
          <w:iCs/>
        </w:rPr>
        <w:t>S</w:t>
      </w:r>
      <w:r w:rsidR="00C217C4" w:rsidRPr="00DF45F4">
        <w:rPr>
          <w:i/>
          <w:iCs/>
        </w:rPr>
        <w:t>.</w:t>
      </w:r>
      <w:r w:rsidRPr="00DF45F4">
        <w:rPr>
          <w:i/>
          <w:iCs/>
        </w:rPr>
        <w:t xml:space="preserve"> aureus</w:t>
      </w:r>
      <w:r w:rsidRPr="006B682B">
        <w:t>,</w:t>
      </w:r>
      <w:r w:rsidRPr="0B5D70EC">
        <w:t xml:space="preserve"> and that no signal of increased risk could be identified from case reports. </w:t>
      </w:r>
    </w:p>
    <w:p w14:paraId="33696279" w14:textId="08A72CF9" w:rsidR="008E6032" w:rsidRPr="0098262F" w:rsidRDefault="007F1017" w:rsidP="008E6032">
      <w:pPr>
        <w:pStyle w:val="4-SubsectionHeading"/>
      </w:pPr>
      <w:bookmarkStart w:id="33" w:name="_Toc22897643"/>
      <w:bookmarkStart w:id="34" w:name="_Toc193454823"/>
      <w:r w:rsidRPr="0098262F">
        <w:t>Benefits/harms</w:t>
      </w:r>
      <w:bookmarkEnd w:id="33"/>
      <w:bookmarkEnd w:id="34"/>
    </w:p>
    <w:p w14:paraId="02B9BDE3" w14:textId="11A78E2A" w:rsidR="007A1345" w:rsidRPr="0098262F" w:rsidRDefault="6C4511B4" w:rsidP="00D2155B">
      <w:pPr>
        <w:pStyle w:val="3-BodyText"/>
      </w:pPr>
      <w:r w:rsidRPr="0B5D70EC">
        <w:t xml:space="preserve">A benefits and harms table </w:t>
      </w:r>
      <w:proofErr w:type="gramStart"/>
      <w:r w:rsidRPr="0B5D70EC">
        <w:t>is</w:t>
      </w:r>
      <w:proofErr w:type="gramEnd"/>
      <w:r w:rsidRPr="0B5D70EC">
        <w:t xml:space="preserve"> not presented as the submission made a claim of non-inferiority.</w:t>
      </w:r>
      <w:r w:rsidR="48D9291D" w:rsidRPr="0B5D70EC">
        <w:t xml:space="preserve"> </w:t>
      </w:r>
    </w:p>
    <w:p w14:paraId="7A1772B6" w14:textId="11E0870E" w:rsidR="00B60939" w:rsidRPr="0098262F" w:rsidRDefault="00B60939" w:rsidP="008E6032">
      <w:pPr>
        <w:pStyle w:val="4-SubsectionHeading"/>
      </w:pPr>
      <w:bookmarkStart w:id="35" w:name="_Toc22897644"/>
      <w:bookmarkStart w:id="36" w:name="_Toc193454824"/>
      <w:r w:rsidRPr="0098262F">
        <w:t>Clinical claim</w:t>
      </w:r>
      <w:bookmarkEnd w:id="35"/>
      <w:bookmarkEnd w:id="36"/>
    </w:p>
    <w:p w14:paraId="54D3A82D" w14:textId="453D5BE8" w:rsidR="005F7588" w:rsidRPr="0098262F" w:rsidRDefault="6D9CF655" w:rsidP="0B5D70EC">
      <w:pPr>
        <w:pStyle w:val="3-BodyText"/>
        <w:rPr>
          <w:rFonts w:eastAsia="Calibri"/>
        </w:rPr>
      </w:pPr>
      <w:r w:rsidRPr="0B5D70EC">
        <w:rPr>
          <w:rFonts w:eastAsia="Calibri"/>
        </w:rPr>
        <w:t xml:space="preserve">The submission described </w:t>
      </w:r>
      <w:r w:rsidR="7BE841F2" w:rsidRPr="0B5D70EC">
        <w:rPr>
          <w:rFonts w:eastAsia="Calibri"/>
        </w:rPr>
        <w:t>CVR</w:t>
      </w:r>
      <w:r w:rsidRPr="0B5D70EC">
        <w:rPr>
          <w:rFonts w:eastAsia="Calibri"/>
        </w:rPr>
        <w:t xml:space="preserve"> as non-inferior</w:t>
      </w:r>
      <w:r w:rsidR="7BE841F2" w:rsidRPr="0B5D70EC">
        <w:rPr>
          <w:rFonts w:eastAsia="Calibri"/>
        </w:rPr>
        <w:t xml:space="preserve"> for the prevention of pregnancy </w:t>
      </w:r>
      <w:r w:rsidRPr="0B5D70EC">
        <w:rPr>
          <w:rFonts w:eastAsia="Calibri"/>
        </w:rPr>
        <w:t xml:space="preserve">compared to </w:t>
      </w:r>
      <w:r w:rsidR="7BE841F2" w:rsidRPr="0B5D70EC">
        <w:rPr>
          <w:rFonts w:eastAsia="Calibri"/>
        </w:rPr>
        <w:t>DMPA</w:t>
      </w:r>
      <w:r w:rsidRPr="009773BF">
        <w:rPr>
          <w:rFonts w:eastAsia="Calibri"/>
        </w:rPr>
        <w:t>. This claim was not adequately supported</w:t>
      </w:r>
      <w:r w:rsidR="7BE841F2" w:rsidRPr="009773BF">
        <w:rPr>
          <w:rFonts w:eastAsia="Calibri"/>
        </w:rPr>
        <w:t>; the evidence presented was of poor quality and unsuitable for the indirect treatment comparison on which the claim depended.</w:t>
      </w:r>
      <w:r w:rsidR="7BE841F2" w:rsidRPr="0B5D70EC">
        <w:rPr>
          <w:rFonts w:eastAsia="Calibri"/>
          <w:i/>
          <w:iCs/>
        </w:rPr>
        <w:t xml:space="preserve"> </w:t>
      </w:r>
    </w:p>
    <w:p w14:paraId="3D883A0D" w14:textId="01D2028F" w:rsidR="00444D53" w:rsidRPr="00444D53" w:rsidRDefault="6D9CF655" w:rsidP="0B5D70EC">
      <w:pPr>
        <w:pStyle w:val="3-BodyText"/>
        <w:rPr>
          <w:rFonts w:eastAsia="Calibri"/>
        </w:rPr>
      </w:pPr>
      <w:r w:rsidRPr="0B5D70EC">
        <w:rPr>
          <w:rFonts w:eastAsia="Calibri"/>
        </w:rPr>
        <w:t>The submission described</w:t>
      </w:r>
      <w:r w:rsidR="7BE841F2" w:rsidRPr="0B5D70EC">
        <w:rPr>
          <w:rFonts w:eastAsia="Calibri"/>
        </w:rPr>
        <w:t xml:space="preserve"> CVR</w:t>
      </w:r>
      <w:r w:rsidRPr="0B5D70EC">
        <w:rPr>
          <w:rFonts w:eastAsia="Calibri"/>
        </w:rPr>
        <w:t xml:space="preserve"> as non-inferior in term</w:t>
      </w:r>
      <w:r w:rsidR="534C4728" w:rsidRPr="0B5D70EC">
        <w:rPr>
          <w:rFonts w:eastAsia="Calibri"/>
        </w:rPr>
        <w:t>s</w:t>
      </w:r>
      <w:r w:rsidRPr="0B5D70EC">
        <w:rPr>
          <w:rFonts w:eastAsia="Calibri"/>
        </w:rPr>
        <w:t xml:space="preserve"> of safety compared to </w:t>
      </w:r>
      <w:r w:rsidR="7BE841F2" w:rsidRPr="0B5D70EC">
        <w:rPr>
          <w:rFonts w:eastAsia="Calibri"/>
        </w:rPr>
        <w:t xml:space="preserve">DMPA. </w:t>
      </w:r>
      <w:r w:rsidRPr="009773BF">
        <w:rPr>
          <w:rFonts w:eastAsia="Calibri"/>
        </w:rPr>
        <w:t>This claim was</w:t>
      </w:r>
      <w:r w:rsidR="7BE841F2" w:rsidRPr="009773BF">
        <w:rPr>
          <w:rFonts w:eastAsia="Calibri"/>
        </w:rPr>
        <w:t xml:space="preserve"> </w:t>
      </w:r>
      <w:r w:rsidR="25A0E4B1" w:rsidRPr="009773BF">
        <w:rPr>
          <w:rFonts w:eastAsia="Calibri"/>
        </w:rPr>
        <w:t xml:space="preserve">not </w:t>
      </w:r>
      <w:r w:rsidRPr="009773BF">
        <w:rPr>
          <w:rFonts w:eastAsia="Calibri"/>
        </w:rPr>
        <w:t>adequately support</w:t>
      </w:r>
      <w:r w:rsidR="7BE841F2" w:rsidRPr="009773BF">
        <w:rPr>
          <w:rFonts w:eastAsia="Calibri"/>
        </w:rPr>
        <w:t xml:space="preserve">ed, because the submitted data </w:t>
      </w:r>
      <w:bookmarkStart w:id="37" w:name="_Toc22897645"/>
      <w:r w:rsidR="7BE841F2" w:rsidRPr="009773BF">
        <w:rPr>
          <w:rFonts w:eastAsia="Calibri"/>
        </w:rPr>
        <w:t>was of poor quality and unsuitable for the indirect treatment comparison on which the claim depended.</w:t>
      </w:r>
      <w:r w:rsidR="7BE841F2" w:rsidRPr="0B5D70EC">
        <w:rPr>
          <w:rFonts w:eastAsia="Calibri"/>
          <w:i/>
          <w:iCs/>
        </w:rPr>
        <w:t xml:space="preserve"> </w:t>
      </w:r>
    </w:p>
    <w:p w14:paraId="274EF5A2" w14:textId="70B8E9E2" w:rsidR="00444D53" w:rsidRDefault="7BE841F2" w:rsidP="0B5D70EC">
      <w:pPr>
        <w:pStyle w:val="3-BodyText"/>
        <w:rPr>
          <w:rFonts w:eastAsia="Calibri"/>
        </w:rPr>
      </w:pPr>
      <w:proofErr w:type="gramStart"/>
      <w:r w:rsidRPr="009773BF">
        <w:rPr>
          <w:rFonts w:eastAsia="Calibri"/>
        </w:rPr>
        <w:t>Taking into account</w:t>
      </w:r>
      <w:proofErr w:type="gramEnd"/>
      <w:r w:rsidRPr="009773BF">
        <w:rPr>
          <w:rFonts w:eastAsia="Calibri"/>
        </w:rPr>
        <w:t xml:space="preserve"> the totality of the available data, including </w:t>
      </w:r>
      <w:r w:rsidR="246D5425" w:rsidRPr="009773BF">
        <w:rPr>
          <w:rFonts w:eastAsia="Calibri"/>
        </w:rPr>
        <w:t>observational data from</w:t>
      </w:r>
      <w:r w:rsidRPr="009773BF">
        <w:rPr>
          <w:rFonts w:eastAsia="Calibri"/>
        </w:rPr>
        <w:t xml:space="preserve"> clinical use, </w:t>
      </w:r>
      <w:r w:rsidR="246D5425" w:rsidRPr="009773BF">
        <w:rPr>
          <w:rFonts w:eastAsia="Calibri"/>
        </w:rPr>
        <w:t xml:space="preserve">it is reasonable to conclude that </w:t>
      </w:r>
      <w:r w:rsidRPr="009773BF">
        <w:rPr>
          <w:rFonts w:eastAsia="Calibri"/>
        </w:rPr>
        <w:t>CVR is probably of similar efficacy and safety to DMPA.</w:t>
      </w:r>
      <w:r w:rsidR="1FBFB50E" w:rsidRPr="009773BF">
        <w:rPr>
          <w:rFonts w:eastAsia="Calibri"/>
        </w:rPr>
        <w:t xml:space="preserve"> However, t</w:t>
      </w:r>
      <w:r w:rsidRPr="009773BF">
        <w:rPr>
          <w:rFonts w:eastAsia="Calibri"/>
        </w:rPr>
        <w:t xml:space="preserve">he clinical claim is of limited relevance, because DMPA was not the most appropriate comparator. Alternative comparators identified were COCs, to which, considering the totality of evidence, CVR is probably of similar efficacy and safety, and long-acting reversible contraceptives, to which CVR is very likely of inferior efficacy.  </w:t>
      </w:r>
    </w:p>
    <w:p w14:paraId="2A358074" w14:textId="6C089C29" w:rsidR="00FA4A83" w:rsidRPr="005874DB" w:rsidRDefault="003955A4" w:rsidP="005874DB">
      <w:pPr>
        <w:pStyle w:val="3-BodyText"/>
        <w:rPr>
          <w:snapToGrid w:val="0"/>
        </w:rPr>
      </w:pPr>
      <w:bookmarkStart w:id="38" w:name="_Hlk76376200"/>
      <w:r>
        <w:rPr>
          <w:iCs/>
          <w:snapToGrid w:val="0"/>
        </w:rPr>
        <w:t>Overall, the</w:t>
      </w:r>
      <w:r w:rsidR="00FA4A83" w:rsidRPr="00CE42B4">
        <w:rPr>
          <w:snapToGrid w:val="0"/>
        </w:rPr>
        <w:t xml:space="preserve"> PBAC considered that the claim</w:t>
      </w:r>
      <w:r>
        <w:rPr>
          <w:snapToGrid w:val="0"/>
        </w:rPr>
        <w:t>s</w:t>
      </w:r>
      <w:r w:rsidR="00FA4A83" w:rsidRPr="00CE42B4">
        <w:rPr>
          <w:snapToGrid w:val="0"/>
        </w:rPr>
        <w:t xml:space="preserve"> of non-inferior comparative effectiveness</w:t>
      </w:r>
      <w:r>
        <w:rPr>
          <w:snapToGrid w:val="0"/>
        </w:rPr>
        <w:t xml:space="preserve"> and non-inferior safety</w:t>
      </w:r>
      <w:r w:rsidR="00FA4A83" w:rsidRPr="00CE42B4">
        <w:rPr>
          <w:snapToGrid w:val="0"/>
        </w:rPr>
        <w:t xml:space="preserve"> w</w:t>
      </w:r>
      <w:r>
        <w:rPr>
          <w:snapToGrid w:val="0"/>
        </w:rPr>
        <w:t>ere</w:t>
      </w:r>
      <w:r w:rsidR="00FA4A83" w:rsidRPr="00CE42B4">
        <w:rPr>
          <w:snapToGrid w:val="0"/>
        </w:rPr>
        <w:t xml:space="preserve"> reasonable.</w:t>
      </w:r>
    </w:p>
    <w:p w14:paraId="74A1172E" w14:textId="2E27DF03" w:rsidR="00B60939" w:rsidRPr="0098262F" w:rsidRDefault="00B60939" w:rsidP="00473AA4">
      <w:pPr>
        <w:pStyle w:val="4-SubsectionHeading"/>
      </w:pPr>
      <w:bookmarkStart w:id="39" w:name="_Toc193454825"/>
      <w:bookmarkEnd w:id="38"/>
      <w:r w:rsidRPr="0098262F">
        <w:lastRenderedPageBreak/>
        <w:t>Economic analysis</w:t>
      </w:r>
      <w:bookmarkEnd w:id="37"/>
      <w:bookmarkEnd w:id="39"/>
      <w:r w:rsidR="00491B3A" w:rsidRPr="0098262F">
        <w:t xml:space="preserve"> </w:t>
      </w:r>
    </w:p>
    <w:p w14:paraId="4F761BEC" w14:textId="4C0D1244" w:rsidR="00814A2C" w:rsidRPr="0016609F" w:rsidRDefault="7F365ACE" w:rsidP="0B5D70EC">
      <w:pPr>
        <w:pStyle w:val="3-BodyText"/>
        <w:rPr>
          <w:b/>
          <w:bCs/>
          <w:color w:val="0066FF"/>
        </w:rPr>
      </w:pPr>
      <w:r w:rsidRPr="0B5D70EC">
        <w:t xml:space="preserve">The submission presented a cost minimisation approach to the economic analysis. </w:t>
      </w:r>
      <w:r w:rsidR="7AD4F78A" w:rsidRPr="0B5D70EC">
        <w:t>The key inputs into the cost minimisation approach are listed in</w:t>
      </w:r>
      <w:r w:rsidR="3C7CDD81" w:rsidRPr="0B5D70EC">
        <w:t xml:space="preserve"> </w:t>
      </w:r>
      <w:r w:rsidR="008E6032">
        <w:fldChar w:fldCharType="begin"/>
      </w:r>
      <w:r w:rsidR="008E6032">
        <w:instrText xml:space="preserve"> REF _Ref188958452 \h </w:instrText>
      </w:r>
      <w:r w:rsidR="008E6032">
        <w:fldChar w:fldCharType="separate"/>
      </w:r>
      <w:r w:rsidR="00896E34">
        <w:t xml:space="preserve">Table </w:t>
      </w:r>
      <w:r w:rsidR="00896E34">
        <w:rPr>
          <w:noProof/>
        </w:rPr>
        <w:t>8</w:t>
      </w:r>
      <w:r w:rsidR="008E6032">
        <w:fldChar w:fldCharType="end"/>
      </w:r>
      <w:r w:rsidR="7AD4F78A" w:rsidRPr="0B5D70EC">
        <w:t xml:space="preserve">. </w:t>
      </w:r>
    </w:p>
    <w:p w14:paraId="2FE7BF9C" w14:textId="32CD4D08" w:rsidR="00814A2C" w:rsidRPr="0098262F" w:rsidRDefault="00117B58" w:rsidP="00117B58">
      <w:pPr>
        <w:pStyle w:val="Caption"/>
        <w:rPr>
          <w:rStyle w:val="CommentReference"/>
          <w:b/>
          <w:szCs w:val="24"/>
        </w:rPr>
      </w:pPr>
      <w:bookmarkStart w:id="40" w:name="_Ref188958452"/>
      <w:r>
        <w:t xml:space="preserve">Table </w:t>
      </w:r>
      <w:r w:rsidR="005E2A18">
        <w:fldChar w:fldCharType="begin"/>
      </w:r>
      <w:r w:rsidR="005E2A18">
        <w:instrText xml:space="preserve"> SEQ Table \* ARABIC </w:instrText>
      </w:r>
      <w:r w:rsidR="005E2A18">
        <w:fldChar w:fldCharType="separate"/>
      </w:r>
      <w:r w:rsidR="00896E34">
        <w:rPr>
          <w:noProof/>
        </w:rPr>
        <w:t>8</w:t>
      </w:r>
      <w:r w:rsidR="005E2A18">
        <w:rPr>
          <w:noProof/>
        </w:rPr>
        <w:fldChar w:fldCharType="end"/>
      </w:r>
      <w:bookmarkEnd w:id="40"/>
      <w:r>
        <w:t xml:space="preserve">: </w:t>
      </w:r>
      <w:r w:rsidR="00814A2C" w:rsidRPr="0098262F">
        <w:rPr>
          <w:rStyle w:val="CommentReference"/>
          <w:b/>
          <w:szCs w:val="24"/>
        </w:rPr>
        <w:t>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814A2C" w:rsidRPr="0098262F" w14:paraId="61BFFDB9" w14:textId="77777777" w:rsidTr="0B5D70EC">
        <w:tc>
          <w:tcPr>
            <w:tcW w:w="2660" w:type="dxa"/>
            <w:vAlign w:val="center"/>
          </w:tcPr>
          <w:p w14:paraId="68AE93EB" w14:textId="77777777" w:rsidR="00814A2C" w:rsidRPr="0098262F" w:rsidRDefault="00814A2C" w:rsidP="00DF3662">
            <w:pPr>
              <w:pStyle w:val="In-tableHeading"/>
              <w:rPr>
                <w:lang w:val="en-AU"/>
              </w:rPr>
            </w:pPr>
            <w:r w:rsidRPr="0098262F">
              <w:rPr>
                <w:lang w:val="en-AU"/>
              </w:rPr>
              <w:t>Component</w:t>
            </w:r>
          </w:p>
        </w:tc>
        <w:tc>
          <w:tcPr>
            <w:tcW w:w="6520" w:type="dxa"/>
            <w:vAlign w:val="center"/>
          </w:tcPr>
          <w:p w14:paraId="0C6D8CD2" w14:textId="77777777" w:rsidR="00814A2C" w:rsidRPr="0098262F" w:rsidRDefault="00814A2C" w:rsidP="00DF3662">
            <w:pPr>
              <w:pStyle w:val="In-tableHeading"/>
              <w:rPr>
                <w:lang w:val="en-AU"/>
              </w:rPr>
            </w:pPr>
            <w:r w:rsidRPr="0098262F">
              <w:rPr>
                <w:lang w:val="en-AU"/>
              </w:rPr>
              <w:t>Claim or assumption</w:t>
            </w:r>
          </w:p>
        </w:tc>
      </w:tr>
      <w:tr w:rsidR="00814A2C" w:rsidRPr="0098262F" w14:paraId="21988742" w14:textId="77777777" w:rsidTr="0B5D70EC">
        <w:tc>
          <w:tcPr>
            <w:tcW w:w="2660" w:type="dxa"/>
            <w:vAlign w:val="center"/>
          </w:tcPr>
          <w:p w14:paraId="1D758D35" w14:textId="77777777" w:rsidR="00814A2C" w:rsidRPr="0098262F" w:rsidRDefault="00814A2C" w:rsidP="00DF3662">
            <w:pPr>
              <w:pStyle w:val="TableText0"/>
            </w:pPr>
            <w:r w:rsidRPr="0098262F">
              <w:t>Therapeutic claim: effectiveness</w:t>
            </w:r>
          </w:p>
        </w:tc>
        <w:tc>
          <w:tcPr>
            <w:tcW w:w="6520" w:type="dxa"/>
            <w:vAlign w:val="center"/>
          </w:tcPr>
          <w:p w14:paraId="41B6EC6A" w14:textId="3B7FDC78" w:rsidR="00814A2C" w:rsidRPr="0053245C" w:rsidRDefault="7AD4F78A" w:rsidP="00DF3662">
            <w:pPr>
              <w:pStyle w:val="TableText0"/>
            </w:pPr>
            <w:r w:rsidRPr="0053245C">
              <w:t xml:space="preserve">Based on evidence presented in </w:t>
            </w:r>
            <w:r w:rsidR="00B77DB1" w:rsidRPr="0053245C">
              <w:t>the submission</w:t>
            </w:r>
            <w:r w:rsidRPr="0053245C">
              <w:t xml:space="preserve">, the effectiveness of </w:t>
            </w:r>
            <w:r w:rsidR="7F3126FB" w:rsidRPr="0053245C">
              <w:t xml:space="preserve">the CVR </w:t>
            </w:r>
            <w:r w:rsidRPr="0053245C">
              <w:t>is demonstrated to be non-inferior to DMPA with respect to unintended pregnancies at 5.5 – 24 months.</w:t>
            </w:r>
          </w:p>
        </w:tc>
      </w:tr>
      <w:tr w:rsidR="00814A2C" w:rsidRPr="0098262F" w14:paraId="09DA75B1" w14:textId="77777777" w:rsidTr="0B5D70EC">
        <w:tc>
          <w:tcPr>
            <w:tcW w:w="2660" w:type="dxa"/>
            <w:vAlign w:val="center"/>
          </w:tcPr>
          <w:p w14:paraId="7389C644" w14:textId="77777777" w:rsidR="00814A2C" w:rsidRPr="0098262F" w:rsidRDefault="00814A2C" w:rsidP="00DF3662">
            <w:pPr>
              <w:pStyle w:val="TableText0"/>
            </w:pPr>
            <w:r w:rsidRPr="0098262F">
              <w:t>Therapeutic claim: safety</w:t>
            </w:r>
          </w:p>
        </w:tc>
        <w:tc>
          <w:tcPr>
            <w:tcW w:w="6520" w:type="dxa"/>
            <w:vAlign w:val="center"/>
          </w:tcPr>
          <w:p w14:paraId="07881000" w14:textId="30FDC839" w:rsidR="00814A2C" w:rsidRPr="00937BA9" w:rsidRDefault="7AD4F78A" w:rsidP="00DF3662">
            <w:pPr>
              <w:pStyle w:val="TableText0"/>
            </w:pPr>
            <w:r w:rsidRPr="00937BA9">
              <w:t xml:space="preserve">Based on evidence presented in </w:t>
            </w:r>
            <w:r w:rsidR="00FB302D" w:rsidRPr="00937BA9">
              <w:t>the submission</w:t>
            </w:r>
            <w:r w:rsidRPr="00937BA9">
              <w:t xml:space="preserve">, the safety profile of </w:t>
            </w:r>
            <w:r w:rsidR="7F3126FB" w:rsidRPr="00937BA9">
              <w:t xml:space="preserve">CVR </w:t>
            </w:r>
            <w:r w:rsidRPr="00937BA9">
              <w:t>is demonstrated to be non-inferior to DMPA with respect to overall adverse events at 7.4 – 12 months.</w:t>
            </w:r>
            <w:r w:rsidR="00F61C1D">
              <w:t>*</w:t>
            </w:r>
          </w:p>
        </w:tc>
      </w:tr>
      <w:tr w:rsidR="00814A2C" w:rsidRPr="0098262F" w14:paraId="74DD77AC" w14:textId="77777777" w:rsidTr="0B5D70EC">
        <w:tc>
          <w:tcPr>
            <w:tcW w:w="2660" w:type="dxa"/>
            <w:vAlign w:val="center"/>
          </w:tcPr>
          <w:p w14:paraId="1CE1C8CA" w14:textId="77777777" w:rsidR="00814A2C" w:rsidRPr="0098262F" w:rsidRDefault="00814A2C" w:rsidP="00DF3662">
            <w:pPr>
              <w:pStyle w:val="TableText0"/>
            </w:pPr>
            <w:r w:rsidRPr="0098262F">
              <w:t>Evidence base</w:t>
            </w:r>
          </w:p>
        </w:tc>
        <w:tc>
          <w:tcPr>
            <w:tcW w:w="6520" w:type="dxa"/>
            <w:vAlign w:val="center"/>
          </w:tcPr>
          <w:p w14:paraId="663CF9EF" w14:textId="77777777" w:rsidR="00814A2C" w:rsidRDefault="00814A2C" w:rsidP="00814A2C">
            <w:pPr>
              <w:pStyle w:val="TableText0"/>
            </w:pPr>
            <w:r>
              <w:t>Indirect comparison of:</w:t>
            </w:r>
          </w:p>
          <w:p w14:paraId="4C4D40DB" w14:textId="1B39F8BA" w:rsidR="00814A2C" w:rsidRDefault="00814A2C" w:rsidP="00814A2C">
            <w:pPr>
              <w:pStyle w:val="TableText0"/>
            </w:pPr>
            <w:r>
              <w:t>•</w:t>
            </w:r>
            <w:r>
              <w:tab/>
              <w:t>randomised LEV 150/EE 30 OC-controlled trials (trial outcomes at 5.5-12</w:t>
            </w:r>
            <w:r w:rsidR="00B3718E">
              <w:t> </w:t>
            </w:r>
            <w:r>
              <w:t xml:space="preserve">months with </w:t>
            </w:r>
            <w:r w:rsidR="00BB09CE">
              <w:t>CVR</w:t>
            </w:r>
            <w:r>
              <w:t xml:space="preserve"> and 12-24 months with DMPA)</w:t>
            </w:r>
          </w:p>
          <w:p w14:paraId="1CE0BDC9" w14:textId="523FE11A" w:rsidR="00814A2C" w:rsidRPr="0098262F" w:rsidRDefault="00814A2C" w:rsidP="00814A2C">
            <w:pPr>
              <w:pStyle w:val="TableText0"/>
            </w:pPr>
            <w:r>
              <w:t>•</w:t>
            </w:r>
            <w:r>
              <w:tab/>
              <w:t xml:space="preserve">randomised NET-EN-controlled trials (trial outcomes at 7.4 months with </w:t>
            </w:r>
            <w:r w:rsidR="00BB09CE">
              <w:t>CVR</w:t>
            </w:r>
            <w:r>
              <w:t xml:space="preserve"> and 6-12 months with DMPA)</w:t>
            </w:r>
            <w:r w:rsidR="00355338">
              <w:t>.</w:t>
            </w:r>
          </w:p>
        </w:tc>
      </w:tr>
      <w:tr w:rsidR="00814A2C" w:rsidRPr="0098262F" w14:paraId="3C77C2B0" w14:textId="77777777" w:rsidTr="0B5D70EC">
        <w:tc>
          <w:tcPr>
            <w:tcW w:w="2660" w:type="dxa"/>
            <w:vAlign w:val="center"/>
          </w:tcPr>
          <w:p w14:paraId="6F44EF67" w14:textId="77777777" w:rsidR="00814A2C" w:rsidRPr="0098262F" w:rsidRDefault="00814A2C" w:rsidP="00DF3662">
            <w:pPr>
              <w:pStyle w:val="TableText0"/>
            </w:pPr>
            <w:r w:rsidRPr="0098262F">
              <w:t>Equi-effective doses</w:t>
            </w:r>
          </w:p>
        </w:tc>
        <w:tc>
          <w:tcPr>
            <w:tcW w:w="6520" w:type="dxa"/>
            <w:vAlign w:val="center"/>
          </w:tcPr>
          <w:p w14:paraId="34AD5DFE" w14:textId="77777777" w:rsidR="00814A2C" w:rsidRDefault="7AD4F78A" w:rsidP="00814A2C">
            <w:pPr>
              <w:pStyle w:val="TableText0"/>
            </w:pPr>
            <w:proofErr w:type="gramStart"/>
            <w:r w:rsidRPr="0B5D70EC">
              <w:t>12 week</w:t>
            </w:r>
            <w:proofErr w:type="gramEnd"/>
            <w:r w:rsidRPr="0B5D70EC">
              <w:t xml:space="preserve"> period:</w:t>
            </w:r>
          </w:p>
          <w:p w14:paraId="42A12E3D" w14:textId="639DD3B8" w:rsidR="00814A2C" w:rsidRPr="0098262F" w:rsidRDefault="00814A2C" w:rsidP="00814A2C">
            <w:pPr>
              <w:pStyle w:val="TableText0"/>
            </w:pPr>
            <w:r>
              <w:t xml:space="preserve">    3 </w:t>
            </w:r>
            <w:r w:rsidR="00E4041C">
              <w:t xml:space="preserve">CVR </w:t>
            </w:r>
            <w:r>
              <w:t>= 1 DMPA 150</w:t>
            </w:r>
            <w:r w:rsidR="00091CF0">
              <w:t xml:space="preserve"> </w:t>
            </w:r>
            <w:r>
              <w:t>mg/mL IM injection</w:t>
            </w:r>
            <w:r w:rsidR="00EE5342">
              <w:t>.</w:t>
            </w:r>
          </w:p>
        </w:tc>
      </w:tr>
      <w:tr w:rsidR="00814A2C" w:rsidRPr="0098262F" w14:paraId="6B912757" w14:textId="77777777" w:rsidTr="0B5D70EC">
        <w:tc>
          <w:tcPr>
            <w:tcW w:w="2660" w:type="dxa"/>
            <w:vAlign w:val="center"/>
          </w:tcPr>
          <w:p w14:paraId="59749C53" w14:textId="77777777" w:rsidR="00814A2C" w:rsidRPr="0098262F" w:rsidRDefault="00814A2C" w:rsidP="00DF3662">
            <w:pPr>
              <w:pStyle w:val="TableText0"/>
            </w:pPr>
            <w:r w:rsidRPr="0098262F">
              <w:t>Direct medicine costs</w:t>
            </w:r>
          </w:p>
        </w:tc>
        <w:tc>
          <w:tcPr>
            <w:tcW w:w="6520" w:type="dxa"/>
            <w:vAlign w:val="center"/>
          </w:tcPr>
          <w:p w14:paraId="7EA3EDA9" w14:textId="77777777" w:rsidR="00814A2C" w:rsidRDefault="00814A2C" w:rsidP="00814A2C">
            <w:pPr>
              <w:pStyle w:val="TableText0"/>
            </w:pPr>
            <w:r>
              <w:t>Drug costs for 12 weeks (AEMP):</w:t>
            </w:r>
          </w:p>
          <w:p w14:paraId="71E16CF8" w14:textId="75472154" w:rsidR="00814A2C" w:rsidRDefault="00814A2C" w:rsidP="00814A2C">
            <w:pPr>
              <w:pStyle w:val="TableText0"/>
            </w:pPr>
            <w:r>
              <w:t xml:space="preserve">    </w:t>
            </w:r>
            <w:r w:rsidR="00E4041C">
              <w:t>CVR</w:t>
            </w:r>
            <w:r>
              <w:t>: 1 pack of 3 rings (AEMP = $67.98)</w:t>
            </w:r>
          </w:p>
          <w:p w14:paraId="701E5A9B" w14:textId="77777777" w:rsidR="00814A2C" w:rsidRDefault="00814A2C" w:rsidP="00814A2C">
            <w:pPr>
              <w:pStyle w:val="TableText0"/>
            </w:pPr>
            <w:r>
              <w:t xml:space="preserve">    DMPA: 1 injection (AEMP = $13.14)</w:t>
            </w:r>
          </w:p>
          <w:p w14:paraId="5786D788" w14:textId="77777777" w:rsidR="00814A2C" w:rsidRDefault="00814A2C" w:rsidP="00814A2C">
            <w:pPr>
              <w:pStyle w:val="TableText0"/>
            </w:pPr>
          </w:p>
          <w:p w14:paraId="4EF20932" w14:textId="77777777" w:rsidR="003E150E" w:rsidRDefault="003E150E" w:rsidP="00814A2C">
            <w:pPr>
              <w:pStyle w:val="TableText0"/>
            </w:pPr>
            <w:r>
              <w:t>Compliance:</w:t>
            </w:r>
          </w:p>
          <w:p w14:paraId="131D0538" w14:textId="485A656E" w:rsidR="00814A2C" w:rsidRDefault="00E4041C" w:rsidP="00814A2C">
            <w:pPr>
              <w:pStyle w:val="TableText0"/>
            </w:pPr>
            <w:r>
              <w:t xml:space="preserve">CVR </w:t>
            </w:r>
            <w:r w:rsidR="00814A2C">
              <w:t>= 82.7%</w:t>
            </w:r>
          </w:p>
          <w:p w14:paraId="5B5DE346" w14:textId="77777777" w:rsidR="00814A2C" w:rsidRDefault="00814A2C" w:rsidP="00814A2C">
            <w:pPr>
              <w:pStyle w:val="TableText0"/>
            </w:pPr>
            <w:r>
              <w:t>DMPA = 92.8%</w:t>
            </w:r>
          </w:p>
          <w:p w14:paraId="3BE4DB88" w14:textId="77777777" w:rsidR="00814A2C" w:rsidRDefault="00814A2C" w:rsidP="00814A2C">
            <w:pPr>
              <w:pStyle w:val="TableText0"/>
            </w:pPr>
          </w:p>
          <w:p w14:paraId="55C6C7D9" w14:textId="77777777" w:rsidR="00814A2C" w:rsidRDefault="00814A2C" w:rsidP="00814A2C">
            <w:pPr>
              <w:pStyle w:val="TableText0"/>
            </w:pPr>
            <w:r>
              <w:t>Annual drug costs:</w:t>
            </w:r>
          </w:p>
          <w:p w14:paraId="45EDA8B2" w14:textId="09BF5040" w:rsidR="00814A2C" w:rsidRPr="0053245C" w:rsidRDefault="00E4041C" w:rsidP="00814A2C">
            <w:pPr>
              <w:pStyle w:val="TableText0"/>
            </w:pPr>
            <w:r>
              <w:t>CVR</w:t>
            </w:r>
            <w:r w:rsidR="00814A2C">
              <w:t>: 4 packs of 3 rings = 12 rings (cost = $271.</w:t>
            </w:r>
            <w:r w:rsidR="00814A2C" w:rsidRPr="0053245C">
              <w:t>92</w:t>
            </w:r>
            <w:r w:rsidR="00566038" w:rsidRPr="0053245C">
              <w:t>, assuming compliance of 82.7%</w:t>
            </w:r>
            <w:r w:rsidR="0053245C">
              <w:t>*</w:t>
            </w:r>
            <w:r w:rsidR="00814A2C" w:rsidRPr="0053245C">
              <w:t>)</w:t>
            </w:r>
          </w:p>
          <w:p w14:paraId="699DF371" w14:textId="0B76587B" w:rsidR="00814A2C" w:rsidRPr="0098262F" w:rsidRDefault="00814A2C" w:rsidP="00814A2C">
            <w:pPr>
              <w:pStyle w:val="TableText0"/>
            </w:pPr>
            <w:r w:rsidRPr="0053245C">
              <w:t>DMPA: 4 injections (cost = $48.78</w:t>
            </w:r>
            <w:r w:rsidR="009813B5" w:rsidRPr="0053245C">
              <w:t>, assuming 92.8% compliance</w:t>
            </w:r>
            <w:r w:rsidR="0053245C">
              <w:t>*</w:t>
            </w:r>
            <w:r w:rsidRPr="0053245C">
              <w:t>)</w:t>
            </w:r>
          </w:p>
        </w:tc>
      </w:tr>
      <w:tr w:rsidR="00814A2C" w:rsidRPr="0098262F" w14:paraId="15A99A65" w14:textId="77777777" w:rsidTr="0B5D70EC">
        <w:tc>
          <w:tcPr>
            <w:tcW w:w="2660" w:type="dxa"/>
            <w:vAlign w:val="center"/>
          </w:tcPr>
          <w:p w14:paraId="3A9F2706" w14:textId="77777777" w:rsidR="00814A2C" w:rsidRPr="0098262F" w:rsidRDefault="00814A2C" w:rsidP="00DF3662">
            <w:pPr>
              <w:pStyle w:val="TableText0"/>
            </w:pPr>
            <w:r w:rsidRPr="0098262F">
              <w:t>Other costs or cost offsets</w:t>
            </w:r>
          </w:p>
        </w:tc>
        <w:tc>
          <w:tcPr>
            <w:tcW w:w="6520" w:type="dxa"/>
            <w:vAlign w:val="center"/>
          </w:tcPr>
          <w:p w14:paraId="109D4BFC" w14:textId="77777777" w:rsidR="00814A2C" w:rsidRDefault="00814A2C" w:rsidP="00814A2C">
            <w:pPr>
              <w:pStyle w:val="TableText0"/>
            </w:pPr>
            <w:r>
              <w:t>GP consultation (MBS item 23, Fee $42.85):</w:t>
            </w:r>
          </w:p>
          <w:p w14:paraId="7D78B711" w14:textId="77777777" w:rsidR="00814A2C" w:rsidRDefault="00814A2C" w:rsidP="00814A2C">
            <w:pPr>
              <w:pStyle w:val="TableText0"/>
            </w:pPr>
            <w:r>
              <w:t>Initial</w:t>
            </w:r>
          </w:p>
          <w:p w14:paraId="1B14140B" w14:textId="25653220" w:rsidR="00814A2C" w:rsidRDefault="003E150E" w:rsidP="00814A2C">
            <w:pPr>
              <w:pStyle w:val="TableText0"/>
            </w:pPr>
            <w:r>
              <w:t>CVR</w:t>
            </w:r>
            <w:r w:rsidR="00814A2C">
              <w:t xml:space="preserve"> = 1    DMPA = 1</w:t>
            </w:r>
          </w:p>
          <w:p w14:paraId="6C51B00D" w14:textId="77777777" w:rsidR="00814A2C" w:rsidRDefault="7AD4F78A" w:rsidP="00814A2C">
            <w:pPr>
              <w:pStyle w:val="TableText0"/>
            </w:pPr>
            <w:r w:rsidRPr="0B5D70EC">
              <w:t xml:space="preserve">Annual number of HCP consultations for administration on Day 0 – 5 cycle </w:t>
            </w:r>
          </w:p>
          <w:p w14:paraId="14DBDC8F" w14:textId="6D922EDA" w:rsidR="00814A2C" w:rsidRDefault="003E150E" w:rsidP="00814A2C">
            <w:pPr>
              <w:pStyle w:val="TableText0"/>
            </w:pPr>
            <w:r>
              <w:t>CVR</w:t>
            </w:r>
            <w:r w:rsidR="00814A2C">
              <w:t>= 0    DMPA = 4.8</w:t>
            </w:r>
          </w:p>
          <w:p w14:paraId="51A91AC3" w14:textId="77777777" w:rsidR="00814A2C" w:rsidRDefault="00814A2C" w:rsidP="00814A2C">
            <w:pPr>
              <w:pStyle w:val="TableText0"/>
            </w:pPr>
          </w:p>
          <w:p w14:paraId="5F74893F" w14:textId="562D271F" w:rsidR="00814A2C" w:rsidRDefault="00814A2C" w:rsidP="00814A2C">
            <w:pPr>
              <w:pStyle w:val="TableText0"/>
            </w:pPr>
            <w:r>
              <w:t>Bone mineral density scan (MBS item 12312/12315, Fee $99.20</w:t>
            </w:r>
            <w:r w:rsidR="0066301B">
              <w:t xml:space="preserve"> </w:t>
            </w:r>
            <w:r w:rsidR="0066301B" w:rsidRPr="0053245C">
              <w:t>(85% benefit)</w:t>
            </w:r>
            <w:r w:rsidR="0053245C">
              <w:t>*</w:t>
            </w:r>
            <w:r w:rsidRPr="0053245C">
              <w:t>)</w:t>
            </w:r>
          </w:p>
          <w:p w14:paraId="14C230FF" w14:textId="7E597D6C" w:rsidR="00814A2C" w:rsidRDefault="003E150E" w:rsidP="00814A2C">
            <w:pPr>
              <w:pStyle w:val="TableText0"/>
            </w:pPr>
            <w:r>
              <w:t>CVR</w:t>
            </w:r>
            <w:r w:rsidR="00814A2C">
              <w:t>= 0     DMPA</w:t>
            </w:r>
            <w:r w:rsidR="00C61FC5">
              <w:t>=</w:t>
            </w:r>
            <w:r w:rsidR="00814A2C">
              <w:t>Ongoing BMD scan required every 2 years (100% users)</w:t>
            </w:r>
          </w:p>
          <w:p w14:paraId="78DE6AD1" w14:textId="77777777" w:rsidR="00814A2C" w:rsidRDefault="00814A2C" w:rsidP="00814A2C">
            <w:pPr>
              <w:pStyle w:val="TableText0"/>
            </w:pPr>
          </w:p>
          <w:p w14:paraId="07B4DF5F" w14:textId="77777777" w:rsidR="00814A2C" w:rsidRDefault="7AD4F78A" w:rsidP="00814A2C">
            <w:pPr>
              <w:pStyle w:val="TableText0"/>
            </w:pPr>
            <w:r w:rsidRPr="0B5D70EC">
              <w:t>Additional qualitative benefits (indirect benefits)</w:t>
            </w:r>
          </w:p>
          <w:p w14:paraId="40E9F456" w14:textId="6AD3AD49" w:rsidR="00814A2C" w:rsidRDefault="00814A2C" w:rsidP="00814A2C">
            <w:pPr>
              <w:pStyle w:val="TableText0"/>
            </w:pPr>
            <w:r>
              <w:t xml:space="preserve">The following indirect benefits of </w:t>
            </w:r>
            <w:r w:rsidR="003E150E">
              <w:t xml:space="preserve">CVR </w:t>
            </w:r>
            <w:r>
              <w:t>contribute to a broader cost-effectiveness profile to support a cost offset against DMPA of 6.1%:</w:t>
            </w:r>
          </w:p>
          <w:p w14:paraId="6A4F6340" w14:textId="1B2F8A8C" w:rsidR="00814A2C" w:rsidRDefault="00814A2C" w:rsidP="00814A2C">
            <w:pPr>
              <w:pStyle w:val="TableText0"/>
            </w:pPr>
            <w:r>
              <w:t>•</w:t>
            </w:r>
            <w:r>
              <w:tab/>
              <w:t>A rapid return to normal menstrual cycling after discontinuation (3 – 4</w:t>
            </w:r>
            <w:r w:rsidR="00AB5A1C">
              <w:t> </w:t>
            </w:r>
            <w:r>
              <w:t>weeks), for women wanting to conceive compared to up to 18 months for DMPA users</w:t>
            </w:r>
          </w:p>
          <w:p w14:paraId="029F908E" w14:textId="77777777" w:rsidR="00814A2C" w:rsidRDefault="00814A2C" w:rsidP="00814A2C">
            <w:pPr>
              <w:pStyle w:val="TableText0"/>
            </w:pPr>
            <w:r>
              <w:t>•</w:t>
            </w:r>
            <w:r>
              <w:tab/>
              <w:t>Lower pregnancy rating (Category B3) compared to DMPA (Category D)</w:t>
            </w:r>
          </w:p>
          <w:p w14:paraId="06A8D2BF" w14:textId="3E794631" w:rsidR="00814A2C" w:rsidRPr="0098262F" w:rsidRDefault="7AD4F78A" w:rsidP="0B5D70EC">
            <w:pPr>
              <w:pStyle w:val="TableText0"/>
            </w:pPr>
            <w:r w:rsidRPr="0B5D70EC">
              <w:t xml:space="preserve">The 6.1% cost offset reflects these savings by accounting for fewer medical visits, reduced treatment costs for infertility, and diminished risks associated with neonatal care for conditions linked to unintended pregnancies with DMPA.  </w:t>
            </w:r>
          </w:p>
        </w:tc>
      </w:tr>
    </w:tbl>
    <w:p w14:paraId="0807F46A" w14:textId="77777777" w:rsidR="009A47FB" w:rsidRDefault="00814A2C" w:rsidP="003E150E">
      <w:pPr>
        <w:pStyle w:val="FooterTableFigure"/>
      </w:pPr>
      <w:r w:rsidRPr="0098262F">
        <w:t>Source: Table</w:t>
      </w:r>
      <w:r>
        <w:t xml:space="preserve"> 3.1.1</w:t>
      </w:r>
      <w:r w:rsidRPr="0098262F">
        <w:t>, p</w:t>
      </w:r>
      <w:r>
        <w:t>121</w:t>
      </w:r>
      <w:r w:rsidRPr="0098262F">
        <w:t xml:space="preserve"> of the submission</w:t>
      </w:r>
      <w:r w:rsidR="0007060C">
        <w:t xml:space="preserve"> main body</w:t>
      </w:r>
      <w:r w:rsidRPr="0098262F">
        <w:t>.</w:t>
      </w:r>
      <w:r w:rsidR="00E4041C">
        <w:t xml:space="preserve"> </w:t>
      </w:r>
    </w:p>
    <w:p w14:paraId="6BB04EB9" w14:textId="765EC629" w:rsidR="00814A2C" w:rsidRDefault="00123538" w:rsidP="003E150E">
      <w:pPr>
        <w:pStyle w:val="FooterTableFigure"/>
      </w:pPr>
      <w:r>
        <w:t xml:space="preserve">AEMP = approved ex-manufacturer price; </w:t>
      </w:r>
      <w:r w:rsidR="003E150E">
        <w:t xml:space="preserve">BMD = bone mineral density; </w:t>
      </w:r>
      <w:r w:rsidR="00E4041C">
        <w:t>CVR</w:t>
      </w:r>
      <w:r w:rsidR="00091CF0">
        <w:t xml:space="preserve"> </w:t>
      </w:r>
      <w:r w:rsidR="00E4041C">
        <w:t>=</w:t>
      </w:r>
      <w:r w:rsidR="00581436">
        <w:t xml:space="preserve"> </w:t>
      </w:r>
      <w:r w:rsidR="00E4041C">
        <w:t>contraceptive vaginal ring; DM</w:t>
      </w:r>
      <w:r w:rsidR="006245BE">
        <w:t>P</w:t>
      </w:r>
      <w:r w:rsidR="00E4041C">
        <w:t>A</w:t>
      </w:r>
      <w:r w:rsidR="0013177F">
        <w:t xml:space="preserve"> </w:t>
      </w:r>
      <w:r w:rsidR="00E4041C">
        <w:t>= depo</w:t>
      </w:r>
      <w:r w:rsidR="007445B0">
        <w:t>t</w:t>
      </w:r>
      <w:r w:rsidR="00E4041C">
        <w:t xml:space="preserve"> medroxyprogesterone acetate; EE</w:t>
      </w:r>
      <w:r w:rsidR="00091CF0">
        <w:t xml:space="preserve"> </w:t>
      </w:r>
      <w:r w:rsidR="00E4041C">
        <w:t>= ethinylestradiol; GP</w:t>
      </w:r>
      <w:r w:rsidR="00581436">
        <w:t> </w:t>
      </w:r>
      <w:r w:rsidR="00E4041C">
        <w:t>=</w:t>
      </w:r>
      <w:r w:rsidR="00581436">
        <w:t> </w:t>
      </w:r>
      <w:r w:rsidR="00E4041C">
        <w:t xml:space="preserve">general </w:t>
      </w:r>
      <w:r w:rsidR="00767025">
        <w:t>practitioner</w:t>
      </w:r>
      <w:r w:rsidR="00E4041C">
        <w:t xml:space="preserve">; </w:t>
      </w:r>
      <w:r w:rsidR="00091CF0">
        <w:t>IM = intramuscular injection;</w:t>
      </w:r>
      <w:r w:rsidR="00E4041C">
        <w:t xml:space="preserve"> LEV = levonorgestrel; MBS</w:t>
      </w:r>
      <w:r w:rsidR="00091CF0">
        <w:t xml:space="preserve"> </w:t>
      </w:r>
      <w:r w:rsidR="00E4041C">
        <w:t>= Medicare Benefits Schedule; NET-</w:t>
      </w:r>
      <w:r w:rsidR="0013177F">
        <w:t xml:space="preserve">EN </w:t>
      </w:r>
      <w:r w:rsidR="00E4041C">
        <w:t>= norethisterone enanthate</w:t>
      </w:r>
      <w:r>
        <w:t xml:space="preserve"> OC = oral contraceptive</w:t>
      </w:r>
      <w:r w:rsidR="00D22DD5">
        <w:t>.</w:t>
      </w:r>
    </w:p>
    <w:p w14:paraId="333048E3" w14:textId="4CFEB402" w:rsidR="0087178D" w:rsidRPr="0053245C" w:rsidRDefault="0053245C" w:rsidP="003E150E">
      <w:pPr>
        <w:pStyle w:val="FooterTableFigure"/>
        <w:rPr>
          <w:sz w:val="20"/>
          <w:szCs w:val="20"/>
        </w:rPr>
      </w:pPr>
      <w:r w:rsidRPr="0053245C">
        <w:t>*A</w:t>
      </w:r>
      <w:r w:rsidR="0087178D" w:rsidRPr="0053245C">
        <w:t>dded during evaluation</w:t>
      </w:r>
    </w:p>
    <w:p w14:paraId="6107A2AA" w14:textId="16F586EA" w:rsidR="00402812" w:rsidRPr="0098262F" w:rsidRDefault="033AD20C" w:rsidP="0B5D70EC">
      <w:pPr>
        <w:pStyle w:val="3-BodyText"/>
      </w:pPr>
      <w:r w:rsidRPr="0B5D70EC">
        <w:lastRenderedPageBreak/>
        <w:t xml:space="preserve">The </w:t>
      </w:r>
      <w:proofErr w:type="spellStart"/>
      <w:r w:rsidRPr="0B5D70EC">
        <w:t>equi</w:t>
      </w:r>
      <w:proofErr w:type="spellEnd"/>
      <w:r w:rsidRPr="0B5D70EC">
        <w:t xml:space="preserve">-effective doses </w:t>
      </w:r>
      <w:r w:rsidR="648CEC2B" w:rsidRPr="0B5D70EC">
        <w:t>we</w:t>
      </w:r>
      <w:r w:rsidRPr="0B5D70EC">
        <w:t>re estimated as</w:t>
      </w:r>
      <w:r w:rsidR="004D01D2">
        <w:t>:</w:t>
      </w:r>
      <w:r w:rsidRPr="0B5D70EC">
        <w:t xml:space="preserve"> </w:t>
      </w:r>
      <w:r w:rsidR="7F3126FB" w:rsidRPr="0B5D70EC">
        <w:t xml:space="preserve">CVR </w:t>
      </w:r>
      <w:r w:rsidR="11CA857D" w:rsidRPr="0B5D70EC">
        <w:t xml:space="preserve">3 rings </w:t>
      </w:r>
      <w:r w:rsidR="00512B0C" w:rsidRPr="00512B0C">
        <w:t>≡</w:t>
      </w:r>
      <w:r w:rsidRPr="0B5D70EC">
        <w:t xml:space="preserve"> </w:t>
      </w:r>
      <w:r w:rsidR="76974B8A" w:rsidRPr="0B5D70EC">
        <w:t>DMPA</w:t>
      </w:r>
      <w:r w:rsidR="11CA857D" w:rsidRPr="0B5D70EC">
        <w:t xml:space="preserve"> 150</w:t>
      </w:r>
      <w:r w:rsidR="00F14E58">
        <w:t> </w:t>
      </w:r>
      <w:r w:rsidR="11CA857D" w:rsidRPr="0B5D70EC">
        <w:t>mg/mL, 1</w:t>
      </w:r>
      <w:r w:rsidR="001F0B6C">
        <w:t> </w:t>
      </w:r>
      <w:r w:rsidR="11CA857D" w:rsidRPr="0B5D70EC">
        <w:t>injection</w:t>
      </w:r>
      <w:r w:rsidR="0050732C">
        <w:t>,</w:t>
      </w:r>
      <w:r w:rsidR="11CA857D" w:rsidRPr="0B5D70EC">
        <w:t xml:space="preserve"> for</w:t>
      </w:r>
      <w:r w:rsidR="0050732C">
        <w:t xml:space="preserve"> every</w:t>
      </w:r>
      <w:r w:rsidR="11CA857D" w:rsidRPr="0B5D70EC">
        <w:t xml:space="preserve"> 12 weeks.</w:t>
      </w:r>
      <w:r w:rsidR="22A1CD2A" w:rsidRPr="0B5D70EC">
        <w:t xml:space="preserve"> These doses were based on the </w:t>
      </w:r>
      <w:r w:rsidR="00274270">
        <w:t xml:space="preserve">PI </w:t>
      </w:r>
      <w:r w:rsidR="22A1CD2A" w:rsidRPr="0B5D70EC">
        <w:t xml:space="preserve">documents. </w:t>
      </w:r>
      <w:r w:rsidR="11CA857D" w:rsidRPr="0B5D70EC">
        <w:t xml:space="preserve"> </w:t>
      </w:r>
    </w:p>
    <w:p w14:paraId="4433DAB0" w14:textId="62B9CF83" w:rsidR="0016609F" w:rsidRDefault="11CA857D" w:rsidP="00BB732D">
      <w:pPr>
        <w:pStyle w:val="3-BodyText"/>
      </w:pPr>
      <w:r w:rsidRPr="0B5D70EC">
        <w:t xml:space="preserve">As </w:t>
      </w:r>
      <w:r w:rsidR="22A1CD2A" w:rsidRPr="0B5D70EC">
        <w:t xml:space="preserve">shown </w:t>
      </w:r>
      <w:r w:rsidRPr="0B5D70EC">
        <w:t xml:space="preserve">in </w:t>
      </w:r>
      <w:r w:rsidR="0016609F">
        <w:fldChar w:fldCharType="begin"/>
      </w:r>
      <w:r w:rsidR="0016609F">
        <w:instrText xml:space="preserve"> REF _Ref188958452 \h </w:instrText>
      </w:r>
      <w:r w:rsidR="0016609F">
        <w:fldChar w:fldCharType="separate"/>
      </w:r>
      <w:r w:rsidR="00896E34">
        <w:t xml:space="preserve">Table </w:t>
      </w:r>
      <w:r w:rsidR="00896E34">
        <w:rPr>
          <w:noProof/>
        </w:rPr>
        <w:t>8</w:t>
      </w:r>
      <w:r w:rsidR="0016609F">
        <w:fldChar w:fldCharType="end"/>
      </w:r>
      <w:r w:rsidR="72057EF5" w:rsidRPr="0B5D70EC">
        <w:t xml:space="preserve">, </w:t>
      </w:r>
      <w:r w:rsidR="41E2339A" w:rsidRPr="0B5D70EC">
        <w:t>t</w:t>
      </w:r>
      <w:r w:rsidRPr="0B5D70EC">
        <w:t xml:space="preserve">he submission included </w:t>
      </w:r>
      <w:proofErr w:type="gramStart"/>
      <w:r w:rsidRPr="0B5D70EC">
        <w:t>a number of</w:t>
      </w:r>
      <w:proofErr w:type="gramEnd"/>
      <w:r w:rsidRPr="0B5D70EC">
        <w:t xml:space="preserve"> additional costs and cost-offsets in the analysis. These were:</w:t>
      </w:r>
    </w:p>
    <w:p w14:paraId="05B811B2" w14:textId="68C6EB33" w:rsidR="00473AA4" w:rsidRDefault="0016609F" w:rsidP="00AE5A96">
      <w:pPr>
        <w:pStyle w:val="ListParagraph"/>
        <w:ind w:left="1134"/>
        <w:jc w:val="both"/>
      </w:pPr>
      <w:r>
        <w:t xml:space="preserve">A difference in </w:t>
      </w:r>
      <w:r w:rsidR="009D56DA">
        <w:t xml:space="preserve">the </w:t>
      </w:r>
      <w:r>
        <w:t xml:space="preserve">number of health care practitioner consultations over a year of treatment, favouring </w:t>
      </w:r>
      <w:r w:rsidR="003E150E">
        <w:t xml:space="preserve">CVR </w:t>
      </w:r>
      <w:r>
        <w:t>users</w:t>
      </w:r>
      <w:r w:rsidR="00473AA4">
        <w:t>;</w:t>
      </w:r>
    </w:p>
    <w:p w14:paraId="4C3AE015" w14:textId="66683FDC" w:rsidR="0016609F" w:rsidRDefault="11CA857D" w:rsidP="00AE5A96">
      <w:pPr>
        <w:pStyle w:val="ListParagraph"/>
        <w:ind w:left="1134"/>
        <w:jc w:val="both"/>
      </w:pPr>
      <w:r w:rsidRPr="0B5D70EC">
        <w:t>A requirement for bone density scans fo</w:t>
      </w:r>
      <w:r w:rsidR="503F4FCC" w:rsidRPr="0B5D70EC">
        <w:t>r</w:t>
      </w:r>
      <w:r w:rsidRPr="0B5D70EC">
        <w:t xml:space="preserve"> </w:t>
      </w:r>
      <w:r w:rsidR="76974B8A" w:rsidRPr="0B5D70EC">
        <w:t>DMPA</w:t>
      </w:r>
      <w:r w:rsidRPr="0B5D70EC">
        <w:t xml:space="preserve"> user</w:t>
      </w:r>
      <w:r w:rsidR="503F4FCC" w:rsidRPr="0B5D70EC">
        <w:t>s,</w:t>
      </w:r>
      <w:r w:rsidR="3C7CDD81" w:rsidRPr="0B5D70EC">
        <w:t xml:space="preserve"> stated to be </w:t>
      </w:r>
      <w:r w:rsidR="503F4FCC" w:rsidRPr="0B5D70EC">
        <w:t xml:space="preserve">based on the </w:t>
      </w:r>
      <w:r w:rsidR="76974B8A" w:rsidRPr="0B5D70EC">
        <w:t>DMPA</w:t>
      </w:r>
      <w:r w:rsidR="503F4FCC" w:rsidRPr="0B5D70EC">
        <w:t xml:space="preserve"> </w:t>
      </w:r>
      <w:r w:rsidR="0008136C">
        <w:t>PI</w:t>
      </w:r>
      <w:r w:rsidR="22A1CD2A" w:rsidRPr="0B5D70EC">
        <w:t>;</w:t>
      </w:r>
    </w:p>
    <w:p w14:paraId="429C41D9" w14:textId="01B337FF" w:rsidR="002E2EFC" w:rsidRPr="0016609F" w:rsidRDefault="503F4FCC" w:rsidP="00AE5A96">
      <w:pPr>
        <w:pStyle w:val="ListParagraph"/>
        <w:ind w:left="1134"/>
        <w:jc w:val="both"/>
      </w:pPr>
      <w:r w:rsidRPr="00086CFD">
        <w:t xml:space="preserve">A 6.1% cost offset against </w:t>
      </w:r>
      <w:r w:rsidR="76974B8A" w:rsidRPr="00086CFD">
        <w:t>DMPA</w:t>
      </w:r>
      <w:r w:rsidRPr="00086CFD">
        <w:t xml:space="preserve"> due to claimed additional indirect benefits of</w:t>
      </w:r>
      <w:r w:rsidR="72057EF5" w:rsidRPr="00086CFD">
        <w:t xml:space="preserve"> CVR</w:t>
      </w:r>
      <w:r w:rsidRPr="00086CFD">
        <w:t>, including lower foetal risk in unintended pregnancies and a faster return to fertility. This was calculated as 6.1% of</w:t>
      </w:r>
      <w:r w:rsidRPr="0B5D70EC">
        <w:t xml:space="preserve"> the proposed </w:t>
      </w:r>
      <w:r w:rsidR="00E81C38">
        <w:t>approved ex-manufacturer price (</w:t>
      </w:r>
      <w:r w:rsidRPr="0B5D70EC">
        <w:t>AEMP</w:t>
      </w:r>
      <w:r w:rsidR="00E81C38">
        <w:t>)</w:t>
      </w:r>
      <w:r w:rsidRPr="0B5D70EC">
        <w:t xml:space="preserve"> for</w:t>
      </w:r>
      <w:r w:rsidR="72057EF5" w:rsidRPr="0B5D70EC">
        <w:t xml:space="preserve"> CVR</w:t>
      </w:r>
      <w:r w:rsidRPr="0B5D70EC">
        <w:t>.</w:t>
      </w:r>
    </w:p>
    <w:p w14:paraId="6527C9AB" w14:textId="33365050" w:rsidR="00193451" w:rsidRPr="00193451" w:rsidRDefault="72057EF5" w:rsidP="00BB732D">
      <w:pPr>
        <w:pStyle w:val="3-BodyText"/>
      </w:pPr>
      <w:r w:rsidRPr="0053245C">
        <w:t>It is plausible that there would be a difference in health care practitioner consultations between DM</w:t>
      </w:r>
      <w:r w:rsidR="002E219E" w:rsidRPr="0053245C">
        <w:t>P</w:t>
      </w:r>
      <w:r w:rsidRPr="0053245C">
        <w:t>A users and CVR users.</w:t>
      </w:r>
      <w:r w:rsidRPr="0B5D70EC">
        <w:t xml:space="preserve"> </w:t>
      </w:r>
      <w:r w:rsidR="00193451" w:rsidRPr="00193451">
        <w:t>The submission proposed that a patient receiving DM</w:t>
      </w:r>
      <w:r w:rsidR="008832CC">
        <w:t>P</w:t>
      </w:r>
      <w:r w:rsidR="00193451" w:rsidRPr="00193451">
        <w:t xml:space="preserve">A would need to see a health care practitioner for each injection on Day 0-5 of a </w:t>
      </w:r>
      <w:proofErr w:type="gramStart"/>
      <w:r w:rsidR="00193451" w:rsidRPr="00193451">
        <w:t>28 day</w:t>
      </w:r>
      <w:proofErr w:type="gramEnd"/>
      <w:r w:rsidR="00193451" w:rsidRPr="00193451">
        <w:t xml:space="preserve"> cycle</w:t>
      </w:r>
      <w:r w:rsidR="00193451">
        <w:t xml:space="preserve"> and assumed that 18% of women would have to have a re</w:t>
      </w:r>
      <w:r w:rsidR="0042104F">
        <w:t xml:space="preserve">turn </w:t>
      </w:r>
      <w:r w:rsidR="00193451">
        <w:t xml:space="preserve">visit for the first injection. The submission assumed </w:t>
      </w:r>
      <w:r w:rsidR="0042104F">
        <w:t>t</w:t>
      </w:r>
      <w:r w:rsidR="00193451">
        <w:t>hat all visi</w:t>
      </w:r>
      <w:r w:rsidR="0042104F">
        <w:t>ts</w:t>
      </w:r>
      <w:r w:rsidR="00193451">
        <w:t xml:space="preserve"> would be with a GP. </w:t>
      </w:r>
      <w:r w:rsidR="00193451" w:rsidRPr="0053245C">
        <w:t>While the first visit for DMPA users might be with a GP it is also possible to obtain DMPA through nurse practitioner and midwife prescribing.</w:t>
      </w:r>
      <w:r w:rsidR="00917A46">
        <w:rPr>
          <w:i/>
          <w:iCs/>
        </w:rPr>
        <w:t xml:space="preserve"> </w:t>
      </w:r>
    </w:p>
    <w:p w14:paraId="1E2509FE" w14:textId="723F43FF" w:rsidR="00193451" w:rsidRPr="0053245C" w:rsidRDefault="00193451" w:rsidP="00BB732D">
      <w:pPr>
        <w:pStyle w:val="3-BodyText"/>
      </w:pPr>
      <w:r w:rsidRPr="0053245C">
        <w:t>I</w:t>
      </w:r>
      <w:r w:rsidR="72057EF5" w:rsidRPr="0053245C">
        <w:t>n at least one of the CVR trials</w:t>
      </w:r>
      <w:r w:rsidR="10286D7E" w:rsidRPr="0053245C">
        <w:t xml:space="preserve"> (Gill</w:t>
      </w:r>
      <w:r w:rsidR="00AE5A96">
        <w:t xml:space="preserve">, </w:t>
      </w:r>
      <w:r w:rsidR="05F749DA" w:rsidRPr="0053245C">
        <w:t>2020</w:t>
      </w:r>
      <w:r w:rsidR="10286D7E" w:rsidRPr="0053245C">
        <w:t>)</w:t>
      </w:r>
      <w:r w:rsidR="72057EF5" w:rsidRPr="0053245C">
        <w:t xml:space="preserve">, users </w:t>
      </w:r>
      <w:r w:rsidR="05F749DA" w:rsidRPr="0053245C">
        <w:t>could</w:t>
      </w:r>
      <w:r w:rsidR="72057EF5" w:rsidRPr="0053245C">
        <w:t xml:space="preserve"> have the rings inserted</w:t>
      </w:r>
      <w:r w:rsidR="05F749DA" w:rsidRPr="0053245C">
        <w:t xml:space="preserve"> by clinic staff and some made use of this option</w:t>
      </w:r>
      <w:r w:rsidR="72057EF5" w:rsidRPr="0053245C">
        <w:t xml:space="preserve">. </w:t>
      </w:r>
      <w:r w:rsidR="0042104F" w:rsidRPr="0053245C">
        <w:t xml:space="preserve">CVR users may require additional visits with nurse </w:t>
      </w:r>
      <w:r w:rsidR="00A5336C" w:rsidRPr="0053245C">
        <w:t>practitioners</w:t>
      </w:r>
      <w:r w:rsidR="0042104F" w:rsidRPr="0053245C">
        <w:t xml:space="preserve"> or midwives as well.</w:t>
      </w:r>
      <w:r w:rsidR="00A5336C" w:rsidRPr="0053245C">
        <w:t xml:space="preserve"> If individuals already have a valid prescription for DMPA and have it dispensed, they may also have DMPA administered by a </w:t>
      </w:r>
      <w:proofErr w:type="gramStart"/>
      <w:r w:rsidR="00A5336C" w:rsidRPr="0053245C">
        <w:t>nurse, and</w:t>
      </w:r>
      <w:proofErr w:type="gramEnd"/>
      <w:r w:rsidR="00A5336C" w:rsidRPr="0053245C">
        <w:t xml:space="preserve"> will not necessarily see a GP each time they have it administered.</w:t>
      </w:r>
    </w:p>
    <w:p w14:paraId="2BD685AC" w14:textId="0020800E" w:rsidR="003E150E" w:rsidRPr="0053245C" w:rsidRDefault="72057EF5" w:rsidP="00BB732D">
      <w:pPr>
        <w:pStyle w:val="3-BodyText"/>
      </w:pPr>
      <w:r w:rsidRPr="0053245C">
        <w:t xml:space="preserve">A short consultation with a nurse practitioner is MBS item </w:t>
      </w:r>
      <w:r w:rsidR="3327140F" w:rsidRPr="0053245C">
        <w:t xml:space="preserve">82200, fee $14.20, 85% benefit $12.10; a </w:t>
      </w:r>
      <w:proofErr w:type="gramStart"/>
      <w:r w:rsidR="3327140F" w:rsidRPr="0053245C">
        <w:t>20</w:t>
      </w:r>
      <w:r w:rsidR="10286D7E" w:rsidRPr="0053245C">
        <w:t xml:space="preserve"> </w:t>
      </w:r>
      <w:r w:rsidR="3327140F" w:rsidRPr="0053245C">
        <w:t>minute</w:t>
      </w:r>
      <w:proofErr w:type="gramEnd"/>
      <w:r w:rsidR="3327140F" w:rsidRPr="0053245C">
        <w:t xml:space="preserve"> consultation is item 82210, fee $58.85, benefit $50.05. Follow-up </w:t>
      </w:r>
      <w:r w:rsidR="00193451" w:rsidRPr="0053245C">
        <w:t>DM</w:t>
      </w:r>
      <w:r w:rsidR="00996D3B" w:rsidRPr="0053245C">
        <w:t>P</w:t>
      </w:r>
      <w:r w:rsidR="00193451" w:rsidRPr="0053245C">
        <w:t xml:space="preserve">A </w:t>
      </w:r>
      <w:r w:rsidR="10286D7E" w:rsidRPr="0053245C">
        <w:t>injections</w:t>
      </w:r>
      <w:r w:rsidR="3327140F" w:rsidRPr="0053245C">
        <w:t xml:space="preserve"> would likely be charged at th</w:t>
      </w:r>
      <w:r w:rsidR="10286D7E" w:rsidRPr="0053245C">
        <w:t>e</w:t>
      </w:r>
      <w:r w:rsidR="3327140F" w:rsidRPr="0053245C">
        <w:t xml:space="preserve"> lower fee. </w:t>
      </w:r>
      <w:r w:rsidR="0042104F" w:rsidRPr="0053245C">
        <w:t>For midwives, the relevant MBS item number might be short or long postnatal visits</w:t>
      </w:r>
      <w:r w:rsidR="00C00275" w:rsidRPr="0053245C">
        <w:t xml:space="preserve"> (</w:t>
      </w:r>
      <w:r w:rsidR="00146412" w:rsidRPr="0053245C">
        <w:t>though</w:t>
      </w:r>
      <w:r w:rsidR="00C00275" w:rsidRPr="0053245C">
        <w:t xml:space="preserve"> this would be unlikely to include repeat visits)</w:t>
      </w:r>
      <w:r w:rsidR="0042104F" w:rsidRPr="0053245C">
        <w:t xml:space="preserve">: MBS items 82130 and 82135, fees and 85% benefits $60.85; $51.75 and $124.50; $105.85 respectively. </w:t>
      </w:r>
      <w:r w:rsidR="3327140F" w:rsidRPr="0053245C">
        <w:t>Calculating the difference in health care consultations over 2 years might provide a more robust estimate of the difference between CVR users and DM</w:t>
      </w:r>
      <w:r w:rsidR="00B8431B" w:rsidRPr="0053245C">
        <w:t>P</w:t>
      </w:r>
      <w:r w:rsidR="3327140F" w:rsidRPr="0053245C">
        <w:t xml:space="preserve">A users. </w:t>
      </w:r>
    </w:p>
    <w:p w14:paraId="5B7AAF4B" w14:textId="35A5A3B7" w:rsidR="00473AA4" w:rsidRPr="00473AA4" w:rsidRDefault="00DF560E" w:rsidP="00BB732D">
      <w:pPr>
        <w:pStyle w:val="3-BodyText"/>
      </w:pPr>
      <w:bookmarkStart w:id="41" w:name="_Ref193208849"/>
      <w:r w:rsidRPr="0053245C">
        <w:t>Similarly</w:t>
      </w:r>
      <w:r w:rsidR="0013177F" w:rsidRPr="0053245C">
        <w:t>,</w:t>
      </w:r>
      <w:r w:rsidRPr="0053245C">
        <w:t xml:space="preserve"> i</w:t>
      </w:r>
      <w:r w:rsidR="00D034D8" w:rsidRPr="0053245C">
        <w:t xml:space="preserve">t is </w:t>
      </w:r>
      <w:r w:rsidRPr="0053245C">
        <w:t xml:space="preserve">also </w:t>
      </w:r>
      <w:r w:rsidR="00D034D8" w:rsidRPr="0053245C">
        <w:t>plausible that bone density scans may be order</w:t>
      </w:r>
      <w:r w:rsidR="00B9730E" w:rsidRPr="0053245C">
        <w:t>ed</w:t>
      </w:r>
      <w:r w:rsidR="00D034D8" w:rsidRPr="0053245C">
        <w:t xml:space="preserve"> for some </w:t>
      </w:r>
      <w:r w:rsidR="00650313" w:rsidRPr="0053245C">
        <w:t>DMPA</w:t>
      </w:r>
      <w:r w:rsidR="00D034D8" w:rsidRPr="0053245C">
        <w:t xml:space="preserve"> users, although </w:t>
      </w:r>
      <w:r w:rsidR="00A56E21" w:rsidRPr="0053245C">
        <w:t>dual-energy X-ray absorptiometry (</w:t>
      </w:r>
      <w:r w:rsidR="00797881" w:rsidRPr="0053245C">
        <w:t>DXA</w:t>
      </w:r>
      <w:r w:rsidR="00A56E21" w:rsidRPr="0053245C">
        <w:t>)</w:t>
      </w:r>
      <w:r w:rsidR="00797881" w:rsidRPr="0053245C">
        <w:t xml:space="preserve"> has not been validated as a predictor of fracture risk in young women, so the results are difficult to interpret</w:t>
      </w:r>
      <w:r w:rsidR="00146412" w:rsidRPr="0053245C">
        <w:t>, and</w:t>
      </w:r>
      <w:r w:rsidR="00146412" w:rsidRPr="00D10099">
        <w:rPr>
          <w:i/>
          <w:iCs/>
        </w:rPr>
        <w:t xml:space="preserve"> </w:t>
      </w:r>
      <w:r w:rsidR="00146412">
        <w:t xml:space="preserve">neither the American College of Obstetricians and </w:t>
      </w:r>
      <w:proofErr w:type="spellStart"/>
      <w:r w:rsidR="00146412">
        <w:t>Gynecologists</w:t>
      </w:r>
      <w:proofErr w:type="spellEnd"/>
      <w:r w:rsidR="00146412">
        <w:t xml:space="preserve"> nor the Royal College of Obstetricians and Gynaecologists recommend routine bone density scanning for </w:t>
      </w:r>
      <w:r w:rsidR="00146412">
        <w:lastRenderedPageBreak/>
        <w:t xml:space="preserve">women using </w:t>
      </w:r>
      <w:r w:rsidR="00146412" w:rsidRPr="00D10099">
        <w:t>DMPA</w:t>
      </w:r>
      <w:r w:rsidR="00797881" w:rsidRPr="0053245C">
        <w:t>.</w:t>
      </w:r>
      <w:r w:rsidR="00797881" w:rsidRPr="0053245C">
        <w:rPr>
          <w:rStyle w:val="FootnoteReference"/>
        </w:rPr>
        <w:footnoteReference w:id="22"/>
      </w:r>
      <w:r w:rsidR="00146412" w:rsidRPr="0053245C">
        <w:rPr>
          <w:vertAlign w:val="superscript"/>
        </w:rPr>
        <w:t>,</w:t>
      </w:r>
      <w:r w:rsidR="00146412" w:rsidRPr="0053245C">
        <w:rPr>
          <w:rStyle w:val="FootnoteReference"/>
        </w:rPr>
        <w:footnoteReference w:id="23"/>
      </w:r>
      <w:r w:rsidR="00797881" w:rsidRPr="0053245C">
        <w:t xml:space="preserve"> T</w:t>
      </w:r>
      <w:r w:rsidR="00D034D8" w:rsidRPr="0053245C">
        <w:t xml:space="preserve">he rate of annual scans (9.5% of </w:t>
      </w:r>
      <w:r w:rsidR="00650313" w:rsidRPr="0053245C">
        <w:t>DMPA</w:t>
      </w:r>
      <w:r w:rsidR="00D034D8" w:rsidRPr="0053245C">
        <w:t xml:space="preserve"> users) used in the analysis was not well supported</w:t>
      </w:r>
      <w:r w:rsidR="00797881" w:rsidRPr="0053245C">
        <w:t>.</w:t>
      </w:r>
      <w:r w:rsidR="00D034D8" w:rsidRPr="0053245C">
        <w:t xml:space="preserve"> </w:t>
      </w:r>
      <w:r w:rsidR="00797881" w:rsidRPr="0053245C">
        <w:t>Further, t</w:t>
      </w:r>
      <w:r w:rsidR="004B198A" w:rsidRPr="0053245C">
        <w:t xml:space="preserve">here is no MBS item </w:t>
      </w:r>
      <w:r w:rsidR="00797881" w:rsidRPr="0053245C">
        <w:t>under</w:t>
      </w:r>
      <w:r w:rsidR="004B198A" w:rsidRPr="0053245C">
        <w:t xml:space="preserve"> which </w:t>
      </w:r>
      <w:r w:rsidR="00797881" w:rsidRPr="0053245C">
        <w:t xml:space="preserve">a young woman whose only risk factor for osteoporosis was DMPA use could have DXA </w:t>
      </w:r>
      <w:r w:rsidR="0013177F" w:rsidRPr="0053245C">
        <w:t>(</w:t>
      </w:r>
      <w:r w:rsidR="00473AA4" w:rsidRPr="0053245C">
        <w:t xml:space="preserve">Item 12306 requires </w:t>
      </w:r>
      <w:r w:rsidR="007A41DE" w:rsidRPr="0053245C">
        <w:t xml:space="preserve">minimal-trauma </w:t>
      </w:r>
      <w:r w:rsidR="00473AA4" w:rsidRPr="0053245C">
        <w:t xml:space="preserve">fracture or proven low BMD; 12312 requires glucocorticoid use or excess or hypogonadism; 12315 requires hyperparathyroidism, liver disease, renal disease, malabsorption, </w:t>
      </w:r>
      <w:r w:rsidR="0013177F" w:rsidRPr="0053245C">
        <w:t xml:space="preserve">rheumatoid arthritis or </w:t>
      </w:r>
      <w:r w:rsidR="00473AA4" w:rsidRPr="0053245C">
        <w:t xml:space="preserve">thyrotoxicosis; 12320 requires age &gt;70 years; 12321 requires </w:t>
      </w:r>
      <w:r w:rsidR="0013177F" w:rsidRPr="0053245C">
        <w:t xml:space="preserve">a </w:t>
      </w:r>
      <w:r w:rsidR="00473AA4" w:rsidRPr="0053245C">
        <w:t xml:space="preserve">change in </w:t>
      </w:r>
      <w:r w:rsidR="00117B58" w:rsidRPr="0053245C">
        <w:t>treatment</w:t>
      </w:r>
      <w:r w:rsidR="001463EE" w:rsidRPr="0053245C">
        <w:t xml:space="preserve"> </w:t>
      </w:r>
      <w:r w:rsidR="00023A76">
        <w:t xml:space="preserve">for </w:t>
      </w:r>
      <w:r w:rsidR="001463EE" w:rsidRPr="0053245C">
        <w:t xml:space="preserve">established low BMD or </w:t>
      </w:r>
      <w:r w:rsidR="007A41DE" w:rsidRPr="0053245C">
        <w:t xml:space="preserve">minimal-trauma </w:t>
      </w:r>
      <w:r w:rsidR="001463EE" w:rsidRPr="0053245C">
        <w:t>fracture</w:t>
      </w:r>
      <w:r w:rsidR="00473AA4" w:rsidRPr="0053245C">
        <w:t>; 12322 requires ag</w:t>
      </w:r>
      <w:r w:rsidR="001463EE" w:rsidRPr="0053245C">
        <w:t>e</w:t>
      </w:r>
      <w:r w:rsidR="00473AA4" w:rsidRPr="0053245C">
        <w:t xml:space="preserve"> &gt;70</w:t>
      </w:r>
      <w:r w:rsidR="00CC7ECF" w:rsidRPr="0053245C">
        <w:t xml:space="preserve"> </w:t>
      </w:r>
      <w:r w:rsidR="00473AA4" w:rsidRPr="0053245C">
        <w:t>years</w:t>
      </w:r>
      <w:r w:rsidR="0013177F" w:rsidRPr="0053245C">
        <w:t>)</w:t>
      </w:r>
      <w:r w:rsidR="00473AA4" w:rsidRPr="0053245C">
        <w:t>.</w:t>
      </w:r>
      <w:bookmarkEnd w:id="41"/>
      <w:r w:rsidR="00FD53BB">
        <w:t xml:space="preserve"> </w:t>
      </w:r>
      <w:r w:rsidR="00FD53BB" w:rsidRPr="006B682B">
        <w:t xml:space="preserve">The ESC noted </w:t>
      </w:r>
      <w:r w:rsidR="00AD5E6A" w:rsidRPr="006B682B">
        <w:t xml:space="preserve">that patients using </w:t>
      </w:r>
      <w:r w:rsidR="005A6F42" w:rsidRPr="006B682B">
        <w:t xml:space="preserve">DMPA </w:t>
      </w:r>
      <w:r w:rsidR="00E665B5" w:rsidRPr="006B682B">
        <w:t>would not automatically meet the criteria for bone densitometry under the MBS, however some women in the proposed population for CVR may be eligible (e.g. those with</w:t>
      </w:r>
      <w:r w:rsidR="008D1419" w:rsidRPr="006B682B">
        <w:t xml:space="preserve"> a proven malabsorptive disorder).</w:t>
      </w:r>
    </w:p>
    <w:p w14:paraId="392CF418" w14:textId="77777777" w:rsidR="00DF560E" w:rsidRPr="00DA016F" w:rsidRDefault="73C2B8D6" w:rsidP="00473AA4">
      <w:pPr>
        <w:pStyle w:val="3-BodyText"/>
      </w:pPr>
      <w:r w:rsidRPr="0B5D70EC">
        <w:t xml:space="preserve">Both of these costs should have been included at 80% of the MBS items, not 100%. </w:t>
      </w:r>
    </w:p>
    <w:p w14:paraId="026CA1FE" w14:textId="3BD3F64D" w:rsidR="0016609F" w:rsidRPr="0016609F" w:rsidRDefault="00D034D8" w:rsidP="00473AA4">
      <w:pPr>
        <w:pStyle w:val="3-BodyText"/>
      </w:pPr>
      <w:r>
        <w:t xml:space="preserve">No evidence was presented to support the claimed cost offset of 6.1% of the annual AEMP with respect to the </w:t>
      </w:r>
      <w:r w:rsidR="007A41DE">
        <w:t>"</w:t>
      </w:r>
      <w:r>
        <w:t>additional indirect benefits</w:t>
      </w:r>
      <w:r w:rsidR="007A41DE">
        <w:t>"</w:t>
      </w:r>
      <w:r>
        <w:t>. The results of the analysis as presented in the submission and as corrected</w:t>
      </w:r>
      <w:r w:rsidR="007F7AEE">
        <w:t xml:space="preserve"> </w:t>
      </w:r>
      <w:r>
        <w:t xml:space="preserve">during the evaluation are shown in </w:t>
      </w:r>
      <w:r w:rsidR="00117B58">
        <w:fldChar w:fldCharType="begin"/>
      </w:r>
      <w:r w:rsidR="00117B58">
        <w:instrText xml:space="preserve"> REF _Ref188958523 \h </w:instrText>
      </w:r>
      <w:r w:rsidR="00117B58">
        <w:fldChar w:fldCharType="separate"/>
      </w:r>
      <w:r w:rsidR="00896E34">
        <w:t xml:space="preserve">Table </w:t>
      </w:r>
      <w:r w:rsidR="00896E34">
        <w:rPr>
          <w:noProof/>
        </w:rPr>
        <w:t>9</w:t>
      </w:r>
      <w:r w:rsidR="00117B58">
        <w:fldChar w:fldCharType="end"/>
      </w:r>
      <w:r>
        <w:t xml:space="preserve">. </w:t>
      </w:r>
    </w:p>
    <w:p w14:paraId="6CC68AC1" w14:textId="6F3C64A5" w:rsidR="0000418B" w:rsidRDefault="00117B58" w:rsidP="00117B58">
      <w:pPr>
        <w:pStyle w:val="Caption"/>
        <w:rPr>
          <w:rStyle w:val="CommentReference"/>
          <w:b/>
          <w:szCs w:val="24"/>
        </w:rPr>
      </w:pPr>
      <w:bookmarkStart w:id="42" w:name="_Ref188958523"/>
      <w:r>
        <w:lastRenderedPageBreak/>
        <w:t xml:space="preserve">Table </w:t>
      </w:r>
      <w:r w:rsidR="005E2A18">
        <w:fldChar w:fldCharType="begin"/>
      </w:r>
      <w:r w:rsidR="005E2A18">
        <w:instrText xml:space="preserve"> SEQ Table \* ARABIC </w:instrText>
      </w:r>
      <w:r w:rsidR="005E2A18">
        <w:fldChar w:fldCharType="separate"/>
      </w:r>
      <w:r w:rsidR="00896E34">
        <w:rPr>
          <w:noProof/>
        </w:rPr>
        <w:t>9</w:t>
      </w:r>
      <w:r w:rsidR="005E2A18">
        <w:rPr>
          <w:noProof/>
        </w:rPr>
        <w:fldChar w:fldCharType="end"/>
      </w:r>
      <w:bookmarkEnd w:id="42"/>
      <w:r>
        <w:t xml:space="preserve">: </w:t>
      </w:r>
      <w:r w:rsidR="00D034D8" w:rsidRPr="0098262F">
        <w:rPr>
          <w:rStyle w:val="CommentReference"/>
          <w:b/>
          <w:szCs w:val="24"/>
        </w:rPr>
        <w:t>Results of the cost-minimisation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134"/>
        <w:gridCol w:w="1134"/>
        <w:gridCol w:w="1559"/>
        <w:gridCol w:w="1651"/>
      </w:tblGrid>
      <w:tr w:rsidR="00483405" w:rsidRPr="00644D94" w14:paraId="580F69EE" w14:textId="42D75BAB" w:rsidTr="006C6880">
        <w:trPr>
          <w:trHeight w:val="227"/>
        </w:trPr>
        <w:tc>
          <w:tcPr>
            <w:tcW w:w="3539" w:type="dxa"/>
            <w:shd w:val="clear" w:color="auto" w:fill="auto"/>
            <w:noWrap/>
            <w:vAlign w:val="bottom"/>
            <w:hideMark/>
          </w:tcPr>
          <w:p w14:paraId="6A72ADEB" w14:textId="77777777" w:rsidR="00483405" w:rsidRPr="00644D94" w:rsidRDefault="00483405" w:rsidP="0000418B">
            <w:pPr>
              <w:pStyle w:val="TableText0"/>
              <w:rPr>
                <w:szCs w:val="20"/>
              </w:rPr>
            </w:pPr>
          </w:p>
        </w:tc>
        <w:tc>
          <w:tcPr>
            <w:tcW w:w="1134" w:type="dxa"/>
            <w:shd w:val="clear" w:color="auto" w:fill="auto"/>
            <w:noWrap/>
            <w:vAlign w:val="bottom"/>
            <w:hideMark/>
          </w:tcPr>
          <w:p w14:paraId="4C870AA7" w14:textId="77777777" w:rsidR="00483405" w:rsidRPr="00644D94" w:rsidRDefault="00483405" w:rsidP="00483405">
            <w:pPr>
              <w:pStyle w:val="In-tableHeading"/>
              <w:rPr>
                <w:szCs w:val="20"/>
              </w:rPr>
            </w:pPr>
            <w:r w:rsidRPr="00644D94">
              <w:rPr>
                <w:szCs w:val="20"/>
              </w:rPr>
              <w:t>DMPA</w:t>
            </w:r>
          </w:p>
        </w:tc>
        <w:tc>
          <w:tcPr>
            <w:tcW w:w="1134" w:type="dxa"/>
            <w:shd w:val="clear" w:color="auto" w:fill="auto"/>
            <w:noWrap/>
            <w:vAlign w:val="bottom"/>
            <w:hideMark/>
          </w:tcPr>
          <w:p w14:paraId="73B0934A" w14:textId="4E3CEA25" w:rsidR="00483405" w:rsidRPr="00644D94" w:rsidRDefault="00DF560E" w:rsidP="00483405">
            <w:pPr>
              <w:pStyle w:val="In-tableHeading"/>
              <w:rPr>
                <w:szCs w:val="20"/>
              </w:rPr>
            </w:pPr>
            <w:r w:rsidRPr="00644D94">
              <w:rPr>
                <w:szCs w:val="20"/>
              </w:rPr>
              <w:t>CVR</w:t>
            </w:r>
          </w:p>
        </w:tc>
        <w:tc>
          <w:tcPr>
            <w:tcW w:w="1559" w:type="dxa"/>
            <w:vAlign w:val="bottom"/>
          </w:tcPr>
          <w:p w14:paraId="6B05DC7C" w14:textId="316D0BEB" w:rsidR="00483405" w:rsidRPr="00644D94" w:rsidRDefault="00650313" w:rsidP="00483405">
            <w:pPr>
              <w:pStyle w:val="In-tableHeading"/>
              <w:rPr>
                <w:szCs w:val="20"/>
              </w:rPr>
            </w:pPr>
            <w:r w:rsidRPr="00644D94">
              <w:rPr>
                <w:szCs w:val="20"/>
              </w:rPr>
              <w:t>DMPA</w:t>
            </w:r>
            <w:r w:rsidR="00483405" w:rsidRPr="00644D94">
              <w:rPr>
                <w:szCs w:val="20"/>
              </w:rPr>
              <w:t xml:space="preserve"> </w:t>
            </w:r>
          </w:p>
        </w:tc>
        <w:tc>
          <w:tcPr>
            <w:tcW w:w="1651" w:type="dxa"/>
            <w:vAlign w:val="bottom"/>
          </w:tcPr>
          <w:p w14:paraId="5AE4813E" w14:textId="0A3DD362" w:rsidR="00483405" w:rsidRPr="00644D94" w:rsidRDefault="00DF560E" w:rsidP="00483405">
            <w:pPr>
              <w:pStyle w:val="In-tableHeading"/>
              <w:rPr>
                <w:szCs w:val="20"/>
              </w:rPr>
            </w:pPr>
            <w:r w:rsidRPr="00644D94">
              <w:rPr>
                <w:szCs w:val="20"/>
              </w:rPr>
              <w:t>CVR</w:t>
            </w:r>
          </w:p>
        </w:tc>
      </w:tr>
      <w:tr w:rsidR="00483405" w:rsidRPr="00644D94" w14:paraId="7BD0911D" w14:textId="77777777" w:rsidTr="006C6880">
        <w:trPr>
          <w:trHeight w:val="227"/>
        </w:trPr>
        <w:tc>
          <w:tcPr>
            <w:tcW w:w="3539" w:type="dxa"/>
            <w:shd w:val="clear" w:color="auto" w:fill="auto"/>
            <w:noWrap/>
            <w:vAlign w:val="bottom"/>
          </w:tcPr>
          <w:p w14:paraId="1F97767E" w14:textId="77777777" w:rsidR="00483405" w:rsidRPr="00644D94" w:rsidRDefault="00483405" w:rsidP="0000418B">
            <w:pPr>
              <w:pStyle w:val="TableText0"/>
              <w:rPr>
                <w:szCs w:val="20"/>
              </w:rPr>
            </w:pPr>
          </w:p>
        </w:tc>
        <w:tc>
          <w:tcPr>
            <w:tcW w:w="1134" w:type="dxa"/>
            <w:shd w:val="clear" w:color="auto" w:fill="auto"/>
            <w:noWrap/>
            <w:vAlign w:val="bottom"/>
          </w:tcPr>
          <w:p w14:paraId="10A99053" w14:textId="77777777" w:rsidR="00483405" w:rsidRPr="00644D94" w:rsidRDefault="00483405" w:rsidP="00483405">
            <w:pPr>
              <w:pStyle w:val="In-tableHeading"/>
              <w:rPr>
                <w:szCs w:val="20"/>
              </w:rPr>
            </w:pPr>
          </w:p>
        </w:tc>
        <w:tc>
          <w:tcPr>
            <w:tcW w:w="1134" w:type="dxa"/>
            <w:shd w:val="clear" w:color="auto" w:fill="auto"/>
            <w:noWrap/>
            <w:vAlign w:val="bottom"/>
          </w:tcPr>
          <w:p w14:paraId="54127DBE" w14:textId="77777777" w:rsidR="00483405" w:rsidRPr="00644D94" w:rsidRDefault="00483405" w:rsidP="00483405">
            <w:pPr>
              <w:pStyle w:val="In-tableHeading"/>
              <w:rPr>
                <w:szCs w:val="20"/>
              </w:rPr>
            </w:pPr>
          </w:p>
        </w:tc>
        <w:tc>
          <w:tcPr>
            <w:tcW w:w="3210" w:type="dxa"/>
            <w:gridSpan w:val="2"/>
          </w:tcPr>
          <w:p w14:paraId="08F00A87" w14:textId="624C7FC6" w:rsidR="00483405" w:rsidRPr="00644D94" w:rsidRDefault="00483405" w:rsidP="00483405">
            <w:pPr>
              <w:pStyle w:val="In-tableHeading"/>
              <w:rPr>
                <w:b w:val="0"/>
                <w:bCs/>
                <w:szCs w:val="20"/>
              </w:rPr>
            </w:pPr>
            <w:r w:rsidRPr="00644D94">
              <w:rPr>
                <w:b w:val="0"/>
                <w:bCs/>
                <w:szCs w:val="20"/>
              </w:rPr>
              <w:t>Corrected values</w:t>
            </w:r>
            <w:r w:rsidR="0053245C" w:rsidRPr="00644D94">
              <w:rPr>
                <w:b w:val="0"/>
                <w:bCs/>
                <w:szCs w:val="20"/>
              </w:rPr>
              <w:t>*</w:t>
            </w:r>
          </w:p>
        </w:tc>
      </w:tr>
      <w:tr w:rsidR="00483405" w:rsidRPr="00644D94" w14:paraId="2772CA67" w14:textId="0B3F045D" w:rsidTr="006C6880">
        <w:trPr>
          <w:trHeight w:val="227"/>
        </w:trPr>
        <w:tc>
          <w:tcPr>
            <w:tcW w:w="3539" w:type="dxa"/>
            <w:shd w:val="clear" w:color="auto" w:fill="auto"/>
            <w:noWrap/>
            <w:vAlign w:val="bottom"/>
            <w:hideMark/>
          </w:tcPr>
          <w:p w14:paraId="625FA673" w14:textId="77777777" w:rsidR="00483405" w:rsidRPr="00644D94" w:rsidRDefault="00483405" w:rsidP="0000418B">
            <w:pPr>
              <w:pStyle w:val="TableText0"/>
              <w:rPr>
                <w:szCs w:val="20"/>
              </w:rPr>
            </w:pPr>
            <w:r w:rsidRPr="00644D94">
              <w:rPr>
                <w:szCs w:val="20"/>
              </w:rPr>
              <w:t>Pack size</w:t>
            </w:r>
          </w:p>
        </w:tc>
        <w:tc>
          <w:tcPr>
            <w:tcW w:w="1134" w:type="dxa"/>
            <w:shd w:val="clear" w:color="auto" w:fill="auto"/>
            <w:noWrap/>
            <w:vAlign w:val="bottom"/>
            <w:hideMark/>
          </w:tcPr>
          <w:p w14:paraId="0A818590" w14:textId="77777777" w:rsidR="00483405" w:rsidRPr="00644D94" w:rsidRDefault="00483405" w:rsidP="0000418B">
            <w:pPr>
              <w:pStyle w:val="TableText0"/>
              <w:rPr>
                <w:szCs w:val="20"/>
              </w:rPr>
            </w:pPr>
            <w:r w:rsidRPr="00644D94">
              <w:rPr>
                <w:szCs w:val="20"/>
              </w:rPr>
              <w:t>1</w:t>
            </w:r>
          </w:p>
        </w:tc>
        <w:tc>
          <w:tcPr>
            <w:tcW w:w="1134" w:type="dxa"/>
            <w:shd w:val="clear" w:color="auto" w:fill="auto"/>
            <w:noWrap/>
            <w:vAlign w:val="bottom"/>
            <w:hideMark/>
          </w:tcPr>
          <w:p w14:paraId="25ED9B7D" w14:textId="77777777" w:rsidR="00483405" w:rsidRPr="00644D94" w:rsidRDefault="00483405" w:rsidP="0000418B">
            <w:pPr>
              <w:pStyle w:val="TableText0"/>
              <w:rPr>
                <w:szCs w:val="20"/>
              </w:rPr>
            </w:pPr>
            <w:r w:rsidRPr="00644D94">
              <w:rPr>
                <w:szCs w:val="20"/>
              </w:rPr>
              <w:t>3</w:t>
            </w:r>
          </w:p>
        </w:tc>
        <w:tc>
          <w:tcPr>
            <w:tcW w:w="1559" w:type="dxa"/>
          </w:tcPr>
          <w:p w14:paraId="21914A02" w14:textId="4894CA7D" w:rsidR="00483405" w:rsidRPr="00644D94" w:rsidRDefault="00483405" w:rsidP="0000418B">
            <w:pPr>
              <w:pStyle w:val="TableText0"/>
              <w:rPr>
                <w:szCs w:val="20"/>
              </w:rPr>
            </w:pPr>
          </w:p>
        </w:tc>
        <w:tc>
          <w:tcPr>
            <w:tcW w:w="1651" w:type="dxa"/>
          </w:tcPr>
          <w:p w14:paraId="0B97194A" w14:textId="7CDD15A8" w:rsidR="00483405" w:rsidRPr="00644D94" w:rsidRDefault="00483405" w:rsidP="0000418B">
            <w:pPr>
              <w:pStyle w:val="TableText0"/>
              <w:rPr>
                <w:szCs w:val="20"/>
              </w:rPr>
            </w:pPr>
          </w:p>
        </w:tc>
      </w:tr>
      <w:tr w:rsidR="00483405" w:rsidRPr="00644D94" w14:paraId="483428A5" w14:textId="3EB1D385" w:rsidTr="006C6880">
        <w:trPr>
          <w:trHeight w:val="227"/>
        </w:trPr>
        <w:tc>
          <w:tcPr>
            <w:tcW w:w="3539" w:type="dxa"/>
            <w:shd w:val="clear" w:color="auto" w:fill="auto"/>
            <w:noWrap/>
            <w:vAlign w:val="bottom"/>
            <w:hideMark/>
          </w:tcPr>
          <w:p w14:paraId="79CB8989" w14:textId="77777777" w:rsidR="00483405" w:rsidRPr="00644D94" w:rsidRDefault="00483405" w:rsidP="0000418B">
            <w:pPr>
              <w:pStyle w:val="TableText0"/>
              <w:rPr>
                <w:szCs w:val="20"/>
              </w:rPr>
            </w:pPr>
            <w:r w:rsidRPr="00644D94">
              <w:rPr>
                <w:szCs w:val="20"/>
              </w:rPr>
              <w:t>Max Quantity</w:t>
            </w:r>
          </w:p>
        </w:tc>
        <w:tc>
          <w:tcPr>
            <w:tcW w:w="1134" w:type="dxa"/>
            <w:shd w:val="clear" w:color="auto" w:fill="auto"/>
            <w:noWrap/>
            <w:vAlign w:val="bottom"/>
            <w:hideMark/>
          </w:tcPr>
          <w:p w14:paraId="10684ED9" w14:textId="77777777" w:rsidR="00483405" w:rsidRPr="00644D94" w:rsidRDefault="00483405" w:rsidP="0000418B">
            <w:pPr>
              <w:pStyle w:val="TableText0"/>
              <w:rPr>
                <w:szCs w:val="20"/>
              </w:rPr>
            </w:pPr>
            <w:r w:rsidRPr="00644D94">
              <w:rPr>
                <w:szCs w:val="20"/>
              </w:rPr>
              <w:t>1</w:t>
            </w:r>
          </w:p>
        </w:tc>
        <w:tc>
          <w:tcPr>
            <w:tcW w:w="1134" w:type="dxa"/>
            <w:shd w:val="clear" w:color="auto" w:fill="auto"/>
            <w:noWrap/>
            <w:vAlign w:val="bottom"/>
            <w:hideMark/>
          </w:tcPr>
          <w:p w14:paraId="0CA59AE6" w14:textId="77777777" w:rsidR="00483405" w:rsidRPr="00644D94" w:rsidRDefault="00483405" w:rsidP="0000418B">
            <w:pPr>
              <w:pStyle w:val="TableText0"/>
              <w:rPr>
                <w:szCs w:val="20"/>
              </w:rPr>
            </w:pPr>
            <w:r w:rsidRPr="00644D94">
              <w:rPr>
                <w:szCs w:val="20"/>
              </w:rPr>
              <w:t>1</w:t>
            </w:r>
          </w:p>
        </w:tc>
        <w:tc>
          <w:tcPr>
            <w:tcW w:w="1559" w:type="dxa"/>
          </w:tcPr>
          <w:p w14:paraId="31465948" w14:textId="0F28EC03" w:rsidR="00483405" w:rsidRPr="00644D94" w:rsidRDefault="00483405" w:rsidP="0000418B">
            <w:pPr>
              <w:pStyle w:val="TableText0"/>
              <w:rPr>
                <w:szCs w:val="20"/>
              </w:rPr>
            </w:pPr>
          </w:p>
        </w:tc>
        <w:tc>
          <w:tcPr>
            <w:tcW w:w="1651" w:type="dxa"/>
          </w:tcPr>
          <w:p w14:paraId="470C7287" w14:textId="242A110E" w:rsidR="00483405" w:rsidRPr="00644D94" w:rsidRDefault="00483405" w:rsidP="0000418B">
            <w:pPr>
              <w:pStyle w:val="TableText0"/>
              <w:rPr>
                <w:szCs w:val="20"/>
              </w:rPr>
            </w:pPr>
          </w:p>
        </w:tc>
      </w:tr>
      <w:tr w:rsidR="00483405" w:rsidRPr="00644D94" w14:paraId="72F0A06C" w14:textId="43927D62" w:rsidTr="006C6880">
        <w:trPr>
          <w:trHeight w:val="227"/>
        </w:trPr>
        <w:tc>
          <w:tcPr>
            <w:tcW w:w="3539" w:type="dxa"/>
            <w:shd w:val="clear" w:color="auto" w:fill="auto"/>
            <w:noWrap/>
            <w:vAlign w:val="bottom"/>
            <w:hideMark/>
          </w:tcPr>
          <w:p w14:paraId="14081989" w14:textId="77777777" w:rsidR="00483405" w:rsidRPr="00644D94" w:rsidRDefault="00483405" w:rsidP="0000418B">
            <w:pPr>
              <w:pStyle w:val="TableText0"/>
              <w:rPr>
                <w:szCs w:val="20"/>
              </w:rPr>
            </w:pPr>
            <w:r w:rsidRPr="00644D94">
              <w:rPr>
                <w:szCs w:val="20"/>
              </w:rPr>
              <w:t>Max Repeats</w:t>
            </w:r>
          </w:p>
        </w:tc>
        <w:tc>
          <w:tcPr>
            <w:tcW w:w="1134" w:type="dxa"/>
            <w:shd w:val="clear" w:color="auto" w:fill="auto"/>
            <w:noWrap/>
            <w:vAlign w:val="bottom"/>
            <w:hideMark/>
          </w:tcPr>
          <w:p w14:paraId="15C85D36" w14:textId="77777777" w:rsidR="00483405" w:rsidRPr="00644D94" w:rsidRDefault="00483405" w:rsidP="0000418B">
            <w:pPr>
              <w:pStyle w:val="TableText0"/>
              <w:rPr>
                <w:szCs w:val="20"/>
              </w:rPr>
            </w:pPr>
            <w:r w:rsidRPr="00644D94">
              <w:rPr>
                <w:szCs w:val="20"/>
              </w:rPr>
              <w:t>1</w:t>
            </w:r>
          </w:p>
        </w:tc>
        <w:tc>
          <w:tcPr>
            <w:tcW w:w="1134" w:type="dxa"/>
            <w:shd w:val="clear" w:color="auto" w:fill="auto"/>
            <w:noWrap/>
            <w:vAlign w:val="bottom"/>
            <w:hideMark/>
          </w:tcPr>
          <w:p w14:paraId="42AC9C2F" w14:textId="77777777" w:rsidR="00483405" w:rsidRPr="00644D94" w:rsidRDefault="00483405" w:rsidP="0000418B">
            <w:pPr>
              <w:pStyle w:val="TableText0"/>
              <w:rPr>
                <w:szCs w:val="20"/>
              </w:rPr>
            </w:pPr>
            <w:r w:rsidRPr="00644D94">
              <w:rPr>
                <w:szCs w:val="20"/>
              </w:rPr>
              <w:t>3</w:t>
            </w:r>
          </w:p>
        </w:tc>
        <w:tc>
          <w:tcPr>
            <w:tcW w:w="1559" w:type="dxa"/>
          </w:tcPr>
          <w:p w14:paraId="7793B25B" w14:textId="028F2F45" w:rsidR="00483405" w:rsidRPr="00644D94" w:rsidRDefault="00483405" w:rsidP="0000418B">
            <w:pPr>
              <w:pStyle w:val="TableText0"/>
              <w:rPr>
                <w:szCs w:val="20"/>
              </w:rPr>
            </w:pPr>
          </w:p>
        </w:tc>
        <w:tc>
          <w:tcPr>
            <w:tcW w:w="1651" w:type="dxa"/>
          </w:tcPr>
          <w:p w14:paraId="65E0F85C" w14:textId="4A1509E9" w:rsidR="00483405" w:rsidRPr="00644D94" w:rsidRDefault="00483405" w:rsidP="0000418B">
            <w:pPr>
              <w:pStyle w:val="TableText0"/>
              <w:rPr>
                <w:szCs w:val="20"/>
              </w:rPr>
            </w:pPr>
          </w:p>
        </w:tc>
      </w:tr>
      <w:tr w:rsidR="00483405" w:rsidRPr="00644D94" w14:paraId="0D9D5303" w14:textId="02A4C083" w:rsidTr="006C6880">
        <w:trPr>
          <w:trHeight w:val="227"/>
        </w:trPr>
        <w:tc>
          <w:tcPr>
            <w:tcW w:w="3539" w:type="dxa"/>
            <w:shd w:val="clear" w:color="auto" w:fill="auto"/>
            <w:noWrap/>
            <w:vAlign w:val="bottom"/>
            <w:hideMark/>
          </w:tcPr>
          <w:p w14:paraId="144737EA" w14:textId="77777777" w:rsidR="00483405" w:rsidRPr="00644D94" w:rsidRDefault="00483405" w:rsidP="0000418B">
            <w:pPr>
              <w:pStyle w:val="TableText0"/>
              <w:rPr>
                <w:szCs w:val="20"/>
              </w:rPr>
            </w:pPr>
            <w:r w:rsidRPr="00644D94">
              <w:rPr>
                <w:szCs w:val="20"/>
              </w:rPr>
              <w:t>AEMP per Q12W</w:t>
            </w:r>
          </w:p>
        </w:tc>
        <w:tc>
          <w:tcPr>
            <w:tcW w:w="1134" w:type="dxa"/>
            <w:shd w:val="clear" w:color="auto" w:fill="auto"/>
            <w:noWrap/>
            <w:vAlign w:val="bottom"/>
            <w:hideMark/>
          </w:tcPr>
          <w:p w14:paraId="0B38B60C" w14:textId="6E4231F8" w:rsidR="00483405" w:rsidRPr="001E41CC" w:rsidRDefault="00483405" w:rsidP="0000418B">
            <w:pPr>
              <w:pStyle w:val="TableText0"/>
              <w:rPr>
                <w:szCs w:val="20"/>
              </w:rPr>
            </w:pPr>
            <w:r w:rsidRPr="001E41CC">
              <w:rPr>
                <w:szCs w:val="20"/>
              </w:rPr>
              <w:t>$13.14</w:t>
            </w:r>
          </w:p>
        </w:tc>
        <w:tc>
          <w:tcPr>
            <w:tcW w:w="1134" w:type="dxa"/>
            <w:shd w:val="clear" w:color="auto" w:fill="auto"/>
            <w:noWrap/>
            <w:vAlign w:val="bottom"/>
            <w:hideMark/>
          </w:tcPr>
          <w:p w14:paraId="19AC9A04" w14:textId="0D0BECFB" w:rsidR="00483405" w:rsidRPr="001E41CC" w:rsidRDefault="00483405" w:rsidP="0000418B">
            <w:pPr>
              <w:pStyle w:val="TableText0"/>
              <w:rPr>
                <w:szCs w:val="20"/>
              </w:rPr>
            </w:pPr>
            <w:r w:rsidRPr="001E41CC">
              <w:rPr>
                <w:szCs w:val="20"/>
              </w:rPr>
              <w:t>$67.98</w:t>
            </w:r>
          </w:p>
        </w:tc>
        <w:tc>
          <w:tcPr>
            <w:tcW w:w="1559" w:type="dxa"/>
            <w:vAlign w:val="bottom"/>
          </w:tcPr>
          <w:p w14:paraId="20D2F20F" w14:textId="7B36DB7C" w:rsidR="00483405" w:rsidRPr="001E41CC" w:rsidRDefault="00483405" w:rsidP="0000418B">
            <w:pPr>
              <w:pStyle w:val="TableText0"/>
              <w:rPr>
                <w:szCs w:val="20"/>
              </w:rPr>
            </w:pPr>
          </w:p>
        </w:tc>
        <w:tc>
          <w:tcPr>
            <w:tcW w:w="1651" w:type="dxa"/>
            <w:vAlign w:val="bottom"/>
          </w:tcPr>
          <w:p w14:paraId="057A01F6" w14:textId="477F6043" w:rsidR="00483405" w:rsidRPr="001E41CC" w:rsidRDefault="00483405" w:rsidP="0000418B">
            <w:pPr>
              <w:pStyle w:val="TableText0"/>
              <w:rPr>
                <w:szCs w:val="20"/>
              </w:rPr>
            </w:pPr>
            <w:r w:rsidRPr="001E41CC">
              <w:rPr>
                <w:szCs w:val="20"/>
              </w:rPr>
              <w:t>$</w:t>
            </w:r>
            <w:r w:rsidR="005E2A18" w:rsidRPr="001E41CC">
              <w:rPr>
                <w:szCs w:val="20"/>
              </w:rPr>
              <w:t>54.35</w:t>
            </w:r>
          </w:p>
        </w:tc>
      </w:tr>
      <w:tr w:rsidR="00483405" w:rsidRPr="00644D94" w14:paraId="1727E7E5" w14:textId="34A9FFD4" w:rsidTr="006C6880">
        <w:trPr>
          <w:trHeight w:val="227"/>
        </w:trPr>
        <w:tc>
          <w:tcPr>
            <w:tcW w:w="3539" w:type="dxa"/>
            <w:shd w:val="clear" w:color="auto" w:fill="auto"/>
            <w:noWrap/>
            <w:vAlign w:val="bottom"/>
            <w:hideMark/>
          </w:tcPr>
          <w:p w14:paraId="67865F79" w14:textId="77777777" w:rsidR="00483405" w:rsidRPr="00644D94" w:rsidRDefault="00483405" w:rsidP="0000418B">
            <w:pPr>
              <w:pStyle w:val="TableText0"/>
              <w:rPr>
                <w:szCs w:val="20"/>
              </w:rPr>
            </w:pPr>
            <w:r w:rsidRPr="00644D94">
              <w:rPr>
                <w:szCs w:val="20"/>
              </w:rPr>
              <w:t>DPMQ per Q12W</w:t>
            </w:r>
          </w:p>
        </w:tc>
        <w:tc>
          <w:tcPr>
            <w:tcW w:w="1134" w:type="dxa"/>
            <w:shd w:val="clear" w:color="auto" w:fill="auto"/>
            <w:noWrap/>
            <w:vAlign w:val="bottom"/>
            <w:hideMark/>
          </w:tcPr>
          <w:p w14:paraId="29098671" w14:textId="69604238" w:rsidR="00483405" w:rsidRPr="001E41CC" w:rsidRDefault="00483405" w:rsidP="0000418B">
            <w:pPr>
              <w:pStyle w:val="TableText0"/>
              <w:rPr>
                <w:szCs w:val="20"/>
              </w:rPr>
            </w:pPr>
            <w:r w:rsidRPr="001E41CC">
              <w:rPr>
                <w:szCs w:val="20"/>
              </w:rPr>
              <w:t>$27.59</w:t>
            </w:r>
          </w:p>
        </w:tc>
        <w:tc>
          <w:tcPr>
            <w:tcW w:w="1134" w:type="dxa"/>
            <w:shd w:val="clear" w:color="auto" w:fill="auto"/>
            <w:noWrap/>
            <w:vAlign w:val="bottom"/>
            <w:hideMark/>
          </w:tcPr>
          <w:p w14:paraId="6D775C96" w14:textId="78109E75" w:rsidR="00483405" w:rsidRPr="001E41CC" w:rsidRDefault="00483405" w:rsidP="0000418B">
            <w:pPr>
              <w:pStyle w:val="TableText0"/>
              <w:rPr>
                <w:szCs w:val="20"/>
              </w:rPr>
            </w:pPr>
            <w:r w:rsidRPr="001E41CC">
              <w:rPr>
                <w:szCs w:val="20"/>
              </w:rPr>
              <w:t>$86.55</w:t>
            </w:r>
          </w:p>
        </w:tc>
        <w:tc>
          <w:tcPr>
            <w:tcW w:w="1559" w:type="dxa"/>
            <w:vAlign w:val="bottom"/>
          </w:tcPr>
          <w:p w14:paraId="392D3240" w14:textId="77777777" w:rsidR="00483405" w:rsidRPr="001E41CC" w:rsidRDefault="00483405" w:rsidP="0000418B">
            <w:pPr>
              <w:pStyle w:val="TableText0"/>
              <w:rPr>
                <w:szCs w:val="20"/>
              </w:rPr>
            </w:pPr>
          </w:p>
        </w:tc>
        <w:tc>
          <w:tcPr>
            <w:tcW w:w="1651" w:type="dxa"/>
            <w:vAlign w:val="bottom"/>
          </w:tcPr>
          <w:p w14:paraId="78C84119" w14:textId="62E1F625" w:rsidR="00483405" w:rsidRPr="001E41CC" w:rsidRDefault="005E2A18" w:rsidP="0000418B">
            <w:pPr>
              <w:pStyle w:val="TableText0"/>
              <w:rPr>
                <w:szCs w:val="20"/>
              </w:rPr>
            </w:pPr>
            <w:r w:rsidRPr="001E41CC">
              <w:rPr>
                <w:szCs w:val="20"/>
              </w:rPr>
              <w:t>$71.90</w:t>
            </w:r>
          </w:p>
        </w:tc>
      </w:tr>
      <w:tr w:rsidR="00483405" w:rsidRPr="00644D94" w14:paraId="62530A33" w14:textId="35765385" w:rsidTr="006C6880">
        <w:trPr>
          <w:trHeight w:val="227"/>
        </w:trPr>
        <w:tc>
          <w:tcPr>
            <w:tcW w:w="3539" w:type="dxa"/>
            <w:shd w:val="clear" w:color="auto" w:fill="auto"/>
            <w:noWrap/>
            <w:vAlign w:val="bottom"/>
            <w:hideMark/>
          </w:tcPr>
          <w:p w14:paraId="70F80A57" w14:textId="77777777" w:rsidR="00483405" w:rsidRPr="00644D94" w:rsidRDefault="00483405" w:rsidP="0000418B">
            <w:pPr>
              <w:pStyle w:val="TableText0"/>
              <w:rPr>
                <w:szCs w:val="20"/>
              </w:rPr>
            </w:pPr>
            <w:r w:rsidRPr="00644D94">
              <w:rPr>
                <w:szCs w:val="20"/>
              </w:rPr>
              <w:t> </w:t>
            </w:r>
          </w:p>
        </w:tc>
        <w:tc>
          <w:tcPr>
            <w:tcW w:w="1134" w:type="dxa"/>
            <w:shd w:val="clear" w:color="auto" w:fill="auto"/>
            <w:noWrap/>
            <w:vAlign w:val="bottom"/>
            <w:hideMark/>
          </w:tcPr>
          <w:p w14:paraId="76B196C0" w14:textId="77777777" w:rsidR="00483405" w:rsidRPr="001E41CC" w:rsidRDefault="00483405" w:rsidP="0000418B">
            <w:pPr>
              <w:pStyle w:val="TableText0"/>
              <w:rPr>
                <w:szCs w:val="20"/>
              </w:rPr>
            </w:pPr>
          </w:p>
        </w:tc>
        <w:tc>
          <w:tcPr>
            <w:tcW w:w="1134" w:type="dxa"/>
            <w:shd w:val="clear" w:color="auto" w:fill="auto"/>
            <w:noWrap/>
            <w:vAlign w:val="bottom"/>
            <w:hideMark/>
          </w:tcPr>
          <w:p w14:paraId="15F13A37" w14:textId="77777777" w:rsidR="00483405" w:rsidRPr="001E41CC" w:rsidRDefault="00483405" w:rsidP="0000418B">
            <w:pPr>
              <w:pStyle w:val="TableText0"/>
              <w:rPr>
                <w:szCs w:val="20"/>
              </w:rPr>
            </w:pPr>
          </w:p>
        </w:tc>
        <w:tc>
          <w:tcPr>
            <w:tcW w:w="1559" w:type="dxa"/>
            <w:vAlign w:val="bottom"/>
          </w:tcPr>
          <w:p w14:paraId="57F34C8F" w14:textId="77777777" w:rsidR="00483405" w:rsidRPr="001E41CC" w:rsidRDefault="00483405" w:rsidP="0000418B">
            <w:pPr>
              <w:pStyle w:val="TableText0"/>
              <w:rPr>
                <w:szCs w:val="20"/>
              </w:rPr>
            </w:pPr>
          </w:p>
        </w:tc>
        <w:tc>
          <w:tcPr>
            <w:tcW w:w="1651" w:type="dxa"/>
            <w:vAlign w:val="bottom"/>
          </w:tcPr>
          <w:p w14:paraId="176EDD53" w14:textId="77777777" w:rsidR="00483405" w:rsidRPr="001E41CC" w:rsidRDefault="00483405" w:rsidP="0000418B">
            <w:pPr>
              <w:pStyle w:val="TableText0"/>
              <w:rPr>
                <w:szCs w:val="20"/>
              </w:rPr>
            </w:pPr>
          </w:p>
        </w:tc>
      </w:tr>
      <w:tr w:rsidR="00483405" w:rsidRPr="00644D94" w14:paraId="4229EB6D" w14:textId="132D81FC" w:rsidTr="006C6880">
        <w:trPr>
          <w:trHeight w:val="227"/>
        </w:trPr>
        <w:tc>
          <w:tcPr>
            <w:tcW w:w="3539" w:type="dxa"/>
            <w:shd w:val="clear" w:color="auto" w:fill="auto"/>
            <w:noWrap/>
            <w:vAlign w:val="bottom"/>
            <w:hideMark/>
          </w:tcPr>
          <w:p w14:paraId="26BB258A" w14:textId="77777777" w:rsidR="00483405" w:rsidRPr="00644D94" w:rsidRDefault="00483405" w:rsidP="0000418B">
            <w:pPr>
              <w:pStyle w:val="TableText0"/>
              <w:rPr>
                <w:szCs w:val="20"/>
              </w:rPr>
            </w:pPr>
            <w:r w:rsidRPr="00644D94">
              <w:rPr>
                <w:szCs w:val="20"/>
              </w:rPr>
              <w:t>GP consults/year</w:t>
            </w:r>
          </w:p>
        </w:tc>
        <w:tc>
          <w:tcPr>
            <w:tcW w:w="1134" w:type="dxa"/>
            <w:shd w:val="clear" w:color="auto" w:fill="auto"/>
            <w:noWrap/>
            <w:vAlign w:val="bottom"/>
            <w:hideMark/>
          </w:tcPr>
          <w:p w14:paraId="749BDEE5" w14:textId="77777777" w:rsidR="00483405" w:rsidRPr="001E41CC" w:rsidRDefault="00483405" w:rsidP="0000418B">
            <w:pPr>
              <w:pStyle w:val="TableText0"/>
              <w:rPr>
                <w:szCs w:val="20"/>
              </w:rPr>
            </w:pPr>
            <w:r w:rsidRPr="001E41CC">
              <w:rPr>
                <w:szCs w:val="20"/>
              </w:rPr>
              <w:t>4.8</w:t>
            </w:r>
          </w:p>
        </w:tc>
        <w:tc>
          <w:tcPr>
            <w:tcW w:w="1134" w:type="dxa"/>
            <w:shd w:val="clear" w:color="auto" w:fill="auto"/>
            <w:noWrap/>
            <w:vAlign w:val="bottom"/>
            <w:hideMark/>
          </w:tcPr>
          <w:p w14:paraId="1AC2E723" w14:textId="77777777" w:rsidR="00483405" w:rsidRPr="001E41CC" w:rsidRDefault="00483405" w:rsidP="0000418B">
            <w:pPr>
              <w:pStyle w:val="TableText0"/>
              <w:rPr>
                <w:szCs w:val="20"/>
              </w:rPr>
            </w:pPr>
            <w:r w:rsidRPr="001E41CC">
              <w:rPr>
                <w:szCs w:val="20"/>
              </w:rPr>
              <w:t>1</w:t>
            </w:r>
          </w:p>
        </w:tc>
        <w:tc>
          <w:tcPr>
            <w:tcW w:w="1559" w:type="dxa"/>
            <w:vAlign w:val="bottom"/>
          </w:tcPr>
          <w:p w14:paraId="71D7E52F" w14:textId="77777777" w:rsidR="00483405" w:rsidRPr="001E41CC" w:rsidRDefault="00483405" w:rsidP="0000418B">
            <w:pPr>
              <w:pStyle w:val="TableText0"/>
              <w:rPr>
                <w:szCs w:val="20"/>
              </w:rPr>
            </w:pPr>
          </w:p>
        </w:tc>
        <w:tc>
          <w:tcPr>
            <w:tcW w:w="1651" w:type="dxa"/>
            <w:vAlign w:val="bottom"/>
          </w:tcPr>
          <w:p w14:paraId="53E0694D" w14:textId="77777777" w:rsidR="00483405" w:rsidRPr="001E41CC" w:rsidRDefault="00483405" w:rsidP="0000418B">
            <w:pPr>
              <w:pStyle w:val="TableText0"/>
              <w:rPr>
                <w:szCs w:val="20"/>
              </w:rPr>
            </w:pPr>
          </w:p>
        </w:tc>
      </w:tr>
      <w:tr w:rsidR="00483405" w:rsidRPr="00644D94" w14:paraId="3E8072D0" w14:textId="6334971F" w:rsidTr="006C6880">
        <w:trPr>
          <w:trHeight w:val="227"/>
        </w:trPr>
        <w:tc>
          <w:tcPr>
            <w:tcW w:w="3539" w:type="dxa"/>
            <w:shd w:val="clear" w:color="auto" w:fill="auto"/>
            <w:noWrap/>
            <w:vAlign w:val="bottom"/>
            <w:hideMark/>
          </w:tcPr>
          <w:p w14:paraId="5D3999E6" w14:textId="77777777" w:rsidR="00483405" w:rsidRPr="00644D94" w:rsidRDefault="00483405" w:rsidP="0000418B">
            <w:pPr>
              <w:pStyle w:val="TableText0"/>
              <w:rPr>
                <w:szCs w:val="20"/>
              </w:rPr>
            </w:pPr>
            <w:r w:rsidRPr="00644D94">
              <w:rPr>
                <w:szCs w:val="20"/>
              </w:rPr>
              <w:t>GP Level B rebate (MBS item 23)</w:t>
            </w:r>
          </w:p>
        </w:tc>
        <w:tc>
          <w:tcPr>
            <w:tcW w:w="1134" w:type="dxa"/>
            <w:shd w:val="clear" w:color="auto" w:fill="auto"/>
            <w:noWrap/>
            <w:vAlign w:val="bottom"/>
            <w:hideMark/>
          </w:tcPr>
          <w:p w14:paraId="05D1FC94" w14:textId="4E5FE2BB" w:rsidR="00483405" w:rsidRPr="001E41CC" w:rsidRDefault="00483405" w:rsidP="0000418B">
            <w:pPr>
              <w:pStyle w:val="TableText0"/>
              <w:rPr>
                <w:szCs w:val="20"/>
              </w:rPr>
            </w:pPr>
            <w:r w:rsidRPr="001E41CC">
              <w:rPr>
                <w:szCs w:val="20"/>
              </w:rPr>
              <w:t>$42.85</w:t>
            </w:r>
          </w:p>
        </w:tc>
        <w:tc>
          <w:tcPr>
            <w:tcW w:w="1134" w:type="dxa"/>
            <w:shd w:val="clear" w:color="auto" w:fill="auto"/>
            <w:noWrap/>
            <w:vAlign w:val="bottom"/>
            <w:hideMark/>
          </w:tcPr>
          <w:p w14:paraId="63D35C15" w14:textId="02504DDF" w:rsidR="00483405" w:rsidRPr="001E41CC" w:rsidRDefault="00483405" w:rsidP="0000418B">
            <w:pPr>
              <w:pStyle w:val="TableText0"/>
              <w:rPr>
                <w:szCs w:val="20"/>
              </w:rPr>
            </w:pPr>
            <w:r w:rsidRPr="001E41CC">
              <w:rPr>
                <w:szCs w:val="20"/>
              </w:rPr>
              <w:t>$42.85</w:t>
            </w:r>
          </w:p>
        </w:tc>
        <w:tc>
          <w:tcPr>
            <w:tcW w:w="1559" w:type="dxa"/>
            <w:vAlign w:val="bottom"/>
          </w:tcPr>
          <w:p w14:paraId="0CD47EB3" w14:textId="13FCCED9" w:rsidR="00483405" w:rsidRPr="001E41CC" w:rsidRDefault="00483405" w:rsidP="0000418B">
            <w:pPr>
              <w:pStyle w:val="TableText0"/>
              <w:rPr>
                <w:szCs w:val="20"/>
              </w:rPr>
            </w:pPr>
            <w:r w:rsidRPr="001E41CC">
              <w:rPr>
                <w:szCs w:val="20"/>
              </w:rPr>
              <w:t>0.8*42.85=$34.28</w:t>
            </w:r>
          </w:p>
        </w:tc>
        <w:tc>
          <w:tcPr>
            <w:tcW w:w="1651" w:type="dxa"/>
            <w:vAlign w:val="bottom"/>
          </w:tcPr>
          <w:p w14:paraId="73966C88" w14:textId="331E2A09" w:rsidR="00483405" w:rsidRPr="001E41CC" w:rsidRDefault="00483405" w:rsidP="0000418B">
            <w:pPr>
              <w:pStyle w:val="TableText0"/>
              <w:rPr>
                <w:szCs w:val="20"/>
              </w:rPr>
            </w:pPr>
            <w:r w:rsidRPr="001E41CC">
              <w:rPr>
                <w:szCs w:val="20"/>
              </w:rPr>
              <w:t>0.8*42.85=$34.28</w:t>
            </w:r>
          </w:p>
        </w:tc>
      </w:tr>
      <w:tr w:rsidR="00483405" w:rsidRPr="00644D94" w14:paraId="46FBC5D4" w14:textId="6CCE894D" w:rsidTr="006C6880">
        <w:trPr>
          <w:trHeight w:val="227"/>
        </w:trPr>
        <w:tc>
          <w:tcPr>
            <w:tcW w:w="3539" w:type="dxa"/>
            <w:shd w:val="clear" w:color="auto" w:fill="auto"/>
            <w:noWrap/>
            <w:vAlign w:val="bottom"/>
            <w:hideMark/>
          </w:tcPr>
          <w:p w14:paraId="60C15F97" w14:textId="77777777" w:rsidR="00483405" w:rsidRPr="00644D94" w:rsidRDefault="00483405" w:rsidP="0000418B">
            <w:pPr>
              <w:pStyle w:val="TableText0"/>
              <w:rPr>
                <w:szCs w:val="20"/>
              </w:rPr>
            </w:pPr>
            <w:r w:rsidRPr="00644D94">
              <w:rPr>
                <w:szCs w:val="20"/>
              </w:rPr>
              <w:t> </w:t>
            </w:r>
          </w:p>
        </w:tc>
        <w:tc>
          <w:tcPr>
            <w:tcW w:w="1134" w:type="dxa"/>
            <w:shd w:val="clear" w:color="auto" w:fill="auto"/>
            <w:noWrap/>
            <w:vAlign w:val="bottom"/>
            <w:hideMark/>
          </w:tcPr>
          <w:p w14:paraId="757D0F60" w14:textId="77777777" w:rsidR="00483405" w:rsidRPr="001E41CC" w:rsidRDefault="00483405" w:rsidP="0000418B">
            <w:pPr>
              <w:pStyle w:val="TableText0"/>
              <w:rPr>
                <w:szCs w:val="20"/>
              </w:rPr>
            </w:pPr>
          </w:p>
        </w:tc>
        <w:tc>
          <w:tcPr>
            <w:tcW w:w="1134" w:type="dxa"/>
            <w:shd w:val="clear" w:color="auto" w:fill="auto"/>
            <w:noWrap/>
            <w:vAlign w:val="bottom"/>
            <w:hideMark/>
          </w:tcPr>
          <w:p w14:paraId="59C3C8D0" w14:textId="77777777" w:rsidR="00483405" w:rsidRPr="001E41CC" w:rsidRDefault="00483405" w:rsidP="0000418B">
            <w:pPr>
              <w:pStyle w:val="TableText0"/>
              <w:rPr>
                <w:szCs w:val="20"/>
              </w:rPr>
            </w:pPr>
          </w:p>
        </w:tc>
        <w:tc>
          <w:tcPr>
            <w:tcW w:w="1559" w:type="dxa"/>
            <w:vAlign w:val="bottom"/>
          </w:tcPr>
          <w:p w14:paraId="4B204655" w14:textId="77777777" w:rsidR="00483405" w:rsidRPr="001E41CC" w:rsidRDefault="00483405" w:rsidP="0000418B">
            <w:pPr>
              <w:pStyle w:val="TableText0"/>
              <w:rPr>
                <w:szCs w:val="20"/>
              </w:rPr>
            </w:pPr>
          </w:p>
        </w:tc>
        <w:tc>
          <w:tcPr>
            <w:tcW w:w="1651" w:type="dxa"/>
            <w:vAlign w:val="bottom"/>
          </w:tcPr>
          <w:p w14:paraId="4A763E64" w14:textId="77777777" w:rsidR="00483405" w:rsidRPr="001E41CC" w:rsidRDefault="00483405" w:rsidP="0000418B">
            <w:pPr>
              <w:pStyle w:val="TableText0"/>
              <w:rPr>
                <w:szCs w:val="20"/>
              </w:rPr>
            </w:pPr>
          </w:p>
        </w:tc>
      </w:tr>
      <w:tr w:rsidR="00483405" w:rsidRPr="00644D94" w14:paraId="4FC39314" w14:textId="35446010" w:rsidTr="006C6880">
        <w:trPr>
          <w:trHeight w:val="227"/>
        </w:trPr>
        <w:tc>
          <w:tcPr>
            <w:tcW w:w="3539" w:type="dxa"/>
            <w:shd w:val="clear" w:color="auto" w:fill="auto"/>
            <w:noWrap/>
            <w:vAlign w:val="center"/>
            <w:hideMark/>
          </w:tcPr>
          <w:p w14:paraId="43E12FEE" w14:textId="5DBA749B" w:rsidR="00483405" w:rsidRPr="00644D94" w:rsidRDefault="00483405" w:rsidP="0000418B">
            <w:pPr>
              <w:pStyle w:val="TableText0"/>
              <w:rPr>
                <w:i/>
                <w:iCs/>
                <w:szCs w:val="20"/>
              </w:rPr>
            </w:pPr>
            <w:r w:rsidRPr="00644D94">
              <w:rPr>
                <w:szCs w:val="20"/>
              </w:rPr>
              <w:t>BMD scan (MBS item 12312/12315)</w:t>
            </w:r>
            <w:r w:rsidR="00073FE6" w:rsidRPr="00644D94">
              <w:rPr>
                <w:szCs w:val="20"/>
              </w:rPr>
              <w:t>, 85% benefit</w:t>
            </w:r>
          </w:p>
        </w:tc>
        <w:tc>
          <w:tcPr>
            <w:tcW w:w="1134" w:type="dxa"/>
            <w:shd w:val="clear" w:color="auto" w:fill="auto"/>
            <w:noWrap/>
            <w:vAlign w:val="center"/>
            <w:hideMark/>
          </w:tcPr>
          <w:p w14:paraId="30F8961A" w14:textId="5F0C9D1F" w:rsidR="00483405" w:rsidRPr="001E41CC" w:rsidRDefault="00483405" w:rsidP="0000418B">
            <w:pPr>
              <w:pStyle w:val="TableText0"/>
              <w:rPr>
                <w:szCs w:val="20"/>
              </w:rPr>
            </w:pPr>
            <w:r w:rsidRPr="001E41CC">
              <w:rPr>
                <w:szCs w:val="20"/>
              </w:rPr>
              <w:t>$99.20</w:t>
            </w:r>
          </w:p>
        </w:tc>
        <w:tc>
          <w:tcPr>
            <w:tcW w:w="1134" w:type="dxa"/>
            <w:shd w:val="clear" w:color="auto" w:fill="auto"/>
            <w:noWrap/>
            <w:vAlign w:val="center"/>
            <w:hideMark/>
          </w:tcPr>
          <w:p w14:paraId="4BA338B7" w14:textId="77777777" w:rsidR="00483405" w:rsidRPr="001E41CC" w:rsidRDefault="00483405" w:rsidP="0000418B">
            <w:pPr>
              <w:pStyle w:val="TableText0"/>
              <w:rPr>
                <w:szCs w:val="20"/>
              </w:rPr>
            </w:pPr>
            <w:r w:rsidRPr="001E41CC">
              <w:rPr>
                <w:szCs w:val="20"/>
              </w:rPr>
              <w:t>-</w:t>
            </w:r>
          </w:p>
        </w:tc>
        <w:tc>
          <w:tcPr>
            <w:tcW w:w="1559" w:type="dxa"/>
            <w:vAlign w:val="center"/>
          </w:tcPr>
          <w:p w14:paraId="49AB994B" w14:textId="0FB04D16" w:rsidR="00483405" w:rsidRPr="001E41CC" w:rsidRDefault="003479AE" w:rsidP="0000418B">
            <w:pPr>
              <w:pStyle w:val="TableText0"/>
              <w:rPr>
                <w:szCs w:val="20"/>
              </w:rPr>
            </w:pPr>
            <w:r w:rsidRPr="001E41CC">
              <w:rPr>
                <w:szCs w:val="20"/>
              </w:rPr>
              <w:t>0</w:t>
            </w:r>
          </w:p>
        </w:tc>
        <w:tc>
          <w:tcPr>
            <w:tcW w:w="1651" w:type="dxa"/>
            <w:vAlign w:val="center"/>
          </w:tcPr>
          <w:p w14:paraId="1B262892" w14:textId="77777777" w:rsidR="00483405" w:rsidRPr="001E41CC" w:rsidRDefault="00483405" w:rsidP="0000418B">
            <w:pPr>
              <w:pStyle w:val="TableText0"/>
              <w:rPr>
                <w:szCs w:val="20"/>
              </w:rPr>
            </w:pPr>
          </w:p>
        </w:tc>
      </w:tr>
      <w:tr w:rsidR="00483405" w:rsidRPr="00644D94" w14:paraId="34BD5C4B" w14:textId="21EF2BF4" w:rsidTr="006C6880">
        <w:trPr>
          <w:trHeight w:val="227"/>
        </w:trPr>
        <w:tc>
          <w:tcPr>
            <w:tcW w:w="3539" w:type="dxa"/>
            <w:shd w:val="clear" w:color="auto" w:fill="auto"/>
            <w:noWrap/>
            <w:vAlign w:val="center"/>
          </w:tcPr>
          <w:p w14:paraId="1CEE54DD" w14:textId="77777777" w:rsidR="00483405" w:rsidRPr="00644D94" w:rsidRDefault="00483405" w:rsidP="0000418B">
            <w:pPr>
              <w:pStyle w:val="TableText0"/>
              <w:rPr>
                <w:szCs w:val="20"/>
              </w:rPr>
            </w:pPr>
          </w:p>
        </w:tc>
        <w:tc>
          <w:tcPr>
            <w:tcW w:w="1134" w:type="dxa"/>
            <w:shd w:val="clear" w:color="auto" w:fill="auto"/>
            <w:noWrap/>
            <w:vAlign w:val="center"/>
          </w:tcPr>
          <w:p w14:paraId="7E3A59A7" w14:textId="77777777" w:rsidR="00483405" w:rsidRPr="001E41CC" w:rsidRDefault="00483405" w:rsidP="0000418B">
            <w:pPr>
              <w:pStyle w:val="TableText0"/>
              <w:rPr>
                <w:szCs w:val="20"/>
              </w:rPr>
            </w:pPr>
          </w:p>
        </w:tc>
        <w:tc>
          <w:tcPr>
            <w:tcW w:w="1134" w:type="dxa"/>
            <w:shd w:val="clear" w:color="auto" w:fill="auto"/>
            <w:noWrap/>
            <w:vAlign w:val="center"/>
          </w:tcPr>
          <w:p w14:paraId="1F8E64CA" w14:textId="77777777" w:rsidR="00483405" w:rsidRPr="001E41CC" w:rsidRDefault="00483405" w:rsidP="0000418B">
            <w:pPr>
              <w:pStyle w:val="TableText0"/>
              <w:rPr>
                <w:szCs w:val="20"/>
              </w:rPr>
            </w:pPr>
          </w:p>
        </w:tc>
        <w:tc>
          <w:tcPr>
            <w:tcW w:w="1559" w:type="dxa"/>
            <w:vAlign w:val="center"/>
          </w:tcPr>
          <w:p w14:paraId="32CE31FA" w14:textId="77777777" w:rsidR="00483405" w:rsidRPr="001E41CC" w:rsidRDefault="00483405" w:rsidP="0000418B">
            <w:pPr>
              <w:pStyle w:val="TableText0"/>
              <w:rPr>
                <w:szCs w:val="20"/>
              </w:rPr>
            </w:pPr>
          </w:p>
        </w:tc>
        <w:tc>
          <w:tcPr>
            <w:tcW w:w="1651" w:type="dxa"/>
            <w:vAlign w:val="center"/>
          </w:tcPr>
          <w:p w14:paraId="6F75EAFB" w14:textId="77777777" w:rsidR="00483405" w:rsidRPr="001E41CC" w:rsidRDefault="00483405" w:rsidP="0000418B">
            <w:pPr>
              <w:pStyle w:val="TableText0"/>
              <w:rPr>
                <w:szCs w:val="20"/>
              </w:rPr>
            </w:pPr>
          </w:p>
        </w:tc>
      </w:tr>
      <w:tr w:rsidR="00483405" w:rsidRPr="00644D94" w14:paraId="57B9E052" w14:textId="19C499FE" w:rsidTr="006C6880">
        <w:trPr>
          <w:trHeight w:val="227"/>
        </w:trPr>
        <w:tc>
          <w:tcPr>
            <w:tcW w:w="3539" w:type="dxa"/>
            <w:shd w:val="clear" w:color="auto" w:fill="auto"/>
            <w:noWrap/>
            <w:vAlign w:val="center"/>
            <w:hideMark/>
          </w:tcPr>
          <w:p w14:paraId="5F8A8AF3" w14:textId="77777777" w:rsidR="00483405" w:rsidRPr="00644D94" w:rsidRDefault="00483405" w:rsidP="0000418B">
            <w:pPr>
              <w:pStyle w:val="TableText0"/>
              <w:rPr>
                <w:szCs w:val="20"/>
              </w:rPr>
            </w:pPr>
            <w:r w:rsidRPr="00644D94">
              <w:rPr>
                <w:szCs w:val="20"/>
              </w:rPr>
              <w:t>Proportion of women who have BMD scan yearly</w:t>
            </w:r>
          </w:p>
        </w:tc>
        <w:tc>
          <w:tcPr>
            <w:tcW w:w="1134" w:type="dxa"/>
            <w:shd w:val="clear" w:color="auto" w:fill="auto"/>
            <w:noWrap/>
            <w:vAlign w:val="center"/>
            <w:hideMark/>
          </w:tcPr>
          <w:p w14:paraId="61018715" w14:textId="77777777" w:rsidR="00483405" w:rsidRPr="001E41CC" w:rsidRDefault="00483405" w:rsidP="0000418B">
            <w:pPr>
              <w:pStyle w:val="TableText0"/>
              <w:rPr>
                <w:szCs w:val="20"/>
              </w:rPr>
            </w:pPr>
            <w:r w:rsidRPr="001E41CC">
              <w:rPr>
                <w:szCs w:val="20"/>
              </w:rPr>
              <w:t>9.5%</w:t>
            </w:r>
          </w:p>
        </w:tc>
        <w:tc>
          <w:tcPr>
            <w:tcW w:w="1134" w:type="dxa"/>
            <w:shd w:val="clear" w:color="auto" w:fill="auto"/>
            <w:noWrap/>
            <w:vAlign w:val="center"/>
            <w:hideMark/>
          </w:tcPr>
          <w:p w14:paraId="12A825AC" w14:textId="77777777" w:rsidR="00483405" w:rsidRPr="001E41CC" w:rsidRDefault="00483405" w:rsidP="0000418B">
            <w:pPr>
              <w:pStyle w:val="TableText0"/>
              <w:rPr>
                <w:szCs w:val="20"/>
              </w:rPr>
            </w:pPr>
          </w:p>
        </w:tc>
        <w:tc>
          <w:tcPr>
            <w:tcW w:w="1559" w:type="dxa"/>
            <w:vAlign w:val="center"/>
          </w:tcPr>
          <w:p w14:paraId="226CE1E9" w14:textId="74A75510" w:rsidR="00483405" w:rsidRPr="001E41CC" w:rsidRDefault="005E2A18" w:rsidP="0000418B">
            <w:pPr>
              <w:pStyle w:val="TableText0"/>
              <w:rPr>
                <w:szCs w:val="20"/>
              </w:rPr>
            </w:pPr>
            <w:r w:rsidRPr="001E41CC">
              <w:rPr>
                <w:szCs w:val="20"/>
              </w:rPr>
              <w:t>0</w:t>
            </w:r>
          </w:p>
        </w:tc>
        <w:tc>
          <w:tcPr>
            <w:tcW w:w="1651" w:type="dxa"/>
            <w:vAlign w:val="center"/>
          </w:tcPr>
          <w:p w14:paraId="26547406" w14:textId="77777777" w:rsidR="00483405" w:rsidRPr="001E41CC" w:rsidRDefault="00483405" w:rsidP="0000418B">
            <w:pPr>
              <w:pStyle w:val="TableText0"/>
              <w:rPr>
                <w:szCs w:val="20"/>
              </w:rPr>
            </w:pPr>
          </w:p>
        </w:tc>
      </w:tr>
      <w:tr w:rsidR="00483405" w:rsidRPr="00644D94" w14:paraId="492EA523" w14:textId="10F3E05A" w:rsidTr="006C6880">
        <w:trPr>
          <w:trHeight w:val="227"/>
        </w:trPr>
        <w:tc>
          <w:tcPr>
            <w:tcW w:w="3539" w:type="dxa"/>
            <w:shd w:val="clear" w:color="auto" w:fill="auto"/>
            <w:noWrap/>
            <w:vAlign w:val="center"/>
            <w:hideMark/>
          </w:tcPr>
          <w:p w14:paraId="10DF8368" w14:textId="77777777" w:rsidR="00483405" w:rsidRPr="00644D94" w:rsidRDefault="00483405" w:rsidP="0000418B">
            <w:pPr>
              <w:pStyle w:val="TableText0"/>
              <w:rPr>
                <w:szCs w:val="20"/>
              </w:rPr>
            </w:pPr>
            <w:r w:rsidRPr="00644D94">
              <w:rPr>
                <w:szCs w:val="20"/>
              </w:rPr>
              <w:t>Adherence</w:t>
            </w:r>
          </w:p>
        </w:tc>
        <w:tc>
          <w:tcPr>
            <w:tcW w:w="1134" w:type="dxa"/>
            <w:shd w:val="clear" w:color="auto" w:fill="auto"/>
            <w:noWrap/>
            <w:vAlign w:val="center"/>
            <w:hideMark/>
          </w:tcPr>
          <w:p w14:paraId="69C0E98C" w14:textId="77777777" w:rsidR="00483405" w:rsidRPr="001E41CC" w:rsidRDefault="00483405" w:rsidP="0000418B">
            <w:pPr>
              <w:pStyle w:val="TableText0"/>
              <w:rPr>
                <w:szCs w:val="20"/>
              </w:rPr>
            </w:pPr>
            <w:r w:rsidRPr="001E41CC">
              <w:rPr>
                <w:szCs w:val="20"/>
              </w:rPr>
              <w:t>92.8%</w:t>
            </w:r>
          </w:p>
        </w:tc>
        <w:tc>
          <w:tcPr>
            <w:tcW w:w="1134" w:type="dxa"/>
            <w:shd w:val="clear" w:color="auto" w:fill="auto"/>
            <w:noWrap/>
            <w:vAlign w:val="center"/>
            <w:hideMark/>
          </w:tcPr>
          <w:p w14:paraId="28CC859D" w14:textId="77777777" w:rsidR="00483405" w:rsidRPr="001E41CC" w:rsidRDefault="00483405" w:rsidP="0000418B">
            <w:pPr>
              <w:pStyle w:val="TableText0"/>
              <w:rPr>
                <w:szCs w:val="20"/>
              </w:rPr>
            </w:pPr>
            <w:r w:rsidRPr="001E41CC">
              <w:rPr>
                <w:szCs w:val="20"/>
              </w:rPr>
              <w:t>82.7%</w:t>
            </w:r>
          </w:p>
        </w:tc>
        <w:tc>
          <w:tcPr>
            <w:tcW w:w="1559" w:type="dxa"/>
            <w:vAlign w:val="center"/>
          </w:tcPr>
          <w:p w14:paraId="5A8A4AF6" w14:textId="77777777" w:rsidR="00483405" w:rsidRPr="001E41CC" w:rsidRDefault="00483405" w:rsidP="0000418B">
            <w:pPr>
              <w:pStyle w:val="TableText0"/>
              <w:rPr>
                <w:szCs w:val="20"/>
              </w:rPr>
            </w:pPr>
          </w:p>
        </w:tc>
        <w:tc>
          <w:tcPr>
            <w:tcW w:w="1651" w:type="dxa"/>
            <w:vAlign w:val="center"/>
          </w:tcPr>
          <w:p w14:paraId="76F28BD2" w14:textId="77777777" w:rsidR="00483405" w:rsidRPr="001E41CC" w:rsidRDefault="00483405" w:rsidP="0000418B">
            <w:pPr>
              <w:pStyle w:val="TableText0"/>
              <w:rPr>
                <w:szCs w:val="20"/>
              </w:rPr>
            </w:pPr>
          </w:p>
        </w:tc>
      </w:tr>
      <w:tr w:rsidR="00483405" w:rsidRPr="00644D94" w14:paraId="6E35A1D7" w14:textId="51EB0128" w:rsidTr="006C6880">
        <w:trPr>
          <w:trHeight w:val="227"/>
        </w:trPr>
        <w:tc>
          <w:tcPr>
            <w:tcW w:w="3539" w:type="dxa"/>
            <w:shd w:val="clear" w:color="auto" w:fill="auto"/>
            <w:noWrap/>
            <w:vAlign w:val="center"/>
            <w:hideMark/>
          </w:tcPr>
          <w:p w14:paraId="1D820609" w14:textId="77777777" w:rsidR="00483405" w:rsidRPr="00644D94" w:rsidRDefault="00483405" w:rsidP="0000418B">
            <w:pPr>
              <w:pStyle w:val="TableText0"/>
              <w:rPr>
                <w:szCs w:val="20"/>
              </w:rPr>
            </w:pPr>
          </w:p>
        </w:tc>
        <w:tc>
          <w:tcPr>
            <w:tcW w:w="1134" w:type="dxa"/>
            <w:shd w:val="clear" w:color="auto" w:fill="auto"/>
            <w:noWrap/>
            <w:vAlign w:val="center"/>
            <w:hideMark/>
          </w:tcPr>
          <w:p w14:paraId="202E4457" w14:textId="77777777" w:rsidR="00483405" w:rsidRPr="001E41CC" w:rsidRDefault="00483405" w:rsidP="0000418B">
            <w:pPr>
              <w:pStyle w:val="TableText0"/>
              <w:rPr>
                <w:szCs w:val="20"/>
              </w:rPr>
            </w:pPr>
          </w:p>
        </w:tc>
        <w:tc>
          <w:tcPr>
            <w:tcW w:w="1134" w:type="dxa"/>
            <w:shd w:val="clear" w:color="auto" w:fill="auto"/>
            <w:noWrap/>
            <w:vAlign w:val="center"/>
            <w:hideMark/>
          </w:tcPr>
          <w:p w14:paraId="2A007282" w14:textId="77777777" w:rsidR="00483405" w:rsidRPr="001E41CC" w:rsidRDefault="00483405" w:rsidP="0000418B">
            <w:pPr>
              <w:pStyle w:val="TableText0"/>
              <w:rPr>
                <w:szCs w:val="20"/>
              </w:rPr>
            </w:pPr>
          </w:p>
        </w:tc>
        <w:tc>
          <w:tcPr>
            <w:tcW w:w="1559" w:type="dxa"/>
            <w:vAlign w:val="center"/>
          </w:tcPr>
          <w:p w14:paraId="428A17AB" w14:textId="77777777" w:rsidR="00483405" w:rsidRPr="001E41CC" w:rsidRDefault="00483405" w:rsidP="0000418B">
            <w:pPr>
              <w:pStyle w:val="TableText0"/>
              <w:rPr>
                <w:szCs w:val="20"/>
              </w:rPr>
            </w:pPr>
          </w:p>
        </w:tc>
        <w:tc>
          <w:tcPr>
            <w:tcW w:w="1651" w:type="dxa"/>
            <w:vAlign w:val="center"/>
          </w:tcPr>
          <w:p w14:paraId="3F983DC3" w14:textId="77777777" w:rsidR="00483405" w:rsidRPr="001E41CC" w:rsidRDefault="00483405" w:rsidP="0000418B">
            <w:pPr>
              <w:pStyle w:val="TableText0"/>
              <w:rPr>
                <w:szCs w:val="20"/>
              </w:rPr>
            </w:pPr>
          </w:p>
        </w:tc>
      </w:tr>
      <w:tr w:rsidR="00483405" w:rsidRPr="00644D94" w14:paraId="23AD08AC" w14:textId="4E8640B3" w:rsidTr="006C6880">
        <w:trPr>
          <w:trHeight w:val="227"/>
        </w:trPr>
        <w:tc>
          <w:tcPr>
            <w:tcW w:w="3539" w:type="dxa"/>
            <w:shd w:val="clear" w:color="auto" w:fill="auto"/>
            <w:noWrap/>
            <w:vAlign w:val="center"/>
            <w:hideMark/>
          </w:tcPr>
          <w:p w14:paraId="1A8EB34A" w14:textId="77777777" w:rsidR="00483405" w:rsidRPr="00644D94" w:rsidRDefault="00483405" w:rsidP="0000418B">
            <w:pPr>
              <w:pStyle w:val="TableText0"/>
              <w:rPr>
                <w:szCs w:val="20"/>
              </w:rPr>
            </w:pPr>
            <w:r w:rsidRPr="00644D94">
              <w:rPr>
                <w:szCs w:val="20"/>
              </w:rPr>
              <w:t>Total drug cost per year (AEMP)</w:t>
            </w:r>
          </w:p>
        </w:tc>
        <w:tc>
          <w:tcPr>
            <w:tcW w:w="1134" w:type="dxa"/>
            <w:shd w:val="clear" w:color="auto" w:fill="auto"/>
            <w:noWrap/>
            <w:vAlign w:val="center"/>
            <w:hideMark/>
          </w:tcPr>
          <w:p w14:paraId="6F80CCDC" w14:textId="104DFD0B" w:rsidR="00483405" w:rsidRPr="001E41CC" w:rsidRDefault="00483405" w:rsidP="0000418B">
            <w:pPr>
              <w:pStyle w:val="TableText0"/>
              <w:rPr>
                <w:i/>
                <w:iCs/>
                <w:szCs w:val="20"/>
              </w:rPr>
            </w:pPr>
            <w:r w:rsidRPr="001E41CC">
              <w:rPr>
                <w:szCs w:val="20"/>
              </w:rPr>
              <w:t>$48.78</w:t>
            </w:r>
          </w:p>
        </w:tc>
        <w:tc>
          <w:tcPr>
            <w:tcW w:w="1134" w:type="dxa"/>
            <w:shd w:val="clear" w:color="auto" w:fill="auto"/>
            <w:noWrap/>
            <w:vAlign w:val="center"/>
            <w:hideMark/>
          </w:tcPr>
          <w:p w14:paraId="3B400FDB" w14:textId="4CEF60E9" w:rsidR="00483405" w:rsidRPr="001E41CC" w:rsidRDefault="00483405" w:rsidP="0000418B">
            <w:pPr>
              <w:pStyle w:val="TableText0"/>
              <w:rPr>
                <w:i/>
                <w:iCs/>
                <w:szCs w:val="20"/>
              </w:rPr>
            </w:pPr>
            <w:r w:rsidRPr="001E41CC">
              <w:rPr>
                <w:szCs w:val="20"/>
              </w:rPr>
              <w:t>$271.92</w:t>
            </w:r>
          </w:p>
        </w:tc>
        <w:tc>
          <w:tcPr>
            <w:tcW w:w="1559" w:type="dxa"/>
            <w:vAlign w:val="center"/>
          </w:tcPr>
          <w:p w14:paraId="073B420B" w14:textId="79DD5AA5" w:rsidR="00483405" w:rsidRPr="001E41CC" w:rsidRDefault="00483405" w:rsidP="0000418B">
            <w:pPr>
              <w:pStyle w:val="TableText0"/>
              <w:rPr>
                <w:szCs w:val="20"/>
              </w:rPr>
            </w:pPr>
            <w:r w:rsidRPr="001E41CC">
              <w:rPr>
                <w:szCs w:val="20"/>
              </w:rPr>
              <w:t>$48.78</w:t>
            </w:r>
            <w:r w:rsidR="00A40EA3" w:rsidRPr="001E41CC">
              <w:rPr>
                <w:szCs w:val="20"/>
              </w:rPr>
              <w:t xml:space="preserve"> </w:t>
            </w:r>
          </w:p>
        </w:tc>
        <w:tc>
          <w:tcPr>
            <w:tcW w:w="1651" w:type="dxa"/>
            <w:vAlign w:val="center"/>
          </w:tcPr>
          <w:p w14:paraId="0F6CEB39" w14:textId="4F2982A2" w:rsidR="00483405" w:rsidRPr="001E41CC" w:rsidRDefault="00483405" w:rsidP="0000418B">
            <w:pPr>
              <w:pStyle w:val="TableText0"/>
              <w:rPr>
                <w:szCs w:val="20"/>
              </w:rPr>
            </w:pPr>
            <w:r w:rsidRPr="001E41CC">
              <w:rPr>
                <w:szCs w:val="20"/>
              </w:rPr>
              <w:t>$</w:t>
            </w:r>
            <w:r w:rsidR="005E2A18" w:rsidRPr="001E41CC">
              <w:rPr>
                <w:szCs w:val="20"/>
              </w:rPr>
              <w:t>217.38</w:t>
            </w:r>
          </w:p>
        </w:tc>
      </w:tr>
      <w:tr w:rsidR="00483405" w:rsidRPr="00644D94" w14:paraId="757130F6" w14:textId="6088952A" w:rsidTr="006C6880">
        <w:trPr>
          <w:trHeight w:val="227"/>
        </w:trPr>
        <w:tc>
          <w:tcPr>
            <w:tcW w:w="3539" w:type="dxa"/>
            <w:shd w:val="clear" w:color="auto" w:fill="auto"/>
            <w:noWrap/>
            <w:vAlign w:val="center"/>
            <w:hideMark/>
          </w:tcPr>
          <w:p w14:paraId="4032663B" w14:textId="77777777" w:rsidR="00483405" w:rsidRPr="00644D94" w:rsidRDefault="00483405" w:rsidP="0000418B">
            <w:pPr>
              <w:pStyle w:val="TableText0"/>
              <w:rPr>
                <w:szCs w:val="20"/>
              </w:rPr>
            </w:pPr>
            <w:r w:rsidRPr="00644D94">
              <w:rPr>
                <w:szCs w:val="20"/>
              </w:rPr>
              <w:t>Total MBS costs per year (GP consults)</w:t>
            </w:r>
          </w:p>
        </w:tc>
        <w:tc>
          <w:tcPr>
            <w:tcW w:w="1134" w:type="dxa"/>
            <w:shd w:val="clear" w:color="auto" w:fill="auto"/>
            <w:noWrap/>
            <w:vAlign w:val="center"/>
            <w:hideMark/>
          </w:tcPr>
          <w:p w14:paraId="6888C4AA" w14:textId="1469DB02" w:rsidR="00483405" w:rsidRPr="001E41CC" w:rsidRDefault="00483405" w:rsidP="0000418B">
            <w:pPr>
              <w:pStyle w:val="TableText0"/>
              <w:rPr>
                <w:szCs w:val="20"/>
              </w:rPr>
            </w:pPr>
            <w:r w:rsidRPr="001E41CC">
              <w:rPr>
                <w:szCs w:val="20"/>
              </w:rPr>
              <w:t>$206.60</w:t>
            </w:r>
          </w:p>
        </w:tc>
        <w:tc>
          <w:tcPr>
            <w:tcW w:w="1134" w:type="dxa"/>
            <w:shd w:val="clear" w:color="auto" w:fill="auto"/>
            <w:noWrap/>
            <w:vAlign w:val="center"/>
            <w:hideMark/>
          </w:tcPr>
          <w:p w14:paraId="61EDA8CA" w14:textId="449672AD" w:rsidR="00483405" w:rsidRPr="001E41CC" w:rsidRDefault="00483405" w:rsidP="0000418B">
            <w:pPr>
              <w:pStyle w:val="TableText0"/>
              <w:rPr>
                <w:szCs w:val="20"/>
              </w:rPr>
            </w:pPr>
            <w:r w:rsidRPr="001E41CC">
              <w:rPr>
                <w:szCs w:val="20"/>
              </w:rPr>
              <w:t>$42.85</w:t>
            </w:r>
          </w:p>
        </w:tc>
        <w:tc>
          <w:tcPr>
            <w:tcW w:w="1559" w:type="dxa"/>
            <w:vAlign w:val="center"/>
          </w:tcPr>
          <w:p w14:paraId="3E613CE2" w14:textId="4185E1B6" w:rsidR="00483405" w:rsidRPr="001E41CC" w:rsidRDefault="00483405" w:rsidP="0000418B">
            <w:pPr>
              <w:pStyle w:val="TableText0"/>
              <w:rPr>
                <w:szCs w:val="20"/>
              </w:rPr>
            </w:pPr>
            <w:r w:rsidRPr="001E41CC">
              <w:rPr>
                <w:szCs w:val="20"/>
              </w:rPr>
              <w:t>$165.28</w:t>
            </w:r>
          </w:p>
        </w:tc>
        <w:tc>
          <w:tcPr>
            <w:tcW w:w="1651" w:type="dxa"/>
            <w:vAlign w:val="center"/>
          </w:tcPr>
          <w:p w14:paraId="72CF5395" w14:textId="3649D658" w:rsidR="00483405" w:rsidRPr="001E41CC" w:rsidRDefault="00483405" w:rsidP="0000418B">
            <w:pPr>
              <w:pStyle w:val="TableText0"/>
              <w:rPr>
                <w:szCs w:val="20"/>
              </w:rPr>
            </w:pPr>
            <w:r w:rsidRPr="001E41CC">
              <w:rPr>
                <w:szCs w:val="20"/>
              </w:rPr>
              <w:t>$34.28</w:t>
            </w:r>
          </w:p>
        </w:tc>
      </w:tr>
      <w:tr w:rsidR="00483405" w:rsidRPr="00644D94" w14:paraId="41CAA134" w14:textId="16C6677A" w:rsidTr="006C6880">
        <w:trPr>
          <w:trHeight w:val="227"/>
        </w:trPr>
        <w:tc>
          <w:tcPr>
            <w:tcW w:w="3539" w:type="dxa"/>
            <w:shd w:val="clear" w:color="auto" w:fill="auto"/>
            <w:noWrap/>
            <w:vAlign w:val="center"/>
            <w:hideMark/>
          </w:tcPr>
          <w:p w14:paraId="12703692" w14:textId="77777777" w:rsidR="00483405" w:rsidRPr="00644D94" w:rsidRDefault="00483405" w:rsidP="0000418B">
            <w:pPr>
              <w:pStyle w:val="TableText0"/>
              <w:rPr>
                <w:szCs w:val="20"/>
              </w:rPr>
            </w:pPr>
            <w:r w:rsidRPr="00644D94">
              <w:rPr>
                <w:szCs w:val="20"/>
              </w:rPr>
              <w:t>Total MBS costs per year (BMD scans)</w:t>
            </w:r>
          </w:p>
        </w:tc>
        <w:tc>
          <w:tcPr>
            <w:tcW w:w="1134" w:type="dxa"/>
            <w:shd w:val="clear" w:color="auto" w:fill="auto"/>
            <w:noWrap/>
            <w:vAlign w:val="center"/>
            <w:hideMark/>
          </w:tcPr>
          <w:p w14:paraId="75EA3369" w14:textId="3F882C4A" w:rsidR="00483405" w:rsidRPr="001E41CC" w:rsidRDefault="00483405" w:rsidP="0000418B">
            <w:pPr>
              <w:pStyle w:val="TableText0"/>
              <w:rPr>
                <w:szCs w:val="20"/>
              </w:rPr>
            </w:pPr>
            <w:r w:rsidRPr="001E41CC">
              <w:rPr>
                <w:szCs w:val="20"/>
              </w:rPr>
              <w:t>$12.35</w:t>
            </w:r>
          </w:p>
        </w:tc>
        <w:tc>
          <w:tcPr>
            <w:tcW w:w="1134" w:type="dxa"/>
            <w:shd w:val="clear" w:color="auto" w:fill="auto"/>
            <w:noWrap/>
            <w:vAlign w:val="center"/>
            <w:hideMark/>
          </w:tcPr>
          <w:p w14:paraId="34C34213" w14:textId="77777777" w:rsidR="00483405" w:rsidRPr="001E41CC" w:rsidRDefault="00483405" w:rsidP="0000418B">
            <w:pPr>
              <w:pStyle w:val="TableText0"/>
              <w:rPr>
                <w:szCs w:val="20"/>
              </w:rPr>
            </w:pPr>
            <w:r w:rsidRPr="001E41CC">
              <w:rPr>
                <w:szCs w:val="20"/>
              </w:rPr>
              <w:t>-</w:t>
            </w:r>
          </w:p>
        </w:tc>
        <w:tc>
          <w:tcPr>
            <w:tcW w:w="1559" w:type="dxa"/>
            <w:vAlign w:val="center"/>
          </w:tcPr>
          <w:p w14:paraId="73957399" w14:textId="1770CB91" w:rsidR="00483405" w:rsidRPr="001E41CC" w:rsidRDefault="003479AE" w:rsidP="0000418B">
            <w:pPr>
              <w:pStyle w:val="TableText0"/>
              <w:rPr>
                <w:szCs w:val="20"/>
              </w:rPr>
            </w:pPr>
            <w:r w:rsidRPr="001E41CC">
              <w:rPr>
                <w:szCs w:val="20"/>
              </w:rPr>
              <w:t>0</w:t>
            </w:r>
          </w:p>
        </w:tc>
        <w:tc>
          <w:tcPr>
            <w:tcW w:w="1651" w:type="dxa"/>
            <w:vAlign w:val="center"/>
          </w:tcPr>
          <w:p w14:paraId="547C7FD2" w14:textId="575DBB57" w:rsidR="00483405" w:rsidRPr="001E41CC" w:rsidRDefault="00483405" w:rsidP="0000418B">
            <w:pPr>
              <w:pStyle w:val="TableText0"/>
              <w:rPr>
                <w:szCs w:val="20"/>
              </w:rPr>
            </w:pPr>
            <w:r w:rsidRPr="001E41CC">
              <w:rPr>
                <w:szCs w:val="20"/>
              </w:rPr>
              <w:t>0</w:t>
            </w:r>
          </w:p>
        </w:tc>
      </w:tr>
      <w:tr w:rsidR="00483405" w:rsidRPr="00644D94" w14:paraId="2C4A38FE" w14:textId="47408696" w:rsidTr="006C6880">
        <w:trPr>
          <w:trHeight w:val="227"/>
        </w:trPr>
        <w:tc>
          <w:tcPr>
            <w:tcW w:w="3539" w:type="dxa"/>
            <w:shd w:val="clear" w:color="auto" w:fill="auto"/>
            <w:noWrap/>
            <w:vAlign w:val="center"/>
          </w:tcPr>
          <w:p w14:paraId="15971A9D" w14:textId="77777777" w:rsidR="00483405" w:rsidRPr="00644D94" w:rsidRDefault="00483405" w:rsidP="0000418B">
            <w:pPr>
              <w:pStyle w:val="TableText0"/>
              <w:rPr>
                <w:szCs w:val="20"/>
              </w:rPr>
            </w:pPr>
            <w:r w:rsidRPr="00644D94">
              <w:rPr>
                <w:szCs w:val="20"/>
              </w:rPr>
              <w:t>Cost offset for indirect economic benefits (6.1% of AEMP)</w:t>
            </w:r>
          </w:p>
        </w:tc>
        <w:tc>
          <w:tcPr>
            <w:tcW w:w="1134" w:type="dxa"/>
            <w:shd w:val="clear" w:color="auto" w:fill="auto"/>
            <w:noWrap/>
            <w:vAlign w:val="center"/>
          </w:tcPr>
          <w:p w14:paraId="60E4C0E4" w14:textId="699A1FBF" w:rsidR="00483405" w:rsidRPr="001E41CC" w:rsidRDefault="00483405" w:rsidP="0000418B">
            <w:pPr>
              <w:pStyle w:val="TableText0"/>
              <w:rPr>
                <w:szCs w:val="20"/>
              </w:rPr>
            </w:pPr>
            <w:r w:rsidRPr="001E41CC">
              <w:rPr>
                <w:szCs w:val="20"/>
              </w:rPr>
              <w:t>$2.98</w:t>
            </w:r>
          </w:p>
        </w:tc>
        <w:tc>
          <w:tcPr>
            <w:tcW w:w="1134" w:type="dxa"/>
            <w:shd w:val="clear" w:color="auto" w:fill="auto"/>
            <w:noWrap/>
            <w:vAlign w:val="center"/>
          </w:tcPr>
          <w:p w14:paraId="42C8CC16" w14:textId="77777777" w:rsidR="00483405" w:rsidRPr="001E41CC" w:rsidRDefault="00483405" w:rsidP="0000418B">
            <w:pPr>
              <w:pStyle w:val="TableText0"/>
              <w:rPr>
                <w:szCs w:val="20"/>
              </w:rPr>
            </w:pPr>
            <w:r w:rsidRPr="001E41CC">
              <w:rPr>
                <w:szCs w:val="20"/>
              </w:rPr>
              <w:t>-</w:t>
            </w:r>
          </w:p>
        </w:tc>
        <w:tc>
          <w:tcPr>
            <w:tcW w:w="1559" w:type="dxa"/>
            <w:vAlign w:val="center"/>
          </w:tcPr>
          <w:p w14:paraId="2CE13495" w14:textId="381B7E3F" w:rsidR="00483405" w:rsidRPr="001E41CC" w:rsidRDefault="00483405" w:rsidP="0000418B">
            <w:pPr>
              <w:pStyle w:val="TableText0"/>
              <w:rPr>
                <w:szCs w:val="20"/>
              </w:rPr>
            </w:pPr>
            <w:r w:rsidRPr="001E41CC">
              <w:rPr>
                <w:szCs w:val="20"/>
              </w:rPr>
              <w:t>0.0%</w:t>
            </w:r>
          </w:p>
        </w:tc>
        <w:tc>
          <w:tcPr>
            <w:tcW w:w="1651" w:type="dxa"/>
            <w:vAlign w:val="center"/>
          </w:tcPr>
          <w:p w14:paraId="11780688" w14:textId="77777777" w:rsidR="00483405" w:rsidRPr="001E41CC" w:rsidRDefault="00483405" w:rsidP="0000418B">
            <w:pPr>
              <w:pStyle w:val="TableText0"/>
              <w:rPr>
                <w:szCs w:val="20"/>
              </w:rPr>
            </w:pPr>
          </w:p>
        </w:tc>
      </w:tr>
      <w:tr w:rsidR="00483405" w:rsidRPr="00644D94" w14:paraId="386D7B0D" w14:textId="449F414F" w:rsidTr="006C6880">
        <w:trPr>
          <w:trHeight w:val="227"/>
        </w:trPr>
        <w:tc>
          <w:tcPr>
            <w:tcW w:w="3539" w:type="dxa"/>
            <w:shd w:val="clear" w:color="auto" w:fill="auto"/>
            <w:noWrap/>
            <w:vAlign w:val="center"/>
            <w:hideMark/>
          </w:tcPr>
          <w:p w14:paraId="36792950" w14:textId="056C68C5" w:rsidR="00483405" w:rsidRPr="00644D94" w:rsidRDefault="00483405" w:rsidP="0000418B">
            <w:pPr>
              <w:pStyle w:val="TableText0"/>
              <w:rPr>
                <w:szCs w:val="20"/>
              </w:rPr>
            </w:pPr>
            <w:r w:rsidRPr="00644D94">
              <w:rPr>
                <w:szCs w:val="20"/>
              </w:rPr>
              <w:t xml:space="preserve">Total cost per year </w:t>
            </w:r>
            <w:r w:rsidR="005E2A18" w:rsidRPr="00644D94">
              <w:rPr>
                <w:szCs w:val="20"/>
              </w:rPr>
              <w:t>AEMP</w:t>
            </w:r>
          </w:p>
        </w:tc>
        <w:tc>
          <w:tcPr>
            <w:tcW w:w="1134" w:type="dxa"/>
            <w:shd w:val="clear" w:color="auto" w:fill="auto"/>
            <w:noWrap/>
            <w:vAlign w:val="center"/>
            <w:hideMark/>
          </w:tcPr>
          <w:p w14:paraId="6132AF03" w14:textId="55603E7F" w:rsidR="00483405" w:rsidRPr="001E41CC" w:rsidRDefault="00483405" w:rsidP="0000418B">
            <w:pPr>
              <w:pStyle w:val="TableText0"/>
              <w:rPr>
                <w:szCs w:val="20"/>
              </w:rPr>
            </w:pPr>
            <w:r w:rsidRPr="001E41CC">
              <w:rPr>
                <w:szCs w:val="20"/>
              </w:rPr>
              <w:t>$267.72</w:t>
            </w:r>
          </w:p>
        </w:tc>
        <w:tc>
          <w:tcPr>
            <w:tcW w:w="1134" w:type="dxa"/>
            <w:shd w:val="clear" w:color="auto" w:fill="auto"/>
            <w:noWrap/>
            <w:vAlign w:val="center"/>
            <w:hideMark/>
          </w:tcPr>
          <w:p w14:paraId="7070F4D5" w14:textId="6B881F48" w:rsidR="00483405" w:rsidRPr="001E41CC" w:rsidRDefault="00483405" w:rsidP="0000418B">
            <w:pPr>
              <w:pStyle w:val="TableText0"/>
              <w:rPr>
                <w:szCs w:val="20"/>
              </w:rPr>
            </w:pPr>
            <w:r w:rsidRPr="001E41CC">
              <w:rPr>
                <w:szCs w:val="20"/>
              </w:rPr>
              <w:t>$267.72</w:t>
            </w:r>
          </w:p>
        </w:tc>
        <w:tc>
          <w:tcPr>
            <w:tcW w:w="1559" w:type="dxa"/>
            <w:vAlign w:val="center"/>
          </w:tcPr>
          <w:p w14:paraId="798A2388" w14:textId="1035976A" w:rsidR="003479AE" w:rsidRPr="001E41CC" w:rsidRDefault="005E2A18" w:rsidP="0000418B">
            <w:pPr>
              <w:pStyle w:val="TableText0"/>
              <w:rPr>
                <w:szCs w:val="20"/>
              </w:rPr>
            </w:pPr>
            <w:r w:rsidRPr="001E41CC">
              <w:rPr>
                <w:szCs w:val="20"/>
              </w:rPr>
              <w:t>$214.05</w:t>
            </w:r>
          </w:p>
        </w:tc>
        <w:tc>
          <w:tcPr>
            <w:tcW w:w="1651" w:type="dxa"/>
            <w:vAlign w:val="center"/>
          </w:tcPr>
          <w:p w14:paraId="2C994C7E" w14:textId="522BD1C4" w:rsidR="00483405" w:rsidRPr="001E41CC" w:rsidRDefault="005E2A18" w:rsidP="0000418B">
            <w:pPr>
              <w:pStyle w:val="TableText0"/>
              <w:rPr>
                <w:szCs w:val="20"/>
              </w:rPr>
            </w:pPr>
            <w:r w:rsidRPr="001E41CC">
              <w:rPr>
                <w:szCs w:val="20"/>
              </w:rPr>
              <w:t>$214.05</w:t>
            </w:r>
          </w:p>
        </w:tc>
      </w:tr>
    </w:tbl>
    <w:p w14:paraId="20D02505" w14:textId="77777777" w:rsidR="00C44EB3" w:rsidRDefault="3DEE435C" w:rsidP="001E41CC">
      <w:pPr>
        <w:pStyle w:val="TableFigureFooter"/>
        <w:jc w:val="both"/>
      </w:pPr>
      <w:r w:rsidRPr="0B5D70EC">
        <w:t xml:space="preserve">Source: Table 3.2.2 p 125 </w:t>
      </w:r>
      <w:r w:rsidR="73C2CABD" w:rsidRPr="0B5D70EC">
        <w:t xml:space="preserve">and Attachment 9 </w:t>
      </w:r>
      <w:r w:rsidRPr="0B5D70EC">
        <w:t>of the submission</w:t>
      </w:r>
      <w:r w:rsidR="00C44EB3">
        <w:t xml:space="preserve"> main body</w:t>
      </w:r>
      <w:r w:rsidRPr="0B5D70EC">
        <w:t xml:space="preserve">. </w:t>
      </w:r>
    </w:p>
    <w:p w14:paraId="17D1C8B3" w14:textId="563C1377" w:rsidR="000E3D2A" w:rsidRDefault="3DEE435C" w:rsidP="001E41CC">
      <w:pPr>
        <w:pStyle w:val="TableFigureFooter"/>
        <w:jc w:val="both"/>
      </w:pPr>
      <w:r w:rsidRPr="0B5D70EC">
        <w:t>AEMP</w:t>
      </w:r>
      <w:r w:rsidR="000E3D2A">
        <w:t xml:space="preserve"> </w:t>
      </w:r>
      <w:r w:rsidRPr="0B5D70EC">
        <w:t>= approved ex-manufacturer price; BMD</w:t>
      </w:r>
      <w:r w:rsidR="000E3D2A">
        <w:t xml:space="preserve"> </w:t>
      </w:r>
      <w:r w:rsidRPr="0B5D70EC">
        <w:t xml:space="preserve">= bone mineral density; </w:t>
      </w:r>
      <w:r w:rsidR="00475A35">
        <w:t xml:space="preserve">CVR = contraceptive vaginal ring; </w:t>
      </w:r>
      <w:r w:rsidRPr="0B5D70EC">
        <w:t>DMPA</w:t>
      </w:r>
      <w:r w:rsidR="000E3D2A">
        <w:t xml:space="preserve"> </w:t>
      </w:r>
      <w:r w:rsidRPr="0B5D70EC">
        <w:t>=</w:t>
      </w:r>
      <w:r w:rsidR="000E3D2A">
        <w:t xml:space="preserve"> </w:t>
      </w:r>
      <w:r w:rsidRPr="0B5D70EC">
        <w:t>depot medroxyprogesterone acetate; DPMQ</w:t>
      </w:r>
      <w:r w:rsidR="00F72126">
        <w:t> </w:t>
      </w:r>
      <w:r w:rsidRPr="0B5D70EC">
        <w:t>=</w:t>
      </w:r>
      <w:r w:rsidR="00F72126">
        <w:t> </w:t>
      </w:r>
      <w:r w:rsidR="06A7EC85" w:rsidRPr="0B5D70EC">
        <w:t>d</w:t>
      </w:r>
      <w:r w:rsidRPr="0B5D70EC">
        <w:t>ispensed price for maximum quantity</w:t>
      </w:r>
      <w:r w:rsidR="06A7EC85" w:rsidRPr="0B5D70EC">
        <w:t>;</w:t>
      </w:r>
      <w:r w:rsidRPr="0B5D70EC">
        <w:t xml:space="preserve"> GP</w:t>
      </w:r>
      <w:r w:rsidR="000E3D2A">
        <w:t xml:space="preserve"> </w:t>
      </w:r>
      <w:r w:rsidRPr="0B5D70EC">
        <w:t>= General practitioner; MBS</w:t>
      </w:r>
      <w:r w:rsidR="06A7EC85" w:rsidRPr="0B5D70EC">
        <w:t xml:space="preserve"> </w:t>
      </w:r>
      <w:r w:rsidRPr="0B5D70EC">
        <w:t>= Medicare Benefits Schedule</w:t>
      </w:r>
      <w:r w:rsidR="00475A35">
        <w:t>; Q12W = every 12 weeks.</w:t>
      </w:r>
    </w:p>
    <w:p w14:paraId="523486EE" w14:textId="3BEB69AC" w:rsidR="00E63CE9" w:rsidRPr="00E63CE9" w:rsidRDefault="0053245C" w:rsidP="00072666">
      <w:pPr>
        <w:pStyle w:val="TableFigureFooter"/>
      </w:pPr>
      <w:r w:rsidRPr="0053245C">
        <w:t>*A</w:t>
      </w:r>
      <w:r w:rsidR="000E3D2A" w:rsidRPr="0053245C">
        <w:t>dded during evaluation</w:t>
      </w:r>
    </w:p>
    <w:p w14:paraId="217C2C95" w14:textId="643307B3" w:rsidR="00F01B1E" w:rsidRPr="006B682B" w:rsidRDefault="00F01B1E" w:rsidP="00483405">
      <w:pPr>
        <w:pStyle w:val="3-BodyText"/>
        <w:rPr>
          <w:iCs/>
        </w:rPr>
      </w:pPr>
      <w:r w:rsidRPr="006B682B">
        <w:rPr>
          <w:iCs/>
        </w:rPr>
        <w:t xml:space="preserve">The PSCR </w:t>
      </w:r>
      <w:r w:rsidR="00E63822" w:rsidRPr="006B682B">
        <w:rPr>
          <w:iCs/>
        </w:rPr>
        <w:t xml:space="preserve">disagreed with the </w:t>
      </w:r>
      <w:r w:rsidR="00DA73C5" w:rsidRPr="006B682B">
        <w:rPr>
          <w:iCs/>
        </w:rPr>
        <w:t>reduction of BMD scans from 9.5% to 0%</w:t>
      </w:r>
      <w:r w:rsidR="004F1018" w:rsidRPr="006B682B">
        <w:rPr>
          <w:iCs/>
        </w:rPr>
        <w:t>, and cited results from a</w:t>
      </w:r>
      <w:r w:rsidR="00487730" w:rsidRPr="006B682B">
        <w:rPr>
          <w:iCs/>
        </w:rPr>
        <w:t xml:space="preserve">n Australian </w:t>
      </w:r>
      <w:r w:rsidR="005203D2" w:rsidRPr="006B682B">
        <w:rPr>
          <w:iCs/>
        </w:rPr>
        <w:t xml:space="preserve">retrospective cohort </w:t>
      </w:r>
      <w:r w:rsidR="00487730" w:rsidRPr="006B682B">
        <w:rPr>
          <w:iCs/>
        </w:rPr>
        <w:t>study (</w:t>
      </w:r>
      <w:proofErr w:type="spellStart"/>
      <w:r w:rsidR="00487730" w:rsidRPr="006B682B">
        <w:rPr>
          <w:iCs/>
        </w:rPr>
        <w:t>Dennerstein</w:t>
      </w:r>
      <w:proofErr w:type="spellEnd"/>
      <w:r w:rsidR="00487730" w:rsidRPr="006B682B">
        <w:rPr>
          <w:iCs/>
        </w:rPr>
        <w:t xml:space="preserve"> (2018)) which found </w:t>
      </w:r>
      <w:r w:rsidR="00C21A00" w:rsidRPr="006B682B">
        <w:rPr>
          <w:iCs/>
        </w:rPr>
        <w:t xml:space="preserve">9.8% of patients using DMPA in a single Melbourne specialist’s practice between </w:t>
      </w:r>
      <w:r w:rsidR="00B142CF" w:rsidRPr="006B682B">
        <w:rPr>
          <w:iCs/>
        </w:rPr>
        <w:t xml:space="preserve">1981 and 2013 were referred for </w:t>
      </w:r>
      <w:r w:rsidR="001C6668" w:rsidRPr="006B682B">
        <w:rPr>
          <w:iCs/>
        </w:rPr>
        <w:t>a DXA scan.</w:t>
      </w:r>
    </w:p>
    <w:p w14:paraId="4BAD9151" w14:textId="4BE8E476" w:rsidR="00BD60DC" w:rsidRPr="006B682B" w:rsidRDefault="00BD60DC" w:rsidP="00483405">
      <w:pPr>
        <w:pStyle w:val="3-BodyText"/>
        <w:rPr>
          <w:iCs/>
        </w:rPr>
      </w:pPr>
      <w:proofErr w:type="spellStart"/>
      <w:r w:rsidRPr="006B682B">
        <w:rPr>
          <w:iCs/>
        </w:rPr>
        <w:t>Dennerstein</w:t>
      </w:r>
      <w:proofErr w:type="spellEnd"/>
      <w:r w:rsidRPr="006B682B">
        <w:rPr>
          <w:iCs/>
        </w:rPr>
        <w:t xml:space="preserve"> (2018) </w:t>
      </w:r>
      <w:r w:rsidR="00C95E62" w:rsidRPr="006B682B">
        <w:rPr>
          <w:iCs/>
        </w:rPr>
        <w:t xml:space="preserve">stated that DMPA was used for a range of conditions, including </w:t>
      </w:r>
      <w:r w:rsidR="00E7371B" w:rsidRPr="006B682B">
        <w:rPr>
          <w:iCs/>
        </w:rPr>
        <w:t xml:space="preserve">endometriosis, recurrent vaginal candidiasis, menstrual disorders and contraception; it was not used solely for the </w:t>
      </w:r>
      <w:r w:rsidR="00CD7831" w:rsidRPr="006B682B">
        <w:rPr>
          <w:iCs/>
        </w:rPr>
        <w:t>population included in the proposed restriction.</w:t>
      </w:r>
      <w:r w:rsidR="001614B7" w:rsidRPr="006B682B">
        <w:rPr>
          <w:iCs/>
        </w:rPr>
        <w:t xml:space="preserve"> </w:t>
      </w:r>
    </w:p>
    <w:p w14:paraId="05452797" w14:textId="32D27932" w:rsidR="00DD0C9A" w:rsidRPr="00DD0C9A" w:rsidRDefault="00C66374" w:rsidP="00483405">
      <w:pPr>
        <w:pStyle w:val="3-BodyText"/>
        <w:rPr>
          <w:i/>
        </w:rPr>
      </w:pPr>
      <w:r w:rsidRPr="006B682B">
        <w:rPr>
          <w:iCs/>
        </w:rPr>
        <w:t>The ESC noted that the</w:t>
      </w:r>
      <w:r w:rsidR="00B15270" w:rsidRPr="006B682B">
        <w:rPr>
          <w:iCs/>
        </w:rPr>
        <w:t xml:space="preserve"> MBS</w:t>
      </w:r>
      <w:r w:rsidRPr="006B682B">
        <w:rPr>
          <w:iCs/>
        </w:rPr>
        <w:t xml:space="preserve"> GP Level B rebate</w:t>
      </w:r>
      <w:r w:rsidR="00E516F5" w:rsidRPr="006B682B">
        <w:rPr>
          <w:iCs/>
        </w:rPr>
        <w:t xml:space="preserve"> was used in the cost-minimisation approach. It advised that while the Level B rebate </w:t>
      </w:r>
      <w:r w:rsidR="006A5484" w:rsidRPr="006B682B">
        <w:rPr>
          <w:iCs/>
        </w:rPr>
        <w:t>would be used initially, once patients</w:t>
      </w:r>
      <w:r w:rsidR="006A5484">
        <w:rPr>
          <w:i/>
        </w:rPr>
        <w:t xml:space="preserve"> </w:t>
      </w:r>
      <w:r w:rsidR="006A5484" w:rsidRPr="006B682B">
        <w:rPr>
          <w:iCs/>
        </w:rPr>
        <w:t>were established on treatment a</w:t>
      </w:r>
      <w:r w:rsidR="00B15270" w:rsidRPr="006B682B">
        <w:rPr>
          <w:iCs/>
        </w:rPr>
        <w:t>n MBS GP</w:t>
      </w:r>
      <w:r w:rsidR="006A5484" w:rsidRPr="006B682B">
        <w:rPr>
          <w:iCs/>
        </w:rPr>
        <w:t xml:space="preserve"> Level A </w:t>
      </w:r>
      <w:r w:rsidR="006B762D" w:rsidRPr="006B682B">
        <w:rPr>
          <w:iCs/>
        </w:rPr>
        <w:t>consultation</w:t>
      </w:r>
      <w:r w:rsidR="00A80497" w:rsidRPr="006B682B">
        <w:rPr>
          <w:iCs/>
        </w:rPr>
        <w:t xml:space="preserve"> (MBS</w:t>
      </w:r>
      <w:r w:rsidR="00BF642D">
        <w:rPr>
          <w:iCs/>
        </w:rPr>
        <w:t> </w:t>
      </w:r>
      <w:r w:rsidR="00A80497" w:rsidRPr="006B682B">
        <w:rPr>
          <w:iCs/>
        </w:rPr>
        <w:t>item 3, fee $19.60)</w:t>
      </w:r>
      <w:r w:rsidR="006B762D" w:rsidRPr="006B682B">
        <w:rPr>
          <w:iCs/>
        </w:rPr>
        <w:t xml:space="preserve"> may be used.</w:t>
      </w:r>
    </w:p>
    <w:p w14:paraId="7C1D0A0D" w14:textId="1F30C76F" w:rsidR="00483405" w:rsidRPr="00946434" w:rsidRDefault="00483405" w:rsidP="00483405">
      <w:pPr>
        <w:pStyle w:val="3-BodyText"/>
        <w:rPr>
          <w:i/>
        </w:rPr>
      </w:pPr>
      <w:r>
        <w:rPr>
          <w:iCs/>
        </w:rPr>
        <w:t xml:space="preserve">The submission </w:t>
      </w:r>
      <w:r w:rsidR="00946434">
        <w:rPr>
          <w:iCs/>
        </w:rPr>
        <w:t>presented</w:t>
      </w:r>
      <w:r>
        <w:rPr>
          <w:iCs/>
        </w:rPr>
        <w:t xml:space="preserve"> a sensitivity analysis</w:t>
      </w:r>
      <w:r w:rsidR="006C1FAF">
        <w:rPr>
          <w:iCs/>
        </w:rPr>
        <w:t>,</w:t>
      </w:r>
      <w:r>
        <w:rPr>
          <w:iCs/>
        </w:rPr>
        <w:t xml:space="preserve"> </w:t>
      </w:r>
      <w:r w:rsidR="00073FE6">
        <w:rPr>
          <w:iCs/>
        </w:rPr>
        <w:t xml:space="preserve">shown in </w:t>
      </w:r>
      <w:r w:rsidR="00073FE6">
        <w:rPr>
          <w:iCs/>
        </w:rPr>
        <w:fldChar w:fldCharType="begin"/>
      </w:r>
      <w:r w:rsidR="00073FE6">
        <w:rPr>
          <w:iCs/>
        </w:rPr>
        <w:instrText xml:space="preserve"> REF _Ref188958549 \h </w:instrText>
      </w:r>
      <w:r w:rsidR="00073FE6">
        <w:rPr>
          <w:iCs/>
        </w:rPr>
      </w:r>
      <w:r w:rsidR="00073FE6">
        <w:rPr>
          <w:iCs/>
        </w:rPr>
        <w:fldChar w:fldCharType="separate"/>
      </w:r>
      <w:r w:rsidR="00896E34" w:rsidRPr="00DC5CC3">
        <w:t xml:space="preserve">Table </w:t>
      </w:r>
      <w:r w:rsidR="00896E34">
        <w:rPr>
          <w:noProof/>
        </w:rPr>
        <w:t>10</w:t>
      </w:r>
      <w:r w:rsidR="00073FE6">
        <w:rPr>
          <w:iCs/>
        </w:rPr>
        <w:fldChar w:fldCharType="end"/>
      </w:r>
      <w:r w:rsidR="00073FE6">
        <w:rPr>
          <w:iCs/>
        </w:rPr>
        <w:t xml:space="preserve">, </w:t>
      </w:r>
      <w:r w:rsidR="00946434">
        <w:rPr>
          <w:iCs/>
        </w:rPr>
        <w:t>varying</w:t>
      </w:r>
      <w:r>
        <w:rPr>
          <w:iCs/>
        </w:rPr>
        <w:t xml:space="preserve"> </w:t>
      </w:r>
      <w:r w:rsidR="00946434">
        <w:rPr>
          <w:iCs/>
        </w:rPr>
        <w:t>adherence to treatment</w:t>
      </w:r>
      <w:r w:rsidR="00073FE6">
        <w:rPr>
          <w:iCs/>
        </w:rPr>
        <w:t xml:space="preserve"> and therefore </w:t>
      </w:r>
      <w:r w:rsidR="004330F6">
        <w:rPr>
          <w:iCs/>
        </w:rPr>
        <w:t>the</w:t>
      </w:r>
      <w:r w:rsidR="00073FE6">
        <w:rPr>
          <w:iCs/>
        </w:rPr>
        <w:t xml:space="preserve"> number of repeat prescriptions, number of health care practitioner visits, number of patients receiving BMD scans and the amount of the indirect cost offset</w:t>
      </w:r>
      <w:r w:rsidR="007A41DE">
        <w:rPr>
          <w:iCs/>
        </w:rPr>
        <w:t>.</w:t>
      </w:r>
      <w:r w:rsidR="00946434">
        <w:rPr>
          <w:iCs/>
        </w:rPr>
        <w:t xml:space="preserve"> As shown </w:t>
      </w:r>
      <w:r w:rsidR="00073FE6">
        <w:rPr>
          <w:iCs/>
        </w:rPr>
        <w:t>in the corrected analysis as well as the sen</w:t>
      </w:r>
      <w:r w:rsidR="009101B8">
        <w:rPr>
          <w:iCs/>
        </w:rPr>
        <w:t>si</w:t>
      </w:r>
      <w:r w:rsidR="00073FE6">
        <w:rPr>
          <w:iCs/>
        </w:rPr>
        <w:t>tivity analysis</w:t>
      </w:r>
      <w:r w:rsidR="00946434">
        <w:rPr>
          <w:iCs/>
        </w:rPr>
        <w:t>, the main uncertainty re</w:t>
      </w:r>
      <w:r w:rsidR="005414ED">
        <w:rPr>
          <w:iCs/>
        </w:rPr>
        <w:t>la</w:t>
      </w:r>
      <w:r w:rsidR="00946434">
        <w:rPr>
          <w:iCs/>
        </w:rPr>
        <w:t>tes to the number and cost of health care practitioner visits.</w:t>
      </w:r>
      <w:r w:rsidR="00073FE6">
        <w:rPr>
          <w:iCs/>
        </w:rPr>
        <w:t xml:space="preserve"> </w:t>
      </w:r>
    </w:p>
    <w:p w14:paraId="404DDD18" w14:textId="39ED2C9D" w:rsidR="00946434" w:rsidRPr="00BD4A2A" w:rsidRDefault="00117B58" w:rsidP="00117B58">
      <w:pPr>
        <w:pStyle w:val="Caption"/>
      </w:pPr>
      <w:bookmarkStart w:id="43" w:name="_Ref188958549"/>
      <w:r w:rsidRPr="00DC5CC3">
        <w:lastRenderedPageBreak/>
        <w:t xml:space="preserve">Table </w:t>
      </w:r>
      <w:r w:rsidR="005E2A18">
        <w:fldChar w:fldCharType="begin"/>
      </w:r>
      <w:r w:rsidR="005E2A18">
        <w:instrText xml:space="preserve"> SEQ Table \* ARABIC </w:instrText>
      </w:r>
      <w:r w:rsidR="005E2A18">
        <w:fldChar w:fldCharType="separate"/>
      </w:r>
      <w:r w:rsidR="00896E34">
        <w:rPr>
          <w:noProof/>
        </w:rPr>
        <w:t>10</w:t>
      </w:r>
      <w:r w:rsidR="005E2A18">
        <w:rPr>
          <w:noProof/>
        </w:rPr>
        <w:fldChar w:fldCharType="end"/>
      </w:r>
      <w:bookmarkEnd w:id="43"/>
      <w:r w:rsidRPr="00DC5CC3">
        <w:t>:</w:t>
      </w:r>
      <w:r>
        <w:t xml:space="preserve"> </w:t>
      </w:r>
      <w:r w:rsidR="00946434" w:rsidRPr="00BD4A2A">
        <w:t>Sensitivity analysis - CMA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370"/>
        <w:gridCol w:w="1415"/>
      </w:tblGrid>
      <w:tr w:rsidR="00946434" w:rsidRPr="00BD4A2A" w14:paraId="2725FF2D" w14:textId="77777777" w:rsidTr="00A72FEA">
        <w:trPr>
          <w:trHeight w:val="227"/>
        </w:trPr>
        <w:tc>
          <w:tcPr>
            <w:tcW w:w="6232" w:type="dxa"/>
            <w:shd w:val="clear" w:color="auto" w:fill="auto"/>
            <w:noWrap/>
            <w:vAlign w:val="center"/>
            <w:hideMark/>
          </w:tcPr>
          <w:p w14:paraId="0627B3FE" w14:textId="77777777" w:rsidR="00946434" w:rsidRPr="0016164C" w:rsidRDefault="00946434" w:rsidP="00946434">
            <w:pPr>
              <w:pStyle w:val="TableText0"/>
              <w:rPr>
                <w:b/>
                <w:bCs w:val="0"/>
              </w:rPr>
            </w:pPr>
            <w:r w:rsidRPr="0016164C">
              <w:rPr>
                <w:b/>
                <w:bCs w:val="0"/>
              </w:rPr>
              <w:t>Scenario</w:t>
            </w:r>
          </w:p>
        </w:tc>
        <w:tc>
          <w:tcPr>
            <w:tcW w:w="1370" w:type="dxa"/>
            <w:shd w:val="clear" w:color="auto" w:fill="auto"/>
            <w:noWrap/>
            <w:vAlign w:val="center"/>
            <w:hideMark/>
          </w:tcPr>
          <w:p w14:paraId="3C30DBAF" w14:textId="77777777" w:rsidR="00946434" w:rsidRPr="0016164C" w:rsidRDefault="00946434" w:rsidP="00946434">
            <w:pPr>
              <w:pStyle w:val="TableText0"/>
              <w:rPr>
                <w:b/>
                <w:bCs w:val="0"/>
              </w:rPr>
            </w:pPr>
            <w:r w:rsidRPr="0016164C">
              <w:rPr>
                <w:b/>
                <w:bCs w:val="0"/>
              </w:rPr>
              <w:t>Total cost per year per user</w:t>
            </w:r>
          </w:p>
        </w:tc>
        <w:tc>
          <w:tcPr>
            <w:tcW w:w="1415" w:type="dxa"/>
            <w:shd w:val="clear" w:color="auto" w:fill="auto"/>
            <w:noWrap/>
            <w:vAlign w:val="center"/>
            <w:hideMark/>
          </w:tcPr>
          <w:p w14:paraId="39689C32" w14:textId="77777777" w:rsidR="00946434" w:rsidRPr="0016164C" w:rsidRDefault="00946434" w:rsidP="00946434">
            <w:pPr>
              <w:pStyle w:val="TableText0"/>
              <w:rPr>
                <w:b/>
                <w:bCs w:val="0"/>
              </w:rPr>
            </w:pPr>
            <w:r w:rsidRPr="0016164C">
              <w:rPr>
                <w:b/>
                <w:bCs w:val="0"/>
              </w:rPr>
              <w:t>NuvaRing</w:t>
            </w:r>
          </w:p>
          <w:p w14:paraId="7D3CF8E9" w14:textId="77777777" w:rsidR="00946434" w:rsidRPr="0016164C" w:rsidRDefault="00946434" w:rsidP="00946434">
            <w:pPr>
              <w:pStyle w:val="TableText0"/>
              <w:rPr>
                <w:b/>
                <w:bCs w:val="0"/>
              </w:rPr>
            </w:pPr>
            <w:r w:rsidRPr="0016164C">
              <w:rPr>
                <w:b/>
                <w:bCs w:val="0"/>
              </w:rPr>
              <w:t>AEMP (3-pack)</w:t>
            </w:r>
          </w:p>
        </w:tc>
      </w:tr>
      <w:tr w:rsidR="00946434" w:rsidRPr="00BD4A2A" w14:paraId="3C58B7C7" w14:textId="77777777" w:rsidTr="00A72FEA">
        <w:trPr>
          <w:trHeight w:val="227"/>
        </w:trPr>
        <w:tc>
          <w:tcPr>
            <w:tcW w:w="6232" w:type="dxa"/>
            <w:shd w:val="clear" w:color="auto" w:fill="auto"/>
            <w:noWrap/>
            <w:vAlign w:val="center"/>
            <w:hideMark/>
          </w:tcPr>
          <w:p w14:paraId="77BB36D6" w14:textId="77777777" w:rsidR="00946434" w:rsidRPr="00BD4A2A" w:rsidRDefault="00946434" w:rsidP="00946434">
            <w:pPr>
              <w:pStyle w:val="TableText0"/>
            </w:pPr>
            <w:r w:rsidRPr="00BD4A2A">
              <w:t>Base case</w:t>
            </w:r>
          </w:p>
        </w:tc>
        <w:tc>
          <w:tcPr>
            <w:tcW w:w="1370" w:type="dxa"/>
            <w:shd w:val="clear" w:color="auto" w:fill="auto"/>
            <w:noWrap/>
            <w:vAlign w:val="center"/>
            <w:hideMark/>
          </w:tcPr>
          <w:p w14:paraId="6433B99C" w14:textId="04DD9350" w:rsidR="00946434" w:rsidRPr="0097221C" w:rsidRDefault="00946434" w:rsidP="00946434">
            <w:pPr>
              <w:pStyle w:val="TableText0"/>
            </w:pPr>
            <w:r w:rsidRPr="0097221C">
              <w:t>$267.72</w:t>
            </w:r>
          </w:p>
        </w:tc>
        <w:tc>
          <w:tcPr>
            <w:tcW w:w="1415" w:type="dxa"/>
            <w:shd w:val="clear" w:color="auto" w:fill="auto"/>
            <w:noWrap/>
            <w:vAlign w:val="center"/>
            <w:hideMark/>
          </w:tcPr>
          <w:p w14:paraId="2F6477E7" w14:textId="79FDFB20" w:rsidR="00946434" w:rsidRPr="0097221C" w:rsidRDefault="00946434" w:rsidP="00946434">
            <w:pPr>
              <w:pStyle w:val="TableText0"/>
            </w:pPr>
            <w:r w:rsidRPr="0097221C">
              <w:t>$67.98</w:t>
            </w:r>
          </w:p>
        </w:tc>
      </w:tr>
      <w:tr w:rsidR="00946434" w:rsidRPr="00BD4A2A" w14:paraId="3A02AACE" w14:textId="77777777" w:rsidTr="00A72FEA">
        <w:trPr>
          <w:trHeight w:val="227"/>
        </w:trPr>
        <w:tc>
          <w:tcPr>
            <w:tcW w:w="6232" w:type="dxa"/>
            <w:shd w:val="clear" w:color="auto" w:fill="auto"/>
            <w:noWrap/>
            <w:vAlign w:val="center"/>
            <w:hideMark/>
          </w:tcPr>
          <w:p w14:paraId="328F257C" w14:textId="3625D718" w:rsidR="00946434" w:rsidRPr="00BD4A2A" w:rsidRDefault="00946434" w:rsidP="00946434">
            <w:pPr>
              <w:pStyle w:val="TableText0"/>
            </w:pPr>
            <w:r w:rsidRPr="00BD4A2A">
              <w:t>Increase NuvaRing adherence from 82.7% to 87.4% (Odds</w:t>
            </w:r>
            <w:r w:rsidR="00F65098">
              <w:t>s</w:t>
            </w:r>
            <w:r w:rsidRPr="00BD4A2A">
              <w:t>on 2005</w:t>
            </w:r>
            <w:r w:rsidR="000C7543">
              <w:t>b</w:t>
            </w:r>
            <w:r w:rsidRPr="00BD4A2A">
              <w:t>)</w:t>
            </w:r>
          </w:p>
        </w:tc>
        <w:tc>
          <w:tcPr>
            <w:tcW w:w="1370" w:type="dxa"/>
            <w:shd w:val="clear" w:color="auto" w:fill="auto"/>
            <w:noWrap/>
            <w:vAlign w:val="center"/>
          </w:tcPr>
          <w:p w14:paraId="389DD7DF" w14:textId="58B53F33" w:rsidR="00946434" w:rsidRPr="0097221C" w:rsidRDefault="00946434" w:rsidP="00946434">
            <w:pPr>
              <w:pStyle w:val="TableText0"/>
            </w:pPr>
            <w:r w:rsidRPr="0097221C">
              <w:t>$267.72</w:t>
            </w:r>
          </w:p>
        </w:tc>
        <w:tc>
          <w:tcPr>
            <w:tcW w:w="1415" w:type="dxa"/>
            <w:shd w:val="clear" w:color="auto" w:fill="auto"/>
            <w:noWrap/>
            <w:vAlign w:val="center"/>
          </w:tcPr>
          <w:p w14:paraId="1A6F46FA" w14:textId="0B79E2B0" w:rsidR="00946434" w:rsidRPr="0097221C" w:rsidRDefault="00946434" w:rsidP="00946434">
            <w:pPr>
              <w:pStyle w:val="TableText0"/>
            </w:pPr>
            <w:r w:rsidRPr="0097221C">
              <w:t>$64.32</w:t>
            </w:r>
          </w:p>
        </w:tc>
      </w:tr>
      <w:tr w:rsidR="00946434" w:rsidRPr="00BD4A2A" w14:paraId="3C6904E3" w14:textId="77777777" w:rsidTr="00A72FEA">
        <w:trPr>
          <w:trHeight w:val="227"/>
        </w:trPr>
        <w:tc>
          <w:tcPr>
            <w:tcW w:w="6232" w:type="dxa"/>
            <w:shd w:val="clear" w:color="auto" w:fill="auto"/>
            <w:noWrap/>
            <w:vAlign w:val="center"/>
            <w:hideMark/>
          </w:tcPr>
          <w:p w14:paraId="135F6D57" w14:textId="77777777" w:rsidR="00946434" w:rsidRPr="00BD4A2A" w:rsidRDefault="00946434" w:rsidP="00946434">
            <w:pPr>
              <w:pStyle w:val="TableText0"/>
            </w:pPr>
            <w:r w:rsidRPr="00BD4A2A">
              <w:t>Decrease NuvaRing adherence from 82.7% to 78.0% (Gill 2020)</w:t>
            </w:r>
          </w:p>
        </w:tc>
        <w:tc>
          <w:tcPr>
            <w:tcW w:w="1370" w:type="dxa"/>
            <w:shd w:val="clear" w:color="auto" w:fill="auto"/>
            <w:noWrap/>
            <w:vAlign w:val="center"/>
          </w:tcPr>
          <w:p w14:paraId="4EF2678A" w14:textId="46F595C8" w:rsidR="00946434" w:rsidRPr="0097221C" w:rsidRDefault="00946434" w:rsidP="00946434">
            <w:pPr>
              <w:pStyle w:val="TableText0"/>
            </w:pPr>
            <w:r w:rsidRPr="0097221C">
              <w:t>$267.72</w:t>
            </w:r>
          </w:p>
        </w:tc>
        <w:tc>
          <w:tcPr>
            <w:tcW w:w="1415" w:type="dxa"/>
            <w:shd w:val="clear" w:color="auto" w:fill="auto"/>
            <w:noWrap/>
            <w:vAlign w:val="center"/>
          </w:tcPr>
          <w:p w14:paraId="447AF72B" w14:textId="664D5064" w:rsidR="00946434" w:rsidRPr="0097221C" w:rsidRDefault="00946434" w:rsidP="00946434">
            <w:pPr>
              <w:pStyle w:val="TableText0"/>
            </w:pPr>
            <w:r w:rsidRPr="0097221C">
              <w:t>$72.07</w:t>
            </w:r>
          </w:p>
        </w:tc>
      </w:tr>
      <w:tr w:rsidR="00946434" w:rsidRPr="00BD4A2A" w14:paraId="55261B36" w14:textId="77777777" w:rsidTr="00A72FEA">
        <w:trPr>
          <w:trHeight w:val="227"/>
        </w:trPr>
        <w:tc>
          <w:tcPr>
            <w:tcW w:w="6232" w:type="dxa"/>
            <w:shd w:val="clear" w:color="auto" w:fill="auto"/>
            <w:noWrap/>
            <w:vAlign w:val="center"/>
            <w:hideMark/>
          </w:tcPr>
          <w:p w14:paraId="23ED5142" w14:textId="77777777" w:rsidR="00946434" w:rsidRPr="00BD4A2A" w:rsidRDefault="00946434" w:rsidP="00946434">
            <w:pPr>
              <w:pStyle w:val="TableText0"/>
            </w:pPr>
            <w:r w:rsidRPr="00BD4A2A">
              <w:t xml:space="preserve">Decrease NuvaRing number of repeats from 3 to 1 </w:t>
            </w:r>
          </w:p>
          <w:p w14:paraId="62530DD1" w14:textId="77777777" w:rsidR="00946434" w:rsidRPr="00BD4A2A" w:rsidRDefault="00946434" w:rsidP="00946434">
            <w:pPr>
              <w:pStyle w:val="TableText0"/>
            </w:pPr>
            <w:r w:rsidRPr="00BD4A2A">
              <w:t>(which also increases number annual GP visits from 1 to 2)</w:t>
            </w:r>
          </w:p>
        </w:tc>
        <w:tc>
          <w:tcPr>
            <w:tcW w:w="1370" w:type="dxa"/>
            <w:shd w:val="clear" w:color="auto" w:fill="auto"/>
            <w:noWrap/>
            <w:vAlign w:val="center"/>
          </w:tcPr>
          <w:p w14:paraId="2745F7A6" w14:textId="10ED3351" w:rsidR="00946434" w:rsidRPr="0097221C" w:rsidRDefault="00946434" w:rsidP="00946434">
            <w:pPr>
              <w:pStyle w:val="TableText0"/>
            </w:pPr>
            <w:r w:rsidRPr="0097221C">
              <w:t>$267.72</w:t>
            </w:r>
          </w:p>
        </w:tc>
        <w:tc>
          <w:tcPr>
            <w:tcW w:w="1415" w:type="dxa"/>
            <w:shd w:val="clear" w:color="auto" w:fill="auto"/>
            <w:noWrap/>
            <w:vAlign w:val="center"/>
          </w:tcPr>
          <w:p w14:paraId="423A6449" w14:textId="4E83DBB5" w:rsidR="00946434" w:rsidRPr="0097221C" w:rsidRDefault="00946434" w:rsidP="00946434">
            <w:pPr>
              <w:pStyle w:val="TableText0"/>
            </w:pPr>
            <w:r w:rsidRPr="0097221C">
              <w:t>$55.03</w:t>
            </w:r>
          </w:p>
        </w:tc>
      </w:tr>
      <w:tr w:rsidR="00946434" w:rsidRPr="00BD4A2A" w14:paraId="7DC6C64E" w14:textId="77777777" w:rsidTr="00A72FEA">
        <w:trPr>
          <w:trHeight w:val="227"/>
        </w:trPr>
        <w:tc>
          <w:tcPr>
            <w:tcW w:w="6232" w:type="dxa"/>
            <w:shd w:val="clear" w:color="auto" w:fill="auto"/>
            <w:noWrap/>
            <w:vAlign w:val="center"/>
            <w:hideMark/>
          </w:tcPr>
          <w:p w14:paraId="31EEC687" w14:textId="77777777" w:rsidR="00946434" w:rsidRPr="00BD4A2A" w:rsidRDefault="2F0CDCE5" w:rsidP="00946434">
            <w:pPr>
              <w:pStyle w:val="TableText0"/>
            </w:pPr>
            <w:r w:rsidRPr="0B5D70EC">
              <w:t>Decrease annual proportion of DMPA users requiring BMD scan from 9.5% to 5%</w:t>
            </w:r>
          </w:p>
        </w:tc>
        <w:tc>
          <w:tcPr>
            <w:tcW w:w="1370" w:type="dxa"/>
            <w:shd w:val="clear" w:color="auto" w:fill="auto"/>
            <w:noWrap/>
            <w:vAlign w:val="center"/>
          </w:tcPr>
          <w:p w14:paraId="3042EFB4" w14:textId="6A960563" w:rsidR="00946434" w:rsidRPr="0097221C" w:rsidRDefault="00946434" w:rsidP="00946434">
            <w:pPr>
              <w:pStyle w:val="TableText0"/>
            </w:pPr>
            <w:r w:rsidRPr="0097221C">
              <w:t>$263.31</w:t>
            </w:r>
          </w:p>
        </w:tc>
        <w:tc>
          <w:tcPr>
            <w:tcW w:w="1415" w:type="dxa"/>
            <w:shd w:val="clear" w:color="auto" w:fill="auto"/>
            <w:noWrap/>
            <w:vAlign w:val="center"/>
          </w:tcPr>
          <w:p w14:paraId="12F28AE2" w14:textId="04BEAED6" w:rsidR="00946434" w:rsidRPr="0097221C" w:rsidRDefault="00946434" w:rsidP="00946434">
            <w:pPr>
              <w:pStyle w:val="TableText0"/>
            </w:pPr>
            <w:r w:rsidRPr="0097221C">
              <w:t>$66.64</w:t>
            </w:r>
          </w:p>
        </w:tc>
      </w:tr>
      <w:tr w:rsidR="00946434" w:rsidRPr="00BD4A2A" w14:paraId="575FC8C6" w14:textId="77777777" w:rsidTr="00A72FEA">
        <w:trPr>
          <w:trHeight w:val="227"/>
        </w:trPr>
        <w:tc>
          <w:tcPr>
            <w:tcW w:w="6232" w:type="dxa"/>
            <w:shd w:val="clear" w:color="auto" w:fill="auto"/>
            <w:noWrap/>
            <w:vAlign w:val="center"/>
            <w:hideMark/>
          </w:tcPr>
          <w:p w14:paraId="4DB2A61B" w14:textId="77777777" w:rsidR="00946434" w:rsidRPr="00BD4A2A" w:rsidRDefault="00946434" w:rsidP="00946434">
            <w:pPr>
              <w:pStyle w:val="TableText0"/>
            </w:pPr>
            <w:r w:rsidRPr="00BD4A2A">
              <w:t>Increase indirect cost offset from 6.1% to 10% of DMPA AEMP</w:t>
            </w:r>
          </w:p>
        </w:tc>
        <w:tc>
          <w:tcPr>
            <w:tcW w:w="1370" w:type="dxa"/>
            <w:shd w:val="clear" w:color="auto" w:fill="auto"/>
            <w:noWrap/>
            <w:vAlign w:val="center"/>
          </w:tcPr>
          <w:p w14:paraId="599B38BE" w14:textId="5DE5595A" w:rsidR="00946434" w:rsidRPr="0097221C" w:rsidRDefault="00946434" w:rsidP="00946434">
            <w:pPr>
              <w:pStyle w:val="TableText0"/>
            </w:pPr>
            <w:r w:rsidRPr="0097221C">
              <w:t>$269.63</w:t>
            </w:r>
          </w:p>
        </w:tc>
        <w:tc>
          <w:tcPr>
            <w:tcW w:w="1415" w:type="dxa"/>
            <w:shd w:val="clear" w:color="auto" w:fill="auto"/>
            <w:noWrap/>
            <w:vAlign w:val="center"/>
          </w:tcPr>
          <w:p w14:paraId="32DCB02F" w14:textId="1CD0297B" w:rsidR="00946434" w:rsidRPr="0097221C" w:rsidRDefault="00946434" w:rsidP="00946434">
            <w:pPr>
              <w:pStyle w:val="TableText0"/>
            </w:pPr>
            <w:r w:rsidRPr="0097221C">
              <w:t>$68.55</w:t>
            </w:r>
          </w:p>
        </w:tc>
      </w:tr>
      <w:tr w:rsidR="00946434" w:rsidRPr="00BD4A2A" w14:paraId="54B2FDF5" w14:textId="77777777" w:rsidTr="00A72FEA">
        <w:trPr>
          <w:trHeight w:val="227"/>
        </w:trPr>
        <w:tc>
          <w:tcPr>
            <w:tcW w:w="6232" w:type="dxa"/>
            <w:shd w:val="clear" w:color="auto" w:fill="auto"/>
            <w:noWrap/>
            <w:vAlign w:val="center"/>
            <w:hideMark/>
          </w:tcPr>
          <w:p w14:paraId="10A63BA2" w14:textId="77777777" w:rsidR="00946434" w:rsidRPr="00BD4A2A" w:rsidRDefault="00946434" w:rsidP="00946434">
            <w:pPr>
              <w:pStyle w:val="TableText0"/>
            </w:pPr>
            <w:r w:rsidRPr="00BD4A2A">
              <w:t>Decrease indirect cost offset from 6.1% to 2% of DMPA AEMP</w:t>
            </w:r>
          </w:p>
        </w:tc>
        <w:tc>
          <w:tcPr>
            <w:tcW w:w="1370" w:type="dxa"/>
            <w:shd w:val="clear" w:color="auto" w:fill="auto"/>
            <w:noWrap/>
            <w:vAlign w:val="center"/>
          </w:tcPr>
          <w:p w14:paraId="544A7850" w14:textId="409733F2" w:rsidR="00946434" w:rsidRPr="0097221C" w:rsidRDefault="00946434" w:rsidP="00946434">
            <w:pPr>
              <w:pStyle w:val="TableText0"/>
            </w:pPr>
            <w:r w:rsidRPr="0097221C">
              <w:t>$265.72</w:t>
            </w:r>
          </w:p>
        </w:tc>
        <w:tc>
          <w:tcPr>
            <w:tcW w:w="1415" w:type="dxa"/>
            <w:shd w:val="clear" w:color="auto" w:fill="auto"/>
            <w:noWrap/>
            <w:vAlign w:val="center"/>
          </w:tcPr>
          <w:p w14:paraId="47F67352" w14:textId="165B575E" w:rsidR="00946434" w:rsidRPr="0097221C" w:rsidRDefault="00946434" w:rsidP="00946434">
            <w:pPr>
              <w:pStyle w:val="TableText0"/>
            </w:pPr>
            <w:r w:rsidRPr="0097221C">
              <w:t>$67.37</w:t>
            </w:r>
          </w:p>
        </w:tc>
      </w:tr>
    </w:tbl>
    <w:p w14:paraId="3B9AE929" w14:textId="6FD17929" w:rsidR="009A36DA" w:rsidRDefault="2F0CDCE5" w:rsidP="0053245C">
      <w:pPr>
        <w:pStyle w:val="TableFigureFooter"/>
      </w:pPr>
      <w:r w:rsidRPr="0B5D70EC">
        <w:t>Source: Table 3.3.3 p126 of the submission</w:t>
      </w:r>
      <w:r w:rsidR="002B0329">
        <w:t xml:space="preserve"> main body</w:t>
      </w:r>
      <w:r w:rsidRPr="0B5D70EC">
        <w:t xml:space="preserve">.  </w:t>
      </w:r>
    </w:p>
    <w:p w14:paraId="606118B4" w14:textId="43532631" w:rsidR="00A456B9" w:rsidRPr="00A456B9" w:rsidRDefault="2F0CDCE5" w:rsidP="0072201B">
      <w:pPr>
        <w:pStyle w:val="TableFigureFooter"/>
      </w:pPr>
      <w:r w:rsidRPr="0B5D70EC">
        <w:t>AEMP</w:t>
      </w:r>
      <w:r w:rsidR="00C260F6">
        <w:t xml:space="preserve"> </w:t>
      </w:r>
      <w:r w:rsidRPr="0B5D70EC">
        <w:t>= approved ex-manufacturer price; BMD</w:t>
      </w:r>
      <w:r w:rsidR="06A7EC85" w:rsidRPr="0B5D70EC">
        <w:t xml:space="preserve"> </w:t>
      </w:r>
      <w:r w:rsidRPr="0B5D70EC">
        <w:t>= bone mineral density; DMPA</w:t>
      </w:r>
      <w:r w:rsidR="00C260F6">
        <w:t xml:space="preserve"> </w:t>
      </w:r>
      <w:r w:rsidRPr="0B5D70EC">
        <w:t>= depot medroxyprogesterone acetate; GP</w:t>
      </w:r>
      <w:r w:rsidR="00C260F6">
        <w:t xml:space="preserve"> =</w:t>
      </w:r>
      <w:r w:rsidRPr="0B5D70EC">
        <w:t xml:space="preserve"> </w:t>
      </w:r>
      <w:r w:rsidR="003325D8">
        <w:t>g</w:t>
      </w:r>
      <w:r w:rsidRPr="0B5D70EC">
        <w:t>eneral practitioner.</w:t>
      </w:r>
    </w:p>
    <w:p w14:paraId="57BF8CBD" w14:textId="5835815C" w:rsidR="00DE4273" w:rsidRPr="00E5558F" w:rsidRDefault="00CC7ECF" w:rsidP="001E2F24">
      <w:pPr>
        <w:pStyle w:val="3-BodyText"/>
        <w:rPr>
          <w:color w:val="0066FF"/>
        </w:rPr>
      </w:pPr>
      <w:r w:rsidRPr="0053245C">
        <w:t>N</w:t>
      </w:r>
      <w:r w:rsidR="00DE4273" w:rsidRPr="0053245C">
        <w:t xml:space="preserve">o evidence was provided that </w:t>
      </w:r>
      <w:r w:rsidRPr="0053245C">
        <w:t>the CVR</w:t>
      </w:r>
      <w:r w:rsidR="00DE4273" w:rsidRPr="0053245C">
        <w:t xml:space="preserve"> provides a significant improvement in efficacy and/or reduction in safety over</w:t>
      </w:r>
      <w:r w:rsidR="00675A39" w:rsidRPr="0053245C">
        <w:t xml:space="preserve"> other hormonal contraceptives </w:t>
      </w:r>
      <w:r w:rsidR="00C00275" w:rsidRPr="0053245C">
        <w:t xml:space="preserve">that are </w:t>
      </w:r>
      <w:r w:rsidR="00675A39" w:rsidRPr="0053245C">
        <w:t>PBS-listed:</w:t>
      </w:r>
      <w:r w:rsidR="005E2A18" w:rsidRPr="0053245C">
        <w:t xml:space="preserve"> DM</w:t>
      </w:r>
      <w:r w:rsidR="00675A39" w:rsidRPr="0053245C">
        <w:t>P</w:t>
      </w:r>
      <w:r w:rsidR="005E2A18" w:rsidRPr="0053245C">
        <w:t xml:space="preserve">A, </w:t>
      </w:r>
      <w:r w:rsidRPr="0053245C">
        <w:t>COCs</w:t>
      </w:r>
      <w:r w:rsidR="00BD352D" w:rsidRPr="0053245C">
        <w:t xml:space="preserve">, progestogen only pills, </w:t>
      </w:r>
      <w:r w:rsidRPr="0053245C">
        <w:t>levonorgestrel IUD and etonogestrel</w:t>
      </w:r>
      <w:r w:rsidR="001463EE" w:rsidRPr="0053245C">
        <w:t xml:space="preserve"> implant</w:t>
      </w:r>
      <w:r w:rsidRPr="0053245C">
        <w:t>.</w:t>
      </w:r>
    </w:p>
    <w:p w14:paraId="583AD2F7" w14:textId="7685E2C9" w:rsidR="00E5558F" w:rsidRPr="007B69A6" w:rsidRDefault="00E5558F" w:rsidP="001E2F24">
      <w:pPr>
        <w:pStyle w:val="3-BodyText"/>
        <w:rPr>
          <w:color w:val="0066FF"/>
        </w:rPr>
      </w:pPr>
      <w:r w:rsidRPr="007B69A6">
        <w:t xml:space="preserve">The PSCR </w:t>
      </w:r>
      <w:r w:rsidR="00AA4546" w:rsidRPr="007B69A6">
        <w:t xml:space="preserve">stated the sponsor would be open to considering an Unrestricted benefit listing for CVR, </w:t>
      </w:r>
      <w:r w:rsidR="00C90636" w:rsidRPr="007B69A6">
        <w:t>based on non-inferior safety and efficacy compared to EE/DRSP (Yaz, Yasmin)</w:t>
      </w:r>
      <w:r w:rsidR="00C674A9" w:rsidRPr="007B69A6">
        <w:t>, and would be willing to consider an AEMP of $45.45 for 12 weeks of therapy (</w:t>
      </w:r>
      <w:r w:rsidR="00F97A7D" w:rsidRPr="007B69A6">
        <w:t>equivalent AEMP to EE/DRSP 3 x 28 tablets).</w:t>
      </w:r>
      <w:r w:rsidR="00BE12FB">
        <w:t xml:space="preserve"> The pre-PBAC response reiterated </w:t>
      </w:r>
      <w:proofErr w:type="gramStart"/>
      <w:r w:rsidR="00BE12FB">
        <w:t>this, and</w:t>
      </w:r>
      <w:proofErr w:type="gramEnd"/>
      <w:r w:rsidR="00BE12FB">
        <w:t xml:space="preserve"> stated </w:t>
      </w:r>
      <w:r w:rsidR="00772AFE">
        <w:t>that this would allow broader access to CVR.</w:t>
      </w:r>
    </w:p>
    <w:p w14:paraId="472842D7" w14:textId="4F9ECE81" w:rsidR="00C25D9C" w:rsidRPr="0098262F" w:rsidRDefault="00C25D9C" w:rsidP="00BB732D">
      <w:pPr>
        <w:pStyle w:val="4-SubsectionHeading"/>
      </w:pPr>
      <w:bookmarkStart w:id="44" w:name="_Toc22897646"/>
      <w:bookmarkStart w:id="45" w:name="_Toc193454826"/>
      <w:r w:rsidRPr="0098262F">
        <w:t>Drug cost/patient/</w:t>
      </w:r>
      <w:r w:rsidR="001A60DA" w:rsidRPr="0098262F">
        <w:t xml:space="preserve"> </w:t>
      </w:r>
      <w:r w:rsidRPr="0098262F">
        <w:t>year</w:t>
      </w:r>
      <w:bookmarkEnd w:id="44"/>
      <w:r w:rsidR="00B177C9">
        <w:t>: $31</w:t>
      </w:r>
      <w:r w:rsidR="003134A6">
        <w:t>2.</w:t>
      </w:r>
      <w:r w:rsidR="0030547A">
        <w:t>76</w:t>
      </w:r>
      <w:bookmarkEnd w:id="45"/>
    </w:p>
    <w:p w14:paraId="092975CB" w14:textId="77C2588F" w:rsidR="005E2A18" w:rsidRDefault="00171694" w:rsidP="005E2A18">
      <w:pPr>
        <w:pStyle w:val="3-BodyText"/>
      </w:pPr>
      <w:bookmarkStart w:id="46" w:name="_Toc22897647"/>
      <w:r>
        <w:t xml:space="preserve">The estimated drug cost/patient per year </w:t>
      </w:r>
      <w:r w:rsidR="00BC3429">
        <w:t>would be</w:t>
      </w:r>
      <w:r>
        <w:t xml:space="preserve"> $31</w:t>
      </w:r>
      <w:r w:rsidR="003134A6">
        <w:t>2.</w:t>
      </w:r>
      <w:r w:rsidR="0030547A">
        <w:t>76</w:t>
      </w:r>
      <w:r w:rsidR="003134A6">
        <w:t xml:space="preserve"> </w:t>
      </w:r>
      <w:r w:rsidR="009E7104">
        <w:t xml:space="preserve">for NuvaRing pack of </w:t>
      </w:r>
      <w:r w:rsidR="004270AD">
        <w:t>3 rings, based on a DPMQ of $71.90</w:t>
      </w:r>
      <w:r w:rsidR="00343F24">
        <w:t xml:space="preserve"> </w:t>
      </w:r>
      <w:r w:rsidR="001D05EB">
        <w:t xml:space="preserve">derived from the corrected CMA shown in </w:t>
      </w:r>
      <w:r w:rsidR="001D05EB">
        <w:fldChar w:fldCharType="begin"/>
      </w:r>
      <w:r w:rsidR="001D05EB">
        <w:instrText xml:space="preserve"> REF _Ref188958523 \h </w:instrText>
      </w:r>
      <w:r w:rsidR="001D05EB">
        <w:fldChar w:fldCharType="separate"/>
      </w:r>
      <w:r w:rsidR="00896E34">
        <w:t xml:space="preserve">Table </w:t>
      </w:r>
      <w:r w:rsidR="00896E34">
        <w:rPr>
          <w:noProof/>
        </w:rPr>
        <w:t>9</w:t>
      </w:r>
      <w:r w:rsidR="001D05EB">
        <w:fldChar w:fldCharType="end"/>
      </w:r>
      <w:r w:rsidR="001D05EB">
        <w:t xml:space="preserve">, </w:t>
      </w:r>
      <w:r w:rsidR="00F02F11">
        <w:t>and 4.3</w:t>
      </w:r>
      <w:r w:rsidR="004536CC">
        <w:t>5</w:t>
      </w:r>
      <w:r w:rsidR="00F02F11">
        <w:t xml:space="preserve"> prescriptions per year</w:t>
      </w:r>
      <w:r w:rsidR="004536CC">
        <w:t>.</w:t>
      </w:r>
      <w:r w:rsidR="00F02F11">
        <w:t xml:space="preserve"> </w:t>
      </w:r>
    </w:p>
    <w:p w14:paraId="268768EF" w14:textId="3104331C" w:rsidR="00B60939" w:rsidRPr="0098262F" w:rsidRDefault="00B60939" w:rsidP="002B05A1">
      <w:pPr>
        <w:pStyle w:val="4-SubsectionHeading"/>
      </w:pPr>
      <w:bookmarkStart w:id="47" w:name="_Toc193454827"/>
      <w:r w:rsidRPr="0098262F">
        <w:t>Estimated PBS usage &amp; financial implications</w:t>
      </w:r>
      <w:bookmarkEnd w:id="46"/>
      <w:bookmarkEnd w:id="47"/>
    </w:p>
    <w:p w14:paraId="2FB8498D" w14:textId="618E3A6D" w:rsidR="005E2A18" w:rsidRPr="005E2A18" w:rsidRDefault="00C25D9C" w:rsidP="001A60DA">
      <w:pPr>
        <w:pStyle w:val="3-BodyText"/>
        <w:rPr>
          <w:color w:val="0066FF"/>
        </w:rPr>
      </w:pPr>
      <w:r w:rsidRPr="0098262F">
        <w:t xml:space="preserve">This submission </w:t>
      </w:r>
      <w:r w:rsidR="00D03F5E">
        <w:t>was not</w:t>
      </w:r>
      <w:r w:rsidR="00D23D11" w:rsidRPr="0098262F">
        <w:t xml:space="preserve"> </w:t>
      </w:r>
      <w:r w:rsidRPr="0098262F">
        <w:t>considered by DUSC</w:t>
      </w:r>
      <w:r w:rsidRPr="0098262F">
        <w:rPr>
          <w:color w:val="0070C0"/>
        </w:rPr>
        <w:t>.</w:t>
      </w:r>
    </w:p>
    <w:p w14:paraId="04B31D2D" w14:textId="047AEDCE" w:rsidR="0072416F" w:rsidRPr="00361033" w:rsidRDefault="7F2486AB" w:rsidP="00361033">
      <w:pPr>
        <w:pStyle w:val="3-BodyText"/>
        <w:rPr>
          <w:color w:val="0066FF"/>
        </w:rPr>
      </w:pPr>
      <w:r w:rsidRPr="0B5D70EC">
        <w:t>The submission used a market share approach to estimate the likely use and financial impact of listing of</w:t>
      </w:r>
      <w:r w:rsidR="73C2CABD" w:rsidRPr="0B5D70EC">
        <w:t xml:space="preserve"> CVR</w:t>
      </w:r>
      <w:r w:rsidRPr="0B5D70EC">
        <w:t>. The estimate of the market inc</w:t>
      </w:r>
      <w:r w:rsidR="5117D514" w:rsidRPr="0B5D70EC">
        <w:t>luded both th</w:t>
      </w:r>
      <w:r w:rsidR="6DF54E99" w:rsidRPr="0B5D70EC">
        <w:t>e</w:t>
      </w:r>
      <w:r w:rsidR="5117D514" w:rsidRPr="0B5D70EC">
        <w:t xml:space="preserve"> </w:t>
      </w:r>
      <w:r w:rsidR="6DF54E99" w:rsidRPr="0B5D70EC">
        <w:t xml:space="preserve">current </w:t>
      </w:r>
      <w:r w:rsidR="5117D514" w:rsidRPr="0B5D70EC">
        <w:t xml:space="preserve">private market and </w:t>
      </w:r>
      <w:r w:rsidR="00DC1AD6">
        <w:t>medicines</w:t>
      </w:r>
      <w:r w:rsidR="00C8695D">
        <w:t xml:space="preserve"> substituted on</w:t>
      </w:r>
      <w:r w:rsidR="00DC1AD6">
        <w:t xml:space="preserve"> </w:t>
      </w:r>
      <w:r w:rsidR="5117D514" w:rsidRPr="0B5D70EC">
        <w:t xml:space="preserve">the PBS. </w:t>
      </w:r>
      <w:r w:rsidR="6DF54E99" w:rsidRPr="0B5D70EC">
        <w:t xml:space="preserve">Data sources used in the analysis are listed in </w:t>
      </w:r>
      <w:r w:rsidR="001A60DA">
        <w:fldChar w:fldCharType="begin"/>
      </w:r>
      <w:r w:rsidR="001A60DA">
        <w:instrText xml:space="preserve"> REF _Ref189738795 \h </w:instrText>
      </w:r>
      <w:r w:rsidR="001A60DA">
        <w:fldChar w:fldCharType="separate"/>
      </w:r>
      <w:r w:rsidR="00896E34">
        <w:t xml:space="preserve">Table </w:t>
      </w:r>
      <w:r w:rsidR="00896E34">
        <w:rPr>
          <w:noProof/>
        </w:rPr>
        <w:t>11</w:t>
      </w:r>
      <w:r w:rsidR="001A60DA">
        <w:fldChar w:fldCharType="end"/>
      </w:r>
      <w:r w:rsidR="73C2CABD" w:rsidRPr="0B5D70EC">
        <w:t>.</w:t>
      </w:r>
    </w:p>
    <w:p w14:paraId="3393BCE7" w14:textId="20232AAC" w:rsidR="00E42F73" w:rsidRDefault="005E2A18" w:rsidP="00214F44">
      <w:pPr>
        <w:pStyle w:val="Caption"/>
        <w:keepNext w:val="0"/>
        <w:keepLines w:val="0"/>
        <w:rPr>
          <w:rStyle w:val="CommentReference"/>
          <w:b/>
          <w:szCs w:val="24"/>
        </w:rPr>
      </w:pPr>
      <w:bookmarkStart w:id="48" w:name="_Ref189738795"/>
      <w:r>
        <w:t xml:space="preserve">Table </w:t>
      </w:r>
      <w:r>
        <w:fldChar w:fldCharType="begin"/>
      </w:r>
      <w:r>
        <w:instrText xml:space="preserve"> SEQ Table \* ARABIC </w:instrText>
      </w:r>
      <w:r>
        <w:fldChar w:fldCharType="separate"/>
      </w:r>
      <w:r w:rsidR="00896E34">
        <w:rPr>
          <w:noProof/>
        </w:rPr>
        <w:t>11</w:t>
      </w:r>
      <w:r>
        <w:rPr>
          <w:noProof/>
        </w:rPr>
        <w:fldChar w:fldCharType="end"/>
      </w:r>
      <w:bookmarkEnd w:id="48"/>
      <w:r>
        <w:t xml:space="preserve">: </w:t>
      </w:r>
      <w:r w:rsidR="00E42F73" w:rsidRPr="0098262F">
        <w:rPr>
          <w:rStyle w:val="CommentReference"/>
          <w:b/>
          <w:szCs w:val="24"/>
        </w:rPr>
        <w:t>Key inputs for financial estimates</w:t>
      </w:r>
    </w:p>
    <w:tbl>
      <w:tblPr>
        <w:tblStyle w:val="TableGrid"/>
        <w:tblW w:w="0" w:type="auto"/>
        <w:tblCellMar>
          <w:left w:w="28" w:type="dxa"/>
          <w:right w:w="28" w:type="dxa"/>
        </w:tblCellMar>
        <w:tblLook w:val="04A0" w:firstRow="1" w:lastRow="0" w:firstColumn="1" w:lastColumn="0" w:noHBand="0" w:noVBand="1"/>
      </w:tblPr>
      <w:tblGrid>
        <w:gridCol w:w="1696"/>
        <w:gridCol w:w="1701"/>
        <w:gridCol w:w="993"/>
        <w:gridCol w:w="1417"/>
        <w:gridCol w:w="3210"/>
      </w:tblGrid>
      <w:tr w:rsidR="00DE6EF1" w14:paraId="529695FD" w14:textId="77777777" w:rsidTr="00DE6EF1">
        <w:trPr>
          <w:tblHeader/>
        </w:trPr>
        <w:tc>
          <w:tcPr>
            <w:tcW w:w="1696" w:type="dxa"/>
            <w:vAlign w:val="center"/>
          </w:tcPr>
          <w:p w14:paraId="5641B849" w14:textId="76773A3F" w:rsidR="00DE6EF1" w:rsidRPr="00DE6EF1" w:rsidRDefault="00DE6EF1" w:rsidP="00214F44">
            <w:pPr>
              <w:pStyle w:val="In-tableHeading"/>
              <w:keepNext w:val="0"/>
              <w:keepLines w:val="0"/>
              <w:rPr>
                <w:lang w:val="en-AU"/>
              </w:rPr>
            </w:pPr>
            <w:r w:rsidRPr="0098262F">
              <w:rPr>
                <w:lang w:val="en-AU"/>
              </w:rPr>
              <w:t>Parameter</w:t>
            </w:r>
          </w:p>
        </w:tc>
        <w:tc>
          <w:tcPr>
            <w:tcW w:w="4111" w:type="dxa"/>
            <w:gridSpan w:val="3"/>
            <w:vAlign w:val="center"/>
          </w:tcPr>
          <w:p w14:paraId="3247AB5A" w14:textId="570281D0" w:rsidR="00DE6EF1" w:rsidRPr="00DE6EF1" w:rsidRDefault="00DE6EF1" w:rsidP="00214F44">
            <w:pPr>
              <w:pStyle w:val="In-tableHeading"/>
              <w:keepNext w:val="0"/>
              <w:keepLines w:val="0"/>
              <w:rPr>
                <w:lang w:val="en-AU"/>
              </w:rPr>
            </w:pPr>
            <w:r w:rsidRPr="0098262F">
              <w:rPr>
                <w:lang w:val="en-AU"/>
              </w:rPr>
              <w:t>Value applied and source</w:t>
            </w:r>
          </w:p>
        </w:tc>
        <w:tc>
          <w:tcPr>
            <w:tcW w:w="3210" w:type="dxa"/>
            <w:vAlign w:val="center"/>
          </w:tcPr>
          <w:p w14:paraId="02856594" w14:textId="163AFD61" w:rsidR="00DE6EF1" w:rsidRPr="00DE6EF1" w:rsidRDefault="00DE6EF1" w:rsidP="00214F44">
            <w:pPr>
              <w:pStyle w:val="In-tableHeading"/>
              <w:keepNext w:val="0"/>
              <w:keepLines w:val="0"/>
              <w:rPr>
                <w:lang w:val="en-AU"/>
              </w:rPr>
            </w:pPr>
            <w:r w:rsidRPr="0098262F">
              <w:rPr>
                <w:lang w:val="en-AU"/>
              </w:rPr>
              <w:t>Comment</w:t>
            </w:r>
            <w:r>
              <w:rPr>
                <w:lang w:val="en-AU"/>
              </w:rPr>
              <w:t>*</w:t>
            </w:r>
          </w:p>
        </w:tc>
      </w:tr>
      <w:tr w:rsidR="00DE6EF1" w14:paraId="62B971F0" w14:textId="77777777" w:rsidTr="00DE6EF1">
        <w:tc>
          <w:tcPr>
            <w:tcW w:w="1696" w:type="dxa"/>
            <w:vAlign w:val="center"/>
          </w:tcPr>
          <w:p w14:paraId="7604DFBA" w14:textId="45D05AB5" w:rsidR="00DE6EF1" w:rsidRDefault="00DE6EF1" w:rsidP="00214F44">
            <w:pPr>
              <w:pStyle w:val="TableText0"/>
              <w:keepNext w:val="0"/>
              <w:keepLines w:val="0"/>
            </w:pPr>
            <w:r w:rsidRPr="00E20A91">
              <w:t>Drug prices, Quantities, Item codes, indications, clinical setting</w:t>
            </w:r>
          </w:p>
        </w:tc>
        <w:tc>
          <w:tcPr>
            <w:tcW w:w="4111" w:type="dxa"/>
            <w:gridSpan w:val="3"/>
            <w:vAlign w:val="center"/>
          </w:tcPr>
          <w:p w14:paraId="3407EB17" w14:textId="6534A466" w:rsidR="00DE6EF1" w:rsidRDefault="00DE6EF1" w:rsidP="00214F44">
            <w:pPr>
              <w:pStyle w:val="TableText0"/>
              <w:keepNext w:val="0"/>
              <w:keepLines w:val="0"/>
            </w:pPr>
            <w:r w:rsidRPr="00E20A91">
              <w:t xml:space="preserve">PBS online. Accessed from </w:t>
            </w:r>
            <w:r w:rsidRPr="00425CE5">
              <w:rPr>
                <w:u w:val="single"/>
              </w:rPr>
              <w:t>www.pbs.gov.au</w:t>
            </w:r>
            <w:r w:rsidRPr="00E20A91">
              <w:t xml:space="preserve"> </w:t>
            </w:r>
            <w:r>
              <w:t>from</w:t>
            </w:r>
            <w:r w:rsidRPr="00E20A91">
              <w:t xml:space="preserve"> Sept – Nov 2024</w:t>
            </w:r>
          </w:p>
        </w:tc>
        <w:tc>
          <w:tcPr>
            <w:tcW w:w="3210" w:type="dxa"/>
            <w:vAlign w:val="center"/>
          </w:tcPr>
          <w:p w14:paraId="2ED2A966" w14:textId="2F93C44F" w:rsidR="00DE6EF1" w:rsidRDefault="00DE6EF1" w:rsidP="00214F44">
            <w:pPr>
              <w:pStyle w:val="TableText0"/>
              <w:keepNext w:val="0"/>
              <w:keepLines w:val="0"/>
            </w:pPr>
            <w:r w:rsidRPr="0053245C">
              <w:t>Appropriate.</w:t>
            </w:r>
          </w:p>
        </w:tc>
      </w:tr>
      <w:tr w:rsidR="00DE6EF1" w14:paraId="3082E49E" w14:textId="77777777" w:rsidTr="008026E8">
        <w:tc>
          <w:tcPr>
            <w:tcW w:w="1696" w:type="dxa"/>
            <w:vAlign w:val="center"/>
          </w:tcPr>
          <w:p w14:paraId="7F54F3C1" w14:textId="0A1EF86C" w:rsidR="00DE6EF1" w:rsidRPr="001C34E7" w:rsidRDefault="00DE6EF1" w:rsidP="001C34E7">
            <w:pPr>
              <w:pStyle w:val="TableText0"/>
              <w:keepNext w:val="0"/>
              <w:keepLines w:val="0"/>
            </w:pPr>
            <w:r w:rsidRPr="001C34E7">
              <w:t>PBS/RPBS utilisation data</w:t>
            </w:r>
          </w:p>
        </w:tc>
        <w:tc>
          <w:tcPr>
            <w:tcW w:w="4111" w:type="dxa"/>
            <w:gridSpan w:val="3"/>
            <w:vAlign w:val="center"/>
          </w:tcPr>
          <w:p w14:paraId="612D0C64" w14:textId="77777777" w:rsidR="00DE6EF1" w:rsidRPr="001C34E7" w:rsidRDefault="00DE6EF1" w:rsidP="001C34E7">
            <w:pPr>
              <w:pStyle w:val="TableText0"/>
              <w:keepNext w:val="0"/>
              <w:keepLines w:val="0"/>
            </w:pPr>
            <w:r w:rsidRPr="001C34E7">
              <w:t xml:space="preserve">PBS and RPBS utilisation statistics. Accessed from </w:t>
            </w:r>
            <w:hyperlink r:id="rId11" w:history="1">
              <w:r w:rsidRPr="001C34E7">
                <w:rPr>
                  <w:rStyle w:val="Hyperlink"/>
                </w:rPr>
                <w:t>http://medicarestatistics.humanservices.gov.au/</w:t>
              </w:r>
            </w:hyperlink>
            <w:r w:rsidRPr="001C34E7">
              <w:t xml:space="preserve"> from Aug - Nov 2024.</w:t>
            </w:r>
          </w:p>
          <w:p w14:paraId="18414B45" w14:textId="77777777" w:rsidR="00DE6EF1" w:rsidRPr="001C34E7" w:rsidRDefault="00DE6EF1" w:rsidP="001C34E7">
            <w:pPr>
              <w:pStyle w:val="TableText0"/>
              <w:keepNext w:val="0"/>
              <w:keepLines w:val="0"/>
            </w:pPr>
            <w:r w:rsidRPr="001C34E7">
              <w:t>To calculate patient beneficiary category distribution for DMPA in calendar year 2023.</w:t>
            </w:r>
          </w:p>
          <w:p w14:paraId="1BF161F9" w14:textId="77777777" w:rsidR="00DE6EF1" w:rsidRPr="001C34E7" w:rsidRDefault="00DE6EF1" w:rsidP="001C34E7">
            <w:pPr>
              <w:pStyle w:val="TableText0"/>
              <w:keepNext w:val="0"/>
              <w:keepLines w:val="0"/>
            </w:pPr>
          </w:p>
          <w:p w14:paraId="16484103" w14:textId="77777777" w:rsidR="00DE6EF1" w:rsidRPr="001C34E7" w:rsidRDefault="00DE6EF1" w:rsidP="001C34E7">
            <w:pPr>
              <w:pStyle w:val="TableText0"/>
              <w:keepNext w:val="0"/>
              <w:keepLines w:val="0"/>
            </w:pPr>
            <w:r w:rsidRPr="001C34E7">
              <w:t>Dispensed unit trends 1992 – 2023 for DMPA.</w:t>
            </w:r>
          </w:p>
          <w:p w14:paraId="6CF2C25D" w14:textId="77777777" w:rsidR="00DE6EF1" w:rsidRPr="001C34E7" w:rsidRDefault="00DE6EF1" w:rsidP="001C34E7">
            <w:pPr>
              <w:pStyle w:val="TableText0"/>
              <w:keepNext w:val="0"/>
              <w:keepLines w:val="0"/>
            </w:pPr>
          </w:p>
          <w:p w14:paraId="79181EB5" w14:textId="3817656B" w:rsidR="00DE6EF1" w:rsidRPr="001C34E7" w:rsidRDefault="00DE6EF1" w:rsidP="001C34E7">
            <w:pPr>
              <w:pStyle w:val="TableText0"/>
              <w:keepNext w:val="0"/>
              <w:keepLines w:val="0"/>
            </w:pPr>
            <w:r w:rsidRPr="001C34E7">
              <w:t>3-year linear trend line for DMPA and OCs (2020 – 2023).</w:t>
            </w:r>
          </w:p>
        </w:tc>
        <w:tc>
          <w:tcPr>
            <w:tcW w:w="3210" w:type="dxa"/>
            <w:vAlign w:val="center"/>
          </w:tcPr>
          <w:p w14:paraId="2D5EFFAA" w14:textId="749A889E" w:rsidR="00DE6EF1" w:rsidRPr="001C34E7" w:rsidRDefault="00DE6EF1" w:rsidP="001C34E7">
            <w:pPr>
              <w:pStyle w:val="TableText0"/>
              <w:keepNext w:val="0"/>
              <w:keepLines w:val="0"/>
            </w:pPr>
            <w:r w:rsidRPr="001C34E7">
              <w:lastRenderedPageBreak/>
              <w:t xml:space="preserve">Appropriate. </w:t>
            </w:r>
          </w:p>
        </w:tc>
      </w:tr>
      <w:tr w:rsidR="00DE6EF1" w14:paraId="2D4D480D" w14:textId="77777777" w:rsidTr="008026E8">
        <w:tc>
          <w:tcPr>
            <w:tcW w:w="1696" w:type="dxa"/>
            <w:vAlign w:val="center"/>
          </w:tcPr>
          <w:p w14:paraId="28893C4B" w14:textId="4CE734B9" w:rsidR="00DE6EF1" w:rsidRPr="001C34E7" w:rsidRDefault="00DE6EF1" w:rsidP="001C34E7">
            <w:pPr>
              <w:pStyle w:val="TableText0"/>
              <w:keepNext w:val="0"/>
              <w:keepLines w:val="0"/>
            </w:pPr>
            <w:r w:rsidRPr="001C34E7">
              <w:t xml:space="preserve">Commissioned utilisation data – persistence to DMPA </w:t>
            </w:r>
          </w:p>
        </w:tc>
        <w:tc>
          <w:tcPr>
            <w:tcW w:w="4111" w:type="dxa"/>
            <w:gridSpan w:val="3"/>
            <w:vAlign w:val="center"/>
          </w:tcPr>
          <w:p w14:paraId="5CDE7D6A" w14:textId="77777777" w:rsidR="00DE6EF1" w:rsidRPr="001C34E7" w:rsidRDefault="00DE6EF1" w:rsidP="001C34E7">
            <w:pPr>
              <w:pStyle w:val="TableText0"/>
              <w:keepNext w:val="0"/>
              <w:keepLines w:val="0"/>
            </w:pPr>
            <w:r w:rsidRPr="001C34E7">
              <w:t>Prospection data of 10% PBS sample (sourced October 2024).</w:t>
            </w:r>
          </w:p>
          <w:p w14:paraId="5E7E450A" w14:textId="77777777" w:rsidR="00DE6EF1" w:rsidRPr="001C34E7" w:rsidRDefault="00DE6EF1" w:rsidP="001C34E7">
            <w:pPr>
              <w:pStyle w:val="TableText0"/>
              <w:keepNext w:val="0"/>
              <w:keepLines w:val="0"/>
            </w:pPr>
          </w:p>
          <w:p w14:paraId="2D2B824D" w14:textId="77777777" w:rsidR="00DE6EF1" w:rsidRPr="001C34E7" w:rsidRDefault="00DE6EF1" w:rsidP="001C34E7">
            <w:pPr>
              <w:pStyle w:val="TableText0"/>
              <w:keepNext w:val="0"/>
              <w:keepLines w:val="0"/>
            </w:pPr>
            <w:r w:rsidRPr="001C34E7">
              <w:t>Dispensed PBS/RPBS volumes of DMPA between 2010 – 2024.</w:t>
            </w:r>
          </w:p>
          <w:p w14:paraId="79328C80" w14:textId="77777777" w:rsidR="00DE6EF1" w:rsidRPr="001C34E7" w:rsidRDefault="00DE6EF1" w:rsidP="001C34E7">
            <w:pPr>
              <w:pStyle w:val="TableText0"/>
              <w:keepNext w:val="0"/>
              <w:keepLines w:val="0"/>
              <w:rPr>
                <w:u w:val="single"/>
              </w:rPr>
            </w:pPr>
          </w:p>
          <w:p w14:paraId="2345041C" w14:textId="77777777" w:rsidR="00DE6EF1" w:rsidRPr="001C34E7" w:rsidRDefault="00DE6EF1" w:rsidP="001C34E7">
            <w:pPr>
              <w:pStyle w:val="TableText0"/>
              <w:keepNext w:val="0"/>
              <w:keepLines w:val="0"/>
              <w:rPr>
                <w:u w:val="single"/>
              </w:rPr>
            </w:pPr>
            <w:r w:rsidRPr="001C34E7">
              <w:rPr>
                <w:u w:val="single"/>
              </w:rPr>
              <w:t>DMPA persistence</w:t>
            </w:r>
          </w:p>
          <w:p w14:paraId="33DADA3F" w14:textId="29BB7885" w:rsidR="00DE6EF1" w:rsidRPr="001C34E7" w:rsidRDefault="00DE6EF1" w:rsidP="001C34E7">
            <w:pPr>
              <w:pStyle w:val="TableText0"/>
              <w:keepNext w:val="0"/>
              <w:keepLines w:val="0"/>
            </w:pPr>
            <w:r w:rsidRPr="001C34E7">
              <w:t>At 2 years, 19% of DMPA users persist with treatment.</w:t>
            </w:r>
          </w:p>
        </w:tc>
        <w:tc>
          <w:tcPr>
            <w:tcW w:w="3210" w:type="dxa"/>
            <w:vAlign w:val="center"/>
          </w:tcPr>
          <w:p w14:paraId="6DF363EC" w14:textId="180B51B2" w:rsidR="00DE6EF1" w:rsidRPr="001C34E7" w:rsidRDefault="00DE6EF1" w:rsidP="001C34E7">
            <w:pPr>
              <w:pStyle w:val="TableText0"/>
              <w:keepNext w:val="0"/>
              <w:keepLines w:val="0"/>
            </w:pPr>
            <w:r w:rsidRPr="001C34E7">
              <w:t>Appropriate.</w:t>
            </w:r>
          </w:p>
        </w:tc>
      </w:tr>
      <w:tr w:rsidR="00DE6EF1" w14:paraId="5EDED372" w14:textId="77777777" w:rsidTr="008026E8">
        <w:tc>
          <w:tcPr>
            <w:tcW w:w="1696" w:type="dxa"/>
            <w:vAlign w:val="center"/>
          </w:tcPr>
          <w:p w14:paraId="2A88DD33" w14:textId="77777777" w:rsidR="00DE6EF1" w:rsidRDefault="00DE6EF1" w:rsidP="00DE6EF1">
            <w:pPr>
              <w:pStyle w:val="TableText0"/>
            </w:pPr>
            <w:r>
              <w:t>Market for CVR</w:t>
            </w:r>
          </w:p>
          <w:p w14:paraId="08D1E32F" w14:textId="5F9AC917" w:rsidR="00DE6EF1" w:rsidRDefault="00DE6EF1" w:rsidP="00DE6EF1">
            <w:pPr>
              <w:pStyle w:val="TableText0"/>
            </w:pPr>
            <w:r>
              <w:t>Expected growth rate</w:t>
            </w:r>
          </w:p>
        </w:tc>
        <w:tc>
          <w:tcPr>
            <w:tcW w:w="4111" w:type="dxa"/>
            <w:gridSpan w:val="3"/>
            <w:vAlign w:val="center"/>
          </w:tcPr>
          <w:p w14:paraId="50214FD8" w14:textId="77777777" w:rsidR="00DE6EF1" w:rsidRDefault="00DE6EF1" w:rsidP="00DE6EF1">
            <w:pPr>
              <w:pStyle w:val="TableText0"/>
            </w:pPr>
            <w:r w:rsidRPr="00E20A91">
              <w:t>IQVIA sales data (sourced October 2024</w:t>
            </w:r>
            <w:r>
              <w:t>) and HCP Survey.</w:t>
            </w:r>
          </w:p>
          <w:p w14:paraId="2900FF2A" w14:textId="77777777" w:rsidR="00DE6EF1" w:rsidRDefault="00DE6EF1" w:rsidP="00DE6EF1">
            <w:pPr>
              <w:pStyle w:val="TableText0"/>
            </w:pPr>
          </w:p>
          <w:p w14:paraId="2649C51A" w14:textId="77777777" w:rsidR="00DE6EF1" w:rsidRDefault="00DE6EF1" w:rsidP="00DE6EF1">
            <w:pPr>
              <w:pStyle w:val="TableText0"/>
            </w:pPr>
            <w:r w:rsidRPr="00E73544">
              <w:t xml:space="preserve">Sales data of </w:t>
            </w:r>
            <w:r>
              <w:t xml:space="preserve">CVR </w:t>
            </w:r>
            <w:r w:rsidRPr="00E73544">
              <w:t>(available via private script) between 2020 – 2024.</w:t>
            </w:r>
          </w:p>
          <w:p w14:paraId="771B3DED" w14:textId="77777777" w:rsidR="00DE6EF1" w:rsidRDefault="00DE6EF1" w:rsidP="00DE6EF1">
            <w:pPr>
              <w:pStyle w:val="TableText0"/>
            </w:pPr>
            <w:r>
              <w:t>Average number of women prescribed CVR in the past 6 months, per health care practitioner = 6.9.</w:t>
            </w:r>
          </w:p>
          <w:p w14:paraId="6B2391E0" w14:textId="77777777" w:rsidR="00DE6EF1" w:rsidRDefault="00DE6EF1" w:rsidP="00DE6EF1">
            <w:pPr>
              <w:pStyle w:val="TableText0"/>
            </w:pPr>
            <w:r>
              <w:t>Expected prescription rate: 22.1 per prescriber per 6 months.</w:t>
            </w:r>
          </w:p>
          <w:p w14:paraId="770527FC" w14:textId="4EA0240D" w:rsidR="00DE6EF1" w:rsidRDefault="00DE6EF1" w:rsidP="00DE6EF1">
            <w:pPr>
              <w:pStyle w:val="TableText0"/>
            </w:pPr>
            <w:r>
              <w:t xml:space="preserve"> i.e. expected growth rate of 220%.</w:t>
            </w:r>
          </w:p>
        </w:tc>
        <w:tc>
          <w:tcPr>
            <w:tcW w:w="3210" w:type="dxa"/>
            <w:vAlign w:val="center"/>
          </w:tcPr>
          <w:p w14:paraId="1BDBEB4E" w14:textId="7093F34B" w:rsidR="00DE6EF1" w:rsidRDefault="00DE6EF1" w:rsidP="00DE6EF1">
            <w:pPr>
              <w:pStyle w:val="TableText0"/>
            </w:pPr>
            <w:r w:rsidRPr="0053245C">
              <w:t>Sponsor assumption.</w:t>
            </w:r>
          </w:p>
        </w:tc>
      </w:tr>
      <w:tr w:rsidR="00DE6EF1" w14:paraId="360DCE6E" w14:textId="77777777" w:rsidTr="00481920">
        <w:tc>
          <w:tcPr>
            <w:tcW w:w="1696" w:type="dxa"/>
            <w:vAlign w:val="center"/>
          </w:tcPr>
          <w:p w14:paraId="25629A87" w14:textId="2082A9A9" w:rsidR="00DE6EF1" w:rsidRDefault="00DE6EF1" w:rsidP="00481920">
            <w:pPr>
              <w:pStyle w:val="TableText0"/>
              <w:keepNext w:val="0"/>
              <w:keepLines w:val="0"/>
              <w:widowControl w:val="0"/>
            </w:pPr>
            <w:r w:rsidRPr="0098262F">
              <w:t>Uptake rate</w:t>
            </w:r>
          </w:p>
        </w:tc>
        <w:tc>
          <w:tcPr>
            <w:tcW w:w="1701" w:type="dxa"/>
            <w:vAlign w:val="center"/>
          </w:tcPr>
          <w:p w14:paraId="4FB36B32" w14:textId="77777777" w:rsidR="00DE6EF1" w:rsidRDefault="00DE6EF1" w:rsidP="00481920">
            <w:pPr>
              <w:pStyle w:val="TableText0"/>
              <w:keepNext w:val="0"/>
              <w:keepLines w:val="0"/>
              <w:widowControl w:val="0"/>
            </w:pPr>
            <w:r>
              <w:t>Uptake from DMPA:</w:t>
            </w:r>
          </w:p>
          <w:p w14:paraId="31243CD9" w14:textId="3F52B68A" w:rsidR="00DE6EF1" w:rsidRPr="00E73544" w:rsidRDefault="00DE6EF1" w:rsidP="00481920">
            <w:pPr>
              <w:pStyle w:val="TableText0"/>
              <w:keepNext w:val="0"/>
              <w:keepLines w:val="0"/>
              <w:widowControl w:val="0"/>
            </w:pPr>
            <w:r w:rsidRPr="00E73544">
              <w:t xml:space="preserve">Yr 1    2025    </w:t>
            </w:r>
            <w:r w:rsidR="00EA4DFF" w:rsidRPr="00A942F3">
              <w:rPr>
                <w:color w:val="000000"/>
                <w:spacing w:val="55"/>
                <w:w w:val="96"/>
                <w:shd w:val="solid" w:color="000000" w:fill="000000"/>
                <w:fitText w:val="330" w:id="-663580672"/>
                <w14:textFill>
                  <w14:solidFill>
                    <w14:srgbClr w14:val="000000">
                      <w14:alpha w14:val="100000"/>
                    </w14:srgbClr>
                  </w14:solidFill>
                </w14:textFill>
              </w:rPr>
              <w:t>|||</w:t>
            </w:r>
            <w:r w:rsidR="00EA4DFF" w:rsidRPr="00A942F3">
              <w:rPr>
                <w:color w:val="000000"/>
                <w:spacing w:val="2"/>
                <w:w w:val="96"/>
                <w:shd w:val="solid" w:color="000000" w:fill="000000"/>
                <w:fitText w:val="330" w:id="-663580672"/>
                <w14:textFill>
                  <w14:solidFill>
                    <w14:srgbClr w14:val="000000">
                      <w14:alpha w14:val="100000"/>
                    </w14:srgbClr>
                  </w14:solidFill>
                </w14:textFill>
              </w:rPr>
              <w:t>|</w:t>
            </w:r>
            <w:r w:rsidRPr="00E73544">
              <w:t>%</w:t>
            </w:r>
          </w:p>
          <w:p w14:paraId="563F28F2" w14:textId="2BFB2F75" w:rsidR="00DE6EF1" w:rsidRPr="00E73544" w:rsidRDefault="00DE6EF1" w:rsidP="00481920">
            <w:pPr>
              <w:pStyle w:val="TableText0"/>
              <w:keepNext w:val="0"/>
              <w:keepLines w:val="0"/>
              <w:widowControl w:val="0"/>
            </w:pPr>
            <w:r w:rsidRPr="00E73544">
              <w:t xml:space="preserve">Yr 2    2026    </w:t>
            </w:r>
            <w:r w:rsidR="00EA4DFF" w:rsidRPr="00A942F3">
              <w:rPr>
                <w:color w:val="000000"/>
                <w:spacing w:val="55"/>
                <w:w w:val="96"/>
                <w:shd w:val="solid" w:color="000000" w:fill="000000"/>
                <w:fitText w:val="330" w:id="-663580671"/>
                <w14:textFill>
                  <w14:solidFill>
                    <w14:srgbClr w14:val="000000">
                      <w14:alpha w14:val="100000"/>
                    </w14:srgbClr>
                  </w14:solidFill>
                </w14:textFill>
              </w:rPr>
              <w:t>|||</w:t>
            </w:r>
            <w:r w:rsidR="00EA4DFF" w:rsidRPr="00A942F3">
              <w:rPr>
                <w:color w:val="000000"/>
                <w:spacing w:val="2"/>
                <w:w w:val="96"/>
                <w:shd w:val="solid" w:color="000000" w:fill="000000"/>
                <w:fitText w:val="330" w:id="-663580671"/>
                <w14:textFill>
                  <w14:solidFill>
                    <w14:srgbClr w14:val="000000">
                      <w14:alpha w14:val="100000"/>
                    </w14:srgbClr>
                  </w14:solidFill>
                </w14:textFill>
              </w:rPr>
              <w:t>|</w:t>
            </w:r>
            <w:r w:rsidRPr="001C34E7">
              <w:t>%</w:t>
            </w:r>
          </w:p>
          <w:p w14:paraId="5012BD21" w14:textId="204DC650" w:rsidR="00DE6EF1" w:rsidRDefault="00DE6EF1" w:rsidP="00481920">
            <w:pPr>
              <w:pStyle w:val="TableText0"/>
              <w:keepNext w:val="0"/>
              <w:keepLines w:val="0"/>
              <w:widowControl w:val="0"/>
            </w:pPr>
            <w:r w:rsidRPr="00E73544">
              <w:t>Y</w:t>
            </w:r>
            <w:r>
              <w:t>r</w:t>
            </w:r>
            <w:r w:rsidRPr="00E73544">
              <w:t xml:space="preserve"> 3   </w:t>
            </w:r>
            <w:r>
              <w:t xml:space="preserve"> </w:t>
            </w:r>
            <w:r w:rsidRPr="00E73544">
              <w:t xml:space="preserve">2027    </w:t>
            </w:r>
            <w:r w:rsidR="00EA4DFF" w:rsidRPr="00A942F3">
              <w:rPr>
                <w:color w:val="000000"/>
                <w:spacing w:val="55"/>
                <w:w w:val="96"/>
                <w:shd w:val="solid" w:color="000000" w:fill="000000"/>
                <w:fitText w:val="330" w:id="-663580670"/>
                <w14:textFill>
                  <w14:solidFill>
                    <w14:srgbClr w14:val="000000">
                      <w14:alpha w14:val="100000"/>
                    </w14:srgbClr>
                  </w14:solidFill>
                </w14:textFill>
              </w:rPr>
              <w:t>|||</w:t>
            </w:r>
            <w:r w:rsidR="00EA4DFF" w:rsidRPr="00A942F3">
              <w:rPr>
                <w:color w:val="000000"/>
                <w:spacing w:val="2"/>
                <w:w w:val="96"/>
                <w:shd w:val="solid" w:color="000000" w:fill="000000"/>
                <w:fitText w:val="330" w:id="-663580670"/>
                <w14:textFill>
                  <w14:solidFill>
                    <w14:srgbClr w14:val="000000">
                      <w14:alpha w14:val="100000"/>
                    </w14:srgbClr>
                  </w14:solidFill>
                </w14:textFill>
              </w:rPr>
              <w:t>|</w:t>
            </w:r>
            <w:r w:rsidRPr="00E73544">
              <w:t xml:space="preserve">% </w:t>
            </w:r>
          </w:p>
          <w:p w14:paraId="79EE866F" w14:textId="2A3BAF1D" w:rsidR="00DE6EF1" w:rsidRPr="00E73544" w:rsidRDefault="00DE6EF1" w:rsidP="00481920">
            <w:pPr>
              <w:pStyle w:val="TableText0"/>
              <w:keepNext w:val="0"/>
              <w:keepLines w:val="0"/>
              <w:widowControl w:val="0"/>
            </w:pPr>
            <w:r w:rsidRPr="00E73544">
              <w:t xml:space="preserve">Yr 4    2028    </w:t>
            </w:r>
            <w:r w:rsidR="00EA4DFF" w:rsidRPr="00A942F3">
              <w:rPr>
                <w:color w:val="000000"/>
                <w:spacing w:val="55"/>
                <w:w w:val="96"/>
                <w:shd w:val="solid" w:color="000000" w:fill="000000"/>
                <w:fitText w:val="330" w:id="-663580669"/>
                <w14:textFill>
                  <w14:solidFill>
                    <w14:srgbClr w14:val="000000">
                      <w14:alpha w14:val="100000"/>
                    </w14:srgbClr>
                  </w14:solidFill>
                </w14:textFill>
              </w:rPr>
              <w:t>|||</w:t>
            </w:r>
            <w:r w:rsidR="00EA4DFF" w:rsidRPr="00A942F3">
              <w:rPr>
                <w:color w:val="000000"/>
                <w:spacing w:val="2"/>
                <w:w w:val="96"/>
                <w:shd w:val="solid" w:color="000000" w:fill="000000"/>
                <w:fitText w:val="330" w:id="-663580669"/>
                <w14:textFill>
                  <w14:solidFill>
                    <w14:srgbClr w14:val="000000">
                      <w14:alpha w14:val="100000"/>
                    </w14:srgbClr>
                  </w14:solidFill>
                </w14:textFill>
              </w:rPr>
              <w:t>|</w:t>
            </w:r>
            <w:r w:rsidRPr="00E73544">
              <w:t>%</w:t>
            </w:r>
          </w:p>
          <w:p w14:paraId="4EA83C4C" w14:textId="61A3D530" w:rsidR="00DE6EF1" w:rsidRPr="00E73544" w:rsidRDefault="00DE6EF1" w:rsidP="00481920">
            <w:pPr>
              <w:pStyle w:val="TableText0"/>
              <w:keepNext w:val="0"/>
              <w:keepLines w:val="0"/>
              <w:widowControl w:val="0"/>
            </w:pPr>
            <w:r w:rsidRPr="00E73544">
              <w:t xml:space="preserve">Yr 5    2029    </w:t>
            </w:r>
            <w:r w:rsidR="00EA4DFF" w:rsidRPr="00A942F3">
              <w:rPr>
                <w:color w:val="000000"/>
                <w:spacing w:val="55"/>
                <w:w w:val="96"/>
                <w:shd w:val="solid" w:color="000000" w:fill="000000"/>
                <w:fitText w:val="330" w:id="-663580668"/>
                <w14:textFill>
                  <w14:solidFill>
                    <w14:srgbClr w14:val="000000">
                      <w14:alpha w14:val="100000"/>
                    </w14:srgbClr>
                  </w14:solidFill>
                </w14:textFill>
              </w:rPr>
              <w:t>|||</w:t>
            </w:r>
            <w:r w:rsidR="00EA4DFF" w:rsidRPr="00A942F3">
              <w:rPr>
                <w:color w:val="000000"/>
                <w:spacing w:val="2"/>
                <w:w w:val="96"/>
                <w:shd w:val="solid" w:color="000000" w:fill="000000"/>
                <w:fitText w:val="330" w:id="-663580668"/>
                <w14:textFill>
                  <w14:solidFill>
                    <w14:srgbClr w14:val="000000">
                      <w14:alpha w14:val="100000"/>
                    </w14:srgbClr>
                  </w14:solidFill>
                </w14:textFill>
              </w:rPr>
              <w:t>|</w:t>
            </w:r>
            <w:r w:rsidRPr="00E73544">
              <w:t>%</w:t>
            </w:r>
          </w:p>
          <w:p w14:paraId="271DFFB6" w14:textId="4AD34A50" w:rsidR="00DE6EF1" w:rsidRPr="00E73544" w:rsidRDefault="00DE6EF1" w:rsidP="00481920">
            <w:pPr>
              <w:pStyle w:val="TableText0"/>
              <w:keepNext w:val="0"/>
              <w:keepLines w:val="0"/>
              <w:widowControl w:val="0"/>
            </w:pPr>
            <w:r w:rsidRPr="00E73544">
              <w:t xml:space="preserve">Yr 6    2030    </w:t>
            </w:r>
            <w:r w:rsidR="00EA4DFF" w:rsidRPr="00A942F3">
              <w:rPr>
                <w:color w:val="000000"/>
                <w:spacing w:val="55"/>
                <w:w w:val="96"/>
                <w:shd w:val="solid" w:color="000000" w:fill="000000"/>
                <w:fitText w:val="330" w:id="-663580667"/>
                <w14:textFill>
                  <w14:solidFill>
                    <w14:srgbClr w14:val="000000">
                      <w14:alpha w14:val="100000"/>
                    </w14:srgbClr>
                  </w14:solidFill>
                </w14:textFill>
              </w:rPr>
              <w:t>|||</w:t>
            </w:r>
            <w:r w:rsidR="00EA4DFF" w:rsidRPr="00A942F3">
              <w:rPr>
                <w:color w:val="000000"/>
                <w:spacing w:val="2"/>
                <w:w w:val="96"/>
                <w:shd w:val="solid" w:color="000000" w:fill="000000"/>
                <w:fitText w:val="330" w:id="-663580667"/>
                <w14:textFill>
                  <w14:solidFill>
                    <w14:srgbClr w14:val="000000">
                      <w14:alpha w14:val="100000"/>
                    </w14:srgbClr>
                  </w14:solidFill>
                </w14:textFill>
              </w:rPr>
              <w:t>|</w:t>
            </w:r>
            <w:r w:rsidRPr="00E73544">
              <w:t>%</w:t>
            </w:r>
          </w:p>
          <w:p w14:paraId="3C907E53" w14:textId="44E7A343" w:rsidR="00DE6EF1" w:rsidRDefault="00DE6EF1" w:rsidP="00481920">
            <w:pPr>
              <w:pStyle w:val="TableText0"/>
              <w:keepNext w:val="0"/>
              <w:keepLines w:val="0"/>
              <w:widowControl w:val="0"/>
            </w:pPr>
            <w:r w:rsidRPr="0098262F">
              <w:t xml:space="preserve">Based on </w:t>
            </w:r>
            <w:r>
              <w:t>HCP survey</w:t>
            </w:r>
          </w:p>
        </w:tc>
        <w:tc>
          <w:tcPr>
            <w:tcW w:w="993" w:type="dxa"/>
            <w:vAlign w:val="center"/>
          </w:tcPr>
          <w:p w14:paraId="056F1962" w14:textId="77777777" w:rsidR="00DE6EF1" w:rsidRDefault="00DE6EF1" w:rsidP="00481920">
            <w:pPr>
              <w:pStyle w:val="TableText0"/>
              <w:keepNext w:val="0"/>
              <w:keepLines w:val="0"/>
              <w:widowControl w:val="0"/>
            </w:pPr>
            <w:r>
              <w:t>Uptake from OCs:</w:t>
            </w:r>
          </w:p>
          <w:p w14:paraId="122D887D" w14:textId="3EC0128B" w:rsidR="00DE6EF1" w:rsidRDefault="00DE6EF1" w:rsidP="00481920">
            <w:pPr>
              <w:pStyle w:val="TableText0"/>
              <w:keepNext w:val="0"/>
              <w:keepLines w:val="0"/>
              <w:widowControl w:val="0"/>
            </w:pPr>
            <w:r>
              <w:t xml:space="preserve">Yr 1: </w:t>
            </w:r>
            <w:r w:rsidR="00EA4DFF" w:rsidRPr="00A942F3">
              <w:rPr>
                <w:color w:val="000000"/>
                <w:spacing w:val="55"/>
                <w:w w:val="96"/>
                <w:shd w:val="solid" w:color="000000" w:fill="000000"/>
                <w:fitText w:val="330" w:id="-663580666"/>
                <w14:textFill>
                  <w14:solidFill>
                    <w14:srgbClr w14:val="000000">
                      <w14:alpha w14:val="100000"/>
                    </w14:srgbClr>
                  </w14:solidFill>
                </w14:textFill>
              </w:rPr>
              <w:t>|||</w:t>
            </w:r>
            <w:r w:rsidR="00EA4DFF" w:rsidRPr="00A942F3">
              <w:rPr>
                <w:color w:val="000000"/>
                <w:spacing w:val="2"/>
                <w:w w:val="96"/>
                <w:shd w:val="solid" w:color="000000" w:fill="000000"/>
                <w:fitText w:val="330" w:id="-663580666"/>
                <w14:textFill>
                  <w14:solidFill>
                    <w14:srgbClr w14:val="000000">
                      <w14:alpha w14:val="100000"/>
                    </w14:srgbClr>
                  </w14:solidFill>
                </w14:textFill>
              </w:rPr>
              <w:t>|</w:t>
            </w:r>
            <w:r>
              <w:t>%</w:t>
            </w:r>
          </w:p>
          <w:p w14:paraId="77D9EC9D" w14:textId="21FE73EB" w:rsidR="00DE6EF1" w:rsidRDefault="00DE6EF1" w:rsidP="00481920">
            <w:pPr>
              <w:pStyle w:val="TableText0"/>
              <w:keepNext w:val="0"/>
              <w:keepLines w:val="0"/>
              <w:widowControl w:val="0"/>
            </w:pPr>
            <w:r>
              <w:t xml:space="preserve">Yr 2: </w:t>
            </w:r>
            <w:r w:rsidR="00EA4DFF" w:rsidRPr="00A942F3">
              <w:rPr>
                <w:color w:val="000000"/>
                <w:spacing w:val="55"/>
                <w:w w:val="96"/>
                <w:shd w:val="solid" w:color="000000" w:fill="000000"/>
                <w:fitText w:val="330" w:id="-663580665"/>
                <w14:textFill>
                  <w14:solidFill>
                    <w14:srgbClr w14:val="000000">
                      <w14:alpha w14:val="100000"/>
                    </w14:srgbClr>
                  </w14:solidFill>
                </w14:textFill>
              </w:rPr>
              <w:t>|||</w:t>
            </w:r>
            <w:r w:rsidR="00EA4DFF" w:rsidRPr="00A942F3">
              <w:rPr>
                <w:color w:val="000000"/>
                <w:spacing w:val="2"/>
                <w:w w:val="96"/>
                <w:shd w:val="solid" w:color="000000" w:fill="000000"/>
                <w:fitText w:val="330" w:id="-663580665"/>
                <w14:textFill>
                  <w14:solidFill>
                    <w14:srgbClr w14:val="000000">
                      <w14:alpha w14:val="100000"/>
                    </w14:srgbClr>
                  </w14:solidFill>
                </w14:textFill>
              </w:rPr>
              <w:t>|</w:t>
            </w:r>
            <w:r>
              <w:t>%</w:t>
            </w:r>
          </w:p>
          <w:p w14:paraId="7E572EA1" w14:textId="1DBD6D13" w:rsidR="00DE6EF1" w:rsidRDefault="00DE6EF1" w:rsidP="00481920">
            <w:pPr>
              <w:pStyle w:val="TableText0"/>
              <w:keepNext w:val="0"/>
              <w:keepLines w:val="0"/>
              <w:widowControl w:val="0"/>
            </w:pPr>
            <w:r>
              <w:t xml:space="preserve">Yr 3: </w:t>
            </w:r>
            <w:r w:rsidR="00EA4DFF" w:rsidRPr="00A942F3">
              <w:rPr>
                <w:color w:val="000000"/>
                <w:spacing w:val="55"/>
                <w:w w:val="96"/>
                <w:shd w:val="solid" w:color="000000" w:fill="000000"/>
                <w:fitText w:val="330" w:id="-663580664"/>
                <w14:textFill>
                  <w14:solidFill>
                    <w14:srgbClr w14:val="000000">
                      <w14:alpha w14:val="100000"/>
                    </w14:srgbClr>
                  </w14:solidFill>
                </w14:textFill>
              </w:rPr>
              <w:t>|||</w:t>
            </w:r>
            <w:r w:rsidR="00EA4DFF" w:rsidRPr="00A942F3">
              <w:rPr>
                <w:color w:val="000000"/>
                <w:spacing w:val="2"/>
                <w:w w:val="96"/>
                <w:shd w:val="solid" w:color="000000" w:fill="000000"/>
                <w:fitText w:val="330" w:id="-663580664"/>
                <w14:textFill>
                  <w14:solidFill>
                    <w14:srgbClr w14:val="000000">
                      <w14:alpha w14:val="100000"/>
                    </w14:srgbClr>
                  </w14:solidFill>
                </w14:textFill>
              </w:rPr>
              <w:t>|</w:t>
            </w:r>
            <w:r>
              <w:t>%</w:t>
            </w:r>
          </w:p>
          <w:p w14:paraId="71A4D065" w14:textId="5DB5E849" w:rsidR="00DE6EF1" w:rsidRDefault="00DE6EF1" w:rsidP="00481920">
            <w:pPr>
              <w:pStyle w:val="TableText0"/>
              <w:keepNext w:val="0"/>
              <w:keepLines w:val="0"/>
              <w:widowControl w:val="0"/>
            </w:pPr>
            <w:r>
              <w:t xml:space="preserve">Yr 4: </w:t>
            </w:r>
            <w:r w:rsidR="00EA4DFF" w:rsidRPr="00A942F3">
              <w:rPr>
                <w:color w:val="000000"/>
                <w:spacing w:val="55"/>
                <w:w w:val="96"/>
                <w:shd w:val="solid" w:color="000000" w:fill="000000"/>
                <w:fitText w:val="330" w:id="-663580663"/>
                <w14:textFill>
                  <w14:solidFill>
                    <w14:srgbClr w14:val="000000">
                      <w14:alpha w14:val="100000"/>
                    </w14:srgbClr>
                  </w14:solidFill>
                </w14:textFill>
              </w:rPr>
              <w:t>|||</w:t>
            </w:r>
            <w:r w:rsidR="00EA4DFF" w:rsidRPr="00A942F3">
              <w:rPr>
                <w:color w:val="000000"/>
                <w:spacing w:val="2"/>
                <w:w w:val="96"/>
                <w:shd w:val="solid" w:color="000000" w:fill="000000"/>
                <w:fitText w:val="330" w:id="-663580663"/>
                <w14:textFill>
                  <w14:solidFill>
                    <w14:srgbClr w14:val="000000">
                      <w14:alpha w14:val="100000"/>
                    </w14:srgbClr>
                  </w14:solidFill>
                </w14:textFill>
              </w:rPr>
              <w:t>|</w:t>
            </w:r>
            <w:r>
              <w:t>%</w:t>
            </w:r>
          </w:p>
          <w:p w14:paraId="5ADBA0E9" w14:textId="2FC2362E" w:rsidR="00DE6EF1" w:rsidRDefault="00DE6EF1" w:rsidP="00481920">
            <w:pPr>
              <w:pStyle w:val="TableText0"/>
              <w:keepNext w:val="0"/>
              <w:keepLines w:val="0"/>
              <w:widowControl w:val="0"/>
            </w:pPr>
            <w:r>
              <w:t xml:space="preserve">Yr 5: </w:t>
            </w:r>
            <w:r w:rsidR="00EA4DFF" w:rsidRPr="00A942F3">
              <w:rPr>
                <w:color w:val="000000"/>
                <w:spacing w:val="55"/>
                <w:w w:val="96"/>
                <w:shd w:val="solid" w:color="000000" w:fill="000000"/>
                <w:fitText w:val="330" w:id="-663580662"/>
                <w14:textFill>
                  <w14:solidFill>
                    <w14:srgbClr w14:val="000000">
                      <w14:alpha w14:val="100000"/>
                    </w14:srgbClr>
                  </w14:solidFill>
                </w14:textFill>
              </w:rPr>
              <w:t>|||</w:t>
            </w:r>
            <w:r w:rsidR="00EA4DFF" w:rsidRPr="00A942F3">
              <w:rPr>
                <w:color w:val="000000"/>
                <w:spacing w:val="2"/>
                <w:w w:val="96"/>
                <w:shd w:val="solid" w:color="000000" w:fill="000000"/>
                <w:fitText w:val="330" w:id="-663580662"/>
                <w14:textFill>
                  <w14:solidFill>
                    <w14:srgbClr w14:val="000000">
                      <w14:alpha w14:val="100000"/>
                    </w14:srgbClr>
                  </w14:solidFill>
                </w14:textFill>
              </w:rPr>
              <w:t>|</w:t>
            </w:r>
            <w:r>
              <w:t>%</w:t>
            </w:r>
          </w:p>
          <w:p w14:paraId="0E4AFB3D" w14:textId="65C17BB0" w:rsidR="00DE6EF1" w:rsidRDefault="00DE6EF1" w:rsidP="00481920">
            <w:pPr>
              <w:pStyle w:val="TableText0"/>
              <w:keepNext w:val="0"/>
              <w:keepLines w:val="0"/>
              <w:widowControl w:val="0"/>
            </w:pPr>
            <w:r>
              <w:t xml:space="preserve">Yr 6: </w:t>
            </w:r>
            <w:r w:rsidR="00EA4DFF" w:rsidRPr="00A942F3">
              <w:rPr>
                <w:color w:val="000000"/>
                <w:spacing w:val="55"/>
                <w:w w:val="96"/>
                <w:shd w:val="solid" w:color="000000" w:fill="000000"/>
                <w:fitText w:val="330" w:id="-663580661"/>
                <w14:textFill>
                  <w14:solidFill>
                    <w14:srgbClr w14:val="000000">
                      <w14:alpha w14:val="100000"/>
                    </w14:srgbClr>
                  </w14:solidFill>
                </w14:textFill>
              </w:rPr>
              <w:t>|||</w:t>
            </w:r>
            <w:r w:rsidR="00EA4DFF" w:rsidRPr="00A942F3">
              <w:rPr>
                <w:color w:val="000000"/>
                <w:spacing w:val="2"/>
                <w:w w:val="96"/>
                <w:shd w:val="solid" w:color="000000" w:fill="000000"/>
                <w:fitText w:val="330" w:id="-663580661"/>
                <w14:textFill>
                  <w14:solidFill>
                    <w14:srgbClr w14:val="000000">
                      <w14:alpha w14:val="100000"/>
                    </w14:srgbClr>
                  </w14:solidFill>
                </w14:textFill>
              </w:rPr>
              <w:t>|</w:t>
            </w:r>
            <w:r>
              <w:t>%</w:t>
            </w:r>
          </w:p>
        </w:tc>
        <w:tc>
          <w:tcPr>
            <w:tcW w:w="1417" w:type="dxa"/>
            <w:vAlign w:val="center"/>
          </w:tcPr>
          <w:p w14:paraId="6F41ADC9" w14:textId="77777777" w:rsidR="00DE6EF1" w:rsidRDefault="00DE6EF1" w:rsidP="00481920">
            <w:pPr>
              <w:pStyle w:val="TableText0"/>
              <w:keepNext w:val="0"/>
              <w:keepLines w:val="0"/>
              <w:widowControl w:val="0"/>
            </w:pPr>
            <w:r>
              <w:t>Uptake from CVR private market</w:t>
            </w:r>
          </w:p>
          <w:p w14:paraId="45B4DB4D" w14:textId="0A7DE156" w:rsidR="00DE6EF1" w:rsidRDefault="00DE6EF1" w:rsidP="00481920">
            <w:pPr>
              <w:pStyle w:val="TableText0"/>
              <w:keepNext w:val="0"/>
              <w:keepLines w:val="0"/>
              <w:widowControl w:val="0"/>
            </w:pPr>
            <w:r>
              <w:t xml:space="preserve">Yr 1: </w:t>
            </w:r>
            <w:r w:rsidR="00EA4DFF" w:rsidRPr="00A942F3">
              <w:rPr>
                <w:color w:val="000000"/>
                <w:spacing w:val="55"/>
                <w:w w:val="96"/>
                <w:shd w:val="solid" w:color="000000" w:fill="000000"/>
                <w:fitText w:val="330" w:id="-663580660"/>
                <w14:textFill>
                  <w14:solidFill>
                    <w14:srgbClr w14:val="000000">
                      <w14:alpha w14:val="100000"/>
                    </w14:srgbClr>
                  </w14:solidFill>
                </w14:textFill>
              </w:rPr>
              <w:t>|||</w:t>
            </w:r>
            <w:r w:rsidR="00EA4DFF" w:rsidRPr="00A942F3">
              <w:rPr>
                <w:color w:val="000000"/>
                <w:spacing w:val="2"/>
                <w:w w:val="96"/>
                <w:shd w:val="solid" w:color="000000" w:fill="000000"/>
                <w:fitText w:val="330" w:id="-663580660"/>
                <w14:textFill>
                  <w14:solidFill>
                    <w14:srgbClr w14:val="000000">
                      <w14:alpha w14:val="100000"/>
                    </w14:srgbClr>
                  </w14:solidFill>
                </w14:textFill>
              </w:rPr>
              <w:t>|</w:t>
            </w:r>
            <w:r>
              <w:t>%</w:t>
            </w:r>
          </w:p>
          <w:p w14:paraId="464DE660" w14:textId="611CD668" w:rsidR="00DE6EF1" w:rsidRDefault="00DE6EF1" w:rsidP="00481920">
            <w:pPr>
              <w:pStyle w:val="TableText0"/>
              <w:keepNext w:val="0"/>
              <w:keepLines w:val="0"/>
              <w:widowControl w:val="0"/>
            </w:pPr>
            <w:r>
              <w:t xml:space="preserve">Yr 2: </w:t>
            </w:r>
            <w:r w:rsidR="00EA4DFF" w:rsidRPr="00A942F3">
              <w:rPr>
                <w:color w:val="000000"/>
                <w:spacing w:val="55"/>
                <w:w w:val="96"/>
                <w:shd w:val="solid" w:color="000000" w:fill="000000"/>
                <w:fitText w:val="330" w:id="-663580659"/>
                <w14:textFill>
                  <w14:solidFill>
                    <w14:srgbClr w14:val="000000">
                      <w14:alpha w14:val="100000"/>
                    </w14:srgbClr>
                  </w14:solidFill>
                </w14:textFill>
              </w:rPr>
              <w:t>|||</w:t>
            </w:r>
            <w:r w:rsidR="00EA4DFF" w:rsidRPr="00A942F3">
              <w:rPr>
                <w:color w:val="000000"/>
                <w:spacing w:val="2"/>
                <w:w w:val="96"/>
                <w:shd w:val="solid" w:color="000000" w:fill="000000"/>
                <w:fitText w:val="330" w:id="-663580659"/>
                <w14:textFill>
                  <w14:solidFill>
                    <w14:srgbClr w14:val="000000">
                      <w14:alpha w14:val="100000"/>
                    </w14:srgbClr>
                  </w14:solidFill>
                </w14:textFill>
              </w:rPr>
              <w:t>|</w:t>
            </w:r>
            <w:r>
              <w:t>%</w:t>
            </w:r>
          </w:p>
          <w:p w14:paraId="358BBCB4" w14:textId="76AEBE1D" w:rsidR="00DE6EF1" w:rsidRDefault="00DE6EF1" w:rsidP="00481920">
            <w:pPr>
              <w:pStyle w:val="TableText0"/>
              <w:keepNext w:val="0"/>
              <w:keepLines w:val="0"/>
              <w:widowControl w:val="0"/>
            </w:pPr>
            <w:r>
              <w:t xml:space="preserve">Yr 3: </w:t>
            </w:r>
            <w:r w:rsidR="00EA4DFF" w:rsidRPr="00A942F3">
              <w:rPr>
                <w:color w:val="000000"/>
                <w:spacing w:val="55"/>
                <w:w w:val="96"/>
                <w:shd w:val="solid" w:color="000000" w:fill="000000"/>
                <w:fitText w:val="330" w:id="-663580416"/>
                <w14:textFill>
                  <w14:solidFill>
                    <w14:srgbClr w14:val="000000">
                      <w14:alpha w14:val="100000"/>
                    </w14:srgbClr>
                  </w14:solidFill>
                </w14:textFill>
              </w:rPr>
              <w:t>|||</w:t>
            </w:r>
            <w:r w:rsidR="00EA4DFF" w:rsidRPr="00A942F3">
              <w:rPr>
                <w:color w:val="000000"/>
                <w:spacing w:val="2"/>
                <w:w w:val="96"/>
                <w:shd w:val="solid" w:color="000000" w:fill="000000"/>
                <w:fitText w:val="330" w:id="-663580416"/>
                <w14:textFill>
                  <w14:solidFill>
                    <w14:srgbClr w14:val="000000">
                      <w14:alpha w14:val="100000"/>
                    </w14:srgbClr>
                  </w14:solidFill>
                </w14:textFill>
              </w:rPr>
              <w:t>|</w:t>
            </w:r>
            <w:r>
              <w:t>%</w:t>
            </w:r>
          </w:p>
          <w:p w14:paraId="4CD31856" w14:textId="64565346" w:rsidR="00DE6EF1" w:rsidRDefault="00DE6EF1" w:rsidP="00481920">
            <w:pPr>
              <w:pStyle w:val="TableText0"/>
              <w:keepNext w:val="0"/>
              <w:keepLines w:val="0"/>
              <w:widowControl w:val="0"/>
            </w:pPr>
            <w:r>
              <w:t xml:space="preserve">Yr 4: </w:t>
            </w:r>
            <w:r w:rsidR="00EA4DFF" w:rsidRPr="00A942F3">
              <w:rPr>
                <w:color w:val="000000"/>
                <w:spacing w:val="55"/>
                <w:w w:val="96"/>
                <w:shd w:val="solid" w:color="000000" w:fill="000000"/>
                <w:fitText w:val="330" w:id="-663580415"/>
                <w14:textFill>
                  <w14:solidFill>
                    <w14:srgbClr w14:val="000000">
                      <w14:alpha w14:val="100000"/>
                    </w14:srgbClr>
                  </w14:solidFill>
                </w14:textFill>
              </w:rPr>
              <w:t>|||</w:t>
            </w:r>
            <w:r w:rsidR="00EA4DFF" w:rsidRPr="00A942F3">
              <w:rPr>
                <w:color w:val="000000"/>
                <w:spacing w:val="2"/>
                <w:w w:val="96"/>
                <w:shd w:val="solid" w:color="000000" w:fill="000000"/>
                <w:fitText w:val="330" w:id="-663580415"/>
                <w14:textFill>
                  <w14:solidFill>
                    <w14:srgbClr w14:val="000000">
                      <w14:alpha w14:val="100000"/>
                    </w14:srgbClr>
                  </w14:solidFill>
                </w14:textFill>
              </w:rPr>
              <w:t>|</w:t>
            </w:r>
            <w:r>
              <w:t>%</w:t>
            </w:r>
          </w:p>
          <w:p w14:paraId="59597801" w14:textId="3CAB1D38" w:rsidR="00DE6EF1" w:rsidRDefault="00DE6EF1" w:rsidP="00481920">
            <w:pPr>
              <w:pStyle w:val="TableText0"/>
              <w:keepNext w:val="0"/>
              <w:keepLines w:val="0"/>
              <w:widowControl w:val="0"/>
            </w:pPr>
            <w:r>
              <w:t xml:space="preserve">Yr 5: </w:t>
            </w:r>
            <w:r w:rsidR="00EA4DFF" w:rsidRPr="00A942F3">
              <w:rPr>
                <w:color w:val="000000"/>
                <w:spacing w:val="55"/>
                <w:w w:val="96"/>
                <w:shd w:val="solid" w:color="000000" w:fill="000000"/>
                <w:fitText w:val="330" w:id="-663580414"/>
                <w14:textFill>
                  <w14:solidFill>
                    <w14:srgbClr w14:val="000000">
                      <w14:alpha w14:val="100000"/>
                    </w14:srgbClr>
                  </w14:solidFill>
                </w14:textFill>
              </w:rPr>
              <w:t>|||</w:t>
            </w:r>
            <w:r w:rsidR="00EA4DFF" w:rsidRPr="00A942F3">
              <w:rPr>
                <w:color w:val="000000"/>
                <w:spacing w:val="2"/>
                <w:w w:val="96"/>
                <w:shd w:val="solid" w:color="000000" w:fill="000000"/>
                <w:fitText w:val="330" w:id="-663580414"/>
                <w14:textFill>
                  <w14:solidFill>
                    <w14:srgbClr w14:val="000000">
                      <w14:alpha w14:val="100000"/>
                    </w14:srgbClr>
                  </w14:solidFill>
                </w14:textFill>
              </w:rPr>
              <w:t>|</w:t>
            </w:r>
            <w:r>
              <w:t>%</w:t>
            </w:r>
          </w:p>
          <w:p w14:paraId="52CEE5EA" w14:textId="3B84B104" w:rsidR="00DE6EF1" w:rsidRDefault="00DE6EF1" w:rsidP="00481920">
            <w:pPr>
              <w:pStyle w:val="TableText0"/>
              <w:keepNext w:val="0"/>
              <w:keepLines w:val="0"/>
              <w:widowControl w:val="0"/>
            </w:pPr>
            <w:r>
              <w:t xml:space="preserve">Yr 6: </w:t>
            </w:r>
            <w:r w:rsidR="00EA4DFF" w:rsidRPr="00A942F3">
              <w:rPr>
                <w:color w:val="000000"/>
                <w:spacing w:val="55"/>
                <w:w w:val="96"/>
                <w:shd w:val="solid" w:color="000000" w:fill="000000"/>
                <w:fitText w:val="330" w:id="-663580413"/>
                <w14:textFill>
                  <w14:solidFill>
                    <w14:srgbClr w14:val="000000">
                      <w14:alpha w14:val="100000"/>
                    </w14:srgbClr>
                  </w14:solidFill>
                </w14:textFill>
              </w:rPr>
              <w:t>|||</w:t>
            </w:r>
            <w:r w:rsidR="00EA4DFF" w:rsidRPr="00A942F3">
              <w:rPr>
                <w:color w:val="000000"/>
                <w:spacing w:val="2"/>
                <w:w w:val="96"/>
                <w:shd w:val="solid" w:color="000000" w:fill="000000"/>
                <w:fitText w:val="330" w:id="-663580413"/>
                <w14:textFill>
                  <w14:solidFill>
                    <w14:srgbClr w14:val="000000">
                      <w14:alpha w14:val="100000"/>
                    </w14:srgbClr>
                  </w14:solidFill>
                </w14:textFill>
              </w:rPr>
              <w:t>|</w:t>
            </w:r>
            <w:r>
              <w:t>%</w:t>
            </w:r>
          </w:p>
        </w:tc>
        <w:tc>
          <w:tcPr>
            <w:tcW w:w="3210" w:type="dxa"/>
            <w:vAlign w:val="center"/>
          </w:tcPr>
          <w:p w14:paraId="18E71D1A" w14:textId="77777777" w:rsidR="00DE6EF1" w:rsidRPr="0053245C" w:rsidRDefault="00DE6EF1" w:rsidP="00481920">
            <w:pPr>
              <w:pStyle w:val="TableText0"/>
              <w:keepNext w:val="0"/>
              <w:keepLines w:val="0"/>
              <w:widowControl w:val="0"/>
            </w:pPr>
            <w:r w:rsidRPr="0053245C">
              <w:t>Likely underestimated. Assumes COC users would only switch due to unwanted effects – may not be correct. Varied in sensitivity analyses.</w:t>
            </w:r>
          </w:p>
          <w:p w14:paraId="755424EA" w14:textId="77777777" w:rsidR="00DE6EF1" w:rsidRPr="0053245C" w:rsidRDefault="00DE6EF1" w:rsidP="00481920">
            <w:pPr>
              <w:pStyle w:val="TableText0"/>
              <w:keepNext w:val="0"/>
              <w:keepLines w:val="0"/>
              <w:widowControl w:val="0"/>
            </w:pPr>
          </w:p>
          <w:p w14:paraId="665716AD" w14:textId="3819273C" w:rsidR="00DE6EF1" w:rsidRDefault="00DE6EF1" w:rsidP="00481920">
            <w:pPr>
              <w:pStyle w:val="TableText0"/>
              <w:keepNext w:val="0"/>
              <w:keepLines w:val="0"/>
              <w:widowControl w:val="0"/>
            </w:pPr>
            <w:r w:rsidRPr="0053245C">
              <w:t>Uptake of CVR private prescriptions varied in sensitivity analyses.</w:t>
            </w:r>
          </w:p>
        </w:tc>
      </w:tr>
      <w:tr w:rsidR="00DE6EF1" w14:paraId="48EB5535" w14:textId="77777777" w:rsidTr="008026E8">
        <w:tc>
          <w:tcPr>
            <w:tcW w:w="1696" w:type="dxa"/>
            <w:vAlign w:val="center"/>
          </w:tcPr>
          <w:p w14:paraId="0AC38484" w14:textId="20AF3247" w:rsidR="00DE6EF1" w:rsidRDefault="00DE6EF1" w:rsidP="00481920">
            <w:pPr>
              <w:pStyle w:val="TableText0"/>
              <w:keepNext w:val="0"/>
              <w:keepLines w:val="0"/>
              <w:widowControl w:val="0"/>
            </w:pPr>
            <w:r>
              <w:t xml:space="preserve">Adherence rates </w:t>
            </w:r>
          </w:p>
        </w:tc>
        <w:tc>
          <w:tcPr>
            <w:tcW w:w="4111" w:type="dxa"/>
            <w:gridSpan w:val="3"/>
            <w:vAlign w:val="center"/>
          </w:tcPr>
          <w:p w14:paraId="7C28914D" w14:textId="77777777" w:rsidR="00DE6EF1" w:rsidRDefault="00DE6EF1" w:rsidP="00481920">
            <w:pPr>
              <w:pStyle w:val="TableText0"/>
              <w:keepNext w:val="0"/>
              <w:keepLines w:val="0"/>
              <w:widowControl w:val="0"/>
            </w:pPr>
            <w:r>
              <w:t>Average of 82.7%.</w:t>
            </w:r>
          </w:p>
          <w:p w14:paraId="09BF694A" w14:textId="3B5B2A10" w:rsidR="00DE6EF1" w:rsidRDefault="00DE6EF1" w:rsidP="00481920">
            <w:pPr>
              <w:pStyle w:val="TableText0"/>
              <w:keepNext w:val="0"/>
              <w:keepLines w:val="0"/>
              <w:widowControl w:val="0"/>
            </w:pPr>
            <w:r>
              <w:t>Based on published date, average of 2 studies (Gill 2020, Oddson 2005b).</w:t>
            </w:r>
          </w:p>
        </w:tc>
        <w:tc>
          <w:tcPr>
            <w:tcW w:w="3210" w:type="dxa"/>
            <w:vAlign w:val="center"/>
          </w:tcPr>
          <w:p w14:paraId="0F36EB3E" w14:textId="336981A7" w:rsidR="00DE6EF1" w:rsidRDefault="00DE6EF1" w:rsidP="00481920">
            <w:pPr>
              <w:pStyle w:val="TableText0"/>
              <w:keepNext w:val="0"/>
              <w:keepLines w:val="0"/>
              <w:widowControl w:val="0"/>
            </w:pPr>
            <w:r w:rsidRPr="0053245C">
              <w:t>May be reasonable.</w:t>
            </w:r>
          </w:p>
        </w:tc>
      </w:tr>
      <w:tr w:rsidR="00DE6EF1" w14:paraId="66D9F84B" w14:textId="77777777" w:rsidTr="008026E8">
        <w:tc>
          <w:tcPr>
            <w:tcW w:w="1696" w:type="dxa"/>
            <w:vAlign w:val="center"/>
          </w:tcPr>
          <w:p w14:paraId="498EBD52" w14:textId="719FB556" w:rsidR="00DE6EF1" w:rsidRDefault="00DE6EF1" w:rsidP="00481920">
            <w:pPr>
              <w:pStyle w:val="TableText0"/>
              <w:keepNext w:val="0"/>
              <w:keepLines w:val="0"/>
              <w:widowControl w:val="0"/>
            </w:pPr>
            <w:r w:rsidRPr="0098262F">
              <w:t>Grandfathered patients</w:t>
            </w:r>
          </w:p>
        </w:tc>
        <w:tc>
          <w:tcPr>
            <w:tcW w:w="4111" w:type="dxa"/>
            <w:gridSpan w:val="3"/>
            <w:vAlign w:val="center"/>
          </w:tcPr>
          <w:p w14:paraId="0401DFD0" w14:textId="16FCA3FF" w:rsidR="00DE6EF1" w:rsidRDefault="00DE6EF1" w:rsidP="00481920">
            <w:pPr>
              <w:pStyle w:val="TableText0"/>
              <w:keepNext w:val="0"/>
              <w:keepLines w:val="0"/>
              <w:widowControl w:val="0"/>
            </w:pPr>
            <w:r w:rsidRPr="00197EE6">
              <w:t xml:space="preserve"> Not applicable</w:t>
            </w:r>
            <w:r>
              <w:t>.</w:t>
            </w:r>
          </w:p>
        </w:tc>
        <w:tc>
          <w:tcPr>
            <w:tcW w:w="3210" w:type="dxa"/>
            <w:vAlign w:val="center"/>
          </w:tcPr>
          <w:p w14:paraId="56F3ED0D" w14:textId="3BFE1511" w:rsidR="00DE6EF1" w:rsidRDefault="00DE6EF1" w:rsidP="00481920">
            <w:pPr>
              <w:pStyle w:val="TableText0"/>
              <w:keepNext w:val="0"/>
              <w:keepLines w:val="0"/>
              <w:widowControl w:val="0"/>
            </w:pPr>
            <w:r w:rsidRPr="0053245C">
              <w:t xml:space="preserve">The submission incorrectly identified approximately </w:t>
            </w:r>
            <w:r w:rsidR="00EA4DFF" w:rsidRPr="00EA4DFF">
              <w:rPr>
                <w:color w:val="000000"/>
                <w:spacing w:val="49"/>
                <w:shd w:val="solid" w:color="000000" w:fill="000000"/>
                <w:fitText w:val="320" w:id="-663580412"/>
                <w14:textFill>
                  <w14:solidFill>
                    <w14:srgbClr w14:val="000000">
                      <w14:alpha w14:val="100000"/>
                    </w14:srgbClr>
                  </w14:solidFill>
                </w14:textFill>
              </w:rPr>
              <w:t>|||</w:t>
            </w:r>
            <w:r w:rsidR="00EA4DFF" w:rsidRPr="00EA4DFF">
              <w:rPr>
                <w:color w:val="000000"/>
                <w:spacing w:val="3"/>
                <w:shd w:val="solid" w:color="000000" w:fill="000000"/>
                <w:fitText w:val="320" w:id="-663580412"/>
                <w14:textFill>
                  <w14:solidFill>
                    <w14:srgbClr w14:val="000000">
                      <w14:alpha w14:val="100000"/>
                    </w14:srgbClr>
                  </w14:solidFill>
                </w14:textFill>
              </w:rPr>
              <w:t>|</w:t>
            </w:r>
            <w:r w:rsidR="005E3C51">
              <w:t xml:space="preserve"> </w:t>
            </w:r>
            <w:r w:rsidR="005E3C51">
              <w:rPr>
                <w:vertAlign w:val="superscript"/>
              </w:rPr>
              <w:t>1</w:t>
            </w:r>
            <w:r w:rsidRPr="0053245C">
              <w:t xml:space="preserve"> patients prescribed CVR in the private market as grandfather patients. The applicant expected that most of these patients would be eligible for PBS subsidised access and did not propose any specific grandfather listing.</w:t>
            </w:r>
          </w:p>
        </w:tc>
      </w:tr>
      <w:tr w:rsidR="00DE6EF1" w14:paraId="2CF650FF" w14:textId="77777777" w:rsidTr="008026E8">
        <w:tc>
          <w:tcPr>
            <w:tcW w:w="1696" w:type="dxa"/>
            <w:vAlign w:val="center"/>
          </w:tcPr>
          <w:p w14:paraId="36A7FB83" w14:textId="3D0438E9" w:rsidR="00DE6EF1" w:rsidRDefault="00DE6EF1" w:rsidP="00481920">
            <w:pPr>
              <w:pStyle w:val="TableText0"/>
              <w:keepNext w:val="0"/>
              <w:keepLines w:val="0"/>
              <w:widowControl w:val="0"/>
            </w:pPr>
            <w:r>
              <w:t xml:space="preserve">Median </w:t>
            </w:r>
            <w:r w:rsidRPr="0098262F">
              <w:t>duration</w:t>
            </w:r>
            <w:r>
              <w:t xml:space="preserve"> of therapy </w:t>
            </w:r>
          </w:p>
        </w:tc>
        <w:tc>
          <w:tcPr>
            <w:tcW w:w="4111" w:type="dxa"/>
            <w:gridSpan w:val="3"/>
            <w:vAlign w:val="center"/>
          </w:tcPr>
          <w:p w14:paraId="656891ED" w14:textId="66080A80" w:rsidR="00DE6EF1" w:rsidRDefault="00DE6EF1" w:rsidP="00481920">
            <w:pPr>
              <w:pStyle w:val="TableText0"/>
              <w:keepNext w:val="0"/>
              <w:keepLines w:val="0"/>
              <w:widowControl w:val="0"/>
            </w:pPr>
            <w:r>
              <w:t>12 months, based on HCP survey</w:t>
            </w:r>
          </w:p>
        </w:tc>
        <w:tc>
          <w:tcPr>
            <w:tcW w:w="3210" w:type="dxa"/>
            <w:vAlign w:val="center"/>
          </w:tcPr>
          <w:p w14:paraId="77B319EB" w14:textId="5D87B1C1" w:rsidR="00DE6EF1" w:rsidRDefault="00DE6EF1" w:rsidP="00481920">
            <w:pPr>
              <w:pStyle w:val="TableText0"/>
              <w:keepNext w:val="0"/>
              <w:keepLines w:val="0"/>
              <w:widowControl w:val="0"/>
            </w:pPr>
            <w:r w:rsidRPr="0053245C">
              <w:t>May be reasonable but unable to verify.</w:t>
            </w:r>
          </w:p>
        </w:tc>
      </w:tr>
      <w:tr w:rsidR="00DE6EF1" w14:paraId="1BA81C56" w14:textId="77777777" w:rsidTr="008026E8">
        <w:tc>
          <w:tcPr>
            <w:tcW w:w="1696" w:type="dxa"/>
            <w:vAlign w:val="center"/>
          </w:tcPr>
          <w:p w14:paraId="1FC2465A" w14:textId="39BB307A" w:rsidR="00DE6EF1" w:rsidRDefault="00DE6EF1" w:rsidP="00481920">
            <w:pPr>
              <w:pStyle w:val="TableText0"/>
              <w:keepNext w:val="0"/>
              <w:keepLines w:val="0"/>
              <w:widowControl w:val="0"/>
            </w:pPr>
            <w:r w:rsidRPr="0098262F">
              <w:t>MBS item</w:t>
            </w:r>
          </w:p>
        </w:tc>
        <w:tc>
          <w:tcPr>
            <w:tcW w:w="4111" w:type="dxa"/>
            <w:gridSpan w:val="3"/>
            <w:vAlign w:val="center"/>
          </w:tcPr>
          <w:p w14:paraId="5D3F795B" w14:textId="77777777" w:rsidR="00DE6EF1" w:rsidRDefault="00DE6EF1" w:rsidP="00481920">
            <w:pPr>
              <w:pStyle w:val="TableText0"/>
              <w:keepNext w:val="0"/>
              <w:keepLines w:val="0"/>
              <w:widowControl w:val="0"/>
            </w:pPr>
            <w:r>
              <w:t>MBS item 23, GP Professional attendance, $42.85</w:t>
            </w:r>
          </w:p>
          <w:p w14:paraId="671F8B5F" w14:textId="77777777" w:rsidR="00DE6EF1" w:rsidRDefault="00DE6EF1" w:rsidP="00481920">
            <w:pPr>
              <w:pStyle w:val="TableText0"/>
              <w:keepNext w:val="0"/>
              <w:keepLines w:val="0"/>
              <w:widowControl w:val="0"/>
            </w:pPr>
            <w:r>
              <w:t>Bone mineral density scan MBS item 12306/12315</w:t>
            </w:r>
          </w:p>
          <w:p w14:paraId="7B11B386" w14:textId="35E537E9" w:rsidR="00DE6EF1" w:rsidRDefault="00DE6EF1" w:rsidP="00481920">
            <w:pPr>
              <w:pStyle w:val="TableText0"/>
              <w:keepNext w:val="0"/>
              <w:keepLines w:val="0"/>
              <w:widowControl w:val="0"/>
            </w:pPr>
            <w:r>
              <w:t>Fee $116.65, Benefit $99.20.</w:t>
            </w:r>
          </w:p>
        </w:tc>
        <w:tc>
          <w:tcPr>
            <w:tcW w:w="3210" w:type="dxa"/>
            <w:vAlign w:val="center"/>
          </w:tcPr>
          <w:p w14:paraId="72BA6B48" w14:textId="77777777" w:rsidR="00DE6EF1" w:rsidRPr="0053245C" w:rsidRDefault="00DE6EF1" w:rsidP="00481920">
            <w:pPr>
              <w:pStyle w:val="TableText0"/>
              <w:keepNext w:val="0"/>
              <w:keepLines w:val="0"/>
              <w:widowControl w:val="0"/>
            </w:pPr>
            <w:r w:rsidRPr="0053245C">
              <w:t>GP visits should not be included</w:t>
            </w:r>
            <w:r>
              <w:t>.</w:t>
            </w:r>
          </w:p>
          <w:p w14:paraId="71210ACC" w14:textId="6498EA97" w:rsidR="00DE6EF1" w:rsidRDefault="00DE6EF1" w:rsidP="00481920">
            <w:pPr>
              <w:pStyle w:val="TableText0"/>
              <w:keepNext w:val="0"/>
              <w:keepLines w:val="0"/>
              <w:widowControl w:val="0"/>
            </w:pPr>
            <w:r w:rsidRPr="0053245C">
              <w:t xml:space="preserve">BMD scans not appropriate as covered in para </w:t>
            </w:r>
            <w:r w:rsidRPr="0053245C">
              <w:fldChar w:fldCharType="begin"/>
            </w:r>
            <w:r w:rsidRPr="0053245C">
              <w:instrText xml:space="preserve"> REF _Ref193208849 \r \h </w:instrText>
            </w:r>
            <w:r>
              <w:instrText xml:space="preserve"> \* MERGEFORMAT </w:instrText>
            </w:r>
            <w:r w:rsidRPr="0053245C">
              <w:fldChar w:fldCharType="separate"/>
            </w:r>
            <w:r w:rsidR="00896E34">
              <w:t>6.81</w:t>
            </w:r>
            <w:r w:rsidRPr="0053245C">
              <w:fldChar w:fldCharType="end"/>
            </w:r>
            <w:r w:rsidRPr="0053245C">
              <w:t>.</w:t>
            </w:r>
          </w:p>
        </w:tc>
      </w:tr>
    </w:tbl>
    <w:p w14:paraId="558EB960" w14:textId="7D69ED54" w:rsidR="00F561D4" w:rsidRDefault="00E42F73" w:rsidP="00481920">
      <w:pPr>
        <w:pStyle w:val="FooterTableFigure"/>
        <w:widowControl w:val="0"/>
      </w:pPr>
      <w:r w:rsidRPr="0098262F">
        <w:t>Source: Table</w:t>
      </w:r>
      <w:r w:rsidR="00A334B1">
        <w:t xml:space="preserve"> 4.1.1 p</w:t>
      </w:r>
      <w:r w:rsidR="00F561D4">
        <w:t>p</w:t>
      </w:r>
      <w:r w:rsidR="00A334B1">
        <w:t>128</w:t>
      </w:r>
      <w:r w:rsidR="00F561D4">
        <w:t>-129</w:t>
      </w:r>
      <w:r w:rsidR="00A334B1">
        <w:t xml:space="preserve"> of the submis</w:t>
      </w:r>
      <w:r w:rsidR="00B3642F">
        <w:t>sio</w:t>
      </w:r>
      <w:r w:rsidR="00A334B1">
        <w:t>n</w:t>
      </w:r>
      <w:r w:rsidR="00F561D4">
        <w:t xml:space="preserve"> main body</w:t>
      </w:r>
      <w:r w:rsidR="00A334B1">
        <w:t>.</w:t>
      </w:r>
      <w:r w:rsidR="00C0042C">
        <w:t xml:space="preserve"> </w:t>
      </w:r>
      <w:r w:rsidR="00E16A63">
        <w:t>Table 4.1.2 p130 of submission main body.</w:t>
      </w:r>
    </w:p>
    <w:p w14:paraId="6D25AC33" w14:textId="0961D7F3" w:rsidR="00C0042C" w:rsidRDefault="0063734D" w:rsidP="00481920">
      <w:pPr>
        <w:pStyle w:val="FooterTableFigure"/>
        <w:widowControl w:val="0"/>
      </w:pPr>
      <w:r>
        <w:t xml:space="preserve">BMD = bone mineral density; </w:t>
      </w:r>
      <w:r w:rsidR="00C36527">
        <w:t>CVR = contraceptive vaginal ring;</w:t>
      </w:r>
      <w:r>
        <w:t xml:space="preserve"> </w:t>
      </w:r>
      <w:r w:rsidR="00C0042C" w:rsidRPr="00C0042C">
        <w:t>DMPA</w:t>
      </w:r>
      <w:r w:rsidR="002F3247">
        <w:t xml:space="preserve"> </w:t>
      </w:r>
      <w:r w:rsidR="00C0042C">
        <w:t>=</w:t>
      </w:r>
      <w:r w:rsidR="00C0042C" w:rsidRPr="00C0042C">
        <w:t xml:space="preserve"> depot medroxyprogesterone acetate; GP</w:t>
      </w:r>
      <w:r w:rsidR="002F3247">
        <w:t xml:space="preserve"> </w:t>
      </w:r>
      <w:r w:rsidR="00C0042C">
        <w:t xml:space="preserve">= </w:t>
      </w:r>
      <w:r w:rsidR="00C0042C" w:rsidRPr="00C0042C">
        <w:t>general practitioner; HCP</w:t>
      </w:r>
      <w:r w:rsidR="002F3247">
        <w:t xml:space="preserve"> </w:t>
      </w:r>
      <w:r w:rsidR="00C0042C">
        <w:t xml:space="preserve">= </w:t>
      </w:r>
      <w:r w:rsidR="00C0042C" w:rsidRPr="00C0042C">
        <w:t>healthcare provider; MBS</w:t>
      </w:r>
      <w:r w:rsidR="001463EE">
        <w:t xml:space="preserve"> </w:t>
      </w:r>
      <w:r w:rsidR="00C0042C">
        <w:t xml:space="preserve">= </w:t>
      </w:r>
      <w:r w:rsidR="00C0042C" w:rsidRPr="00C0042C">
        <w:t>Medicare Benefits Schedule; PBS</w:t>
      </w:r>
      <w:r w:rsidR="00C0042C">
        <w:t xml:space="preserve"> = </w:t>
      </w:r>
      <w:r w:rsidR="00C0042C" w:rsidRPr="00C0042C">
        <w:t>Pharmaceutical Benefits Scheme;</w:t>
      </w:r>
      <w:r w:rsidR="00C0042C">
        <w:t xml:space="preserve"> </w:t>
      </w:r>
      <w:r w:rsidR="00C0042C" w:rsidRPr="00C0042C">
        <w:t>RPBS</w:t>
      </w:r>
      <w:r w:rsidR="001463EE">
        <w:t xml:space="preserve"> </w:t>
      </w:r>
      <w:r w:rsidR="00C0042C">
        <w:t xml:space="preserve">= </w:t>
      </w:r>
      <w:r w:rsidR="00C0042C" w:rsidRPr="00C0042C">
        <w:t>Reparation Pharmaceutical Benefits Scheme</w:t>
      </w:r>
      <w:r w:rsidR="002F3247">
        <w:t>.</w:t>
      </w:r>
    </w:p>
    <w:p w14:paraId="5F19D2D8" w14:textId="3B980891" w:rsidR="005E3C51" w:rsidRPr="00C0042C" w:rsidRDefault="0053245C" w:rsidP="005E3C51">
      <w:pPr>
        <w:pStyle w:val="FooterTableFigure"/>
        <w:widowControl w:val="0"/>
        <w:spacing w:after="0"/>
      </w:pPr>
      <w:r>
        <w:t>*Added during evaluation</w:t>
      </w:r>
    </w:p>
    <w:p w14:paraId="0AC2B6EB" w14:textId="77777777" w:rsidR="005E3C51" w:rsidRPr="00B632C8" w:rsidRDefault="005E3C51" w:rsidP="005E3C51">
      <w:pPr>
        <w:pStyle w:val="TableText0"/>
        <w:rPr>
          <w:rFonts w:eastAsia="Times New Roman" w:cstheme="minorHAnsi"/>
          <w:i/>
          <w:iCs/>
          <w:sz w:val="18"/>
          <w:szCs w:val="18"/>
        </w:rPr>
      </w:pPr>
      <w:r w:rsidRPr="00B632C8">
        <w:rPr>
          <w:rFonts w:eastAsia="Times New Roman" w:cstheme="minorHAnsi"/>
          <w:i/>
          <w:iCs/>
          <w:sz w:val="18"/>
          <w:szCs w:val="18"/>
        </w:rPr>
        <w:t xml:space="preserve">The redacted values correspond to the following ranges: </w:t>
      </w:r>
    </w:p>
    <w:p w14:paraId="18D32C76" w14:textId="71490F43" w:rsidR="00E42F73" w:rsidRPr="005E3C51" w:rsidRDefault="005E3C51" w:rsidP="005E3C51">
      <w:pPr>
        <w:pStyle w:val="TableText0"/>
        <w:keepNext w:val="0"/>
        <w:rPr>
          <w:rFonts w:eastAsia="Times New Roman" w:cstheme="minorHAnsi"/>
          <w:i/>
          <w:iCs/>
          <w:sz w:val="18"/>
          <w:szCs w:val="18"/>
          <w:vertAlign w:val="superscript"/>
        </w:rPr>
      </w:pPr>
      <w:r w:rsidRPr="00D32DDC">
        <w:rPr>
          <w:rFonts w:eastAsia="Times New Roman" w:cstheme="minorHAnsi"/>
          <w:i/>
          <w:iCs/>
          <w:sz w:val="18"/>
          <w:szCs w:val="18"/>
          <w:vertAlign w:val="superscript"/>
        </w:rPr>
        <w:t>1</w:t>
      </w:r>
      <w:r>
        <w:rPr>
          <w:rFonts w:eastAsia="Times New Roman" w:cstheme="minorHAnsi"/>
          <w:i/>
          <w:iCs/>
          <w:sz w:val="18"/>
          <w:szCs w:val="18"/>
          <w:vertAlign w:val="superscript"/>
        </w:rPr>
        <w:t xml:space="preserve"> </w:t>
      </w:r>
      <w:r w:rsidRPr="00B632C8">
        <w:rPr>
          <w:rFonts w:eastAsia="Times New Roman" w:cstheme="minorHAnsi"/>
          <w:i/>
          <w:iCs/>
          <w:sz w:val="18"/>
          <w:szCs w:val="18"/>
        </w:rPr>
        <w:t>500 to &lt; 5,000</w:t>
      </w:r>
    </w:p>
    <w:p w14:paraId="72362BE9" w14:textId="528D8654" w:rsidR="00E20A91" w:rsidRPr="0098262F" w:rsidRDefault="10EB7087" w:rsidP="007925DF">
      <w:pPr>
        <w:pStyle w:val="3-BodyText"/>
      </w:pPr>
      <w:r w:rsidRPr="0B5D70EC">
        <w:t xml:space="preserve">The analysis </w:t>
      </w:r>
      <w:proofErr w:type="gramStart"/>
      <w:r w:rsidRPr="0B5D70EC">
        <w:t>was based on the assumption</w:t>
      </w:r>
      <w:proofErr w:type="gramEnd"/>
      <w:r w:rsidRPr="0B5D70EC">
        <w:t xml:space="preserve"> that use of </w:t>
      </w:r>
      <w:r w:rsidR="1F421ADB" w:rsidRPr="0B5D70EC">
        <w:t xml:space="preserve">CVR </w:t>
      </w:r>
      <w:r w:rsidRPr="0B5D70EC">
        <w:t xml:space="preserve">will be restricted to a population unable to tolerate </w:t>
      </w:r>
      <w:r w:rsidR="76974B8A" w:rsidRPr="0B5D70EC">
        <w:t>DMPA</w:t>
      </w:r>
      <w:r w:rsidRPr="0B5D70EC">
        <w:t xml:space="preserve"> or oral contraceptives.</w:t>
      </w:r>
      <w:r w:rsidRPr="0B5D70EC">
        <w:rPr>
          <w:i/>
          <w:iCs/>
        </w:rPr>
        <w:t xml:space="preserve"> </w:t>
      </w:r>
      <w:r w:rsidRPr="0053245C">
        <w:t>This</w:t>
      </w:r>
      <w:r w:rsidR="1F421ADB" w:rsidRPr="0053245C">
        <w:t xml:space="preserve"> assumption was </w:t>
      </w:r>
      <w:r w:rsidRPr="0053245C">
        <w:t xml:space="preserve">not </w:t>
      </w:r>
      <w:r w:rsidRPr="0053245C">
        <w:lastRenderedPageBreak/>
        <w:t>reasonable. The submission also assumed a low rate of switch from curre</w:t>
      </w:r>
      <w:r w:rsidR="4B3F98D8" w:rsidRPr="0053245C">
        <w:t xml:space="preserve">nt </w:t>
      </w:r>
      <w:r w:rsidRPr="0053245C">
        <w:t xml:space="preserve">private market contraceptive users, for which data were not available. This </w:t>
      </w:r>
      <w:r w:rsidR="1F421ADB" w:rsidRPr="0053245C">
        <w:t xml:space="preserve">assumption </w:t>
      </w:r>
      <w:r w:rsidRPr="0053245C">
        <w:t xml:space="preserve">may also be likely to </w:t>
      </w:r>
      <w:r w:rsidR="455436FE" w:rsidRPr="0053245C">
        <w:t>underestimate</w:t>
      </w:r>
      <w:r w:rsidRPr="0053245C">
        <w:t xml:space="preserve"> the total use of </w:t>
      </w:r>
      <w:r w:rsidR="1F421ADB" w:rsidRPr="0053245C">
        <w:t>CVR</w:t>
      </w:r>
      <w:r w:rsidRPr="0053245C">
        <w:t xml:space="preserve">. </w:t>
      </w:r>
    </w:p>
    <w:p w14:paraId="26FB6670" w14:textId="07A510F3" w:rsidR="00B505C8" w:rsidRPr="0098262F" w:rsidRDefault="455436FE" w:rsidP="0B5D70EC">
      <w:pPr>
        <w:pStyle w:val="3-BodyText"/>
        <w:rPr>
          <w:color w:val="0066FF"/>
        </w:rPr>
      </w:pPr>
      <w:r w:rsidRPr="0B5D70EC">
        <w:t xml:space="preserve">The estimated use and total financial impact as presented in the submission is shown in </w:t>
      </w:r>
      <w:r w:rsidR="0044225B">
        <w:fldChar w:fldCharType="begin"/>
      </w:r>
      <w:r w:rsidR="0044225B">
        <w:instrText xml:space="preserve"> REF _Ref104805295 \h </w:instrText>
      </w:r>
      <w:r w:rsidR="0044225B">
        <w:fldChar w:fldCharType="separate"/>
      </w:r>
      <w:r w:rsidR="00896E34" w:rsidRPr="0098262F">
        <w:t xml:space="preserve">Table </w:t>
      </w:r>
      <w:r w:rsidR="00896E34">
        <w:rPr>
          <w:noProof/>
        </w:rPr>
        <w:t>12</w:t>
      </w:r>
      <w:r w:rsidR="0044225B">
        <w:fldChar w:fldCharType="end"/>
      </w:r>
      <w:r w:rsidR="1F421ADB" w:rsidRPr="0B5D70EC">
        <w:t>.</w:t>
      </w:r>
    </w:p>
    <w:p w14:paraId="38EC053C" w14:textId="0A209AC9" w:rsidR="00C25D9C" w:rsidRPr="0098262F" w:rsidRDefault="00E16AD8" w:rsidP="00E16AD8">
      <w:pPr>
        <w:pStyle w:val="Caption"/>
      </w:pPr>
      <w:bookmarkStart w:id="49" w:name="_Ref104805295"/>
      <w:r w:rsidRPr="0098262F">
        <w:t xml:space="preserve">Table </w:t>
      </w:r>
      <w:r w:rsidR="005E2A18">
        <w:fldChar w:fldCharType="begin"/>
      </w:r>
      <w:r w:rsidR="005E2A18">
        <w:instrText xml:space="preserve"> SEQ Table \* ARABIC </w:instrText>
      </w:r>
      <w:r w:rsidR="005E2A18">
        <w:fldChar w:fldCharType="separate"/>
      </w:r>
      <w:r w:rsidR="00896E34">
        <w:rPr>
          <w:noProof/>
        </w:rPr>
        <w:t>12</w:t>
      </w:r>
      <w:r w:rsidR="005E2A18">
        <w:rPr>
          <w:noProof/>
        </w:rPr>
        <w:fldChar w:fldCharType="end"/>
      </w:r>
      <w:bookmarkEnd w:id="49"/>
      <w:r w:rsidRPr="0098262F">
        <w:t>:</w:t>
      </w:r>
      <w:r w:rsidR="002A2F50" w:rsidRPr="0098262F">
        <w:rPr>
          <w:rStyle w:val="CommentReference"/>
          <w:b/>
          <w:szCs w:val="24"/>
        </w:rPr>
        <w:t xml:space="preserve"> Estimated use and financial implications</w:t>
      </w:r>
    </w:p>
    <w:tbl>
      <w:tblPr>
        <w:tblStyle w:val="TableGrid"/>
        <w:tblW w:w="5028" w:type="pct"/>
        <w:tblLayout w:type="fixed"/>
        <w:tblCellMar>
          <w:left w:w="28" w:type="dxa"/>
          <w:right w:w="28" w:type="dxa"/>
        </w:tblCellMar>
        <w:tblLook w:val="04A0" w:firstRow="1" w:lastRow="0" w:firstColumn="1" w:lastColumn="0" w:noHBand="0" w:noVBand="1"/>
      </w:tblPr>
      <w:tblGrid>
        <w:gridCol w:w="3113"/>
        <w:gridCol w:w="994"/>
        <w:gridCol w:w="994"/>
        <w:gridCol w:w="994"/>
        <w:gridCol w:w="992"/>
        <w:gridCol w:w="992"/>
        <w:gridCol w:w="988"/>
      </w:tblGrid>
      <w:tr w:rsidR="00385A9D" w:rsidRPr="0098262F" w14:paraId="43A2A3A1" w14:textId="77777777" w:rsidTr="0070341F">
        <w:trPr>
          <w:trHeight w:val="57"/>
        </w:trPr>
        <w:tc>
          <w:tcPr>
            <w:tcW w:w="1717" w:type="pct"/>
          </w:tcPr>
          <w:p w14:paraId="0A4E41E1" w14:textId="77777777" w:rsidR="00385A9D" w:rsidRPr="0098262F" w:rsidRDefault="00385A9D" w:rsidP="00606FBA">
            <w:pPr>
              <w:pStyle w:val="In-tableHeading"/>
              <w:jc w:val="center"/>
              <w:rPr>
                <w:lang w:val="en-AU"/>
              </w:rPr>
            </w:pPr>
          </w:p>
        </w:tc>
        <w:tc>
          <w:tcPr>
            <w:tcW w:w="548" w:type="pct"/>
          </w:tcPr>
          <w:p w14:paraId="77420B6F" w14:textId="77777777" w:rsidR="00385A9D" w:rsidRPr="0098262F" w:rsidRDefault="00385A9D" w:rsidP="00606FBA">
            <w:pPr>
              <w:pStyle w:val="In-tableHeading"/>
              <w:jc w:val="center"/>
              <w:rPr>
                <w:lang w:val="en-AU"/>
              </w:rPr>
            </w:pPr>
            <w:r w:rsidRPr="0098262F">
              <w:rPr>
                <w:lang w:val="en-AU"/>
              </w:rPr>
              <w:t>Year 1</w:t>
            </w:r>
          </w:p>
        </w:tc>
        <w:tc>
          <w:tcPr>
            <w:tcW w:w="548" w:type="pct"/>
          </w:tcPr>
          <w:p w14:paraId="3BBD9218" w14:textId="77777777" w:rsidR="00385A9D" w:rsidRPr="0098262F" w:rsidRDefault="00385A9D" w:rsidP="00606FBA">
            <w:pPr>
              <w:pStyle w:val="In-tableHeading"/>
              <w:jc w:val="center"/>
              <w:rPr>
                <w:lang w:val="en-AU"/>
              </w:rPr>
            </w:pPr>
            <w:r w:rsidRPr="0098262F">
              <w:rPr>
                <w:lang w:val="en-AU"/>
              </w:rPr>
              <w:t>Year 2</w:t>
            </w:r>
          </w:p>
        </w:tc>
        <w:tc>
          <w:tcPr>
            <w:tcW w:w="548" w:type="pct"/>
          </w:tcPr>
          <w:p w14:paraId="729A646E" w14:textId="77777777" w:rsidR="00385A9D" w:rsidRPr="0098262F" w:rsidRDefault="00385A9D" w:rsidP="00606FBA">
            <w:pPr>
              <w:pStyle w:val="In-tableHeading"/>
              <w:jc w:val="center"/>
              <w:rPr>
                <w:lang w:val="en-AU"/>
              </w:rPr>
            </w:pPr>
            <w:r w:rsidRPr="0098262F">
              <w:rPr>
                <w:lang w:val="en-AU"/>
              </w:rPr>
              <w:t>Year 3</w:t>
            </w:r>
          </w:p>
        </w:tc>
        <w:tc>
          <w:tcPr>
            <w:tcW w:w="547" w:type="pct"/>
          </w:tcPr>
          <w:p w14:paraId="280BB544" w14:textId="77777777" w:rsidR="00385A9D" w:rsidRPr="0098262F" w:rsidRDefault="00385A9D" w:rsidP="00606FBA">
            <w:pPr>
              <w:pStyle w:val="In-tableHeading"/>
              <w:jc w:val="center"/>
              <w:rPr>
                <w:lang w:val="en-AU"/>
              </w:rPr>
            </w:pPr>
            <w:r w:rsidRPr="0098262F">
              <w:rPr>
                <w:lang w:val="en-AU"/>
              </w:rPr>
              <w:t>Year 4</w:t>
            </w:r>
          </w:p>
        </w:tc>
        <w:tc>
          <w:tcPr>
            <w:tcW w:w="547" w:type="pct"/>
          </w:tcPr>
          <w:p w14:paraId="6435BB5B" w14:textId="77777777" w:rsidR="00385A9D" w:rsidRPr="0098262F" w:rsidRDefault="00385A9D" w:rsidP="00606FBA">
            <w:pPr>
              <w:pStyle w:val="In-tableHeading"/>
              <w:jc w:val="center"/>
              <w:rPr>
                <w:lang w:val="en-AU"/>
              </w:rPr>
            </w:pPr>
            <w:r w:rsidRPr="0098262F">
              <w:rPr>
                <w:lang w:val="en-AU"/>
              </w:rPr>
              <w:t>Year 5</w:t>
            </w:r>
          </w:p>
        </w:tc>
        <w:tc>
          <w:tcPr>
            <w:tcW w:w="545" w:type="pct"/>
          </w:tcPr>
          <w:p w14:paraId="7C618119" w14:textId="77777777" w:rsidR="00385A9D" w:rsidRPr="0098262F" w:rsidRDefault="00385A9D" w:rsidP="00606FBA">
            <w:pPr>
              <w:pStyle w:val="In-tableHeading"/>
              <w:jc w:val="center"/>
              <w:rPr>
                <w:lang w:val="en-AU"/>
              </w:rPr>
            </w:pPr>
            <w:r w:rsidRPr="0098262F">
              <w:rPr>
                <w:lang w:val="en-AU"/>
              </w:rPr>
              <w:t>Year 6</w:t>
            </w:r>
          </w:p>
        </w:tc>
      </w:tr>
      <w:tr w:rsidR="00385A9D" w:rsidRPr="0098262F" w14:paraId="3C519059" w14:textId="77777777" w:rsidTr="0070341F">
        <w:trPr>
          <w:trHeight w:val="57"/>
        </w:trPr>
        <w:tc>
          <w:tcPr>
            <w:tcW w:w="5000" w:type="pct"/>
            <w:gridSpan w:val="7"/>
          </w:tcPr>
          <w:p w14:paraId="516C2197" w14:textId="77777777" w:rsidR="00385A9D" w:rsidRPr="0098262F" w:rsidRDefault="00385A9D" w:rsidP="00606FBA">
            <w:pPr>
              <w:pStyle w:val="In-tableHeading"/>
              <w:rPr>
                <w:bCs/>
                <w:color w:val="000000"/>
                <w:lang w:val="en-AU"/>
              </w:rPr>
            </w:pPr>
            <w:r w:rsidRPr="0098262F">
              <w:rPr>
                <w:bCs/>
                <w:color w:val="000000"/>
                <w:lang w:val="en-AU"/>
              </w:rPr>
              <w:t>Estimated extent of use</w:t>
            </w:r>
          </w:p>
        </w:tc>
      </w:tr>
      <w:tr w:rsidR="00B9730E" w:rsidRPr="0098262F" w14:paraId="148A8EEF" w14:textId="77777777" w:rsidTr="0070341F">
        <w:trPr>
          <w:trHeight w:val="57"/>
        </w:trPr>
        <w:tc>
          <w:tcPr>
            <w:tcW w:w="1717" w:type="pct"/>
          </w:tcPr>
          <w:p w14:paraId="201B6ECA" w14:textId="7545E616" w:rsidR="00B9730E" w:rsidRPr="0098262F" w:rsidRDefault="00B9730E" w:rsidP="00B9730E">
            <w:pPr>
              <w:pStyle w:val="TableText0"/>
              <w:rPr>
                <w:rFonts w:ascii="Times" w:hAnsi="Times"/>
              </w:rPr>
            </w:pPr>
            <w:r w:rsidRPr="0098262F">
              <w:t>Number of patients treated</w:t>
            </w:r>
            <w:r>
              <w:t xml:space="preserve"> – current </w:t>
            </w:r>
            <w:r w:rsidR="006F2005">
              <w:t xml:space="preserve">CVR </w:t>
            </w:r>
            <w:r>
              <w:t>users</w:t>
            </w:r>
          </w:p>
        </w:tc>
        <w:tc>
          <w:tcPr>
            <w:tcW w:w="548" w:type="pct"/>
            <w:vAlign w:val="center"/>
          </w:tcPr>
          <w:p w14:paraId="577607A9" w14:textId="5BA8CC1B" w:rsidR="00B9730E"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11"/>
                <w14:textFill>
                  <w14:solidFill>
                    <w14:srgbClr w14:val="000000">
                      <w14:alpha w14:val="100000"/>
                    </w14:srgbClr>
                  </w14:solidFill>
                </w14:textFill>
              </w:rPr>
              <w:t>|||</w:t>
            </w:r>
            <w:r w:rsidRPr="00EA4DFF">
              <w:rPr>
                <w:color w:val="000000"/>
                <w:spacing w:val="1"/>
                <w:szCs w:val="20"/>
                <w:shd w:val="solid" w:color="000000" w:fill="000000"/>
                <w:fitText w:val="330" w:id="-663580411"/>
                <w14:textFill>
                  <w14:solidFill>
                    <w14:srgbClr w14:val="000000">
                      <w14:alpha w14:val="100000"/>
                    </w14:srgbClr>
                  </w14:solidFill>
                </w14:textFill>
              </w:rPr>
              <w:t>|</w:t>
            </w:r>
            <w:r w:rsidR="005F0AF0" w:rsidRPr="00B63964">
              <w:rPr>
                <w:rFonts w:cstheme="minorHAnsi"/>
                <w:szCs w:val="20"/>
                <w:vertAlign w:val="superscript"/>
              </w:rPr>
              <w:t>1</w:t>
            </w:r>
          </w:p>
        </w:tc>
        <w:tc>
          <w:tcPr>
            <w:tcW w:w="548" w:type="pct"/>
            <w:vAlign w:val="center"/>
          </w:tcPr>
          <w:p w14:paraId="6610B4C9" w14:textId="27780617" w:rsidR="00B9730E"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10"/>
                <w14:textFill>
                  <w14:solidFill>
                    <w14:srgbClr w14:val="000000">
                      <w14:alpha w14:val="100000"/>
                    </w14:srgbClr>
                  </w14:solidFill>
                </w14:textFill>
              </w:rPr>
              <w:t>|||</w:t>
            </w:r>
            <w:r w:rsidRPr="00EA4DFF">
              <w:rPr>
                <w:color w:val="000000"/>
                <w:spacing w:val="1"/>
                <w:szCs w:val="20"/>
                <w:shd w:val="solid" w:color="000000" w:fill="000000"/>
                <w:fitText w:val="330" w:id="-663580410"/>
                <w14:textFill>
                  <w14:solidFill>
                    <w14:srgbClr w14:val="000000">
                      <w14:alpha w14:val="100000"/>
                    </w14:srgbClr>
                  </w14:solidFill>
                </w14:textFill>
              </w:rPr>
              <w:t>|</w:t>
            </w:r>
            <w:r w:rsidR="005F0AF0" w:rsidRPr="00B63964">
              <w:rPr>
                <w:rFonts w:cstheme="minorHAnsi"/>
                <w:szCs w:val="20"/>
                <w:vertAlign w:val="superscript"/>
              </w:rPr>
              <w:t>1</w:t>
            </w:r>
          </w:p>
        </w:tc>
        <w:tc>
          <w:tcPr>
            <w:tcW w:w="548" w:type="pct"/>
            <w:vAlign w:val="center"/>
          </w:tcPr>
          <w:p w14:paraId="29F46D6B" w14:textId="1E6E5D0D" w:rsidR="00B9730E"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09"/>
                <w14:textFill>
                  <w14:solidFill>
                    <w14:srgbClr w14:val="000000">
                      <w14:alpha w14:val="100000"/>
                    </w14:srgbClr>
                  </w14:solidFill>
                </w14:textFill>
              </w:rPr>
              <w:t>|||</w:t>
            </w:r>
            <w:r w:rsidRPr="00EA4DFF">
              <w:rPr>
                <w:color w:val="000000"/>
                <w:spacing w:val="1"/>
                <w:szCs w:val="20"/>
                <w:shd w:val="solid" w:color="000000" w:fill="000000"/>
                <w:fitText w:val="330" w:id="-663580409"/>
                <w14:textFill>
                  <w14:solidFill>
                    <w14:srgbClr w14:val="000000">
                      <w14:alpha w14:val="100000"/>
                    </w14:srgbClr>
                  </w14:solidFill>
                </w14:textFill>
              </w:rPr>
              <w:t>|</w:t>
            </w:r>
            <w:r w:rsidR="005F0AF0" w:rsidRPr="00B63964">
              <w:rPr>
                <w:rFonts w:cstheme="minorHAnsi"/>
                <w:szCs w:val="20"/>
                <w:vertAlign w:val="superscript"/>
              </w:rPr>
              <w:t>1</w:t>
            </w:r>
          </w:p>
        </w:tc>
        <w:tc>
          <w:tcPr>
            <w:tcW w:w="547" w:type="pct"/>
            <w:vAlign w:val="center"/>
          </w:tcPr>
          <w:p w14:paraId="21167904" w14:textId="64BCA895" w:rsidR="00B9730E"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08"/>
                <w14:textFill>
                  <w14:solidFill>
                    <w14:srgbClr w14:val="000000">
                      <w14:alpha w14:val="100000"/>
                    </w14:srgbClr>
                  </w14:solidFill>
                </w14:textFill>
              </w:rPr>
              <w:t>|||</w:t>
            </w:r>
            <w:r w:rsidRPr="00EA4DFF">
              <w:rPr>
                <w:color w:val="000000"/>
                <w:spacing w:val="1"/>
                <w:szCs w:val="20"/>
                <w:shd w:val="solid" w:color="000000" w:fill="000000"/>
                <w:fitText w:val="330" w:id="-663580408"/>
                <w14:textFill>
                  <w14:solidFill>
                    <w14:srgbClr w14:val="000000">
                      <w14:alpha w14:val="100000"/>
                    </w14:srgbClr>
                  </w14:solidFill>
                </w14:textFill>
              </w:rPr>
              <w:t>|</w:t>
            </w:r>
            <w:r w:rsidR="005F0AF0" w:rsidRPr="00B63964">
              <w:rPr>
                <w:rFonts w:cstheme="minorHAnsi"/>
                <w:szCs w:val="20"/>
                <w:vertAlign w:val="superscript"/>
              </w:rPr>
              <w:t>1</w:t>
            </w:r>
          </w:p>
        </w:tc>
        <w:tc>
          <w:tcPr>
            <w:tcW w:w="547" w:type="pct"/>
            <w:vAlign w:val="center"/>
          </w:tcPr>
          <w:p w14:paraId="762D4B71" w14:textId="02B818E9" w:rsidR="00B9730E"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07"/>
                <w14:textFill>
                  <w14:solidFill>
                    <w14:srgbClr w14:val="000000">
                      <w14:alpha w14:val="100000"/>
                    </w14:srgbClr>
                  </w14:solidFill>
                </w14:textFill>
              </w:rPr>
              <w:t>|||</w:t>
            </w:r>
            <w:r w:rsidRPr="00EA4DFF">
              <w:rPr>
                <w:color w:val="000000"/>
                <w:spacing w:val="1"/>
                <w:szCs w:val="20"/>
                <w:shd w:val="solid" w:color="000000" w:fill="000000"/>
                <w:fitText w:val="330" w:id="-663580407"/>
                <w14:textFill>
                  <w14:solidFill>
                    <w14:srgbClr w14:val="000000">
                      <w14:alpha w14:val="100000"/>
                    </w14:srgbClr>
                  </w14:solidFill>
                </w14:textFill>
              </w:rPr>
              <w:t>|</w:t>
            </w:r>
            <w:r w:rsidR="005F0AF0" w:rsidRPr="00B63964">
              <w:rPr>
                <w:rFonts w:cstheme="minorHAnsi"/>
                <w:szCs w:val="20"/>
                <w:vertAlign w:val="superscript"/>
              </w:rPr>
              <w:t>1</w:t>
            </w:r>
          </w:p>
        </w:tc>
        <w:tc>
          <w:tcPr>
            <w:tcW w:w="545" w:type="pct"/>
            <w:vAlign w:val="center"/>
          </w:tcPr>
          <w:p w14:paraId="42B428B5" w14:textId="6F420CCC" w:rsidR="00B9730E"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06"/>
                <w14:textFill>
                  <w14:solidFill>
                    <w14:srgbClr w14:val="000000">
                      <w14:alpha w14:val="100000"/>
                    </w14:srgbClr>
                  </w14:solidFill>
                </w14:textFill>
              </w:rPr>
              <w:t>|||</w:t>
            </w:r>
            <w:r w:rsidRPr="00EA4DFF">
              <w:rPr>
                <w:color w:val="000000"/>
                <w:spacing w:val="1"/>
                <w:szCs w:val="20"/>
                <w:shd w:val="solid" w:color="000000" w:fill="000000"/>
                <w:fitText w:val="330" w:id="-663580406"/>
                <w14:textFill>
                  <w14:solidFill>
                    <w14:srgbClr w14:val="000000">
                      <w14:alpha w14:val="100000"/>
                    </w14:srgbClr>
                  </w14:solidFill>
                </w14:textFill>
              </w:rPr>
              <w:t>|</w:t>
            </w:r>
            <w:r w:rsidR="005F0AF0" w:rsidRPr="00B63964">
              <w:rPr>
                <w:rFonts w:cstheme="minorHAnsi"/>
                <w:szCs w:val="20"/>
                <w:vertAlign w:val="superscript"/>
              </w:rPr>
              <w:t>1</w:t>
            </w:r>
          </w:p>
        </w:tc>
      </w:tr>
      <w:tr w:rsidR="00B13DB4" w:rsidRPr="0098262F" w14:paraId="374F096E" w14:textId="77777777" w:rsidTr="0070341F">
        <w:trPr>
          <w:trHeight w:val="57"/>
        </w:trPr>
        <w:tc>
          <w:tcPr>
            <w:tcW w:w="1717" w:type="pct"/>
          </w:tcPr>
          <w:p w14:paraId="64EE9626" w14:textId="289B3009" w:rsidR="00C335BF" w:rsidRPr="00C335BF" w:rsidRDefault="00B13DB4" w:rsidP="00B13DB4">
            <w:pPr>
              <w:pStyle w:val="TableText0"/>
              <w:rPr>
                <w:i/>
                <w:iCs/>
              </w:rPr>
            </w:pPr>
            <w:r>
              <w:t>Number of scripts dispensed – current users</w:t>
            </w:r>
          </w:p>
        </w:tc>
        <w:tc>
          <w:tcPr>
            <w:tcW w:w="548" w:type="pct"/>
            <w:vAlign w:val="center"/>
          </w:tcPr>
          <w:p w14:paraId="30031256" w14:textId="4F871AE1" w:rsidR="00C335BF"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05"/>
                <w14:textFill>
                  <w14:solidFill>
                    <w14:srgbClr w14:val="000000">
                      <w14:alpha w14:val="100000"/>
                    </w14:srgbClr>
                  </w14:solidFill>
                </w14:textFill>
              </w:rPr>
              <w:t>|||</w:t>
            </w:r>
            <w:r w:rsidRPr="00EA4DFF">
              <w:rPr>
                <w:color w:val="000000"/>
                <w:spacing w:val="1"/>
                <w:szCs w:val="20"/>
                <w:shd w:val="solid" w:color="000000" w:fill="000000"/>
                <w:fitText w:val="330" w:id="-663580405"/>
                <w14:textFill>
                  <w14:solidFill>
                    <w14:srgbClr w14:val="000000">
                      <w14:alpha w14:val="100000"/>
                    </w14:srgbClr>
                  </w14:solidFill>
                </w14:textFill>
              </w:rPr>
              <w:t>|</w:t>
            </w:r>
            <w:r w:rsidR="001753D2" w:rsidRPr="00B63964">
              <w:rPr>
                <w:rFonts w:cstheme="minorHAnsi"/>
                <w:szCs w:val="20"/>
                <w:vertAlign w:val="superscript"/>
              </w:rPr>
              <w:t>3</w:t>
            </w:r>
          </w:p>
        </w:tc>
        <w:tc>
          <w:tcPr>
            <w:tcW w:w="548" w:type="pct"/>
            <w:vAlign w:val="center"/>
          </w:tcPr>
          <w:p w14:paraId="00E3419E" w14:textId="31A0CCC6" w:rsidR="00C335BF"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04"/>
                <w14:textFill>
                  <w14:solidFill>
                    <w14:srgbClr w14:val="000000">
                      <w14:alpha w14:val="100000"/>
                    </w14:srgbClr>
                  </w14:solidFill>
                </w14:textFill>
              </w:rPr>
              <w:t>|||</w:t>
            </w:r>
            <w:r w:rsidRPr="00EA4DFF">
              <w:rPr>
                <w:color w:val="000000"/>
                <w:spacing w:val="1"/>
                <w:szCs w:val="20"/>
                <w:shd w:val="solid" w:color="000000" w:fill="000000"/>
                <w:fitText w:val="330" w:id="-663580404"/>
                <w14:textFill>
                  <w14:solidFill>
                    <w14:srgbClr w14:val="000000">
                      <w14:alpha w14:val="100000"/>
                    </w14:srgbClr>
                  </w14:solidFill>
                </w14:textFill>
              </w:rPr>
              <w:t>|</w:t>
            </w:r>
            <w:r w:rsidR="001753D2" w:rsidRPr="00B63964">
              <w:rPr>
                <w:rFonts w:cstheme="minorHAnsi"/>
                <w:szCs w:val="20"/>
                <w:vertAlign w:val="superscript"/>
              </w:rPr>
              <w:t>3</w:t>
            </w:r>
          </w:p>
        </w:tc>
        <w:tc>
          <w:tcPr>
            <w:tcW w:w="548" w:type="pct"/>
            <w:vAlign w:val="center"/>
          </w:tcPr>
          <w:p w14:paraId="2958EBBE" w14:textId="05CC5B8D" w:rsidR="00B13DB4"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03"/>
                <w14:textFill>
                  <w14:solidFill>
                    <w14:srgbClr w14:val="000000">
                      <w14:alpha w14:val="100000"/>
                    </w14:srgbClr>
                  </w14:solidFill>
                </w14:textFill>
              </w:rPr>
              <w:t>|||</w:t>
            </w:r>
            <w:r w:rsidRPr="00EA4DFF">
              <w:rPr>
                <w:color w:val="000000"/>
                <w:spacing w:val="1"/>
                <w:szCs w:val="20"/>
                <w:shd w:val="solid" w:color="000000" w:fill="000000"/>
                <w:fitText w:val="330" w:id="-663580403"/>
                <w14:textFill>
                  <w14:solidFill>
                    <w14:srgbClr w14:val="000000">
                      <w14:alpha w14:val="100000"/>
                    </w14:srgbClr>
                  </w14:solidFill>
                </w14:textFill>
              </w:rPr>
              <w:t>|</w:t>
            </w:r>
            <w:r w:rsidR="001753D2" w:rsidRPr="00B63964">
              <w:rPr>
                <w:rFonts w:cstheme="minorHAnsi"/>
                <w:szCs w:val="20"/>
                <w:vertAlign w:val="superscript"/>
              </w:rPr>
              <w:t>3</w:t>
            </w:r>
          </w:p>
        </w:tc>
        <w:tc>
          <w:tcPr>
            <w:tcW w:w="547" w:type="pct"/>
            <w:vAlign w:val="center"/>
          </w:tcPr>
          <w:p w14:paraId="5358AB58" w14:textId="5EE0472C" w:rsidR="00B13DB4"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02"/>
                <w14:textFill>
                  <w14:solidFill>
                    <w14:srgbClr w14:val="000000">
                      <w14:alpha w14:val="100000"/>
                    </w14:srgbClr>
                  </w14:solidFill>
                </w14:textFill>
              </w:rPr>
              <w:t>|||</w:t>
            </w:r>
            <w:r w:rsidRPr="00EA4DFF">
              <w:rPr>
                <w:color w:val="000000"/>
                <w:spacing w:val="1"/>
                <w:szCs w:val="20"/>
                <w:shd w:val="solid" w:color="000000" w:fill="000000"/>
                <w:fitText w:val="330" w:id="-663580402"/>
                <w14:textFill>
                  <w14:solidFill>
                    <w14:srgbClr w14:val="000000">
                      <w14:alpha w14:val="100000"/>
                    </w14:srgbClr>
                  </w14:solidFill>
                </w14:textFill>
              </w:rPr>
              <w:t>|</w:t>
            </w:r>
            <w:r w:rsidR="001753D2" w:rsidRPr="00B63964">
              <w:rPr>
                <w:rFonts w:cstheme="minorHAnsi"/>
                <w:szCs w:val="20"/>
                <w:vertAlign w:val="superscript"/>
              </w:rPr>
              <w:t>3</w:t>
            </w:r>
          </w:p>
        </w:tc>
        <w:tc>
          <w:tcPr>
            <w:tcW w:w="547" w:type="pct"/>
            <w:vAlign w:val="center"/>
          </w:tcPr>
          <w:p w14:paraId="0BB233B7" w14:textId="02C3B19A" w:rsidR="00B13DB4"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01"/>
                <w14:textFill>
                  <w14:solidFill>
                    <w14:srgbClr w14:val="000000">
                      <w14:alpha w14:val="100000"/>
                    </w14:srgbClr>
                  </w14:solidFill>
                </w14:textFill>
              </w:rPr>
              <w:t>|||</w:t>
            </w:r>
            <w:r w:rsidRPr="00EA4DFF">
              <w:rPr>
                <w:color w:val="000000"/>
                <w:spacing w:val="1"/>
                <w:szCs w:val="20"/>
                <w:shd w:val="solid" w:color="000000" w:fill="000000"/>
                <w:fitText w:val="330" w:id="-663580401"/>
                <w14:textFill>
                  <w14:solidFill>
                    <w14:srgbClr w14:val="000000">
                      <w14:alpha w14:val="100000"/>
                    </w14:srgbClr>
                  </w14:solidFill>
                </w14:textFill>
              </w:rPr>
              <w:t>|</w:t>
            </w:r>
            <w:r w:rsidR="001753D2" w:rsidRPr="00B63964">
              <w:rPr>
                <w:rFonts w:cstheme="minorHAnsi"/>
                <w:szCs w:val="20"/>
                <w:vertAlign w:val="superscript"/>
              </w:rPr>
              <w:t>3</w:t>
            </w:r>
          </w:p>
        </w:tc>
        <w:tc>
          <w:tcPr>
            <w:tcW w:w="545" w:type="pct"/>
            <w:vAlign w:val="center"/>
          </w:tcPr>
          <w:p w14:paraId="4E769C17" w14:textId="01B3F225" w:rsidR="00B13DB4"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00"/>
                <w14:textFill>
                  <w14:solidFill>
                    <w14:srgbClr w14:val="000000">
                      <w14:alpha w14:val="100000"/>
                    </w14:srgbClr>
                  </w14:solidFill>
                </w14:textFill>
              </w:rPr>
              <w:t>|||</w:t>
            </w:r>
            <w:r w:rsidRPr="00EA4DFF">
              <w:rPr>
                <w:color w:val="000000"/>
                <w:spacing w:val="1"/>
                <w:szCs w:val="20"/>
                <w:shd w:val="solid" w:color="000000" w:fill="000000"/>
                <w:fitText w:val="330" w:id="-663580400"/>
                <w14:textFill>
                  <w14:solidFill>
                    <w14:srgbClr w14:val="000000">
                      <w14:alpha w14:val="100000"/>
                    </w14:srgbClr>
                  </w14:solidFill>
                </w14:textFill>
              </w:rPr>
              <w:t>|</w:t>
            </w:r>
            <w:r w:rsidR="001753D2" w:rsidRPr="00B63964">
              <w:rPr>
                <w:rFonts w:cstheme="minorHAnsi"/>
                <w:szCs w:val="20"/>
                <w:vertAlign w:val="superscript"/>
              </w:rPr>
              <w:t>3</w:t>
            </w:r>
          </w:p>
        </w:tc>
      </w:tr>
      <w:tr w:rsidR="00B13DB4" w:rsidRPr="0098262F" w14:paraId="08452222" w14:textId="77777777" w:rsidTr="0070341F">
        <w:trPr>
          <w:trHeight w:val="57"/>
        </w:trPr>
        <w:tc>
          <w:tcPr>
            <w:tcW w:w="1717" w:type="pct"/>
          </w:tcPr>
          <w:p w14:paraId="632CB46F" w14:textId="151A46BC" w:rsidR="00B13DB4" w:rsidRDefault="00B13DB4" w:rsidP="00B13DB4">
            <w:pPr>
              <w:pStyle w:val="TableText0"/>
            </w:pPr>
            <w:r>
              <w:t xml:space="preserve">Number of scripts switched from </w:t>
            </w:r>
            <w:r w:rsidR="00650313">
              <w:t>DMPA</w:t>
            </w:r>
          </w:p>
        </w:tc>
        <w:tc>
          <w:tcPr>
            <w:tcW w:w="548" w:type="pct"/>
            <w:vAlign w:val="center"/>
          </w:tcPr>
          <w:p w14:paraId="4512E63C" w14:textId="56BDE7A7" w:rsidR="00B13DB4" w:rsidRPr="00B63964" w:rsidRDefault="00EA4DFF" w:rsidP="00193DC9">
            <w:pPr>
              <w:pStyle w:val="TableText0"/>
              <w:jc w:val="center"/>
              <w:rPr>
                <w:szCs w:val="20"/>
                <w:highlight w:val="lightGray"/>
              </w:rPr>
            </w:pPr>
            <w:r w:rsidRPr="00EA4DFF">
              <w:rPr>
                <w:color w:val="000000"/>
                <w:spacing w:val="53"/>
                <w:szCs w:val="20"/>
                <w:shd w:val="solid" w:color="000000" w:fill="000000"/>
                <w:fitText w:val="330" w:id="-663580416"/>
                <w14:textFill>
                  <w14:solidFill>
                    <w14:srgbClr w14:val="000000">
                      <w14:alpha w14:val="100000"/>
                    </w14:srgbClr>
                  </w14:solidFill>
                </w14:textFill>
              </w:rPr>
              <w:t>|||</w:t>
            </w:r>
            <w:r w:rsidRPr="00EA4DFF">
              <w:rPr>
                <w:color w:val="000000"/>
                <w:spacing w:val="1"/>
                <w:szCs w:val="20"/>
                <w:shd w:val="solid" w:color="000000" w:fill="000000"/>
                <w:fitText w:val="330" w:id="-663580416"/>
                <w14:textFill>
                  <w14:solidFill>
                    <w14:srgbClr w14:val="000000">
                      <w14:alpha w14:val="100000"/>
                    </w14:srgbClr>
                  </w14:solidFill>
                </w14:textFill>
              </w:rPr>
              <w:t>|</w:t>
            </w:r>
            <w:r w:rsidR="006E1CCE" w:rsidRPr="00B63964">
              <w:rPr>
                <w:rFonts w:cstheme="minorHAnsi"/>
                <w:szCs w:val="20"/>
                <w:vertAlign w:val="superscript"/>
              </w:rPr>
              <w:t>1</w:t>
            </w:r>
          </w:p>
        </w:tc>
        <w:tc>
          <w:tcPr>
            <w:tcW w:w="548" w:type="pct"/>
            <w:vAlign w:val="center"/>
          </w:tcPr>
          <w:p w14:paraId="01175275" w14:textId="24AA36F6" w:rsidR="00B13DB4"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15"/>
                <w14:textFill>
                  <w14:solidFill>
                    <w14:srgbClr w14:val="000000">
                      <w14:alpha w14:val="100000"/>
                    </w14:srgbClr>
                  </w14:solidFill>
                </w14:textFill>
              </w:rPr>
              <w:t>|||</w:t>
            </w:r>
            <w:r w:rsidRPr="00EA4DFF">
              <w:rPr>
                <w:color w:val="000000"/>
                <w:spacing w:val="1"/>
                <w:szCs w:val="20"/>
                <w:shd w:val="solid" w:color="000000" w:fill="000000"/>
                <w:fitText w:val="330" w:id="-663580415"/>
                <w14:textFill>
                  <w14:solidFill>
                    <w14:srgbClr w14:val="000000">
                      <w14:alpha w14:val="100000"/>
                    </w14:srgbClr>
                  </w14:solidFill>
                </w14:textFill>
              </w:rPr>
              <w:t>|</w:t>
            </w:r>
            <w:r w:rsidR="00531288" w:rsidRPr="00B63964">
              <w:rPr>
                <w:rFonts w:cstheme="minorHAnsi"/>
                <w:szCs w:val="20"/>
                <w:vertAlign w:val="superscript"/>
              </w:rPr>
              <w:t>2</w:t>
            </w:r>
          </w:p>
        </w:tc>
        <w:tc>
          <w:tcPr>
            <w:tcW w:w="548" w:type="pct"/>
            <w:vAlign w:val="center"/>
          </w:tcPr>
          <w:p w14:paraId="76C310FE" w14:textId="010D3811" w:rsidR="00B13DB4"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14"/>
                <w14:textFill>
                  <w14:solidFill>
                    <w14:srgbClr w14:val="000000">
                      <w14:alpha w14:val="100000"/>
                    </w14:srgbClr>
                  </w14:solidFill>
                </w14:textFill>
              </w:rPr>
              <w:t>|||</w:t>
            </w:r>
            <w:r w:rsidRPr="00EA4DFF">
              <w:rPr>
                <w:color w:val="000000"/>
                <w:spacing w:val="1"/>
                <w:szCs w:val="20"/>
                <w:shd w:val="solid" w:color="000000" w:fill="000000"/>
                <w:fitText w:val="330" w:id="-663580414"/>
                <w14:textFill>
                  <w14:solidFill>
                    <w14:srgbClr w14:val="000000">
                      <w14:alpha w14:val="100000"/>
                    </w14:srgbClr>
                  </w14:solidFill>
                </w14:textFill>
              </w:rPr>
              <w:t>|</w:t>
            </w:r>
            <w:r w:rsidR="00531288" w:rsidRPr="00B63964">
              <w:rPr>
                <w:rFonts w:cstheme="minorHAnsi"/>
                <w:szCs w:val="20"/>
                <w:vertAlign w:val="superscript"/>
              </w:rPr>
              <w:t>2</w:t>
            </w:r>
          </w:p>
        </w:tc>
        <w:tc>
          <w:tcPr>
            <w:tcW w:w="547" w:type="pct"/>
            <w:vAlign w:val="center"/>
          </w:tcPr>
          <w:p w14:paraId="346FCCD9" w14:textId="7DEBC41D" w:rsidR="00B13DB4"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13"/>
                <w14:textFill>
                  <w14:solidFill>
                    <w14:srgbClr w14:val="000000">
                      <w14:alpha w14:val="100000"/>
                    </w14:srgbClr>
                  </w14:solidFill>
                </w14:textFill>
              </w:rPr>
              <w:t>|||</w:t>
            </w:r>
            <w:r w:rsidRPr="00EA4DFF">
              <w:rPr>
                <w:color w:val="000000"/>
                <w:spacing w:val="1"/>
                <w:szCs w:val="20"/>
                <w:shd w:val="solid" w:color="000000" w:fill="000000"/>
                <w:fitText w:val="330" w:id="-663580413"/>
                <w14:textFill>
                  <w14:solidFill>
                    <w14:srgbClr w14:val="000000">
                      <w14:alpha w14:val="100000"/>
                    </w14:srgbClr>
                  </w14:solidFill>
                </w14:textFill>
              </w:rPr>
              <w:t>|</w:t>
            </w:r>
            <w:r w:rsidR="00E12AC4" w:rsidRPr="00B63964">
              <w:rPr>
                <w:rFonts w:cstheme="minorHAnsi"/>
                <w:szCs w:val="20"/>
                <w:vertAlign w:val="superscript"/>
              </w:rPr>
              <w:t>3</w:t>
            </w:r>
          </w:p>
        </w:tc>
        <w:tc>
          <w:tcPr>
            <w:tcW w:w="547" w:type="pct"/>
            <w:vAlign w:val="center"/>
          </w:tcPr>
          <w:p w14:paraId="40126757" w14:textId="6D142BC5" w:rsidR="00B13DB4"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12"/>
                <w14:textFill>
                  <w14:solidFill>
                    <w14:srgbClr w14:val="000000">
                      <w14:alpha w14:val="100000"/>
                    </w14:srgbClr>
                  </w14:solidFill>
                </w14:textFill>
              </w:rPr>
              <w:t>|||</w:t>
            </w:r>
            <w:r w:rsidRPr="00EA4DFF">
              <w:rPr>
                <w:color w:val="000000"/>
                <w:spacing w:val="1"/>
                <w:szCs w:val="20"/>
                <w:shd w:val="solid" w:color="000000" w:fill="000000"/>
                <w:fitText w:val="330" w:id="-663580412"/>
                <w14:textFill>
                  <w14:solidFill>
                    <w14:srgbClr w14:val="000000">
                      <w14:alpha w14:val="100000"/>
                    </w14:srgbClr>
                  </w14:solidFill>
                </w14:textFill>
              </w:rPr>
              <w:t>|</w:t>
            </w:r>
            <w:r w:rsidR="00531288" w:rsidRPr="00B63964">
              <w:rPr>
                <w:rFonts w:cstheme="minorHAnsi"/>
                <w:szCs w:val="20"/>
                <w:vertAlign w:val="superscript"/>
              </w:rPr>
              <w:t>3</w:t>
            </w:r>
          </w:p>
        </w:tc>
        <w:tc>
          <w:tcPr>
            <w:tcW w:w="545" w:type="pct"/>
            <w:vAlign w:val="center"/>
          </w:tcPr>
          <w:p w14:paraId="1D134B86" w14:textId="6970C5D5" w:rsidR="00B13DB4" w:rsidRPr="00B63964" w:rsidRDefault="00EA4DFF" w:rsidP="00193DC9">
            <w:pPr>
              <w:pStyle w:val="TableText0"/>
              <w:jc w:val="center"/>
              <w:rPr>
                <w:color w:val="000000"/>
                <w:szCs w:val="20"/>
              </w:rPr>
            </w:pPr>
            <w:r w:rsidRPr="00EA4DFF">
              <w:rPr>
                <w:color w:val="000000"/>
                <w:spacing w:val="53"/>
                <w:szCs w:val="20"/>
                <w:shd w:val="solid" w:color="000000" w:fill="000000"/>
                <w:fitText w:val="330" w:id="-663580411"/>
                <w14:textFill>
                  <w14:solidFill>
                    <w14:srgbClr w14:val="000000">
                      <w14:alpha w14:val="100000"/>
                    </w14:srgbClr>
                  </w14:solidFill>
                </w14:textFill>
              </w:rPr>
              <w:t>|||</w:t>
            </w:r>
            <w:r w:rsidRPr="00EA4DFF">
              <w:rPr>
                <w:color w:val="000000"/>
                <w:spacing w:val="1"/>
                <w:szCs w:val="20"/>
                <w:shd w:val="solid" w:color="000000" w:fill="000000"/>
                <w:fitText w:val="330" w:id="-663580411"/>
                <w14:textFill>
                  <w14:solidFill>
                    <w14:srgbClr w14:val="000000">
                      <w14:alpha w14:val="100000"/>
                    </w14:srgbClr>
                  </w14:solidFill>
                </w14:textFill>
              </w:rPr>
              <w:t>|</w:t>
            </w:r>
            <w:r w:rsidR="00531288" w:rsidRPr="00B63964">
              <w:rPr>
                <w:rFonts w:cstheme="minorHAnsi"/>
                <w:szCs w:val="20"/>
                <w:vertAlign w:val="superscript"/>
              </w:rPr>
              <w:t>3</w:t>
            </w:r>
          </w:p>
        </w:tc>
      </w:tr>
      <w:tr w:rsidR="00A21457" w:rsidRPr="0098262F" w14:paraId="3649160B" w14:textId="77777777" w:rsidTr="0070341F">
        <w:trPr>
          <w:trHeight w:val="57"/>
        </w:trPr>
        <w:tc>
          <w:tcPr>
            <w:tcW w:w="1717" w:type="pct"/>
          </w:tcPr>
          <w:p w14:paraId="2F601AA4" w14:textId="255F99F3" w:rsidR="00F0527A" w:rsidRDefault="00A21457" w:rsidP="00A21457">
            <w:pPr>
              <w:pStyle w:val="TableText0"/>
            </w:pPr>
            <w:r>
              <w:t xml:space="preserve">Number of scripts switched from current OC  </w:t>
            </w:r>
          </w:p>
        </w:tc>
        <w:tc>
          <w:tcPr>
            <w:tcW w:w="548" w:type="pct"/>
            <w:vAlign w:val="center"/>
          </w:tcPr>
          <w:p w14:paraId="14EADA40" w14:textId="5595AEA2" w:rsidR="00F0527A" w:rsidRPr="00B63964" w:rsidRDefault="00EA4DFF" w:rsidP="00193DC9">
            <w:pPr>
              <w:pStyle w:val="Tabletext"/>
              <w:jc w:val="center"/>
              <w:rPr>
                <w:szCs w:val="20"/>
              </w:rPr>
            </w:pPr>
            <w:r w:rsidRPr="00EA4DFF">
              <w:rPr>
                <w:rFonts w:eastAsiaTheme="majorEastAsia" w:cstheme="majorBidi"/>
                <w:bCs/>
                <w:snapToGrid/>
                <w:color w:val="000000"/>
                <w:spacing w:val="53"/>
                <w:szCs w:val="20"/>
                <w:shd w:val="solid" w:color="000000" w:fill="000000"/>
                <w:fitText w:val="330" w:id="-663580410"/>
                <w14:textFill>
                  <w14:solidFill>
                    <w14:srgbClr w14:val="000000">
                      <w14:alpha w14:val="100000"/>
                    </w14:srgbClr>
                  </w14:solidFill>
                </w14:textFill>
              </w:rPr>
              <w:t>|||</w:t>
            </w:r>
            <w:r w:rsidRPr="00EA4DFF">
              <w:rPr>
                <w:rFonts w:eastAsiaTheme="majorEastAsia" w:cstheme="majorBidi"/>
                <w:bCs/>
                <w:snapToGrid/>
                <w:color w:val="000000"/>
                <w:spacing w:val="1"/>
                <w:szCs w:val="20"/>
                <w:shd w:val="solid" w:color="000000" w:fill="000000"/>
                <w:fitText w:val="330" w:id="-663580410"/>
                <w14:textFill>
                  <w14:solidFill>
                    <w14:srgbClr w14:val="000000">
                      <w14:alpha w14:val="100000"/>
                    </w14:srgbClr>
                  </w14:solidFill>
                </w14:textFill>
              </w:rPr>
              <w:t>|</w:t>
            </w:r>
            <w:r w:rsidR="00EE7EA0" w:rsidRPr="00B63964">
              <w:rPr>
                <w:rFonts w:cstheme="minorHAnsi"/>
                <w:bCs/>
                <w:szCs w:val="20"/>
                <w:vertAlign w:val="superscript"/>
              </w:rPr>
              <w:t>3</w:t>
            </w:r>
          </w:p>
        </w:tc>
        <w:tc>
          <w:tcPr>
            <w:tcW w:w="548" w:type="pct"/>
            <w:vAlign w:val="center"/>
          </w:tcPr>
          <w:p w14:paraId="10C38678" w14:textId="3CE47513" w:rsidR="00F0527A" w:rsidRPr="00B63964" w:rsidRDefault="00EA4DFF" w:rsidP="00193DC9">
            <w:pPr>
              <w:pStyle w:val="Tabletext"/>
              <w:jc w:val="center"/>
              <w:rPr>
                <w:szCs w:val="20"/>
              </w:rPr>
            </w:pPr>
            <w:r w:rsidRPr="00EA4DFF">
              <w:rPr>
                <w:rFonts w:eastAsiaTheme="majorEastAsia" w:cstheme="majorBidi"/>
                <w:bCs/>
                <w:snapToGrid/>
                <w:color w:val="000000"/>
                <w:spacing w:val="53"/>
                <w:szCs w:val="20"/>
                <w:shd w:val="solid" w:color="000000" w:fill="000000"/>
                <w:fitText w:val="330" w:id="-663580409"/>
                <w14:textFill>
                  <w14:solidFill>
                    <w14:srgbClr w14:val="000000">
                      <w14:alpha w14:val="100000"/>
                    </w14:srgbClr>
                  </w14:solidFill>
                </w14:textFill>
              </w:rPr>
              <w:t>|||</w:t>
            </w:r>
            <w:r w:rsidRPr="00EA4DFF">
              <w:rPr>
                <w:rFonts w:eastAsiaTheme="majorEastAsia" w:cstheme="majorBidi"/>
                <w:bCs/>
                <w:snapToGrid/>
                <w:color w:val="000000"/>
                <w:spacing w:val="1"/>
                <w:szCs w:val="20"/>
                <w:shd w:val="solid" w:color="000000" w:fill="000000"/>
                <w:fitText w:val="330" w:id="-663580409"/>
                <w14:textFill>
                  <w14:solidFill>
                    <w14:srgbClr w14:val="000000">
                      <w14:alpha w14:val="100000"/>
                    </w14:srgbClr>
                  </w14:solidFill>
                </w14:textFill>
              </w:rPr>
              <w:t>|</w:t>
            </w:r>
            <w:r w:rsidR="00EE7EA0" w:rsidRPr="00B63964">
              <w:rPr>
                <w:rFonts w:cstheme="minorHAnsi"/>
                <w:bCs/>
                <w:szCs w:val="20"/>
                <w:vertAlign w:val="superscript"/>
              </w:rPr>
              <w:t>1</w:t>
            </w:r>
          </w:p>
        </w:tc>
        <w:tc>
          <w:tcPr>
            <w:tcW w:w="548" w:type="pct"/>
            <w:vAlign w:val="center"/>
          </w:tcPr>
          <w:p w14:paraId="380A6C6E" w14:textId="58D8BAF4" w:rsidR="00F0527A" w:rsidRPr="00B63964" w:rsidRDefault="00EA4DFF" w:rsidP="00193DC9">
            <w:pPr>
              <w:pStyle w:val="Tabletext"/>
              <w:jc w:val="center"/>
              <w:rPr>
                <w:szCs w:val="20"/>
              </w:rPr>
            </w:pPr>
            <w:r w:rsidRPr="00EA4DFF">
              <w:rPr>
                <w:rFonts w:eastAsiaTheme="majorEastAsia" w:cstheme="majorBidi"/>
                <w:bCs/>
                <w:snapToGrid/>
                <w:color w:val="000000"/>
                <w:spacing w:val="53"/>
                <w:szCs w:val="20"/>
                <w:shd w:val="solid" w:color="000000" w:fill="000000"/>
                <w:fitText w:val="330" w:id="-663580408"/>
                <w14:textFill>
                  <w14:solidFill>
                    <w14:srgbClr w14:val="000000">
                      <w14:alpha w14:val="100000"/>
                    </w14:srgbClr>
                  </w14:solidFill>
                </w14:textFill>
              </w:rPr>
              <w:t>|||</w:t>
            </w:r>
            <w:r w:rsidRPr="00EA4DFF">
              <w:rPr>
                <w:rFonts w:eastAsiaTheme="majorEastAsia" w:cstheme="majorBidi"/>
                <w:bCs/>
                <w:snapToGrid/>
                <w:color w:val="000000"/>
                <w:spacing w:val="1"/>
                <w:szCs w:val="20"/>
                <w:shd w:val="solid" w:color="000000" w:fill="000000"/>
                <w:fitText w:val="330" w:id="-663580408"/>
                <w14:textFill>
                  <w14:solidFill>
                    <w14:srgbClr w14:val="000000">
                      <w14:alpha w14:val="100000"/>
                    </w14:srgbClr>
                  </w14:solidFill>
                </w14:textFill>
              </w:rPr>
              <w:t>|</w:t>
            </w:r>
            <w:r w:rsidR="00EE7EA0" w:rsidRPr="00B63964">
              <w:rPr>
                <w:rFonts w:cstheme="minorHAnsi"/>
                <w:bCs/>
                <w:szCs w:val="20"/>
                <w:vertAlign w:val="superscript"/>
              </w:rPr>
              <w:t>1</w:t>
            </w:r>
          </w:p>
        </w:tc>
        <w:tc>
          <w:tcPr>
            <w:tcW w:w="547" w:type="pct"/>
            <w:vAlign w:val="center"/>
          </w:tcPr>
          <w:p w14:paraId="02EE92B4" w14:textId="3180B7E1" w:rsidR="00F0527A" w:rsidRPr="00B63964" w:rsidRDefault="00EA4DFF" w:rsidP="00193DC9">
            <w:pPr>
              <w:pStyle w:val="Tabletext"/>
              <w:jc w:val="center"/>
              <w:rPr>
                <w:szCs w:val="20"/>
              </w:rPr>
            </w:pPr>
            <w:r w:rsidRPr="00EA4DFF">
              <w:rPr>
                <w:rFonts w:eastAsiaTheme="majorEastAsia" w:cstheme="majorBidi"/>
                <w:bCs/>
                <w:snapToGrid/>
                <w:color w:val="000000"/>
                <w:spacing w:val="53"/>
                <w:szCs w:val="20"/>
                <w:shd w:val="solid" w:color="000000" w:fill="000000"/>
                <w:fitText w:val="330" w:id="-663580407"/>
                <w14:textFill>
                  <w14:solidFill>
                    <w14:srgbClr w14:val="000000">
                      <w14:alpha w14:val="100000"/>
                    </w14:srgbClr>
                  </w14:solidFill>
                </w14:textFill>
              </w:rPr>
              <w:t>|||</w:t>
            </w:r>
            <w:r w:rsidRPr="00EA4DFF">
              <w:rPr>
                <w:rFonts w:eastAsiaTheme="majorEastAsia" w:cstheme="majorBidi"/>
                <w:bCs/>
                <w:snapToGrid/>
                <w:color w:val="000000"/>
                <w:spacing w:val="1"/>
                <w:szCs w:val="20"/>
                <w:shd w:val="solid" w:color="000000" w:fill="000000"/>
                <w:fitText w:val="330" w:id="-663580407"/>
                <w14:textFill>
                  <w14:solidFill>
                    <w14:srgbClr w14:val="000000">
                      <w14:alpha w14:val="100000"/>
                    </w14:srgbClr>
                  </w14:solidFill>
                </w14:textFill>
              </w:rPr>
              <w:t>|</w:t>
            </w:r>
            <w:r w:rsidR="00EE7EA0" w:rsidRPr="00B63964">
              <w:rPr>
                <w:rFonts w:cstheme="minorHAnsi"/>
                <w:bCs/>
                <w:szCs w:val="20"/>
                <w:vertAlign w:val="superscript"/>
              </w:rPr>
              <w:t>1</w:t>
            </w:r>
          </w:p>
        </w:tc>
        <w:tc>
          <w:tcPr>
            <w:tcW w:w="547" w:type="pct"/>
            <w:vAlign w:val="center"/>
          </w:tcPr>
          <w:p w14:paraId="157EB598" w14:textId="26C5B341" w:rsidR="00F0527A" w:rsidRPr="00B63964" w:rsidRDefault="00EA4DFF" w:rsidP="00193DC9">
            <w:pPr>
              <w:pStyle w:val="Tabletext"/>
              <w:jc w:val="center"/>
              <w:rPr>
                <w:szCs w:val="20"/>
              </w:rPr>
            </w:pPr>
            <w:r w:rsidRPr="00EA4DFF">
              <w:rPr>
                <w:rFonts w:eastAsiaTheme="majorEastAsia" w:cstheme="majorBidi"/>
                <w:bCs/>
                <w:snapToGrid/>
                <w:color w:val="000000"/>
                <w:spacing w:val="53"/>
                <w:szCs w:val="20"/>
                <w:shd w:val="solid" w:color="000000" w:fill="000000"/>
                <w:fitText w:val="330" w:id="-663580406"/>
                <w14:textFill>
                  <w14:solidFill>
                    <w14:srgbClr w14:val="000000">
                      <w14:alpha w14:val="100000"/>
                    </w14:srgbClr>
                  </w14:solidFill>
                </w14:textFill>
              </w:rPr>
              <w:t>|||</w:t>
            </w:r>
            <w:r w:rsidRPr="00EA4DFF">
              <w:rPr>
                <w:rFonts w:eastAsiaTheme="majorEastAsia" w:cstheme="majorBidi"/>
                <w:bCs/>
                <w:snapToGrid/>
                <w:color w:val="000000"/>
                <w:spacing w:val="1"/>
                <w:szCs w:val="20"/>
                <w:shd w:val="solid" w:color="000000" w:fill="000000"/>
                <w:fitText w:val="330" w:id="-663580406"/>
                <w14:textFill>
                  <w14:solidFill>
                    <w14:srgbClr w14:val="000000">
                      <w14:alpha w14:val="100000"/>
                    </w14:srgbClr>
                  </w14:solidFill>
                </w14:textFill>
              </w:rPr>
              <w:t>|</w:t>
            </w:r>
            <w:r w:rsidR="00EE7EA0" w:rsidRPr="00B63964">
              <w:rPr>
                <w:rFonts w:cstheme="minorHAnsi"/>
                <w:bCs/>
                <w:szCs w:val="20"/>
                <w:vertAlign w:val="superscript"/>
              </w:rPr>
              <w:t>1</w:t>
            </w:r>
          </w:p>
        </w:tc>
        <w:tc>
          <w:tcPr>
            <w:tcW w:w="545" w:type="pct"/>
            <w:vAlign w:val="center"/>
          </w:tcPr>
          <w:p w14:paraId="39095686" w14:textId="5DA662E9" w:rsidR="00F0527A" w:rsidRPr="00B63964" w:rsidRDefault="00EA4DFF" w:rsidP="00193DC9">
            <w:pPr>
              <w:pStyle w:val="Tabletext"/>
              <w:jc w:val="center"/>
              <w:rPr>
                <w:szCs w:val="20"/>
              </w:rPr>
            </w:pPr>
            <w:r w:rsidRPr="00EA4DFF">
              <w:rPr>
                <w:rFonts w:eastAsiaTheme="majorEastAsia" w:cstheme="majorBidi"/>
                <w:bCs/>
                <w:snapToGrid/>
                <w:color w:val="000000"/>
                <w:spacing w:val="53"/>
                <w:szCs w:val="20"/>
                <w:shd w:val="solid" w:color="000000" w:fill="000000"/>
                <w:fitText w:val="330" w:id="-663580405"/>
                <w14:textFill>
                  <w14:solidFill>
                    <w14:srgbClr w14:val="000000">
                      <w14:alpha w14:val="100000"/>
                    </w14:srgbClr>
                  </w14:solidFill>
                </w14:textFill>
              </w:rPr>
              <w:t>|||</w:t>
            </w:r>
            <w:r w:rsidRPr="00EA4DFF">
              <w:rPr>
                <w:rFonts w:eastAsiaTheme="majorEastAsia" w:cstheme="majorBidi"/>
                <w:bCs/>
                <w:snapToGrid/>
                <w:color w:val="000000"/>
                <w:spacing w:val="1"/>
                <w:szCs w:val="20"/>
                <w:shd w:val="solid" w:color="000000" w:fill="000000"/>
                <w:fitText w:val="330" w:id="-663580405"/>
                <w14:textFill>
                  <w14:solidFill>
                    <w14:srgbClr w14:val="000000">
                      <w14:alpha w14:val="100000"/>
                    </w14:srgbClr>
                  </w14:solidFill>
                </w14:textFill>
              </w:rPr>
              <w:t>|</w:t>
            </w:r>
            <w:r w:rsidR="00EE7EA0" w:rsidRPr="00B63964">
              <w:rPr>
                <w:rFonts w:cstheme="minorHAnsi"/>
                <w:bCs/>
                <w:szCs w:val="20"/>
                <w:vertAlign w:val="superscript"/>
              </w:rPr>
              <w:t>1</w:t>
            </w:r>
          </w:p>
        </w:tc>
      </w:tr>
      <w:tr w:rsidR="000C6939" w:rsidRPr="0098262F" w14:paraId="1CEE4D09" w14:textId="77777777" w:rsidTr="0070341F">
        <w:trPr>
          <w:trHeight w:val="57"/>
        </w:trPr>
        <w:tc>
          <w:tcPr>
            <w:tcW w:w="1717" w:type="pct"/>
          </w:tcPr>
          <w:p w14:paraId="229A1EDF" w14:textId="59673D10" w:rsidR="000C6939" w:rsidRPr="0098262F" w:rsidRDefault="000C6939" w:rsidP="000C6939">
            <w:pPr>
              <w:pStyle w:val="TableText0"/>
              <w:rPr>
                <w:rFonts w:ascii="Times" w:hAnsi="Times"/>
              </w:rPr>
            </w:pPr>
            <w:r>
              <w:t>Total n</w:t>
            </w:r>
            <w:r w:rsidRPr="0098262F">
              <w:t xml:space="preserve">umber of scripts </w:t>
            </w:r>
            <w:r w:rsidR="00174AA7">
              <w:t xml:space="preserve">of CVR </w:t>
            </w:r>
            <w:r w:rsidRPr="0098262F">
              <w:t>dispensed</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D9F25C2" w14:textId="66AF45D2" w:rsidR="000C6939" w:rsidRPr="00B63964" w:rsidRDefault="00EA4DFF" w:rsidP="00193DC9">
            <w:pPr>
              <w:pStyle w:val="Tabletext"/>
              <w:jc w:val="center"/>
              <w:rPr>
                <w:szCs w:val="20"/>
              </w:rPr>
            </w:pPr>
            <w:r w:rsidRPr="00EA4DFF">
              <w:rPr>
                <w:rFonts w:eastAsiaTheme="majorEastAsia" w:cstheme="majorBidi"/>
                <w:bCs/>
                <w:snapToGrid/>
                <w:color w:val="000000"/>
                <w:spacing w:val="53"/>
                <w:szCs w:val="20"/>
                <w:shd w:val="solid" w:color="000000" w:fill="000000"/>
                <w:fitText w:val="330" w:id="-663580404"/>
                <w14:textFill>
                  <w14:solidFill>
                    <w14:srgbClr w14:val="000000">
                      <w14:alpha w14:val="100000"/>
                    </w14:srgbClr>
                  </w14:solidFill>
                </w14:textFill>
              </w:rPr>
              <w:t>|||</w:t>
            </w:r>
            <w:r w:rsidRPr="00EA4DFF">
              <w:rPr>
                <w:rFonts w:eastAsiaTheme="majorEastAsia" w:cstheme="majorBidi"/>
                <w:bCs/>
                <w:snapToGrid/>
                <w:color w:val="000000"/>
                <w:spacing w:val="1"/>
                <w:szCs w:val="20"/>
                <w:shd w:val="solid" w:color="000000" w:fill="000000"/>
                <w:fitText w:val="330" w:id="-663580404"/>
                <w14:textFill>
                  <w14:solidFill>
                    <w14:srgbClr w14:val="000000">
                      <w14:alpha w14:val="100000"/>
                    </w14:srgbClr>
                  </w14:solidFill>
                </w14:textFill>
              </w:rPr>
              <w:t>|</w:t>
            </w:r>
            <w:r w:rsidR="00016B72" w:rsidRPr="00B63964">
              <w:rPr>
                <w:rFonts w:cstheme="minorHAnsi"/>
                <w:bCs/>
                <w:szCs w:val="20"/>
                <w:vertAlign w:val="superscript"/>
              </w:rPr>
              <w:t>3</w:t>
            </w:r>
          </w:p>
        </w:tc>
        <w:tc>
          <w:tcPr>
            <w:tcW w:w="548" w:type="pct"/>
            <w:tcBorders>
              <w:top w:val="single" w:sz="4" w:space="0" w:color="auto"/>
              <w:left w:val="nil"/>
              <w:bottom w:val="single" w:sz="4" w:space="0" w:color="auto"/>
              <w:right w:val="single" w:sz="4" w:space="0" w:color="auto"/>
            </w:tcBorders>
            <w:shd w:val="clear" w:color="auto" w:fill="auto"/>
            <w:vAlign w:val="center"/>
          </w:tcPr>
          <w:p w14:paraId="2D7847AA" w14:textId="05BFCF31" w:rsidR="000C6939" w:rsidRPr="00B63964" w:rsidRDefault="00EA4DFF" w:rsidP="00193DC9">
            <w:pPr>
              <w:pStyle w:val="Tabletext"/>
              <w:jc w:val="center"/>
              <w:rPr>
                <w:szCs w:val="20"/>
              </w:rPr>
            </w:pPr>
            <w:r w:rsidRPr="00EA4DFF">
              <w:rPr>
                <w:rFonts w:eastAsiaTheme="majorEastAsia" w:cstheme="majorBidi"/>
                <w:bCs/>
                <w:snapToGrid/>
                <w:color w:val="000000"/>
                <w:spacing w:val="53"/>
                <w:szCs w:val="20"/>
                <w:shd w:val="solid" w:color="000000" w:fill="000000"/>
                <w:fitText w:val="330" w:id="-663580403"/>
                <w14:textFill>
                  <w14:solidFill>
                    <w14:srgbClr w14:val="000000">
                      <w14:alpha w14:val="100000"/>
                    </w14:srgbClr>
                  </w14:solidFill>
                </w14:textFill>
              </w:rPr>
              <w:t>|||</w:t>
            </w:r>
            <w:r w:rsidRPr="00EA4DFF">
              <w:rPr>
                <w:rFonts w:eastAsiaTheme="majorEastAsia" w:cstheme="majorBidi"/>
                <w:bCs/>
                <w:snapToGrid/>
                <w:color w:val="000000"/>
                <w:spacing w:val="1"/>
                <w:szCs w:val="20"/>
                <w:shd w:val="solid" w:color="000000" w:fill="000000"/>
                <w:fitText w:val="330" w:id="-663580403"/>
                <w14:textFill>
                  <w14:solidFill>
                    <w14:srgbClr w14:val="000000">
                      <w14:alpha w14:val="100000"/>
                    </w14:srgbClr>
                  </w14:solidFill>
                </w14:textFill>
              </w:rPr>
              <w:t>|</w:t>
            </w:r>
            <w:r w:rsidR="00016B72" w:rsidRPr="00B63964">
              <w:rPr>
                <w:rFonts w:cstheme="minorHAnsi"/>
                <w:bCs/>
                <w:szCs w:val="20"/>
                <w:vertAlign w:val="superscript"/>
              </w:rPr>
              <w:t>3</w:t>
            </w:r>
          </w:p>
        </w:tc>
        <w:tc>
          <w:tcPr>
            <w:tcW w:w="548" w:type="pct"/>
            <w:tcBorders>
              <w:top w:val="single" w:sz="4" w:space="0" w:color="auto"/>
              <w:left w:val="nil"/>
              <w:bottom w:val="single" w:sz="4" w:space="0" w:color="auto"/>
              <w:right w:val="single" w:sz="4" w:space="0" w:color="auto"/>
            </w:tcBorders>
            <w:shd w:val="clear" w:color="auto" w:fill="auto"/>
            <w:vAlign w:val="center"/>
          </w:tcPr>
          <w:p w14:paraId="7A620378" w14:textId="29C1E557" w:rsidR="000C6939" w:rsidRPr="00B63964" w:rsidRDefault="00EA4DFF" w:rsidP="00193DC9">
            <w:pPr>
              <w:pStyle w:val="Tabletext"/>
              <w:jc w:val="center"/>
              <w:rPr>
                <w:szCs w:val="20"/>
              </w:rPr>
            </w:pPr>
            <w:r w:rsidRPr="00EA4DFF">
              <w:rPr>
                <w:rFonts w:eastAsiaTheme="majorEastAsia" w:cstheme="majorBidi"/>
                <w:bCs/>
                <w:snapToGrid/>
                <w:color w:val="000000"/>
                <w:spacing w:val="53"/>
                <w:szCs w:val="20"/>
                <w:shd w:val="solid" w:color="000000" w:fill="000000"/>
                <w:fitText w:val="330" w:id="-663580402"/>
                <w14:textFill>
                  <w14:solidFill>
                    <w14:srgbClr w14:val="000000">
                      <w14:alpha w14:val="100000"/>
                    </w14:srgbClr>
                  </w14:solidFill>
                </w14:textFill>
              </w:rPr>
              <w:t>|||</w:t>
            </w:r>
            <w:r w:rsidRPr="00EA4DFF">
              <w:rPr>
                <w:rFonts w:eastAsiaTheme="majorEastAsia" w:cstheme="majorBidi"/>
                <w:bCs/>
                <w:snapToGrid/>
                <w:color w:val="000000"/>
                <w:spacing w:val="1"/>
                <w:szCs w:val="20"/>
                <w:shd w:val="solid" w:color="000000" w:fill="000000"/>
                <w:fitText w:val="330" w:id="-663580402"/>
                <w14:textFill>
                  <w14:solidFill>
                    <w14:srgbClr w14:val="000000">
                      <w14:alpha w14:val="100000"/>
                    </w14:srgbClr>
                  </w14:solidFill>
                </w14:textFill>
              </w:rPr>
              <w:t>|</w:t>
            </w:r>
            <w:r w:rsidR="00D32DDC" w:rsidRPr="00B63964">
              <w:rPr>
                <w:rFonts w:cstheme="minorHAnsi"/>
                <w:szCs w:val="20"/>
                <w:vertAlign w:val="superscript"/>
              </w:rPr>
              <w:t>4</w:t>
            </w:r>
          </w:p>
        </w:tc>
        <w:tc>
          <w:tcPr>
            <w:tcW w:w="547" w:type="pct"/>
            <w:tcBorders>
              <w:top w:val="single" w:sz="4" w:space="0" w:color="auto"/>
              <w:left w:val="nil"/>
              <w:bottom w:val="single" w:sz="4" w:space="0" w:color="auto"/>
              <w:right w:val="single" w:sz="4" w:space="0" w:color="auto"/>
            </w:tcBorders>
            <w:shd w:val="clear" w:color="auto" w:fill="auto"/>
            <w:vAlign w:val="center"/>
          </w:tcPr>
          <w:p w14:paraId="1D2C1413" w14:textId="3ACEE6D4" w:rsidR="000C6939" w:rsidRPr="00B63964" w:rsidRDefault="00EA4DFF" w:rsidP="00193DC9">
            <w:pPr>
              <w:pStyle w:val="Tabletext"/>
              <w:jc w:val="center"/>
              <w:rPr>
                <w:szCs w:val="20"/>
              </w:rPr>
            </w:pPr>
            <w:r w:rsidRPr="00EA4DFF">
              <w:rPr>
                <w:rFonts w:eastAsiaTheme="majorEastAsia" w:cstheme="majorBidi"/>
                <w:bCs/>
                <w:snapToGrid/>
                <w:color w:val="000000"/>
                <w:spacing w:val="53"/>
                <w:szCs w:val="20"/>
                <w:shd w:val="solid" w:color="000000" w:fill="000000"/>
                <w:fitText w:val="330" w:id="-663580401"/>
                <w14:textFill>
                  <w14:solidFill>
                    <w14:srgbClr w14:val="000000">
                      <w14:alpha w14:val="100000"/>
                    </w14:srgbClr>
                  </w14:solidFill>
                </w14:textFill>
              </w:rPr>
              <w:t>|||</w:t>
            </w:r>
            <w:r w:rsidRPr="00EA4DFF">
              <w:rPr>
                <w:rFonts w:eastAsiaTheme="majorEastAsia" w:cstheme="majorBidi"/>
                <w:bCs/>
                <w:snapToGrid/>
                <w:color w:val="000000"/>
                <w:spacing w:val="1"/>
                <w:szCs w:val="20"/>
                <w:shd w:val="solid" w:color="000000" w:fill="000000"/>
                <w:fitText w:val="330" w:id="-663580401"/>
                <w14:textFill>
                  <w14:solidFill>
                    <w14:srgbClr w14:val="000000">
                      <w14:alpha w14:val="100000"/>
                    </w14:srgbClr>
                  </w14:solidFill>
                </w14:textFill>
              </w:rPr>
              <w:t>|</w:t>
            </w:r>
            <w:r w:rsidR="00D32DDC" w:rsidRPr="00B63964">
              <w:rPr>
                <w:rFonts w:cstheme="minorHAnsi"/>
                <w:szCs w:val="20"/>
                <w:vertAlign w:val="superscript"/>
              </w:rPr>
              <w:t>4</w:t>
            </w:r>
          </w:p>
        </w:tc>
        <w:tc>
          <w:tcPr>
            <w:tcW w:w="547" w:type="pct"/>
            <w:tcBorders>
              <w:top w:val="single" w:sz="4" w:space="0" w:color="auto"/>
              <w:left w:val="nil"/>
              <w:bottom w:val="single" w:sz="4" w:space="0" w:color="auto"/>
              <w:right w:val="single" w:sz="4" w:space="0" w:color="auto"/>
            </w:tcBorders>
            <w:shd w:val="clear" w:color="auto" w:fill="auto"/>
            <w:vAlign w:val="center"/>
          </w:tcPr>
          <w:p w14:paraId="3F0ACB95" w14:textId="56253888" w:rsidR="000C6939" w:rsidRPr="00B63964" w:rsidRDefault="00EA4DFF" w:rsidP="00193DC9">
            <w:pPr>
              <w:pStyle w:val="Tabletext"/>
              <w:jc w:val="center"/>
              <w:rPr>
                <w:szCs w:val="20"/>
              </w:rPr>
            </w:pPr>
            <w:r w:rsidRPr="00EA4DFF">
              <w:rPr>
                <w:rFonts w:eastAsiaTheme="majorEastAsia" w:cstheme="majorBidi"/>
                <w:bCs/>
                <w:snapToGrid/>
                <w:color w:val="000000"/>
                <w:spacing w:val="53"/>
                <w:szCs w:val="20"/>
                <w:shd w:val="solid" w:color="000000" w:fill="000000"/>
                <w:fitText w:val="330" w:id="-663580400"/>
                <w14:textFill>
                  <w14:solidFill>
                    <w14:srgbClr w14:val="000000">
                      <w14:alpha w14:val="100000"/>
                    </w14:srgbClr>
                  </w14:solidFill>
                </w14:textFill>
              </w:rPr>
              <w:t>|||</w:t>
            </w:r>
            <w:r w:rsidRPr="00EA4DFF">
              <w:rPr>
                <w:rFonts w:eastAsiaTheme="majorEastAsia" w:cstheme="majorBidi"/>
                <w:bCs/>
                <w:snapToGrid/>
                <w:color w:val="000000"/>
                <w:spacing w:val="1"/>
                <w:szCs w:val="20"/>
                <w:shd w:val="solid" w:color="000000" w:fill="000000"/>
                <w:fitText w:val="330" w:id="-663580400"/>
                <w14:textFill>
                  <w14:solidFill>
                    <w14:srgbClr w14:val="000000">
                      <w14:alpha w14:val="100000"/>
                    </w14:srgbClr>
                  </w14:solidFill>
                </w14:textFill>
              </w:rPr>
              <w:t>|</w:t>
            </w:r>
            <w:r w:rsidR="00260F16" w:rsidRPr="00B63964">
              <w:rPr>
                <w:rFonts w:cstheme="minorHAnsi"/>
                <w:szCs w:val="20"/>
                <w:vertAlign w:val="superscript"/>
              </w:rPr>
              <w:t>5</w:t>
            </w:r>
          </w:p>
        </w:tc>
        <w:tc>
          <w:tcPr>
            <w:tcW w:w="545" w:type="pct"/>
            <w:tcBorders>
              <w:top w:val="single" w:sz="4" w:space="0" w:color="auto"/>
              <w:left w:val="nil"/>
              <w:bottom w:val="single" w:sz="4" w:space="0" w:color="auto"/>
              <w:right w:val="single" w:sz="4" w:space="0" w:color="auto"/>
            </w:tcBorders>
            <w:shd w:val="clear" w:color="auto" w:fill="auto"/>
            <w:vAlign w:val="center"/>
          </w:tcPr>
          <w:p w14:paraId="1C30F331" w14:textId="5FEE3E69" w:rsidR="000C6939" w:rsidRPr="00B63964" w:rsidRDefault="00EA4DFF" w:rsidP="00193DC9">
            <w:pPr>
              <w:pStyle w:val="Tabletext"/>
              <w:jc w:val="center"/>
              <w:rPr>
                <w:szCs w:val="20"/>
              </w:rPr>
            </w:pPr>
            <w:r w:rsidRPr="00EA4DFF">
              <w:rPr>
                <w:rFonts w:eastAsiaTheme="majorEastAsia" w:cstheme="majorBidi"/>
                <w:bCs/>
                <w:snapToGrid/>
                <w:color w:val="000000"/>
                <w:spacing w:val="53"/>
                <w:szCs w:val="20"/>
                <w:shd w:val="solid" w:color="000000" w:fill="000000"/>
                <w:fitText w:val="330" w:id="-663580416"/>
                <w14:textFill>
                  <w14:solidFill>
                    <w14:srgbClr w14:val="000000">
                      <w14:alpha w14:val="100000"/>
                    </w14:srgbClr>
                  </w14:solidFill>
                </w14:textFill>
              </w:rPr>
              <w:t>|||</w:t>
            </w:r>
            <w:r w:rsidRPr="00EA4DFF">
              <w:rPr>
                <w:rFonts w:eastAsiaTheme="majorEastAsia" w:cstheme="majorBidi"/>
                <w:bCs/>
                <w:snapToGrid/>
                <w:color w:val="000000"/>
                <w:spacing w:val="1"/>
                <w:szCs w:val="20"/>
                <w:shd w:val="solid" w:color="000000" w:fill="000000"/>
                <w:fitText w:val="330" w:id="-663580416"/>
                <w14:textFill>
                  <w14:solidFill>
                    <w14:srgbClr w14:val="000000">
                      <w14:alpha w14:val="100000"/>
                    </w14:srgbClr>
                  </w14:solidFill>
                </w14:textFill>
              </w:rPr>
              <w:t>|</w:t>
            </w:r>
            <w:r w:rsidR="00260F16" w:rsidRPr="00B63964">
              <w:rPr>
                <w:rFonts w:cstheme="minorHAnsi"/>
                <w:szCs w:val="20"/>
                <w:vertAlign w:val="superscript"/>
              </w:rPr>
              <w:t>5</w:t>
            </w:r>
          </w:p>
        </w:tc>
      </w:tr>
      <w:tr w:rsidR="000C6939" w:rsidRPr="0098262F" w14:paraId="1E699D47" w14:textId="77777777" w:rsidTr="0070341F">
        <w:trPr>
          <w:trHeight w:val="57"/>
        </w:trPr>
        <w:tc>
          <w:tcPr>
            <w:tcW w:w="5000" w:type="pct"/>
            <w:gridSpan w:val="7"/>
          </w:tcPr>
          <w:p w14:paraId="7D0E0884" w14:textId="66813BBE" w:rsidR="000C6939" w:rsidRPr="0098262F" w:rsidRDefault="000C6939" w:rsidP="000C6939">
            <w:pPr>
              <w:pStyle w:val="In-tableHeading"/>
              <w:rPr>
                <w:lang w:val="en-AU"/>
              </w:rPr>
            </w:pPr>
            <w:r w:rsidRPr="0098262F">
              <w:rPr>
                <w:lang w:val="en-AU"/>
              </w:rPr>
              <w:t>Estimated financial implications o</w:t>
            </w:r>
            <w:r>
              <w:rPr>
                <w:lang w:val="en-AU"/>
              </w:rPr>
              <w:t>f NuvaRing</w:t>
            </w:r>
          </w:p>
        </w:tc>
      </w:tr>
      <w:tr w:rsidR="000C6939" w:rsidRPr="0098262F" w14:paraId="4B4ACF1A" w14:textId="77777777" w:rsidTr="0070341F">
        <w:trPr>
          <w:trHeight w:val="57"/>
        </w:trPr>
        <w:tc>
          <w:tcPr>
            <w:tcW w:w="1717" w:type="pct"/>
          </w:tcPr>
          <w:p w14:paraId="467993BD" w14:textId="618A57F1" w:rsidR="000C6939" w:rsidRPr="0098262F" w:rsidRDefault="000C6939" w:rsidP="000C6939">
            <w:pPr>
              <w:pStyle w:val="TableText0"/>
              <w:rPr>
                <w:sz w:val="19"/>
                <w:szCs w:val="19"/>
              </w:rPr>
            </w:pPr>
            <w:r w:rsidRPr="0098262F">
              <w:rPr>
                <w:sz w:val="19"/>
                <w:szCs w:val="19"/>
              </w:rPr>
              <w:t>Cost to PBS/RPBS less copayments</w:t>
            </w:r>
          </w:p>
        </w:tc>
        <w:tc>
          <w:tcPr>
            <w:tcW w:w="548" w:type="pct"/>
            <w:vAlign w:val="center"/>
          </w:tcPr>
          <w:p w14:paraId="4125A2B6" w14:textId="1264042A" w:rsidR="000C6939" w:rsidRPr="009E2A90" w:rsidRDefault="000C6939" w:rsidP="00193DC9">
            <w:pPr>
              <w:pStyle w:val="TableText0"/>
              <w:jc w:val="center"/>
              <w:rPr>
                <w:szCs w:val="20"/>
              </w:rPr>
            </w:pPr>
            <w:r w:rsidRPr="009E2A90">
              <w:rPr>
                <w:szCs w:val="20"/>
              </w:rPr>
              <w:t>$</w:t>
            </w:r>
            <w:r w:rsidR="00EA4DFF" w:rsidRPr="00EA4DFF">
              <w:rPr>
                <w:color w:val="000000"/>
                <w:spacing w:val="49"/>
                <w:szCs w:val="20"/>
                <w:shd w:val="solid" w:color="000000" w:fill="000000"/>
                <w:fitText w:val="320" w:id="-663580415"/>
                <w14:textFill>
                  <w14:solidFill>
                    <w14:srgbClr w14:val="000000">
                      <w14:alpha w14:val="100000"/>
                    </w14:srgbClr>
                  </w14:solidFill>
                </w14:textFill>
              </w:rPr>
              <w:t>|||</w:t>
            </w:r>
            <w:r w:rsidR="00EA4DFF" w:rsidRPr="00EA4DFF">
              <w:rPr>
                <w:color w:val="000000"/>
                <w:spacing w:val="3"/>
                <w:szCs w:val="20"/>
                <w:shd w:val="solid" w:color="000000" w:fill="000000"/>
                <w:fitText w:val="320" w:id="-663580415"/>
                <w14:textFill>
                  <w14:solidFill>
                    <w14:srgbClr w14:val="000000">
                      <w14:alpha w14:val="100000"/>
                    </w14:srgbClr>
                  </w14:solidFill>
                </w14:textFill>
              </w:rPr>
              <w:t>|</w:t>
            </w:r>
            <w:r w:rsidR="00B84D70" w:rsidRPr="009E2A90">
              <w:rPr>
                <w:rFonts w:eastAsia="Times New Roman" w:cstheme="minorHAnsi"/>
                <w:b/>
                <w:szCs w:val="20"/>
                <w:vertAlign w:val="superscript"/>
              </w:rPr>
              <w:t>6</w:t>
            </w:r>
          </w:p>
        </w:tc>
        <w:tc>
          <w:tcPr>
            <w:tcW w:w="548" w:type="pct"/>
            <w:vAlign w:val="center"/>
          </w:tcPr>
          <w:p w14:paraId="5BDFECEB" w14:textId="0351054F" w:rsidR="000C6939" w:rsidRPr="009E2A90" w:rsidRDefault="000C6939" w:rsidP="00193DC9">
            <w:pPr>
              <w:pStyle w:val="TableText0"/>
              <w:jc w:val="center"/>
              <w:rPr>
                <w:szCs w:val="20"/>
              </w:rPr>
            </w:pPr>
            <w:r w:rsidRPr="009E2A90">
              <w:rPr>
                <w:szCs w:val="20"/>
              </w:rPr>
              <w:t>$</w:t>
            </w:r>
            <w:r w:rsidR="00EA4DFF" w:rsidRPr="00EA4DFF">
              <w:rPr>
                <w:color w:val="000000"/>
                <w:spacing w:val="49"/>
                <w:szCs w:val="20"/>
                <w:shd w:val="solid" w:color="000000" w:fill="000000"/>
                <w:fitText w:val="320" w:id="-663580414"/>
                <w14:textFill>
                  <w14:solidFill>
                    <w14:srgbClr w14:val="000000">
                      <w14:alpha w14:val="100000"/>
                    </w14:srgbClr>
                  </w14:solidFill>
                </w14:textFill>
              </w:rPr>
              <w:t>|||</w:t>
            </w:r>
            <w:r w:rsidR="00EA4DFF" w:rsidRPr="00EA4DFF">
              <w:rPr>
                <w:color w:val="000000"/>
                <w:spacing w:val="3"/>
                <w:szCs w:val="20"/>
                <w:shd w:val="solid" w:color="000000" w:fill="000000"/>
                <w:fitText w:val="320" w:id="-663580414"/>
                <w14:textFill>
                  <w14:solidFill>
                    <w14:srgbClr w14:val="000000">
                      <w14:alpha w14:val="100000"/>
                    </w14:srgbClr>
                  </w14:solidFill>
                </w14:textFill>
              </w:rPr>
              <w:t>|</w:t>
            </w:r>
            <w:r w:rsidR="00B84D70" w:rsidRPr="009E2A90">
              <w:rPr>
                <w:rFonts w:eastAsia="Times New Roman" w:cstheme="minorHAnsi"/>
                <w:b/>
                <w:szCs w:val="20"/>
                <w:vertAlign w:val="superscript"/>
              </w:rPr>
              <w:t>6</w:t>
            </w:r>
          </w:p>
        </w:tc>
        <w:tc>
          <w:tcPr>
            <w:tcW w:w="548" w:type="pct"/>
            <w:vAlign w:val="center"/>
          </w:tcPr>
          <w:p w14:paraId="3890D42E" w14:textId="7D0C66A2" w:rsidR="000C6939" w:rsidRPr="009E2A90" w:rsidRDefault="000C6939" w:rsidP="00193DC9">
            <w:pPr>
              <w:pStyle w:val="TableText0"/>
              <w:jc w:val="center"/>
              <w:rPr>
                <w:szCs w:val="20"/>
              </w:rPr>
            </w:pPr>
            <w:r w:rsidRPr="009E2A90">
              <w:rPr>
                <w:szCs w:val="20"/>
              </w:rPr>
              <w:t>$</w:t>
            </w:r>
            <w:r w:rsidR="00EA4DFF" w:rsidRPr="00EA4DFF">
              <w:rPr>
                <w:color w:val="000000"/>
                <w:spacing w:val="49"/>
                <w:szCs w:val="20"/>
                <w:shd w:val="solid" w:color="000000" w:fill="000000"/>
                <w:fitText w:val="320" w:id="-663580413"/>
                <w14:textFill>
                  <w14:solidFill>
                    <w14:srgbClr w14:val="000000">
                      <w14:alpha w14:val="100000"/>
                    </w14:srgbClr>
                  </w14:solidFill>
                </w14:textFill>
              </w:rPr>
              <w:t>|||</w:t>
            </w:r>
            <w:r w:rsidR="00EA4DFF" w:rsidRPr="00EA4DFF">
              <w:rPr>
                <w:color w:val="000000"/>
                <w:spacing w:val="3"/>
                <w:szCs w:val="20"/>
                <w:shd w:val="solid" w:color="000000" w:fill="000000"/>
                <w:fitText w:val="320" w:id="-663580413"/>
                <w14:textFill>
                  <w14:solidFill>
                    <w14:srgbClr w14:val="000000">
                      <w14:alpha w14:val="100000"/>
                    </w14:srgbClr>
                  </w14:solidFill>
                </w14:textFill>
              </w:rPr>
              <w:t>|</w:t>
            </w:r>
            <w:r w:rsidR="00B84D70" w:rsidRPr="009E2A90">
              <w:rPr>
                <w:rFonts w:eastAsia="Times New Roman" w:cstheme="minorHAnsi"/>
                <w:b/>
                <w:szCs w:val="20"/>
                <w:vertAlign w:val="superscript"/>
              </w:rPr>
              <w:t>6</w:t>
            </w:r>
          </w:p>
        </w:tc>
        <w:tc>
          <w:tcPr>
            <w:tcW w:w="547" w:type="pct"/>
            <w:vAlign w:val="center"/>
          </w:tcPr>
          <w:p w14:paraId="2728B643" w14:textId="5A94DD1B" w:rsidR="000C6939" w:rsidRPr="009E2A90" w:rsidRDefault="000C6939" w:rsidP="00193DC9">
            <w:pPr>
              <w:pStyle w:val="TableText0"/>
              <w:jc w:val="center"/>
              <w:rPr>
                <w:szCs w:val="20"/>
              </w:rPr>
            </w:pPr>
            <w:r w:rsidRPr="009E2A90">
              <w:rPr>
                <w:szCs w:val="20"/>
              </w:rPr>
              <w:t>$</w:t>
            </w:r>
            <w:r w:rsidR="00EA4DFF" w:rsidRPr="00EA4DFF">
              <w:rPr>
                <w:color w:val="000000"/>
                <w:spacing w:val="53"/>
                <w:szCs w:val="20"/>
                <w:shd w:val="solid" w:color="000000" w:fill="000000"/>
                <w:fitText w:val="330" w:id="-663580412"/>
                <w14:textFill>
                  <w14:solidFill>
                    <w14:srgbClr w14:val="000000">
                      <w14:alpha w14:val="100000"/>
                    </w14:srgbClr>
                  </w14:solidFill>
                </w14:textFill>
              </w:rPr>
              <w:t>|||</w:t>
            </w:r>
            <w:r w:rsidR="00EA4DFF" w:rsidRPr="00EA4DFF">
              <w:rPr>
                <w:color w:val="000000"/>
                <w:spacing w:val="1"/>
                <w:szCs w:val="20"/>
                <w:shd w:val="solid" w:color="000000" w:fill="000000"/>
                <w:fitText w:val="330" w:id="-663580412"/>
                <w14:textFill>
                  <w14:solidFill>
                    <w14:srgbClr w14:val="000000">
                      <w14:alpha w14:val="100000"/>
                    </w14:srgbClr>
                  </w14:solidFill>
                </w14:textFill>
              </w:rPr>
              <w:t>|</w:t>
            </w:r>
            <w:r w:rsidR="00B84D70" w:rsidRPr="009E2A90">
              <w:rPr>
                <w:rFonts w:eastAsia="Times New Roman" w:cstheme="minorHAnsi"/>
                <w:b/>
                <w:szCs w:val="20"/>
                <w:vertAlign w:val="superscript"/>
              </w:rPr>
              <w:t>6</w:t>
            </w:r>
          </w:p>
        </w:tc>
        <w:tc>
          <w:tcPr>
            <w:tcW w:w="547" w:type="pct"/>
            <w:vAlign w:val="center"/>
          </w:tcPr>
          <w:p w14:paraId="5FE5021A" w14:textId="15BF3543" w:rsidR="000C6939" w:rsidRPr="009E2A90" w:rsidRDefault="000C6939" w:rsidP="00193DC9">
            <w:pPr>
              <w:pStyle w:val="TableText0"/>
              <w:jc w:val="center"/>
              <w:rPr>
                <w:szCs w:val="20"/>
              </w:rPr>
            </w:pPr>
            <w:r w:rsidRPr="009E2A90">
              <w:rPr>
                <w:szCs w:val="20"/>
              </w:rPr>
              <w:t>$</w:t>
            </w:r>
            <w:r w:rsidR="00EA4DFF" w:rsidRPr="00EA4DFF">
              <w:rPr>
                <w:color w:val="000000"/>
                <w:spacing w:val="53"/>
                <w:szCs w:val="20"/>
                <w:shd w:val="solid" w:color="000000" w:fill="000000"/>
                <w:fitText w:val="330" w:id="-663580411"/>
                <w14:textFill>
                  <w14:solidFill>
                    <w14:srgbClr w14:val="000000">
                      <w14:alpha w14:val="100000"/>
                    </w14:srgbClr>
                  </w14:solidFill>
                </w14:textFill>
              </w:rPr>
              <w:t>|||</w:t>
            </w:r>
            <w:r w:rsidR="00EA4DFF" w:rsidRPr="00EA4DFF">
              <w:rPr>
                <w:color w:val="000000"/>
                <w:spacing w:val="1"/>
                <w:szCs w:val="20"/>
                <w:shd w:val="solid" w:color="000000" w:fill="000000"/>
                <w:fitText w:val="330" w:id="-663580411"/>
                <w14:textFill>
                  <w14:solidFill>
                    <w14:srgbClr w14:val="000000">
                      <w14:alpha w14:val="100000"/>
                    </w14:srgbClr>
                  </w14:solidFill>
                </w14:textFill>
              </w:rPr>
              <w:t>|</w:t>
            </w:r>
            <w:r w:rsidR="00B84D70" w:rsidRPr="009E2A90">
              <w:rPr>
                <w:rFonts w:eastAsia="Times New Roman" w:cstheme="minorHAnsi"/>
                <w:b/>
                <w:szCs w:val="20"/>
                <w:vertAlign w:val="superscript"/>
              </w:rPr>
              <w:t>6</w:t>
            </w:r>
          </w:p>
        </w:tc>
        <w:tc>
          <w:tcPr>
            <w:tcW w:w="545" w:type="pct"/>
            <w:vAlign w:val="center"/>
          </w:tcPr>
          <w:p w14:paraId="6F8E9082" w14:textId="73ADB606" w:rsidR="000C6939" w:rsidRPr="009E2A90" w:rsidRDefault="000C6939" w:rsidP="00193DC9">
            <w:pPr>
              <w:pStyle w:val="TableText0"/>
              <w:jc w:val="center"/>
              <w:rPr>
                <w:szCs w:val="20"/>
              </w:rPr>
            </w:pPr>
            <w:r w:rsidRPr="009E2A90">
              <w:rPr>
                <w:szCs w:val="20"/>
              </w:rPr>
              <w:t>$</w:t>
            </w:r>
            <w:r w:rsidR="00EA4DFF" w:rsidRPr="00EA4DFF">
              <w:rPr>
                <w:color w:val="000000"/>
                <w:spacing w:val="53"/>
                <w:szCs w:val="20"/>
                <w:shd w:val="solid" w:color="000000" w:fill="000000"/>
                <w:fitText w:val="330" w:id="-663580410"/>
                <w14:textFill>
                  <w14:solidFill>
                    <w14:srgbClr w14:val="000000">
                      <w14:alpha w14:val="100000"/>
                    </w14:srgbClr>
                  </w14:solidFill>
                </w14:textFill>
              </w:rPr>
              <w:t>|||</w:t>
            </w:r>
            <w:r w:rsidR="00EA4DFF" w:rsidRPr="00EA4DFF">
              <w:rPr>
                <w:color w:val="000000"/>
                <w:spacing w:val="1"/>
                <w:szCs w:val="20"/>
                <w:shd w:val="solid" w:color="000000" w:fill="000000"/>
                <w:fitText w:val="330" w:id="-663580410"/>
                <w14:textFill>
                  <w14:solidFill>
                    <w14:srgbClr w14:val="000000">
                      <w14:alpha w14:val="100000"/>
                    </w14:srgbClr>
                  </w14:solidFill>
                </w14:textFill>
              </w:rPr>
              <w:t>|</w:t>
            </w:r>
            <w:r w:rsidR="00B84D70" w:rsidRPr="009E2A90">
              <w:rPr>
                <w:rFonts w:eastAsia="Times New Roman" w:cstheme="minorHAnsi"/>
                <w:b/>
                <w:szCs w:val="20"/>
                <w:vertAlign w:val="superscript"/>
              </w:rPr>
              <w:t>6</w:t>
            </w:r>
          </w:p>
        </w:tc>
      </w:tr>
      <w:tr w:rsidR="000C6939" w:rsidRPr="0098262F" w14:paraId="344AC0E2" w14:textId="77777777" w:rsidTr="0070341F">
        <w:trPr>
          <w:trHeight w:val="57"/>
        </w:trPr>
        <w:tc>
          <w:tcPr>
            <w:tcW w:w="5000" w:type="pct"/>
            <w:gridSpan w:val="7"/>
          </w:tcPr>
          <w:p w14:paraId="0FF7E64D" w14:textId="77898803" w:rsidR="000C6939" w:rsidRPr="00984BB3" w:rsidRDefault="000C6939" w:rsidP="000C6939">
            <w:pPr>
              <w:pStyle w:val="TableText0"/>
              <w:rPr>
                <w:b/>
                <w:bCs w:val="0"/>
              </w:rPr>
            </w:pPr>
            <w:r w:rsidRPr="00984BB3">
              <w:rPr>
                <w:b/>
                <w:bCs w:val="0"/>
              </w:rPr>
              <w:t xml:space="preserve">Estimated financial implications for </w:t>
            </w:r>
            <w:r w:rsidR="00650313" w:rsidRPr="00984BB3">
              <w:rPr>
                <w:b/>
                <w:bCs w:val="0"/>
              </w:rPr>
              <w:t>DMPA</w:t>
            </w:r>
            <w:r w:rsidRPr="00984BB3">
              <w:rPr>
                <w:b/>
                <w:bCs w:val="0"/>
              </w:rPr>
              <w:t xml:space="preserve"> and other OCs</w:t>
            </w:r>
          </w:p>
        </w:tc>
      </w:tr>
      <w:tr w:rsidR="000C6939" w:rsidRPr="0098262F" w14:paraId="0CE077D9" w14:textId="77777777" w:rsidTr="0070341F">
        <w:trPr>
          <w:trHeight w:val="57"/>
        </w:trPr>
        <w:tc>
          <w:tcPr>
            <w:tcW w:w="1717" w:type="pct"/>
          </w:tcPr>
          <w:p w14:paraId="40F6A2C5" w14:textId="135CB323" w:rsidR="000C6939" w:rsidRPr="0098262F" w:rsidRDefault="000C6939" w:rsidP="000C6939">
            <w:pPr>
              <w:pStyle w:val="TableText0"/>
              <w:rPr>
                <w:sz w:val="19"/>
                <w:szCs w:val="19"/>
              </w:rPr>
            </w:pPr>
            <w:r w:rsidRPr="0098262F">
              <w:rPr>
                <w:sz w:val="19"/>
                <w:szCs w:val="19"/>
              </w:rPr>
              <w:t>Cost to PBS/RPBS less copayments</w:t>
            </w:r>
          </w:p>
        </w:tc>
        <w:tc>
          <w:tcPr>
            <w:tcW w:w="548" w:type="pct"/>
            <w:vAlign w:val="center"/>
          </w:tcPr>
          <w:p w14:paraId="50CF2446" w14:textId="7BC061FA" w:rsidR="000C6939" w:rsidRPr="009E2A90" w:rsidRDefault="000C6939" w:rsidP="00193DC9">
            <w:pPr>
              <w:pStyle w:val="TableText0"/>
              <w:jc w:val="center"/>
              <w:rPr>
                <w:bCs w:val="0"/>
                <w:szCs w:val="20"/>
              </w:rPr>
            </w:pPr>
            <w:r w:rsidRPr="009E2A90">
              <w:rPr>
                <w:bCs w:val="0"/>
                <w:szCs w:val="20"/>
              </w:rPr>
              <w:t>-$</w:t>
            </w:r>
            <w:r w:rsidR="00EA4DFF" w:rsidRPr="00EA4DFF">
              <w:rPr>
                <w:bCs w:val="0"/>
                <w:color w:val="000000"/>
                <w:spacing w:val="53"/>
                <w:szCs w:val="20"/>
                <w:shd w:val="solid" w:color="000000" w:fill="000000"/>
                <w:fitText w:val="330" w:id="-663580409"/>
                <w14:textFill>
                  <w14:solidFill>
                    <w14:srgbClr w14:val="000000">
                      <w14:alpha w14:val="100000"/>
                    </w14:srgbClr>
                  </w14:solidFill>
                </w14:textFill>
              </w:rPr>
              <w:t>|||</w:t>
            </w:r>
            <w:r w:rsidR="00EA4DFF" w:rsidRPr="00EA4DFF">
              <w:rPr>
                <w:bCs w:val="0"/>
                <w:color w:val="000000"/>
                <w:spacing w:val="1"/>
                <w:szCs w:val="20"/>
                <w:shd w:val="solid" w:color="000000" w:fill="000000"/>
                <w:fitText w:val="330" w:id="-663580409"/>
                <w14:textFill>
                  <w14:solidFill>
                    <w14:srgbClr w14:val="000000">
                      <w14:alpha w14:val="100000"/>
                    </w14:srgbClr>
                  </w14:solidFill>
                </w14:textFill>
              </w:rPr>
              <w:t>|</w:t>
            </w:r>
            <w:r w:rsidR="00FC24CA" w:rsidRPr="009E2A90">
              <w:rPr>
                <w:rFonts w:cstheme="minorHAnsi"/>
                <w:szCs w:val="20"/>
                <w:vertAlign w:val="superscript"/>
              </w:rPr>
              <w:t>7</w:t>
            </w:r>
          </w:p>
        </w:tc>
        <w:tc>
          <w:tcPr>
            <w:tcW w:w="548" w:type="pct"/>
            <w:vAlign w:val="center"/>
          </w:tcPr>
          <w:p w14:paraId="35AF80ED" w14:textId="635BC389" w:rsidR="000C6939" w:rsidRPr="009E2A90" w:rsidRDefault="000C6939" w:rsidP="00193DC9">
            <w:pPr>
              <w:pStyle w:val="TableText0"/>
              <w:jc w:val="center"/>
              <w:rPr>
                <w:bCs w:val="0"/>
                <w:szCs w:val="20"/>
              </w:rPr>
            </w:pPr>
            <w:r w:rsidRPr="009E2A90">
              <w:rPr>
                <w:bCs w:val="0"/>
                <w:szCs w:val="20"/>
              </w:rPr>
              <w:t>-$</w:t>
            </w:r>
            <w:r w:rsidR="00EA4DFF" w:rsidRPr="00EA4DFF">
              <w:rPr>
                <w:bCs w:val="0"/>
                <w:color w:val="000000"/>
                <w:spacing w:val="53"/>
                <w:szCs w:val="20"/>
                <w:shd w:val="solid" w:color="000000" w:fill="000000"/>
                <w:fitText w:val="330" w:id="-663580408"/>
                <w14:textFill>
                  <w14:solidFill>
                    <w14:srgbClr w14:val="000000">
                      <w14:alpha w14:val="100000"/>
                    </w14:srgbClr>
                  </w14:solidFill>
                </w14:textFill>
              </w:rPr>
              <w:t>|||</w:t>
            </w:r>
            <w:r w:rsidR="00EA4DFF" w:rsidRPr="00EA4DFF">
              <w:rPr>
                <w:bCs w:val="0"/>
                <w:color w:val="000000"/>
                <w:spacing w:val="1"/>
                <w:szCs w:val="20"/>
                <w:shd w:val="solid" w:color="000000" w:fill="000000"/>
                <w:fitText w:val="330" w:id="-663580408"/>
                <w14:textFill>
                  <w14:solidFill>
                    <w14:srgbClr w14:val="000000">
                      <w14:alpha w14:val="100000"/>
                    </w14:srgbClr>
                  </w14:solidFill>
                </w14:textFill>
              </w:rPr>
              <w:t>|</w:t>
            </w:r>
            <w:r w:rsidR="00FC24CA" w:rsidRPr="009E2A90">
              <w:rPr>
                <w:rFonts w:cstheme="minorHAnsi"/>
                <w:szCs w:val="20"/>
                <w:vertAlign w:val="superscript"/>
              </w:rPr>
              <w:t>7</w:t>
            </w:r>
          </w:p>
        </w:tc>
        <w:tc>
          <w:tcPr>
            <w:tcW w:w="548" w:type="pct"/>
            <w:vAlign w:val="center"/>
          </w:tcPr>
          <w:p w14:paraId="28F1C25D" w14:textId="7092E3B7" w:rsidR="000C6939" w:rsidRPr="009E2A90" w:rsidRDefault="000C6939" w:rsidP="00193DC9">
            <w:pPr>
              <w:pStyle w:val="TableText0"/>
              <w:jc w:val="center"/>
              <w:rPr>
                <w:bCs w:val="0"/>
                <w:szCs w:val="20"/>
              </w:rPr>
            </w:pPr>
            <w:r w:rsidRPr="009E2A90">
              <w:rPr>
                <w:bCs w:val="0"/>
                <w:szCs w:val="20"/>
              </w:rPr>
              <w:t>-$</w:t>
            </w:r>
            <w:r w:rsidR="00EA4DFF" w:rsidRPr="00EA4DFF">
              <w:rPr>
                <w:color w:val="000000"/>
                <w:spacing w:val="53"/>
                <w:szCs w:val="20"/>
                <w:shd w:val="solid" w:color="000000" w:fill="000000"/>
                <w:fitText w:val="330" w:id="-663580407"/>
                <w14:textFill>
                  <w14:solidFill>
                    <w14:srgbClr w14:val="000000">
                      <w14:alpha w14:val="100000"/>
                    </w14:srgbClr>
                  </w14:solidFill>
                </w14:textFill>
              </w:rPr>
              <w:t>|||</w:t>
            </w:r>
            <w:r w:rsidR="00EA4DFF" w:rsidRPr="00EA4DFF">
              <w:rPr>
                <w:color w:val="000000"/>
                <w:spacing w:val="1"/>
                <w:szCs w:val="20"/>
                <w:shd w:val="solid" w:color="000000" w:fill="000000"/>
                <w:fitText w:val="330" w:id="-663580407"/>
                <w14:textFill>
                  <w14:solidFill>
                    <w14:srgbClr w14:val="000000">
                      <w14:alpha w14:val="100000"/>
                    </w14:srgbClr>
                  </w14:solidFill>
                </w14:textFill>
              </w:rPr>
              <w:t>|</w:t>
            </w:r>
            <w:r w:rsidR="00FC24CA" w:rsidRPr="009E2A90">
              <w:rPr>
                <w:rFonts w:cstheme="minorHAnsi"/>
                <w:szCs w:val="20"/>
                <w:vertAlign w:val="superscript"/>
              </w:rPr>
              <w:t>7</w:t>
            </w:r>
          </w:p>
        </w:tc>
        <w:tc>
          <w:tcPr>
            <w:tcW w:w="547" w:type="pct"/>
            <w:vAlign w:val="center"/>
          </w:tcPr>
          <w:p w14:paraId="5DBA4173" w14:textId="3DEE4E8D" w:rsidR="000C6939" w:rsidRPr="009E2A90" w:rsidRDefault="000C6939" w:rsidP="00193DC9">
            <w:pPr>
              <w:pStyle w:val="TableText0"/>
              <w:jc w:val="center"/>
              <w:rPr>
                <w:bCs w:val="0"/>
                <w:szCs w:val="20"/>
              </w:rPr>
            </w:pPr>
            <w:r w:rsidRPr="009E2A90">
              <w:rPr>
                <w:bCs w:val="0"/>
                <w:szCs w:val="20"/>
              </w:rPr>
              <w:t>-$</w:t>
            </w:r>
            <w:r w:rsidR="00EA4DFF" w:rsidRPr="00EA4DFF">
              <w:rPr>
                <w:color w:val="000000"/>
                <w:spacing w:val="53"/>
                <w:szCs w:val="20"/>
                <w:shd w:val="solid" w:color="000000" w:fill="000000"/>
                <w:fitText w:val="330" w:id="-663580406"/>
                <w14:textFill>
                  <w14:solidFill>
                    <w14:srgbClr w14:val="000000">
                      <w14:alpha w14:val="100000"/>
                    </w14:srgbClr>
                  </w14:solidFill>
                </w14:textFill>
              </w:rPr>
              <w:t>|||</w:t>
            </w:r>
            <w:r w:rsidR="00EA4DFF" w:rsidRPr="00EA4DFF">
              <w:rPr>
                <w:color w:val="000000"/>
                <w:spacing w:val="1"/>
                <w:szCs w:val="20"/>
                <w:shd w:val="solid" w:color="000000" w:fill="000000"/>
                <w:fitText w:val="330" w:id="-663580406"/>
                <w14:textFill>
                  <w14:solidFill>
                    <w14:srgbClr w14:val="000000">
                      <w14:alpha w14:val="100000"/>
                    </w14:srgbClr>
                  </w14:solidFill>
                </w14:textFill>
              </w:rPr>
              <w:t>|</w:t>
            </w:r>
            <w:r w:rsidR="00FC24CA" w:rsidRPr="009E2A90">
              <w:rPr>
                <w:rFonts w:cstheme="minorHAnsi"/>
                <w:szCs w:val="20"/>
                <w:vertAlign w:val="superscript"/>
              </w:rPr>
              <w:t>7</w:t>
            </w:r>
          </w:p>
        </w:tc>
        <w:tc>
          <w:tcPr>
            <w:tcW w:w="547" w:type="pct"/>
            <w:vAlign w:val="center"/>
          </w:tcPr>
          <w:p w14:paraId="4D6DC68C" w14:textId="4F96AFBB" w:rsidR="000C6939" w:rsidRPr="009E2A90" w:rsidRDefault="000C6939" w:rsidP="00193DC9">
            <w:pPr>
              <w:pStyle w:val="TableText0"/>
              <w:jc w:val="center"/>
              <w:rPr>
                <w:bCs w:val="0"/>
                <w:szCs w:val="20"/>
              </w:rPr>
            </w:pPr>
            <w:r w:rsidRPr="009E2A90">
              <w:rPr>
                <w:bCs w:val="0"/>
                <w:szCs w:val="20"/>
              </w:rPr>
              <w:t>-$</w:t>
            </w:r>
            <w:r w:rsidR="00EA4DFF" w:rsidRPr="00EA4DFF">
              <w:rPr>
                <w:color w:val="000000"/>
                <w:spacing w:val="53"/>
                <w:szCs w:val="20"/>
                <w:shd w:val="solid" w:color="000000" w:fill="000000"/>
                <w:fitText w:val="330" w:id="-663580405"/>
                <w14:textFill>
                  <w14:solidFill>
                    <w14:srgbClr w14:val="000000">
                      <w14:alpha w14:val="100000"/>
                    </w14:srgbClr>
                  </w14:solidFill>
                </w14:textFill>
              </w:rPr>
              <w:t>|||</w:t>
            </w:r>
            <w:r w:rsidR="00EA4DFF" w:rsidRPr="00EA4DFF">
              <w:rPr>
                <w:color w:val="000000"/>
                <w:spacing w:val="1"/>
                <w:szCs w:val="20"/>
                <w:shd w:val="solid" w:color="000000" w:fill="000000"/>
                <w:fitText w:val="330" w:id="-663580405"/>
                <w14:textFill>
                  <w14:solidFill>
                    <w14:srgbClr w14:val="000000">
                      <w14:alpha w14:val="100000"/>
                    </w14:srgbClr>
                  </w14:solidFill>
                </w14:textFill>
              </w:rPr>
              <w:t>|</w:t>
            </w:r>
            <w:r w:rsidR="00FC24CA" w:rsidRPr="009E2A90">
              <w:rPr>
                <w:rFonts w:cstheme="minorHAnsi"/>
                <w:szCs w:val="20"/>
                <w:vertAlign w:val="superscript"/>
              </w:rPr>
              <w:t>7</w:t>
            </w:r>
          </w:p>
        </w:tc>
        <w:tc>
          <w:tcPr>
            <w:tcW w:w="545" w:type="pct"/>
            <w:vAlign w:val="center"/>
          </w:tcPr>
          <w:p w14:paraId="0766C6AC" w14:textId="0533A129" w:rsidR="000C6939" w:rsidRPr="009E2A90" w:rsidRDefault="000C6939" w:rsidP="00193DC9">
            <w:pPr>
              <w:pStyle w:val="TableText0"/>
              <w:jc w:val="center"/>
              <w:rPr>
                <w:bCs w:val="0"/>
                <w:szCs w:val="20"/>
              </w:rPr>
            </w:pPr>
            <w:r w:rsidRPr="009E2A90">
              <w:rPr>
                <w:bCs w:val="0"/>
                <w:szCs w:val="20"/>
              </w:rPr>
              <w:t>-$</w:t>
            </w:r>
            <w:r w:rsidR="00EA4DFF" w:rsidRPr="00EA4DFF">
              <w:rPr>
                <w:color w:val="000000"/>
                <w:spacing w:val="53"/>
                <w:szCs w:val="20"/>
                <w:shd w:val="solid" w:color="000000" w:fill="000000"/>
                <w:fitText w:val="330" w:id="-663580404"/>
                <w14:textFill>
                  <w14:solidFill>
                    <w14:srgbClr w14:val="000000">
                      <w14:alpha w14:val="100000"/>
                    </w14:srgbClr>
                  </w14:solidFill>
                </w14:textFill>
              </w:rPr>
              <w:t>|||</w:t>
            </w:r>
            <w:r w:rsidR="00EA4DFF" w:rsidRPr="00EA4DFF">
              <w:rPr>
                <w:color w:val="000000"/>
                <w:spacing w:val="1"/>
                <w:szCs w:val="20"/>
                <w:shd w:val="solid" w:color="000000" w:fill="000000"/>
                <w:fitText w:val="330" w:id="-663580404"/>
                <w14:textFill>
                  <w14:solidFill>
                    <w14:srgbClr w14:val="000000">
                      <w14:alpha w14:val="100000"/>
                    </w14:srgbClr>
                  </w14:solidFill>
                </w14:textFill>
              </w:rPr>
              <w:t>|</w:t>
            </w:r>
            <w:r w:rsidR="00FC24CA" w:rsidRPr="009E2A90">
              <w:rPr>
                <w:rFonts w:cstheme="minorHAnsi"/>
                <w:szCs w:val="20"/>
                <w:vertAlign w:val="superscript"/>
              </w:rPr>
              <w:t>7</w:t>
            </w:r>
          </w:p>
        </w:tc>
      </w:tr>
      <w:tr w:rsidR="000C6939" w:rsidRPr="0098262F" w14:paraId="4FA07BD8" w14:textId="77777777" w:rsidTr="0070341F">
        <w:trPr>
          <w:trHeight w:val="57"/>
        </w:trPr>
        <w:tc>
          <w:tcPr>
            <w:tcW w:w="5000" w:type="pct"/>
            <w:gridSpan w:val="7"/>
          </w:tcPr>
          <w:p w14:paraId="1A627EA0" w14:textId="7DB2AB00" w:rsidR="000C6939" w:rsidRPr="0098262F" w:rsidRDefault="000C6939" w:rsidP="000C6939">
            <w:pPr>
              <w:pStyle w:val="In-tableHeading"/>
              <w:rPr>
                <w:lang w:val="en-AU"/>
              </w:rPr>
            </w:pPr>
            <w:r w:rsidRPr="0098262F">
              <w:rPr>
                <w:lang w:val="en-AU"/>
              </w:rPr>
              <w:t>Net financial implications</w:t>
            </w:r>
            <w:r w:rsidRPr="0098262F">
              <w:rPr>
                <w:color w:val="4BACC6" w:themeColor="accent5"/>
                <w:lang w:val="en-AU"/>
              </w:rPr>
              <w:t xml:space="preserve"> </w:t>
            </w:r>
          </w:p>
        </w:tc>
      </w:tr>
      <w:tr w:rsidR="000C6939" w:rsidRPr="0098262F" w14:paraId="3F33D4C6" w14:textId="77777777" w:rsidTr="0070341F">
        <w:trPr>
          <w:trHeight w:val="57"/>
        </w:trPr>
        <w:tc>
          <w:tcPr>
            <w:tcW w:w="1717" w:type="pct"/>
          </w:tcPr>
          <w:p w14:paraId="5ABBDE64" w14:textId="77777777" w:rsidR="000C6939" w:rsidRPr="0098262F" w:rsidRDefault="000C6939" w:rsidP="000C6939">
            <w:pPr>
              <w:pStyle w:val="TableText0"/>
              <w:rPr>
                <w:sz w:val="19"/>
                <w:szCs w:val="19"/>
              </w:rPr>
            </w:pPr>
            <w:r w:rsidRPr="0098262F">
              <w:rPr>
                <w:sz w:val="19"/>
                <w:szCs w:val="19"/>
              </w:rPr>
              <w:t>Net cost to PBS/RPBS</w:t>
            </w:r>
          </w:p>
        </w:tc>
        <w:tc>
          <w:tcPr>
            <w:tcW w:w="548" w:type="pct"/>
            <w:vAlign w:val="center"/>
          </w:tcPr>
          <w:p w14:paraId="744F82C2" w14:textId="74D7CA43" w:rsidR="000C6939" w:rsidRPr="009E2A90" w:rsidRDefault="000C6939" w:rsidP="00193DC9">
            <w:pPr>
              <w:pStyle w:val="Tabletext"/>
              <w:jc w:val="center"/>
              <w:rPr>
                <w:szCs w:val="20"/>
              </w:rPr>
            </w:pPr>
            <w:r w:rsidRPr="009E2A90">
              <w:rPr>
                <w:szCs w:val="20"/>
              </w:rPr>
              <w:t>$</w:t>
            </w:r>
            <w:r w:rsidR="00EA4DFF" w:rsidRPr="00EA4DFF">
              <w:rPr>
                <w:color w:val="000000"/>
                <w:spacing w:val="49"/>
                <w:szCs w:val="20"/>
                <w:shd w:val="solid" w:color="000000" w:fill="000000"/>
                <w:fitText w:val="320" w:id="-663580403"/>
                <w14:textFill>
                  <w14:solidFill>
                    <w14:srgbClr w14:val="000000">
                      <w14:alpha w14:val="100000"/>
                    </w14:srgbClr>
                  </w14:solidFill>
                </w14:textFill>
              </w:rPr>
              <w:t>|||</w:t>
            </w:r>
            <w:r w:rsidR="00EA4DFF" w:rsidRPr="00EA4DFF">
              <w:rPr>
                <w:color w:val="000000"/>
                <w:spacing w:val="3"/>
                <w:szCs w:val="20"/>
                <w:shd w:val="solid" w:color="000000" w:fill="000000"/>
                <w:fitText w:val="320" w:id="-663580403"/>
                <w14:textFill>
                  <w14:solidFill>
                    <w14:srgbClr w14:val="000000">
                      <w14:alpha w14:val="100000"/>
                    </w14:srgbClr>
                  </w14:solidFill>
                </w14:textFill>
              </w:rPr>
              <w:t>|</w:t>
            </w:r>
            <w:r w:rsidR="00B84D70" w:rsidRPr="009E2A90">
              <w:rPr>
                <w:rFonts w:cstheme="minorHAnsi"/>
                <w:b/>
                <w:szCs w:val="20"/>
                <w:vertAlign w:val="superscript"/>
              </w:rPr>
              <w:t>6</w:t>
            </w:r>
          </w:p>
        </w:tc>
        <w:tc>
          <w:tcPr>
            <w:tcW w:w="548" w:type="pct"/>
            <w:vAlign w:val="center"/>
          </w:tcPr>
          <w:p w14:paraId="295843EA" w14:textId="489B14A1" w:rsidR="000C6939" w:rsidRPr="009E2A90" w:rsidRDefault="000C6939" w:rsidP="00193DC9">
            <w:pPr>
              <w:pStyle w:val="Tabletext"/>
              <w:jc w:val="center"/>
              <w:rPr>
                <w:szCs w:val="20"/>
              </w:rPr>
            </w:pPr>
            <w:r w:rsidRPr="009E2A90">
              <w:rPr>
                <w:szCs w:val="20"/>
              </w:rPr>
              <w:t>$</w:t>
            </w:r>
            <w:r w:rsidR="00EA4DFF" w:rsidRPr="00EA4DFF">
              <w:rPr>
                <w:color w:val="000000"/>
                <w:spacing w:val="49"/>
                <w:szCs w:val="20"/>
                <w:shd w:val="solid" w:color="000000" w:fill="000000"/>
                <w:fitText w:val="320" w:id="-663580402"/>
                <w14:textFill>
                  <w14:solidFill>
                    <w14:srgbClr w14:val="000000">
                      <w14:alpha w14:val="100000"/>
                    </w14:srgbClr>
                  </w14:solidFill>
                </w14:textFill>
              </w:rPr>
              <w:t>|||</w:t>
            </w:r>
            <w:r w:rsidR="00EA4DFF" w:rsidRPr="00EA4DFF">
              <w:rPr>
                <w:color w:val="000000"/>
                <w:spacing w:val="3"/>
                <w:szCs w:val="20"/>
                <w:shd w:val="solid" w:color="000000" w:fill="000000"/>
                <w:fitText w:val="320" w:id="-663580402"/>
                <w14:textFill>
                  <w14:solidFill>
                    <w14:srgbClr w14:val="000000">
                      <w14:alpha w14:val="100000"/>
                    </w14:srgbClr>
                  </w14:solidFill>
                </w14:textFill>
              </w:rPr>
              <w:t>|</w:t>
            </w:r>
            <w:r w:rsidR="00B84D70" w:rsidRPr="009E2A90">
              <w:rPr>
                <w:rFonts w:cstheme="minorHAnsi"/>
                <w:b/>
                <w:szCs w:val="20"/>
                <w:vertAlign w:val="superscript"/>
              </w:rPr>
              <w:t>6</w:t>
            </w:r>
          </w:p>
        </w:tc>
        <w:tc>
          <w:tcPr>
            <w:tcW w:w="548" w:type="pct"/>
            <w:vAlign w:val="center"/>
          </w:tcPr>
          <w:p w14:paraId="3A32302A" w14:textId="22806A5F" w:rsidR="000C6939" w:rsidRPr="009E2A90" w:rsidRDefault="000C6939" w:rsidP="00193DC9">
            <w:pPr>
              <w:pStyle w:val="Tabletext"/>
              <w:jc w:val="center"/>
              <w:rPr>
                <w:szCs w:val="20"/>
              </w:rPr>
            </w:pPr>
            <w:r w:rsidRPr="009E2A90">
              <w:rPr>
                <w:szCs w:val="20"/>
              </w:rPr>
              <w:t>$</w:t>
            </w:r>
            <w:r w:rsidR="00EA4DFF" w:rsidRPr="00EA4DFF">
              <w:rPr>
                <w:color w:val="000000"/>
                <w:spacing w:val="49"/>
                <w:szCs w:val="20"/>
                <w:shd w:val="solid" w:color="000000" w:fill="000000"/>
                <w:fitText w:val="320" w:id="-663580401"/>
                <w14:textFill>
                  <w14:solidFill>
                    <w14:srgbClr w14:val="000000">
                      <w14:alpha w14:val="100000"/>
                    </w14:srgbClr>
                  </w14:solidFill>
                </w14:textFill>
              </w:rPr>
              <w:t>|||</w:t>
            </w:r>
            <w:r w:rsidR="00EA4DFF" w:rsidRPr="00EA4DFF">
              <w:rPr>
                <w:color w:val="000000"/>
                <w:spacing w:val="3"/>
                <w:szCs w:val="20"/>
                <w:shd w:val="solid" w:color="000000" w:fill="000000"/>
                <w:fitText w:val="320" w:id="-663580401"/>
                <w14:textFill>
                  <w14:solidFill>
                    <w14:srgbClr w14:val="000000">
                      <w14:alpha w14:val="100000"/>
                    </w14:srgbClr>
                  </w14:solidFill>
                </w14:textFill>
              </w:rPr>
              <w:t>|</w:t>
            </w:r>
            <w:r w:rsidR="00B84D70" w:rsidRPr="009E2A90">
              <w:rPr>
                <w:rFonts w:cstheme="minorHAnsi"/>
                <w:b/>
                <w:szCs w:val="20"/>
                <w:vertAlign w:val="superscript"/>
              </w:rPr>
              <w:t>6</w:t>
            </w:r>
          </w:p>
        </w:tc>
        <w:tc>
          <w:tcPr>
            <w:tcW w:w="547" w:type="pct"/>
            <w:vAlign w:val="center"/>
          </w:tcPr>
          <w:p w14:paraId="326E9207" w14:textId="31CC8481" w:rsidR="000C6939" w:rsidRPr="009E2A90" w:rsidRDefault="000C6939" w:rsidP="00193DC9">
            <w:pPr>
              <w:pStyle w:val="Tabletext"/>
              <w:jc w:val="center"/>
              <w:rPr>
                <w:szCs w:val="20"/>
              </w:rPr>
            </w:pPr>
            <w:r w:rsidRPr="009E2A90">
              <w:rPr>
                <w:szCs w:val="20"/>
              </w:rPr>
              <w:t>$</w:t>
            </w:r>
            <w:r w:rsidR="00EA4DFF" w:rsidRPr="00EA4DFF">
              <w:rPr>
                <w:color w:val="000000"/>
                <w:spacing w:val="53"/>
                <w:szCs w:val="20"/>
                <w:shd w:val="solid" w:color="000000" w:fill="000000"/>
                <w:fitText w:val="330" w:id="-663580400"/>
                <w14:textFill>
                  <w14:solidFill>
                    <w14:srgbClr w14:val="000000">
                      <w14:alpha w14:val="100000"/>
                    </w14:srgbClr>
                  </w14:solidFill>
                </w14:textFill>
              </w:rPr>
              <w:t>|||</w:t>
            </w:r>
            <w:r w:rsidR="00EA4DFF" w:rsidRPr="00EA4DFF">
              <w:rPr>
                <w:color w:val="000000"/>
                <w:spacing w:val="1"/>
                <w:szCs w:val="20"/>
                <w:shd w:val="solid" w:color="000000" w:fill="000000"/>
                <w:fitText w:val="330" w:id="-663580400"/>
                <w14:textFill>
                  <w14:solidFill>
                    <w14:srgbClr w14:val="000000">
                      <w14:alpha w14:val="100000"/>
                    </w14:srgbClr>
                  </w14:solidFill>
                </w14:textFill>
              </w:rPr>
              <w:t>|</w:t>
            </w:r>
            <w:r w:rsidR="00B84D70" w:rsidRPr="009E2A90">
              <w:rPr>
                <w:rFonts w:cstheme="minorHAnsi"/>
                <w:b/>
                <w:szCs w:val="20"/>
                <w:vertAlign w:val="superscript"/>
              </w:rPr>
              <w:t>6</w:t>
            </w:r>
          </w:p>
        </w:tc>
        <w:tc>
          <w:tcPr>
            <w:tcW w:w="547" w:type="pct"/>
            <w:vAlign w:val="center"/>
          </w:tcPr>
          <w:p w14:paraId="56E4D70E" w14:textId="56918851" w:rsidR="000C6939" w:rsidRPr="009E2A90" w:rsidRDefault="000C6939" w:rsidP="00193DC9">
            <w:pPr>
              <w:pStyle w:val="Tabletext"/>
              <w:jc w:val="center"/>
              <w:rPr>
                <w:szCs w:val="20"/>
              </w:rPr>
            </w:pPr>
            <w:r w:rsidRPr="009E2A90">
              <w:rPr>
                <w:szCs w:val="20"/>
              </w:rPr>
              <w:t>$</w:t>
            </w:r>
            <w:r w:rsidR="00EA4DFF" w:rsidRPr="00EA4DFF">
              <w:rPr>
                <w:color w:val="000000"/>
                <w:spacing w:val="53"/>
                <w:szCs w:val="20"/>
                <w:shd w:val="solid" w:color="000000" w:fill="000000"/>
                <w:fitText w:val="330" w:id="-663580416"/>
                <w14:textFill>
                  <w14:solidFill>
                    <w14:srgbClr w14:val="000000">
                      <w14:alpha w14:val="100000"/>
                    </w14:srgbClr>
                  </w14:solidFill>
                </w14:textFill>
              </w:rPr>
              <w:t>|||</w:t>
            </w:r>
            <w:r w:rsidR="00EA4DFF" w:rsidRPr="00EA4DFF">
              <w:rPr>
                <w:color w:val="000000"/>
                <w:spacing w:val="1"/>
                <w:szCs w:val="20"/>
                <w:shd w:val="solid" w:color="000000" w:fill="000000"/>
                <w:fitText w:val="330" w:id="-663580416"/>
                <w14:textFill>
                  <w14:solidFill>
                    <w14:srgbClr w14:val="000000">
                      <w14:alpha w14:val="100000"/>
                    </w14:srgbClr>
                  </w14:solidFill>
                </w14:textFill>
              </w:rPr>
              <w:t>|</w:t>
            </w:r>
            <w:r w:rsidR="00B84D70" w:rsidRPr="009E2A90">
              <w:rPr>
                <w:rFonts w:cstheme="minorHAnsi"/>
                <w:b/>
                <w:szCs w:val="20"/>
                <w:vertAlign w:val="superscript"/>
              </w:rPr>
              <w:t>6</w:t>
            </w:r>
          </w:p>
        </w:tc>
        <w:tc>
          <w:tcPr>
            <w:tcW w:w="545" w:type="pct"/>
            <w:vAlign w:val="center"/>
          </w:tcPr>
          <w:p w14:paraId="241B1CFD" w14:textId="34AB789B" w:rsidR="000C6939" w:rsidRPr="009E2A90" w:rsidRDefault="000C6939" w:rsidP="00193DC9">
            <w:pPr>
              <w:pStyle w:val="Tabletext"/>
              <w:jc w:val="center"/>
              <w:rPr>
                <w:szCs w:val="20"/>
              </w:rPr>
            </w:pPr>
            <w:r w:rsidRPr="009E2A90">
              <w:rPr>
                <w:szCs w:val="20"/>
              </w:rPr>
              <w:t>$</w:t>
            </w:r>
            <w:r w:rsidR="00EA4DFF" w:rsidRPr="00EA4DFF">
              <w:rPr>
                <w:color w:val="000000"/>
                <w:spacing w:val="53"/>
                <w:szCs w:val="20"/>
                <w:shd w:val="solid" w:color="000000" w:fill="000000"/>
                <w:fitText w:val="330" w:id="-663580415"/>
                <w14:textFill>
                  <w14:solidFill>
                    <w14:srgbClr w14:val="000000">
                      <w14:alpha w14:val="100000"/>
                    </w14:srgbClr>
                  </w14:solidFill>
                </w14:textFill>
              </w:rPr>
              <w:t>|||</w:t>
            </w:r>
            <w:r w:rsidR="00EA4DFF" w:rsidRPr="00EA4DFF">
              <w:rPr>
                <w:color w:val="000000"/>
                <w:spacing w:val="1"/>
                <w:szCs w:val="20"/>
                <w:shd w:val="solid" w:color="000000" w:fill="000000"/>
                <w:fitText w:val="330" w:id="-663580415"/>
                <w14:textFill>
                  <w14:solidFill>
                    <w14:srgbClr w14:val="000000">
                      <w14:alpha w14:val="100000"/>
                    </w14:srgbClr>
                  </w14:solidFill>
                </w14:textFill>
              </w:rPr>
              <w:t>|</w:t>
            </w:r>
            <w:r w:rsidR="00B84D70" w:rsidRPr="009E2A90">
              <w:rPr>
                <w:rFonts w:cstheme="minorHAnsi"/>
                <w:b/>
                <w:szCs w:val="20"/>
                <w:vertAlign w:val="superscript"/>
              </w:rPr>
              <w:t>6</w:t>
            </w:r>
          </w:p>
        </w:tc>
      </w:tr>
      <w:tr w:rsidR="000C6939" w:rsidRPr="0098262F" w14:paraId="571B64F4" w14:textId="77777777" w:rsidTr="0070341F">
        <w:trPr>
          <w:trHeight w:val="57"/>
        </w:trPr>
        <w:tc>
          <w:tcPr>
            <w:tcW w:w="1717" w:type="pct"/>
          </w:tcPr>
          <w:p w14:paraId="427698FB" w14:textId="63FA8527" w:rsidR="000C6939" w:rsidRPr="0098262F" w:rsidRDefault="000C6939" w:rsidP="000C6939">
            <w:pPr>
              <w:pStyle w:val="TableText0"/>
              <w:rPr>
                <w:rFonts w:ascii="Times" w:hAnsi="Times"/>
              </w:rPr>
            </w:pPr>
            <w:r w:rsidRPr="0098262F">
              <w:rPr>
                <w:sz w:val="19"/>
                <w:szCs w:val="19"/>
              </w:rPr>
              <w:t>Net cost to MBS/Services Australia/other</w:t>
            </w:r>
          </w:p>
        </w:tc>
        <w:tc>
          <w:tcPr>
            <w:tcW w:w="548" w:type="pct"/>
            <w:vAlign w:val="center"/>
          </w:tcPr>
          <w:p w14:paraId="5AD7A1FC" w14:textId="5B975A10" w:rsidR="000C6939" w:rsidRPr="009E2A90" w:rsidRDefault="000C6939" w:rsidP="00193DC9">
            <w:pPr>
              <w:pStyle w:val="Tabletext"/>
              <w:jc w:val="center"/>
              <w:rPr>
                <w:szCs w:val="20"/>
              </w:rPr>
            </w:pPr>
            <w:r w:rsidRPr="009E2A90">
              <w:rPr>
                <w:szCs w:val="20"/>
              </w:rPr>
              <w:t>-$</w:t>
            </w:r>
            <w:r w:rsidR="00EA4DFF" w:rsidRPr="00EA4DFF">
              <w:rPr>
                <w:color w:val="000000"/>
                <w:spacing w:val="53"/>
                <w:szCs w:val="20"/>
                <w:shd w:val="solid" w:color="000000" w:fill="000000"/>
                <w:fitText w:val="330" w:id="-663580414"/>
                <w14:textFill>
                  <w14:solidFill>
                    <w14:srgbClr w14:val="000000">
                      <w14:alpha w14:val="100000"/>
                    </w14:srgbClr>
                  </w14:solidFill>
                </w14:textFill>
              </w:rPr>
              <w:t>|||</w:t>
            </w:r>
            <w:r w:rsidR="00EA4DFF" w:rsidRPr="00EA4DFF">
              <w:rPr>
                <w:color w:val="000000"/>
                <w:spacing w:val="1"/>
                <w:szCs w:val="20"/>
                <w:shd w:val="solid" w:color="000000" w:fill="000000"/>
                <w:fitText w:val="330" w:id="-663580414"/>
                <w14:textFill>
                  <w14:solidFill>
                    <w14:srgbClr w14:val="000000">
                      <w14:alpha w14:val="100000"/>
                    </w14:srgbClr>
                  </w14:solidFill>
                </w14:textFill>
              </w:rPr>
              <w:t>|</w:t>
            </w:r>
            <w:r w:rsidR="008B5501" w:rsidRPr="009E2A90">
              <w:rPr>
                <w:rFonts w:cstheme="minorHAnsi"/>
                <w:szCs w:val="20"/>
                <w:vertAlign w:val="superscript"/>
              </w:rPr>
              <w:t>7</w:t>
            </w:r>
          </w:p>
        </w:tc>
        <w:tc>
          <w:tcPr>
            <w:tcW w:w="548" w:type="pct"/>
            <w:vAlign w:val="center"/>
          </w:tcPr>
          <w:p w14:paraId="1D6E215B" w14:textId="160EFE4D" w:rsidR="000C6939" w:rsidRPr="009E2A90" w:rsidRDefault="000C6939" w:rsidP="00193DC9">
            <w:pPr>
              <w:pStyle w:val="Tabletext"/>
              <w:jc w:val="center"/>
              <w:rPr>
                <w:szCs w:val="20"/>
              </w:rPr>
            </w:pPr>
            <w:r w:rsidRPr="009E2A90">
              <w:rPr>
                <w:szCs w:val="20"/>
              </w:rPr>
              <w:t>-$</w:t>
            </w:r>
            <w:r w:rsidR="00EA4DFF" w:rsidRPr="00EA4DFF">
              <w:rPr>
                <w:color w:val="000000"/>
                <w:spacing w:val="53"/>
                <w:szCs w:val="20"/>
                <w:shd w:val="solid" w:color="000000" w:fill="000000"/>
                <w:fitText w:val="330" w:id="-663580413"/>
                <w14:textFill>
                  <w14:solidFill>
                    <w14:srgbClr w14:val="000000">
                      <w14:alpha w14:val="100000"/>
                    </w14:srgbClr>
                  </w14:solidFill>
                </w14:textFill>
              </w:rPr>
              <w:t>|||</w:t>
            </w:r>
            <w:r w:rsidR="00EA4DFF" w:rsidRPr="00EA4DFF">
              <w:rPr>
                <w:color w:val="000000"/>
                <w:spacing w:val="1"/>
                <w:szCs w:val="20"/>
                <w:shd w:val="solid" w:color="000000" w:fill="000000"/>
                <w:fitText w:val="330" w:id="-663580413"/>
                <w14:textFill>
                  <w14:solidFill>
                    <w14:srgbClr w14:val="000000">
                      <w14:alpha w14:val="100000"/>
                    </w14:srgbClr>
                  </w14:solidFill>
                </w14:textFill>
              </w:rPr>
              <w:t>|</w:t>
            </w:r>
            <w:r w:rsidR="008B5501" w:rsidRPr="009E2A90">
              <w:rPr>
                <w:rFonts w:cstheme="minorHAnsi"/>
                <w:szCs w:val="20"/>
                <w:vertAlign w:val="superscript"/>
              </w:rPr>
              <w:t>7</w:t>
            </w:r>
          </w:p>
        </w:tc>
        <w:tc>
          <w:tcPr>
            <w:tcW w:w="548" w:type="pct"/>
            <w:vAlign w:val="center"/>
          </w:tcPr>
          <w:p w14:paraId="25026D9D" w14:textId="0203EA0C" w:rsidR="000C6939" w:rsidRPr="009E2A90" w:rsidRDefault="000C6939" w:rsidP="00193DC9">
            <w:pPr>
              <w:pStyle w:val="Tabletext"/>
              <w:jc w:val="center"/>
              <w:rPr>
                <w:szCs w:val="20"/>
              </w:rPr>
            </w:pPr>
            <w:r w:rsidRPr="009E2A90">
              <w:rPr>
                <w:szCs w:val="20"/>
              </w:rPr>
              <w:t>-$</w:t>
            </w:r>
            <w:r w:rsidR="00EA4DFF" w:rsidRPr="00EA4DFF">
              <w:rPr>
                <w:color w:val="000000"/>
                <w:spacing w:val="53"/>
                <w:szCs w:val="20"/>
                <w:shd w:val="solid" w:color="000000" w:fill="000000"/>
                <w:fitText w:val="330" w:id="-663580412"/>
                <w14:textFill>
                  <w14:solidFill>
                    <w14:srgbClr w14:val="000000">
                      <w14:alpha w14:val="100000"/>
                    </w14:srgbClr>
                  </w14:solidFill>
                </w14:textFill>
              </w:rPr>
              <w:t>|||</w:t>
            </w:r>
            <w:r w:rsidR="00EA4DFF" w:rsidRPr="00EA4DFF">
              <w:rPr>
                <w:color w:val="000000"/>
                <w:spacing w:val="1"/>
                <w:szCs w:val="20"/>
                <w:shd w:val="solid" w:color="000000" w:fill="000000"/>
                <w:fitText w:val="330" w:id="-663580412"/>
                <w14:textFill>
                  <w14:solidFill>
                    <w14:srgbClr w14:val="000000">
                      <w14:alpha w14:val="100000"/>
                    </w14:srgbClr>
                  </w14:solidFill>
                </w14:textFill>
              </w:rPr>
              <w:t>|</w:t>
            </w:r>
            <w:r w:rsidR="008B5501" w:rsidRPr="009E2A90">
              <w:rPr>
                <w:rFonts w:cstheme="minorHAnsi"/>
                <w:szCs w:val="20"/>
                <w:vertAlign w:val="superscript"/>
              </w:rPr>
              <w:t>7</w:t>
            </w:r>
          </w:p>
        </w:tc>
        <w:tc>
          <w:tcPr>
            <w:tcW w:w="547" w:type="pct"/>
            <w:vAlign w:val="center"/>
          </w:tcPr>
          <w:p w14:paraId="6933D36F" w14:textId="48FC5FC7" w:rsidR="000C6939" w:rsidRPr="009E2A90" w:rsidRDefault="000C6939" w:rsidP="00193DC9">
            <w:pPr>
              <w:pStyle w:val="Tabletext"/>
              <w:jc w:val="center"/>
              <w:rPr>
                <w:szCs w:val="20"/>
              </w:rPr>
            </w:pPr>
            <w:r w:rsidRPr="009E2A90">
              <w:rPr>
                <w:szCs w:val="20"/>
              </w:rPr>
              <w:t>-$</w:t>
            </w:r>
            <w:r w:rsidR="00EA4DFF" w:rsidRPr="00EA4DFF">
              <w:rPr>
                <w:color w:val="000000"/>
                <w:spacing w:val="53"/>
                <w:szCs w:val="20"/>
                <w:shd w:val="solid" w:color="000000" w:fill="000000"/>
                <w:fitText w:val="330" w:id="-663580411"/>
                <w14:textFill>
                  <w14:solidFill>
                    <w14:srgbClr w14:val="000000">
                      <w14:alpha w14:val="100000"/>
                    </w14:srgbClr>
                  </w14:solidFill>
                </w14:textFill>
              </w:rPr>
              <w:t>|||</w:t>
            </w:r>
            <w:r w:rsidR="00EA4DFF" w:rsidRPr="00EA4DFF">
              <w:rPr>
                <w:color w:val="000000"/>
                <w:spacing w:val="1"/>
                <w:szCs w:val="20"/>
                <w:shd w:val="solid" w:color="000000" w:fill="000000"/>
                <w:fitText w:val="330" w:id="-663580411"/>
                <w14:textFill>
                  <w14:solidFill>
                    <w14:srgbClr w14:val="000000">
                      <w14:alpha w14:val="100000"/>
                    </w14:srgbClr>
                  </w14:solidFill>
                </w14:textFill>
              </w:rPr>
              <w:t>|</w:t>
            </w:r>
            <w:r w:rsidR="008B5501" w:rsidRPr="009E2A90">
              <w:rPr>
                <w:rFonts w:cstheme="minorHAnsi"/>
                <w:szCs w:val="20"/>
                <w:vertAlign w:val="superscript"/>
              </w:rPr>
              <w:t>7</w:t>
            </w:r>
          </w:p>
        </w:tc>
        <w:tc>
          <w:tcPr>
            <w:tcW w:w="547" w:type="pct"/>
            <w:vAlign w:val="center"/>
          </w:tcPr>
          <w:p w14:paraId="04433A65" w14:textId="6A7A779A" w:rsidR="000C6939" w:rsidRPr="009E2A90" w:rsidRDefault="000C6939" w:rsidP="00193DC9">
            <w:pPr>
              <w:pStyle w:val="Tabletext"/>
              <w:jc w:val="center"/>
              <w:rPr>
                <w:szCs w:val="20"/>
              </w:rPr>
            </w:pPr>
            <w:r w:rsidRPr="009E2A90">
              <w:rPr>
                <w:szCs w:val="20"/>
              </w:rPr>
              <w:t>-$</w:t>
            </w:r>
            <w:r w:rsidR="00EA4DFF" w:rsidRPr="00EA4DFF">
              <w:rPr>
                <w:color w:val="000000"/>
                <w:spacing w:val="53"/>
                <w:szCs w:val="20"/>
                <w:shd w:val="solid" w:color="000000" w:fill="000000"/>
                <w:fitText w:val="330" w:id="-663580410"/>
                <w14:textFill>
                  <w14:solidFill>
                    <w14:srgbClr w14:val="000000">
                      <w14:alpha w14:val="100000"/>
                    </w14:srgbClr>
                  </w14:solidFill>
                </w14:textFill>
              </w:rPr>
              <w:t>|||</w:t>
            </w:r>
            <w:r w:rsidR="00EA4DFF" w:rsidRPr="00EA4DFF">
              <w:rPr>
                <w:color w:val="000000"/>
                <w:spacing w:val="1"/>
                <w:szCs w:val="20"/>
                <w:shd w:val="solid" w:color="000000" w:fill="000000"/>
                <w:fitText w:val="330" w:id="-663580410"/>
                <w14:textFill>
                  <w14:solidFill>
                    <w14:srgbClr w14:val="000000">
                      <w14:alpha w14:val="100000"/>
                    </w14:srgbClr>
                  </w14:solidFill>
                </w14:textFill>
              </w:rPr>
              <w:t>|</w:t>
            </w:r>
            <w:r w:rsidR="008B5501" w:rsidRPr="009E2A90">
              <w:rPr>
                <w:rFonts w:cstheme="minorHAnsi"/>
                <w:szCs w:val="20"/>
                <w:vertAlign w:val="superscript"/>
              </w:rPr>
              <w:t>7</w:t>
            </w:r>
          </w:p>
        </w:tc>
        <w:tc>
          <w:tcPr>
            <w:tcW w:w="545" w:type="pct"/>
            <w:vAlign w:val="center"/>
          </w:tcPr>
          <w:p w14:paraId="2223EBD7" w14:textId="0DC46AD9" w:rsidR="000C6939" w:rsidRPr="009E2A90" w:rsidRDefault="000C6939" w:rsidP="00193DC9">
            <w:pPr>
              <w:pStyle w:val="Tabletext"/>
              <w:jc w:val="center"/>
              <w:rPr>
                <w:szCs w:val="20"/>
              </w:rPr>
            </w:pPr>
            <w:r w:rsidRPr="009E2A90">
              <w:rPr>
                <w:szCs w:val="20"/>
              </w:rPr>
              <w:t>-$</w:t>
            </w:r>
            <w:r w:rsidR="00EA4DFF" w:rsidRPr="00EA4DFF">
              <w:rPr>
                <w:color w:val="000000"/>
                <w:spacing w:val="53"/>
                <w:szCs w:val="20"/>
                <w:shd w:val="solid" w:color="000000" w:fill="000000"/>
                <w:fitText w:val="330" w:id="-663580409"/>
                <w14:textFill>
                  <w14:solidFill>
                    <w14:srgbClr w14:val="000000">
                      <w14:alpha w14:val="100000"/>
                    </w14:srgbClr>
                  </w14:solidFill>
                </w14:textFill>
              </w:rPr>
              <w:t>|||</w:t>
            </w:r>
            <w:r w:rsidR="00EA4DFF" w:rsidRPr="00EA4DFF">
              <w:rPr>
                <w:color w:val="000000"/>
                <w:spacing w:val="1"/>
                <w:szCs w:val="20"/>
                <w:shd w:val="solid" w:color="000000" w:fill="000000"/>
                <w:fitText w:val="330" w:id="-663580409"/>
                <w14:textFill>
                  <w14:solidFill>
                    <w14:srgbClr w14:val="000000">
                      <w14:alpha w14:val="100000"/>
                    </w14:srgbClr>
                  </w14:solidFill>
                </w14:textFill>
              </w:rPr>
              <w:t>|</w:t>
            </w:r>
            <w:r w:rsidR="008B5501" w:rsidRPr="009E2A90">
              <w:rPr>
                <w:rFonts w:cstheme="minorHAnsi"/>
                <w:szCs w:val="20"/>
                <w:vertAlign w:val="superscript"/>
              </w:rPr>
              <w:t>7</w:t>
            </w:r>
          </w:p>
        </w:tc>
      </w:tr>
      <w:tr w:rsidR="00360A59" w:rsidRPr="0098262F" w14:paraId="123830C0" w14:textId="77777777" w:rsidTr="0070341F">
        <w:trPr>
          <w:trHeight w:val="57"/>
        </w:trPr>
        <w:tc>
          <w:tcPr>
            <w:tcW w:w="1717" w:type="pct"/>
          </w:tcPr>
          <w:p w14:paraId="50FCDA47" w14:textId="1CD304BC" w:rsidR="00360A59" w:rsidRPr="00C51906" w:rsidRDefault="00360A59" w:rsidP="00360A59">
            <w:pPr>
              <w:pStyle w:val="TableText0"/>
              <w:rPr>
                <w:sz w:val="19"/>
                <w:szCs w:val="19"/>
              </w:rPr>
            </w:pPr>
            <w:r w:rsidRPr="00C51906">
              <w:rPr>
                <w:sz w:val="19"/>
                <w:szCs w:val="19"/>
              </w:rPr>
              <w:t>Net cost to PBS/RPBS/MBS/Services Australia without GP visits or BMD cost saving</w:t>
            </w:r>
            <w:r w:rsidR="008B66D7" w:rsidRPr="00C51906">
              <w:rPr>
                <w:sz w:val="19"/>
                <w:szCs w:val="19"/>
              </w:rPr>
              <w:t>s</w:t>
            </w:r>
            <w:r w:rsidR="00C51906">
              <w:rPr>
                <w:sz w:val="19"/>
                <w:szCs w:val="19"/>
              </w:rPr>
              <w:t>*</w:t>
            </w:r>
          </w:p>
        </w:tc>
        <w:tc>
          <w:tcPr>
            <w:tcW w:w="548" w:type="pct"/>
            <w:vAlign w:val="center"/>
          </w:tcPr>
          <w:p w14:paraId="0F4EB661" w14:textId="78A6DD3D" w:rsidR="00360A59" w:rsidRPr="009E2A90" w:rsidRDefault="00360A59" w:rsidP="00193DC9">
            <w:pPr>
              <w:pStyle w:val="TableText0"/>
              <w:jc w:val="center"/>
              <w:rPr>
                <w:szCs w:val="20"/>
              </w:rPr>
            </w:pPr>
            <w:r w:rsidRPr="009E2A90">
              <w:rPr>
                <w:szCs w:val="20"/>
              </w:rPr>
              <w:t>$</w:t>
            </w:r>
            <w:r w:rsidR="00EA4DFF" w:rsidRPr="00EA4DFF">
              <w:rPr>
                <w:rFonts w:eastAsia="Times New Roman" w:cs="Times New Roman"/>
                <w:bCs w:val="0"/>
                <w:snapToGrid w:val="0"/>
                <w:color w:val="000000"/>
                <w:spacing w:val="49"/>
                <w:szCs w:val="20"/>
                <w:shd w:val="solid" w:color="000000" w:fill="000000"/>
                <w:fitText w:val="320" w:id="-663580408"/>
                <w14:textFill>
                  <w14:solidFill>
                    <w14:srgbClr w14:val="000000">
                      <w14:alpha w14:val="100000"/>
                    </w14:srgbClr>
                  </w14:solidFill>
                </w14:textFill>
              </w:rPr>
              <w:t>|||</w:t>
            </w:r>
            <w:r w:rsidR="00EA4DFF" w:rsidRPr="00EA4DFF">
              <w:rPr>
                <w:rFonts w:eastAsia="Times New Roman" w:cs="Times New Roman"/>
                <w:bCs w:val="0"/>
                <w:snapToGrid w:val="0"/>
                <w:color w:val="000000"/>
                <w:spacing w:val="3"/>
                <w:szCs w:val="20"/>
                <w:shd w:val="solid" w:color="000000" w:fill="000000"/>
                <w:fitText w:val="320" w:id="-663580408"/>
                <w14:textFill>
                  <w14:solidFill>
                    <w14:srgbClr w14:val="000000">
                      <w14:alpha w14:val="100000"/>
                    </w14:srgbClr>
                  </w14:solidFill>
                </w14:textFill>
              </w:rPr>
              <w:t>|</w:t>
            </w:r>
            <w:r w:rsidR="00B84D70" w:rsidRPr="009E2A90">
              <w:rPr>
                <w:rFonts w:eastAsia="Times New Roman" w:cstheme="minorHAnsi"/>
                <w:b/>
                <w:szCs w:val="20"/>
                <w:vertAlign w:val="superscript"/>
              </w:rPr>
              <w:t>6</w:t>
            </w:r>
          </w:p>
        </w:tc>
        <w:tc>
          <w:tcPr>
            <w:tcW w:w="548" w:type="pct"/>
            <w:vAlign w:val="center"/>
          </w:tcPr>
          <w:p w14:paraId="59B75FE2" w14:textId="45D70CB8" w:rsidR="00360A59" w:rsidRPr="009E2A90" w:rsidRDefault="00360A59" w:rsidP="00193DC9">
            <w:pPr>
              <w:pStyle w:val="TableText0"/>
              <w:jc w:val="center"/>
              <w:rPr>
                <w:szCs w:val="20"/>
              </w:rPr>
            </w:pPr>
            <w:r w:rsidRPr="009E2A90">
              <w:rPr>
                <w:szCs w:val="20"/>
              </w:rPr>
              <w:t>$</w:t>
            </w:r>
            <w:r w:rsidR="00EA4DFF" w:rsidRPr="00EA4DFF">
              <w:rPr>
                <w:rFonts w:eastAsia="Times New Roman" w:cs="Times New Roman"/>
                <w:bCs w:val="0"/>
                <w:snapToGrid w:val="0"/>
                <w:color w:val="000000"/>
                <w:spacing w:val="49"/>
                <w:szCs w:val="20"/>
                <w:shd w:val="solid" w:color="000000" w:fill="000000"/>
                <w:fitText w:val="320" w:id="-663580407"/>
                <w14:textFill>
                  <w14:solidFill>
                    <w14:srgbClr w14:val="000000">
                      <w14:alpha w14:val="100000"/>
                    </w14:srgbClr>
                  </w14:solidFill>
                </w14:textFill>
              </w:rPr>
              <w:t>|||</w:t>
            </w:r>
            <w:r w:rsidR="00EA4DFF" w:rsidRPr="00EA4DFF">
              <w:rPr>
                <w:rFonts w:eastAsia="Times New Roman" w:cs="Times New Roman"/>
                <w:bCs w:val="0"/>
                <w:snapToGrid w:val="0"/>
                <w:color w:val="000000"/>
                <w:spacing w:val="3"/>
                <w:szCs w:val="20"/>
                <w:shd w:val="solid" w:color="000000" w:fill="000000"/>
                <w:fitText w:val="320" w:id="-663580407"/>
                <w14:textFill>
                  <w14:solidFill>
                    <w14:srgbClr w14:val="000000">
                      <w14:alpha w14:val="100000"/>
                    </w14:srgbClr>
                  </w14:solidFill>
                </w14:textFill>
              </w:rPr>
              <w:t>|</w:t>
            </w:r>
            <w:r w:rsidR="00B84D70" w:rsidRPr="009E2A90">
              <w:rPr>
                <w:rFonts w:eastAsia="Times New Roman" w:cstheme="minorHAnsi"/>
                <w:b/>
                <w:szCs w:val="20"/>
                <w:vertAlign w:val="superscript"/>
              </w:rPr>
              <w:t>6</w:t>
            </w:r>
          </w:p>
        </w:tc>
        <w:tc>
          <w:tcPr>
            <w:tcW w:w="548" w:type="pct"/>
            <w:vAlign w:val="center"/>
          </w:tcPr>
          <w:p w14:paraId="6AE6473A" w14:textId="346679D5" w:rsidR="00360A59" w:rsidRPr="009E2A90" w:rsidRDefault="00360A59" w:rsidP="00193DC9">
            <w:pPr>
              <w:pStyle w:val="TableText0"/>
              <w:jc w:val="center"/>
              <w:rPr>
                <w:szCs w:val="20"/>
              </w:rPr>
            </w:pPr>
            <w:r w:rsidRPr="009E2A90">
              <w:rPr>
                <w:szCs w:val="20"/>
              </w:rPr>
              <w:t>$</w:t>
            </w:r>
            <w:r w:rsidR="00EA4DFF" w:rsidRPr="00EA4DFF">
              <w:rPr>
                <w:rFonts w:eastAsia="Times New Roman" w:cs="Times New Roman"/>
                <w:bCs w:val="0"/>
                <w:snapToGrid w:val="0"/>
                <w:color w:val="000000"/>
                <w:spacing w:val="49"/>
                <w:szCs w:val="20"/>
                <w:shd w:val="solid" w:color="000000" w:fill="000000"/>
                <w:fitText w:val="320" w:id="-663580406"/>
                <w14:textFill>
                  <w14:solidFill>
                    <w14:srgbClr w14:val="000000">
                      <w14:alpha w14:val="100000"/>
                    </w14:srgbClr>
                  </w14:solidFill>
                </w14:textFill>
              </w:rPr>
              <w:t>|||</w:t>
            </w:r>
            <w:r w:rsidR="00EA4DFF" w:rsidRPr="00EA4DFF">
              <w:rPr>
                <w:rFonts w:eastAsia="Times New Roman" w:cs="Times New Roman"/>
                <w:bCs w:val="0"/>
                <w:snapToGrid w:val="0"/>
                <w:color w:val="000000"/>
                <w:spacing w:val="3"/>
                <w:szCs w:val="20"/>
                <w:shd w:val="solid" w:color="000000" w:fill="000000"/>
                <w:fitText w:val="320" w:id="-663580406"/>
                <w14:textFill>
                  <w14:solidFill>
                    <w14:srgbClr w14:val="000000">
                      <w14:alpha w14:val="100000"/>
                    </w14:srgbClr>
                  </w14:solidFill>
                </w14:textFill>
              </w:rPr>
              <w:t>|</w:t>
            </w:r>
            <w:r w:rsidR="00B84D70" w:rsidRPr="009E2A90">
              <w:rPr>
                <w:rFonts w:eastAsia="Times New Roman" w:cstheme="minorHAnsi"/>
                <w:b/>
                <w:szCs w:val="20"/>
                <w:vertAlign w:val="superscript"/>
              </w:rPr>
              <w:t>6</w:t>
            </w:r>
          </w:p>
        </w:tc>
        <w:tc>
          <w:tcPr>
            <w:tcW w:w="547" w:type="pct"/>
            <w:vAlign w:val="center"/>
          </w:tcPr>
          <w:p w14:paraId="1F476C04" w14:textId="6D39A680" w:rsidR="00360A59" w:rsidRPr="009E2A90" w:rsidRDefault="00360A59" w:rsidP="00193DC9">
            <w:pPr>
              <w:pStyle w:val="TableText0"/>
              <w:jc w:val="center"/>
              <w:rPr>
                <w:szCs w:val="20"/>
              </w:rPr>
            </w:pPr>
            <w:r w:rsidRPr="009E2A90">
              <w:rPr>
                <w:szCs w:val="20"/>
              </w:rPr>
              <w:t>$</w:t>
            </w:r>
            <w:r w:rsidR="00EA4DFF" w:rsidRPr="00EA4DFF">
              <w:rPr>
                <w:rFonts w:eastAsia="Times New Roman" w:cs="Times New Roman"/>
                <w:bCs w:val="0"/>
                <w:snapToGrid w:val="0"/>
                <w:color w:val="000000"/>
                <w:spacing w:val="53"/>
                <w:szCs w:val="20"/>
                <w:shd w:val="solid" w:color="000000" w:fill="000000"/>
                <w:fitText w:val="330" w:id="-663580405"/>
                <w14:textFill>
                  <w14:solidFill>
                    <w14:srgbClr w14:val="000000">
                      <w14:alpha w14:val="100000"/>
                    </w14:srgbClr>
                  </w14:solidFill>
                </w14:textFill>
              </w:rPr>
              <w:t>|||</w:t>
            </w:r>
            <w:r w:rsidR="00EA4DFF" w:rsidRPr="00EA4DFF">
              <w:rPr>
                <w:rFonts w:eastAsia="Times New Roman" w:cs="Times New Roman"/>
                <w:bCs w:val="0"/>
                <w:snapToGrid w:val="0"/>
                <w:color w:val="000000"/>
                <w:spacing w:val="1"/>
                <w:szCs w:val="20"/>
                <w:shd w:val="solid" w:color="000000" w:fill="000000"/>
                <w:fitText w:val="330" w:id="-663580405"/>
                <w14:textFill>
                  <w14:solidFill>
                    <w14:srgbClr w14:val="000000">
                      <w14:alpha w14:val="100000"/>
                    </w14:srgbClr>
                  </w14:solidFill>
                </w14:textFill>
              </w:rPr>
              <w:t>|</w:t>
            </w:r>
            <w:r w:rsidR="00B84D70" w:rsidRPr="009E2A90">
              <w:rPr>
                <w:rFonts w:eastAsia="Times New Roman" w:cstheme="minorHAnsi"/>
                <w:b/>
                <w:szCs w:val="20"/>
                <w:vertAlign w:val="superscript"/>
              </w:rPr>
              <w:t>6</w:t>
            </w:r>
          </w:p>
        </w:tc>
        <w:tc>
          <w:tcPr>
            <w:tcW w:w="547" w:type="pct"/>
            <w:vAlign w:val="center"/>
          </w:tcPr>
          <w:p w14:paraId="12079751" w14:textId="73331AF5" w:rsidR="00360A59" w:rsidRPr="009E2A90" w:rsidRDefault="00360A59" w:rsidP="00193DC9">
            <w:pPr>
              <w:pStyle w:val="TableText0"/>
              <w:jc w:val="center"/>
              <w:rPr>
                <w:szCs w:val="20"/>
              </w:rPr>
            </w:pPr>
            <w:r w:rsidRPr="009E2A90">
              <w:rPr>
                <w:szCs w:val="20"/>
              </w:rPr>
              <w:t>$</w:t>
            </w:r>
            <w:r w:rsidR="00EA4DFF" w:rsidRPr="00EA4DFF">
              <w:rPr>
                <w:rFonts w:eastAsia="Times New Roman" w:cs="Times New Roman"/>
                <w:bCs w:val="0"/>
                <w:snapToGrid w:val="0"/>
                <w:color w:val="000000"/>
                <w:spacing w:val="53"/>
                <w:szCs w:val="20"/>
                <w:shd w:val="solid" w:color="000000" w:fill="000000"/>
                <w:fitText w:val="330" w:id="-663580404"/>
                <w14:textFill>
                  <w14:solidFill>
                    <w14:srgbClr w14:val="000000">
                      <w14:alpha w14:val="100000"/>
                    </w14:srgbClr>
                  </w14:solidFill>
                </w14:textFill>
              </w:rPr>
              <w:t>|||</w:t>
            </w:r>
            <w:r w:rsidR="00EA4DFF" w:rsidRPr="00EA4DFF">
              <w:rPr>
                <w:rFonts w:eastAsia="Times New Roman" w:cs="Times New Roman"/>
                <w:bCs w:val="0"/>
                <w:snapToGrid w:val="0"/>
                <w:color w:val="000000"/>
                <w:spacing w:val="1"/>
                <w:szCs w:val="20"/>
                <w:shd w:val="solid" w:color="000000" w:fill="000000"/>
                <w:fitText w:val="330" w:id="-663580404"/>
                <w14:textFill>
                  <w14:solidFill>
                    <w14:srgbClr w14:val="000000">
                      <w14:alpha w14:val="100000"/>
                    </w14:srgbClr>
                  </w14:solidFill>
                </w14:textFill>
              </w:rPr>
              <w:t>|</w:t>
            </w:r>
            <w:r w:rsidR="00B84D70" w:rsidRPr="009E2A90">
              <w:rPr>
                <w:rFonts w:eastAsia="Times New Roman" w:cstheme="minorHAnsi"/>
                <w:b/>
                <w:szCs w:val="20"/>
                <w:vertAlign w:val="superscript"/>
              </w:rPr>
              <w:t>6</w:t>
            </w:r>
          </w:p>
        </w:tc>
        <w:tc>
          <w:tcPr>
            <w:tcW w:w="545" w:type="pct"/>
            <w:vAlign w:val="center"/>
          </w:tcPr>
          <w:p w14:paraId="4844CB4D" w14:textId="52339ABC" w:rsidR="00360A59" w:rsidRPr="009E2A90" w:rsidRDefault="00360A59" w:rsidP="00193DC9">
            <w:pPr>
              <w:pStyle w:val="TableText0"/>
              <w:jc w:val="center"/>
              <w:rPr>
                <w:szCs w:val="20"/>
              </w:rPr>
            </w:pPr>
            <w:r w:rsidRPr="009E2A90">
              <w:rPr>
                <w:szCs w:val="20"/>
              </w:rPr>
              <w:t>$</w:t>
            </w:r>
            <w:r w:rsidR="00EA4DFF" w:rsidRPr="00A942F3">
              <w:rPr>
                <w:rFonts w:eastAsia="Times New Roman" w:cs="Times New Roman"/>
                <w:bCs w:val="0"/>
                <w:snapToGrid w:val="0"/>
                <w:color w:val="000000"/>
                <w:spacing w:val="53"/>
                <w:szCs w:val="20"/>
                <w:shd w:val="solid" w:color="000000" w:fill="000000"/>
                <w:fitText w:val="330" w:id="-663580403"/>
                <w14:textFill>
                  <w14:solidFill>
                    <w14:srgbClr w14:val="000000">
                      <w14:alpha w14:val="100000"/>
                    </w14:srgbClr>
                  </w14:solidFill>
                </w14:textFill>
              </w:rPr>
              <w:t>|||</w:t>
            </w:r>
            <w:r w:rsidR="00EA4DFF" w:rsidRPr="00A942F3">
              <w:rPr>
                <w:rFonts w:eastAsia="Times New Roman" w:cs="Times New Roman"/>
                <w:bCs w:val="0"/>
                <w:snapToGrid w:val="0"/>
                <w:color w:val="000000"/>
                <w:spacing w:val="1"/>
                <w:szCs w:val="20"/>
                <w:shd w:val="solid" w:color="000000" w:fill="000000"/>
                <w:fitText w:val="330" w:id="-663580403"/>
                <w14:textFill>
                  <w14:solidFill>
                    <w14:srgbClr w14:val="000000">
                      <w14:alpha w14:val="100000"/>
                    </w14:srgbClr>
                  </w14:solidFill>
                </w14:textFill>
              </w:rPr>
              <w:t>|</w:t>
            </w:r>
            <w:r w:rsidR="00B84D70" w:rsidRPr="009E2A90">
              <w:rPr>
                <w:rFonts w:eastAsia="Times New Roman" w:cstheme="minorHAnsi"/>
                <w:b/>
                <w:szCs w:val="20"/>
                <w:vertAlign w:val="superscript"/>
              </w:rPr>
              <w:t>6</w:t>
            </w:r>
          </w:p>
        </w:tc>
      </w:tr>
    </w:tbl>
    <w:p w14:paraId="484CF5B6" w14:textId="6C693ADA" w:rsidR="00620C25" w:rsidRDefault="00620C25" w:rsidP="00620C25">
      <w:pPr>
        <w:pStyle w:val="FooterTableFigure"/>
      </w:pPr>
      <w:r w:rsidRPr="0098262F">
        <w:t>Source: Table</w:t>
      </w:r>
      <w:r w:rsidR="0044225B">
        <w:t>s</w:t>
      </w:r>
      <w:r w:rsidR="00B13DB4">
        <w:t xml:space="preserve"> 4.2.2, </w:t>
      </w:r>
      <w:r w:rsidR="0044225B">
        <w:t>4.2.11, 4.3.3,</w:t>
      </w:r>
      <w:r w:rsidRPr="0098262F">
        <w:t xml:space="preserve"> </w:t>
      </w:r>
      <w:r w:rsidR="0044225B">
        <w:t>4.4.1</w:t>
      </w:r>
      <w:r w:rsidR="00CE4FB4">
        <w:t xml:space="preserve">, </w:t>
      </w:r>
      <w:r w:rsidR="0044225B">
        <w:t xml:space="preserve">4.5.2, </w:t>
      </w:r>
      <w:r w:rsidRPr="0098262F">
        <w:t>p</w:t>
      </w:r>
      <w:r w:rsidR="00B13DB4">
        <w:t xml:space="preserve">p 134, </w:t>
      </w:r>
      <w:r w:rsidR="0044225B">
        <w:t xml:space="preserve">142, 145, 146, 148 </w:t>
      </w:r>
      <w:r w:rsidRPr="0098262F">
        <w:t>of the submission</w:t>
      </w:r>
      <w:r w:rsidR="00CE4FB4">
        <w:t xml:space="preserve"> main body</w:t>
      </w:r>
      <w:r w:rsidR="0044225B">
        <w:t>.</w:t>
      </w:r>
    </w:p>
    <w:p w14:paraId="10ACEA99" w14:textId="29B64CD2" w:rsidR="00C51906" w:rsidRDefault="00A16F80" w:rsidP="00620C25">
      <w:pPr>
        <w:pStyle w:val="FooterTableFigure"/>
      </w:pPr>
      <w:r>
        <w:t xml:space="preserve">BMD = bone mineral density; </w:t>
      </w:r>
      <w:r w:rsidR="00D122DA">
        <w:t xml:space="preserve">CVR = </w:t>
      </w:r>
      <w:r w:rsidR="00C36527">
        <w:t xml:space="preserve">contraceptive vaginal ring; </w:t>
      </w:r>
      <w:r w:rsidR="00D122DA">
        <w:t xml:space="preserve">DMPA = </w:t>
      </w:r>
      <w:r w:rsidR="00AE1264">
        <w:t>depot medroxypr</w:t>
      </w:r>
      <w:r w:rsidR="00F0059E">
        <w:t>ogesterone acetate;</w:t>
      </w:r>
      <w:r w:rsidR="0081782D">
        <w:t xml:space="preserve"> GP = general practitioner</w:t>
      </w:r>
      <w:r w:rsidR="00071836">
        <w:t>;</w:t>
      </w:r>
      <w:r w:rsidR="00F0059E">
        <w:t xml:space="preserve"> </w:t>
      </w:r>
      <w:r w:rsidR="00AE1264">
        <w:t>MBS =</w:t>
      </w:r>
      <w:r w:rsidR="00F0059E">
        <w:t xml:space="preserve"> </w:t>
      </w:r>
      <w:r w:rsidR="00C36527">
        <w:t>Medicare Benefits Schedule;</w:t>
      </w:r>
      <w:r w:rsidR="00AE1264">
        <w:t xml:space="preserve"> OC =</w:t>
      </w:r>
      <w:r w:rsidR="00C36527">
        <w:t xml:space="preserve"> oral contraceptive;</w:t>
      </w:r>
      <w:r w:rsidR="00AE1264">
        <w:t xml:space="preserve"> PBS =</w:t>
      </w:r>
      <w:r w:rsidR="00C36527">
        <w:t xml:space="preserve"> Pharmaceutical Benefits Scheme;</w:t>
      </w:r>
      <w:r w:rsidR="00AE1264">
        <w:t xml:space="preserve"> RPBS = </w:t>
      </w:r>
      <w:r w:rsidR="00C36527">
        <w:t>Repatriation Pharmaceutical Benefits Scheme</w:t>
      </w:r>
      <w:r>
        <w:t>.</w:t>
      </w:r>
    </w:p>
    <w:p w14:paraId="7265D5A7" w14:textId="62FA696A" w:rsidR="00D122DA" w:rsidRDefault="00C51906" w:rsidP="00B632C8">
      <w:pPr>
        <w:pStyle w:val="FooterTableFigure"/>
        <w:spacing w:after="0"/>
      </w:pPr>
      <w:r>
        <w:t>*</w:t>
      </w:r>
      <w:r w:rsidR="00A16F80">
        <w:t>A</w:t>
      </w:r>
      <w:r>
        <w:t>dded during evaluation</w:t>
      </w:r>
      <w:r w:rsidR="00C36527">
        <w:t>.</w:t>
      </w:r>
    </w:p>
    <w:p w14:paraId="260765C2" w14:textId="77777777" w:rsidR="00A022EA" w:rsidRPr="00B632C8" w:rsidRDefault="00A022EA" w:rsidP="00D32DDC">
      <w:pPr>
        <w:pStyle w:val="TableText0"/>
        <w:rPr>
          <w:rFonts w:eastAsia="Times New Roman" w:cstheme="minorHAnsi"/>
          <w:i/>
          <w:iCs/>
          <w:sz w:val="18"/>
          <w:szCs w:val="18"/>
        </w:rPr>
      </w:pPr>
      <w:r w:rsidRPr="00B632C8">
        <w:rPr>
          <w:rFonts w:eastAsia="Times New Roman" w:cstheme="minorHAnsi"/>
          <w:i/>
          <w:iCs/>
          <w:sz w:val="18"/>
          <w:szCs w:val="18"/>
        </w:rPr>
        <w:t xml:space="preserve">The redacted values correspond to the following ranges: </w:t>
      </w:r>
    </w:p>
    <w:p w14:paraId="04D7929B" w14:textId="12A65A84" w:rsidR="00A022EA" w:rsidRPr="00D32DDC" w:rsidRDefault="00A022EA" w:rsidP="007831A6">
      <w:pPr>
        <w:pStyle w:val="TableText0"/>
        <w:rPr>
          <w:rFonts w:eastAsia="Times New Roman" w:cstheme="minorHAnsi"/>
          <w:i/>
          <w:iCs/>
          <w:sz w:val="18"/>
          <w:szCs w:val="18"/>
          <w:vertAlign w:val="superscript"/>
        </w:rPr>
      </w:pPr>
      <w:r w:rsidRPr="00D32DDC">
        <w:rPr>
          <w:rFonts w:eastAsia="Times New Roman" w:cstheme="minorHAnsi"/>
          <w:i/>
          <w:iCs/>
          <w:sz w:val="18"/>
          <w:szCs w:val="18"/>
          <w:vertAlign w:val="superscript"/>
        </w:rPr>
        <w:t>1</w:t>
      </w:r>
      <w:r w:rsidR="00B632C8">
        <w:rPr>
          <w:rFonts w:eastAsia="Times New Roman" w:cstheme="minorHAnsi"/>
          <w:i/>
          <w:iCs/>
          <w:sz w:val="18"/>
          <w:szCs w:val="18"/>
          <w:vertAlign w:val="superscript"/>
        </w:rPr>
        <w:t xml:space="preserve"> </w:t>
      </w:r>
      <w:r w:rsidR="005F0AF0" w:rsidRPr="00B632C8">
        <w:rPr>
          <w:rFonts w:eastAsia="Times New Roman" w:cstheme="minorHAnsi"/>
          <w:i/>
          <w:iCs/>
          <w:sz w:val="18"/>
          <w:szCs w:val="18"/>
        </w:rPr>
        <w:t>500 to &lt; 5,000</w:t>
      </w:r>
    </w:p>
    <w:p w14:paraId="639A090D" w14:textId="1FE73AC9" w:rsidR="001753D2" w:rsidRPr="00D32DDC" w:rsidRDefault="00A022EA" w:rsidP="001753D2">
      <w:pPr>
        <w:pStyle w:val="TableText0"/>
        <w:rPr>
          <w:rFonts w:eastAsia="Times New Roman" w:cstheme="minorHAnsi"/>
          <w:i/>
          <w:iCs/>
          <w:sz w:val="18"/>
          <w:szCs w:val="18"/>
          <w:vertAlign w:val="superscript"/>
        </w:rPr>
      </w:pPr>
      <w:r w:rsidRPr="00D32DDC">
        <w:rPr>
          <w:rFonts w:eastAsia="Times New Roman" w:cstheme="minorHAnsi"/>
          <w:i/>
          <w:iCs/>
          <w:sz w:val="18"/>
          <w:szCs w:val="18"/>
          <w:vertAlign w:val="superscript"/>
        </w:rPr>
        <w:t>2</w:t>
      </w:r>
      <w:r w:rsidR="0067692E" w:rsidRPr="00D32DDC">
        <w:rPr>
          <w:rFonts w:eastAsia="Times New Roman" w:cstheme="minorHAnsi"/>
          <w:i/>
          <w:iCs/>
          <w:sz w:val="18"/>
          <w:szCs w:val="18"/>
          <w:vertAlign w:val="superscript"/>
        </w:rPr>
        <w:t xml:space="preserve"> </w:t>
      </w:r>
      <w:r w:rsidR="001753D2" w:rsidRPr="00D32DDC">
        <w:rPr>
          <w:rFonts w:eastAsia="Times New Roman" w:cstheme="minorHAnsi"/>
          <w:i/>
          <w:iCs/>
          <w:sz w:val="18"/>
          <w:szCs w:val="18"/>
          <w:vertAlign w:val="superscript"/>
        </w:rPr>
        <w:t xml:space="preserve"> </w:t>
      </w:r>
      <w:r w:rsidR="001753D2" w:rsidRPr="00B632C8">
        <w:rPr>
          <w:rFonts w:eastAsia="Times New Roman" w:cstheme="minorHAnsi"/>
          <w:i/>
          <w:iCs/>
          <w:sz w:val="18"/>
          <w:szCs w:val="18"/>
        </w:rPr>
        <w:t>5,000 to &lt; 10,000</w:t>
      </w:r>
    </w:p>
    <w:p w14:paraId="2D5DB81C" w14:textId="12EB36DF" w:rsidR="00A022EA" w:rsidRPr="00B632C8" w:rsidRDefault="00A022EA" w:rsidP="00D32DDC">
      <w:pPr>
        <w:pStyle w:val="TableText0"/>
        <w:rPr>
          <w:rFonts w:eastAsia="Times New Roman" w:cstheme="minorHAnsi"/>
          <w:i/>
          <w:iCs/>
          <w:sz w:val="18"/>
          <w:szCs w:val="18"/>
        </w:rPr>
      </w:pPr>
      <w:r w:rsidRPr="00D32DDC">
        <w:rPr>
          <w:rFonts w:eastAsia="Times New Roman" w:cstheme="minorHAnsi"/>
          <w:i/>
          <w:iCs/>
          <w:sz w:val="18"/>
          <w:szCs w:val="18"/>
          <w:vertAlign w:val="superscript"/>
        </w:rPr>
        <w:t xml:space="preserve">3 </w:t>
      </w:r>
      <w:r w:rsidR="006E1CCE" w:rsidRPr="00B632C8">
        <w:rPr>
          <w:rFonts w:eastAsia="Times New Roman" w:cstheme="minorHAnsi"/>
          <w:i/>
          <w:iCs/>
          <w:sz w:val="18"/>
          <w:szCs w:val="18"/>
        </w:rPr>
        <w:t>10,000 to &lt; 20,000</w:t>
      </w:r>
    </w:p>
    <w:p w14:paraId="10265E90" w14:textId="77777777" w:rsidR="00D32DDC" w:rsidRPr="00D32DDC" w:rsidRDefault="00D32DDC" w:rsidP="00D32DDC">
      <w:pPr>
        <w:pStyle w:val="TableText0"/>
        <w:rPr>
          <w:rFonts w:eastAsia="Times New Roman" w:cstheme="minorHAnsi"/>
          <w:i/>
          <w:iCs/>
          <w:sz w:val="18"/>
          <w:szCs w:val="18"/>
          <w:vertAlign w:val="superscript"/>
        </w:rPr>
      </w:pPr>
      <w:r w:rsidRPr="00D32DDC">
        <w:rPr>
          <w:rFonts w:eastAsia="Times New Roman" w:cstheme="minorHAnsi"/>
          <w:i/>
          <w:iCs/>
          <w:sz w:val="18"/>
          <w:szCs w:val="18"/>
          <w:vertAlign w:val="superscript"/>
        </w:rPr>
        <w:t xml:space="preserve">4 </w:t>
      </w:r>
      <w:r w:rsidRPr="00B632C8">
        <w:rPr>
          <w:rFonts w:eastAsia="Times New Roman" w:cstheme="minorHAnsi"/>
          <w:i/>
          <w:iCs/>
          <w:sz w:val="18"/>
          <w:szCs w:val="18"/>
        </w:rPr>
        <w:t>20,000 to &lt; 30,000</w:t>
      </w:r>
    </w:p>
    <w:p w14:paraId="2C6C800C" w14:textId="78785828" w:rsidR="00260F16" w:rsidRPr="00B632C8" w:rsidRDefault="00260F16" w:rsidP="00260F16">
      <w:pPr>
        <w:pStyle w:val="TableText0"/>
        <w:rPr>
          <w:rFonts w:eastAsia="Times New Roman" w:cstheme="minorHAnsi"/>
          <w:i/>
          <w:iCs/>
          <w:sz w:val="18"/>
          <w:szCs w:val="18"/>
        </w:rPr>
      </w:pPr>
      <w:r w:rsidRPr="00260F16">
        <w:rPr>
          <w:rFonts w:eastAsia="Times New Roman" w:cstheme="minorHAnsi"/>
          <w:i/>
          <w:iCs/>
          <w:sz w:val="18"/>
          <w:szCs w:val="18"/>
          <w:vertAlign w:val="superscript"/>
        </w:rPr>
        <w:t xml:space="preserve">5 </w:t>
      </w:r>
      <w:r w:rsidRPr="00B632C8">
        <w:rPr>
          <w:rFonts w:eastAsia="Times New Roman" w:cstheme="minorHAnsi"/>
          <w:i/>
          <w:iCs/>
          <w:sz w:val="18"/>
          <w:szCs w:val="18"/>
        </w:rPr>
        <w:t>30,000 to &lt; 40,000</w:t>
      </w:r>
    </w:p>
    <w:p w14:paraId="3B4ED969" w14:textId="77777777" w:rsidR="00B84D70" w:rsidRPr="00B84D70" w:rsidRDefault="00B84D70" w:rsidP="00B84D70">
      <w:pPr>
        <w:pStyle w:val="TableText0"/>
        <w:rPr>
          <w:rFonts w:eastAsia="Times New Roman" w:cstheme="minorHAnsi"/>
          <w:i/>
          <w:iCs/>
          <w:sz w:val="18"/>
          <w:szCs w:val="18"/>
          <w:vertAlign w:val="superscript"/>
        </w:rPr>
      </w:pPr>
      <w:r w:rsidRPr="00B632C8">
        <w:rPr>
          <w:rFonts w:eastAsia="Times New Roman" w:cstheme="minorHAnsi"/>
          <w:bCs w:val="0"/>
          <w:i/>
          <w:iCs/>
          <w:sz w:val="18"/>
          <w:szCs w:val="18"/>
          <w:vertAlign w:val="superscript"/>
        </w:rPr>
        <w:t>6</w:t>
      </w:r>
      <w:r w:rsidRPr="00B84D70">
        <w:rPr>
          <w:rFonts w:eastAsia="Times New Roman" w:cstheme="minorHAnsi"/>
          <w:b/>
          <w:i/>
          <w:iCs/>
          <w:sz w:val="18"/>
          <w:szCs w:val="18"/>
          <w:vertAlign w:val="superscript"/>
        </w:rPr>
        <w:t xml:space="preserve"> </w:t>
      </w:r>
      <w:r w:rsidRPr="00B632C8">
        <w:rPr>
          <w:rFonts w:eastAsia="Times New Roman" w:cstheme="minorHAnsi"/>
          <w:i/>
          <w:iCs/>
          <w:sz w:val="18"/>
          <w:szCs w:val="18"/>
        </w:rPr>
        <w:t>$0 to &lt; $10 million</w:t>
      </w:r>
    </w:p>
    <w:p w14:paraId="4B8AC72A" w14:textId="297C884D" w:rsidR="00A022EA" w:rsidRPr="0098262F" w:rsidRDefault="00AE2AD9" w:rsidP="00B632C8">
      <w:pPr>
        <w:pStyle w:val="TableText0"/>
        <w:spacing w:after="120"/>
        <w:rPr>
          <w:rStyle w:val="CommentReference"/>
        </w:rPr>
      </w:pPr>
      <w:r w:rsidRPr="00AE2AD9">
        <w:rPr>
          <w:rFonts w:eastAsia="Times New Roman" w:cstheme="minorHAnsi"/>
          <w:i/>
          <w:iCs/>
          <w:sz w:val="18"/>
          <w:szCs w:val="18"/>
          <w:vertAlign w:val="superscript"/>
        </w:rPr>
        <w:t xml:space="preserve">7 </w:t>
      </w:r>
      <w:r w:rsidRPr="00B632C8">
        <w:rPr>
          <w:rFonts w:eastAsia="Times New Roman" w:cstheme="minorHAnsi"/>
          <w:i/>
          <w:iCs/>
          <w:sz w:val="18"/>
          <w:szCs w:val="18"/>
        </w:rPr>
        <w:t>net cost saving</w:t>
      </w:r>
    </w:p>
    <w:p w14:paraId="63B83413" w14:textId="078ABA0E" w:rsidR="00293389" w:rsidRPr="0053245C" w:rsidRDefault="00293389" w:rsidP="00293389">
      <w:pPr>
        <w:pStyle w:val="3-BodyText"/>
      </w:pPr>
      <w:r w:rsidRPr="0053245C">
        <w:t>The submission inappropriately included cost savings from reduced GP visits and BMD scan; the impact of removal of these costs is shown in Table 12.</w:t>
      </w:r>
    </w:p>
    <w:p w14:paraId="5D1FE165" w14:textId="5CC3A285" w:rsidR="00050EE7" w:rsidRPr="0098262F" w:rsidRDefault="002016E5">
      <w:pPr>
        <w:pStyle w:val="3-BodyText"/>
      </w:pPr>
      <w:r>
        <w:t xml:space="preserve">At year 6, the estimated number of patients was </w:t>
      </w:r>
      <w:r w:rsidR="00CA28B1" w:rsidRPr="00CA28B1">
        <w:t>500 to &lt; 5,000</w:t>
      </w:r>
      <w:r w:rsidR="00113B61">
        <w:t xml:space="preserve"> and t</w:t>
      </w:r>
      <w:r w:rsidR="14A5429E" w:rsidRPr="0B5D70EC">
        <w:t>he total cost to the PBS/RPBS of listing</w:t>
      </w:r>
      <w:r w:rsidR="004D2D4E">
        <w:t xml:space="preserve"> CVR</w:t>
      </w:r>
      <w:r w:rsidR="14A5429E" w:rsidRPr="0B5D70EC">
        <w:t xml:space="preserve"> was estimated </w:t>
      </w:r>
      <w:r w:rsidR="119B5A76" w:rsidRPr="0B5D70EC">
        <w:t>to be</w:t>
      </w:r>
      <w:r w:rsidR="14A5429E" w:rsidRPr="0B5D70EC">
        <w:t xml:space="preserve"> </w:t>
      </w:r>
      <w:r w:rsidR="00CA28B1" w:rsidRPr="00CA28B1">
        <w:t>$0 to &lt; $10 million</w:t>
      </w:r>
      <w:r w:rsidR="00732D45">
        <w:t>.</w:t>
      </w:r>
      <w:r w:rsidR="14A5429E" w:rsidRPr="0B5D70EC">
        <w:t xml:space="preserve"> </w:t>
      </w:r>
      <w:r w:rsidR="005063B5">
        <w:t>The</w:t>
      </w:r>
      <w:r w:rsidR="14A5429E" w:rsidRPr="0B5D70EC">
        <w:t xml:space="preserve"> total</w:t>
      </w:r>
      <w:r w:rsidR="009228E4">
        <w:t xml:space="preserve"> cost to the PBS/RPBS</w:t>
      </w:r>
      <w:r w:rsidR="14A5429E" w:rsidRPr="0B5D70EC">
        <w:t xml:space="preserve"> </w:t>
      </w:r>
      <w:r w:rsidR="005063B5">
        <w:t>was estimated to be</w:t>
      </w:r>
      <w:r w:rsidR="14A5429E" w:rsidRPr="0B5D70EC">
        <w:t xml:space="preserve"> </w:t>
      </w:r>
      <w:r w:rsidR="00973E20" w:rsidRPr="00973E20">
        <w:t>$10 million to &lt; $20 million</w:t>
      </w:r>
      <w:r w:rsidR="14F628AC" w:rsidRPr="0B5D70EC">
        <w:t xml:space="preserve"> </w:t>
      </w:r>
      <w:r w:rsidR="14A5429E" w:rsidRPr="0B5D70EC">
        <w:t>in the first 6 years of listing</w:t>
      </w:r>
      <w:r w:rsidR="14F628AC" w:rsidRPr="00216241">
        <w:t>.</w:t>
      </w:r>
      <w:r w:rsidR="42A97776" w:rsidRPr="00E16A63">
        <w:rPr>
          <w:color w:val="3366FF"/>
        </w:rPr>
        <w:t xml:space="preserve"> </w:t>
      </w:r>
      <w:r w:rsidR="42A97776" w:rsidRPr="0B5D70EC">
        <w:t xml:space="preserve">The cost was due to the difference in price proposed for </w:t>
      </w:r>
      <w:r w:rsidR="1F421ADB" w:rsidRPr="0B5D70EC">
        <w:t xml:space="preserve">CVR </w:t>
      </w:r>
      <w:r w:rsidR="42A97776" w:rsidRPr="0B5D70EC">
        <w:t xml:space="preserve">compared to the comparators. </w:t>
      </w:r>
      <w:r w:rsidR="56BF2472" w:rsidRPr="0053245C">
        <w:t>The estimated use and cost w</w:t>
      </w:r>
      <w:r w:rsidR="06A7EC85" w:rsidRPr="0053245C">
        <w:t>ere</w:t>
      </w:r>
      <w:r w:rsidR="56BF2472" w:rsidRPr="0053245C">
        <w:t xml:space="preserve"> underestimate</w:t>
      </w:r>
      <w:r w:rsidR="06A7EC85" w:rsidRPr="0053245C">
        <w:t>d</w:t>
      </w:r>
      <w:r w:rsidR="56BF2472" w:rsidRPr="0053245C">
        <w:t>, given the likely use beyond the</w:t>
      </w:r>
      <w:r w:rsidR="00293389" w:rsidRPr="0053245C">
        <w:t xml:space="preserve"> proposed</w:t>
      </w:r>
      <w:r w:rsidR="56BF2472" w:rsidRPr="0053245C">
        <w:t xml:space="preserve"> restriction and the switch from other products not included in the estimates. </w:t>
      </w:r>
      <w:r w:rsidR="1F421ADB" w:rsidRPr="0053245C">
        <w:t>These assumptions could not be corrected during the evaluation.</w:t>
      </w:r>
      <w:r w:rsidR="00566038" w:rsidRPr="0053245C">
        <w:t xml:space="preserve"> </w:t>
      </w:r>
      <w:r w:rsidR="00050EE7" w:rsidRPr="0053245C">
        <w:t xml:space="preserve">The </w:t>
      </w:r>
      <w:r w:rsidR="00050EE7" w:rsidRPr="0053245C">
        <w:lastRenderedPageBreak/>
        <w:t>evaluation noted errors in the financial calculations provided in the submission and requested revised estimates.</w:t>
      </w:r>
    </w:p>
    <w:p w14:paraId="261A73F0" w14:textId="48A1953D" w:rsidR="001C37B9" w:rsidRDefault="0054070E" w:rsidP="00973E20">
      <w:pPr>
        <w:pStyle w:val="3-BodyText"/>
      </w:pPr>
      <w:r>
        <w:t xml:space="preserve">The submission presented </w:t>
      </w:r>
      <w:r w:rsidR="008850FD" w:rsidRPr="0054070E">
        <w:t>sensitivity analyses</w:t>
      </w:r>
      <w:r>
        <w:t>, varying uptake rates fr</w:t>
      </w:r>
      <w:r w:rsidR="006F2005">
        <w:t>o</w:t>
      </w:r>
      <w:r>
        <w:t xml:space="preserve">m current contraceptive users, the growth rate for </w:t>
      </w:r>
      <w:r w:rsidR="006F2005">
        <w:t xml:space="preserve">CVR </w:t>
      </w:r>
      <w:r>
        <w:t>prescription</w:t>
      </w:r>
      <w:r w:rsidR="003C15A9">
        <w:t>s</w:t>
      </w:r>
      <w:r>
        <w:t xml:space="preserve"> and adherence. These results are shown in </w:t>
      </w:r>
      <w:r w:rsidR="006F2005">
        <w:fldChar w:fldCharType="begin"/>
      </w:r>
      <w:r w:rsidR="006F2005">
        <w:instrText xml:space="preserve"> REF _Ref189739101 \h </w:instrText>
      </w:r>
      <w:r w:rsidR="006F2005">
        <w:fldChar w:fldCharType="separate"/>
      </w:r>
      <w:r w:rsidR="00896E34">
        <w:t xml:space="preserve">Table </w:t>
      </w:r>
      <w:r w:rsidR="00896E34">
        <w:rPr>
          <w:noProof/>
        </w:rPr>
        <w:t>13</w:t>
      </w:r>
      <w:r w:rsidR="006F2005">
        <w:fldChar w:fldCharType="end"/>
      </w:r>
      <w:r w:rsidR="006F2005">
        <w:t xml:space="preserve">. </w:t>
      </w:r>
      <w:r w:rsidR="006F2005" w:rsidRPr="0053245C">
        <w:t>A multivariate analysis would have been useful but the fundamental assumptions – restricted benef</w:t>
      </w:r>
      <w:r w:rsidR="001463EE" w:rsidRPr="0053245C">
        <w:t>it</w:t>
      </w:r>
      <w:r w:rsidR="00987849" w:rsidRPr="0053245C">
        <w:t xml:space="preserve"> and</w:t>
      </w:r>
      <w:r w:rsidR="006F2005" w:rsidRPr="0053245C">
        <w:t xml:space="preserve"> uptake primarily from DM</w:t>
      </w:r>
      <w:r w:rsidR="001463EE" w:rsidRPr="0053245C">
        <w:t>P</w:t>
      </w:r>
      <w:r w:rsidR="006F2005" w:rsidRPr="0053245C">
        <w:t>A</w:t>
      </w:r>
      <w:r w:rsidR="00987849" w:rsidRPr="0053245C">
        <w:t xml:space="preserve"> – </w:t>
      </w:r>
      <w:r w:rsidR="006F2005" w:rsidRPr="0053245C">
        <w:t>would need to be corrected first.</w:t>
      </w:r>
      <w:r w:rsidR="006F2005">
        <w:rPr>
          <w:i/>
          <w:iCs/>
        </w:rPr>
        <w:t xml:space="preserve"> </w:t>
      </w:r>
    </w:p>
    <w:p w14:paraId="4B1F3A56" w14:textId="1381C648" w:rsidR="0054070E" w:rsidRPr="00BD4A2A" w:rsidRDefault="00117B58" w:rsidP="00117B58">
      <w:pPr>
        <w:pStyle w:val="Caption"/>
      </w:pPr>
      <w:bookmarkStart w:id="50" w:name="_Ref189739101"/>
      <w:r>
        <w:t xml:space="preserve">Table </w:t>
      </w:r>
      <w:r w:rsidR="005E2A18">
        <w:fldChar w:fldCharType="begin"/>
      </w:r>
      <w:r w:rsidR="005E2A18">
        <w:instrText xml:space="preserve"> SEQ Table \* ARABIC </w:instrText>
      </w:r>
      <w:r w:rsidR="005E2A18">
        <w:fldChar w:fldCharType="separate"/>
      </w:r>
      <w:r w:rsidR="00896E34">
        <w:rPr>
          <w:noProof/>
        </w:rPr>
        <w:t>13</w:t>
      </w:r>
      <w:r w:rsidR="005E2A18">
        <w:rPr>
          <w:noProof/>
        </w:rPr>
        <w:fldChar w:fldCharType="end"/>
      </w:r>
      <w:bookmarkEnd w:id="50"/>
      <w:r>
        <w:t xml:space="preserve">: </w:t>
      </w:r>
      <w:r w:rsidR="0054070E" w:rsidRPr="00BD4A2A">
        <w:t>Sensitivity analyses – net cost to Government</w:t>
      </w:r>
    </w:p>
    <w:tbl>
      <w:tblPr>
        <w:tblW w:w="93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35"/>
        <w:gridCol w:w="993"/>
        <w:gridCol w:w="992"/>
        <w:gridCol w:w="992"/>
        <w:gridCol w:w="992"/>
        <w:gridCol w:w="993"/>
        <w:gridCol w:w="991"/>
      </w:tblGrid>
      <w:tr w:rsidR="00E4551D" w:rsidRPr="00BD4A2A" w14:paraId="73E1C96E" w14:textId="77777777" w:rsidTr="00AE51FC">
        <w:trPr>
          <w:trHeight w:val="115"/>
        </w:trPr>
        <w:tc>
          <w:tcPr>
            <w:tcW w:w="3435" w:type="dxa"/>
            <w:vMerge w:val="restart"/>
            <w:vAlign w:val="center"/>
          </w:tcPr>
          <w:p w14:paraId="080DC21F" w14:textId="77777777" w:rsidR="0054070E" w:rsidRPr="006B7E4E" w:rsidRDefault="0054070E" w:rsidP="0054070E">
            <w:pPr>
              <w:pStyle w:val="Tabletext"/>
              <w:rPr>
                <w:b/>
                <w:bCs/>
                <w:lang w:eastAsia="ja-JP"/>
              </w:rPr>
            </w:pPr>
            <w:r w:rsidRPr="006B7E4E">
              <w:rPr>
                <w:b/>
                <w:bCs/>
                <w:lang w:eastAsia="ja-JP"/>
              </w:rPr>
              <w:t>Net cost to PBS + RPBS</w:t>
            </w:r>
          </w:p>
        </w:tc>
        <w:tc>
          <w:tcPr>
            <w:tcW w:w="993" w:type="dxa"/>
            <w:vAlign w:val="center"/>
          </w:tcPr>
          <w:p w14:paraId="12DCE0AD" w14:textId="77777777" w:rsidR="0054070E" w:rsidRPr="006B7E4E" w:rsidRDefault="0054070E" w:rsidP="00AE51FC">
            <w:pPr>
              <w:pStyle w:val="Tabletext"/>
              <w:jc w:val="center"/>
              <w:rPr>
                <w:b/>
                <w:bCs/>
                <w:lang w:eastAsia="ja-JP"/>
              </w:rPr>
            </w:pPr>
            <w:r w:rsidRPr="006B7E4E">
              <w:rPr>
                <w:b/>
                <w:bCs/>
                <w:lang w:eastAsia="ja-JP"/>
              </w:rPr>
              <w:t>Year 1</w:t>
            </w:r>
          </w:p>
        </w:tc>
        <w:tc>
          <w:tcPr>
            <w:tcW w:w="992" w:type="dxa"/>
            <w:vAlign w:val="center"/>
          </w:tcPr>
          <w:p w14:paraId="3EA41647" w14:textId="77777777" w:rsidR="0054070E" w:rsidRPr="006B7E4E" w:rsidRDefault="0054070E" w:rsidP="00AE51FC">
            <w:pPr>
              <w:pStyle w:val="Tabletext"/>
              <w:jc w:val="center"/>
              <w:rPr>
                <w:b/>
                <w:bCs/>
                <w:lang w:eastAsia="ja-JP"/>
              </w:rPr>
            </w:pPr>
            <w:r w:rsidRPr="006B7E4E">
              <w:rPr>
                <w:b/>
                <w:bCs/>
                <w:lang w:eastAsia="ja-JP"/>
              </w:rPr>
              <w:t>Year 2</w:t>
            </w:r>
          </w:p>
        </w:tc>
        <w:tc>
          <w:tcPr>
            <w:tcW w:w="992" w:type="dxa"/>
            <w:vAlign w:val="center"/>
          </w:tcPr>
          <w:p w14:paraId="37F77BEF" w14:textId="77777777" w:rsidR="0054070E" w:rsidRPr="006B7E4E" w:rsidRDefault="0054070E" w:rsidP="00AE51FC">
            <w:pPr>
              <w:pStyle w:val="Tabletext"/>
              <w:jc w:val="center"/>
              <w:rPr>
                <w:b/>
                <w:bCs/>
                <w:lang w:eastAsia="ja-JP"/>
              </w:rPr>
            </w:pPr>
            <w:r w:rsidRPr="006B7E4E">
              <w:rPr>
                <w:b/>
                <w:bCs/>
                <w:lang w:eastAsia="ja-JP"/>
              </w:rPr>
              <w:t>Year 3</w:t>
            </w:r>
          </w:p>
        </w:tc>
        <w:tc>
          <w:tcPr>
            <w:tcW w:w="992" w:type="dxa"/>
            <w:vAlign w:val="center"/>
          </w:tcPr>
          <w:p w14:paraId="2C5A4702" w14:textId="77777777" w:rsidR="0054070E" w:rsidRPr="006B7E4E" w:rsidRDefault="0054070E" w:rsidP="00AE51FC">
            <w:pPr>
              <w:pStyle w:val="Tabletext"/>
              <w:jc w:val="center"/>
              <w:rPr>
                <w:b/>
                <w:bCs/>
                <w:lang w:eastAsia="ja-JP"/>
              </w:rPr>
            </w:pPr>
            <w:r w:rsidRPr="006B7E4E">
              <w:rPr>
                <w:b/>
                <w:bCs/>
                <w:lang w:eastAsia="ja-JP"/>
              </w:rPr>
              <w:t>Year 4</w:t>
            </w:r>
          </w:p>
        </w:tc>
        <w:tc>
          <w:tcPr>
            <w:tcW w:w="993" w:type="dxa"/>
            <w:vAlign w:val="center"/>
          </w:tcPr>
          <w:p w14:paraId="1E62E0A2" w14:textId="77777777" w:rsidR="0054070E" w:rsidRPr="006B7E4E" w:rsidRDefault="0054070E" w:rsidP="00AE51FC">
            <w:pPr>
              <w:pStyle w:val="Tabletext"/>
              <w:jc w:val="center"/>
              <w:rPr>
                <w:b/>
                <w:bCs/>
                <w:lang w:eastAsia="ja-JP"/>
              </w:rPr>
            </w:pPr>
            <w:r w:rsidRPr="006B7E4E">
              <w:rPr>
                <w:b/>
                <w:bCs/>
                <w:lang w:eastAsia="ja-JP"/>
              </w:rPr>
              <w:t>Year 5</w:t>
            </w:r>
          </w:p>
        </w:tc>
        <w:tc>
          <w:tcPr>
            <w:tcW w:w="991" w:type="dxa"/>
            <w:vAlign w:val="center"/>
          </w:tcPr>
          <w:p w14:paraId="52507693" w14:textId="77777777" w:rsidR="0054070E" w:rsidRPr="006B7E4E" w:rsidRDefault="0054070E" w:rsidP="00AE51FC">
            <w:pPr>
              <w:pStyle w:val="Tabletext"/>
              <w:jc w:val="center"/>
              <w:rPr>
                <w:b/>
                <w:bCs/>
                <w:lang w:eastAsia="ja-JP"/>
              </w:rPr>
            </w:pPr>
            <w:r w:rsidRPr="006B7E4E">
              <w:rPr>
                <w:b/>
                <w:bCs/>
                <w:lang w:eastAsia="ja-JP"/>
              </w:rPr>
              <w:t>Year 6</w:t>
            </w:r>
          </w:p>
        </w:tc>
      </w:tr>
      <w:tr w:rsidR="00E4551D" w:rsidRPr="00BD4A2A" w14:paraId="38486EEC" w14:textId="77777777" w:rsidTr="00AE51FC">
        <w:trPr>
          <w:trHeight w:val="115"/>
        </w:trPr>
        <w:tc>
          <w:tcPr>
            <w:tcW w:w="3435" w:type="dxa"/>
            <w:vMerge/>
            <w:vAlign w:val="center"/>
          </w:tcPr>
          <w:p w14:paraId="37F96D9C" w14:textId="77777777" w:rsidR="0054070E" w:rsidRPr="006B7E4E" w:rsidRDefault="0054070E" w:rsidP="0054070E">
            <w:pPr>
              <w:pStyle w:val="Tabletext"/>
              <w:rPr>
                <w:b/>
                <w:bCs/>
                <w:lang w:eastAsia="ja-JP"/>
              </w:rPr>
            </w:pPr>
          </w:p>
        </w:tc>
        <w:tc>
          <w:tcPr>
            <w:tcW w:w="993" w:type="dxa"/>
            <w:vAlign w:val="center"/>
          </w:tcPr>
          <w:p w14:paraId="76EEBBAE" w14:textId="77777777" w:rsidR="0054070E" w:rsidRPr="006B7E4E" w:rsidRDefault="0054070E" w:rsidP="00AE51FC">
            <w:pPr>
              <w:pStyle w:val="Tabletext"/>
              <w:jc w:val="center"/>
              <w:rPr>
                <w:b/>
                <w:bCs/>
                <w:lang w:eastAsia="ja-JP"/>
              </w:rPr>
            </w:pPr>
            <w:r w:rsidRPr="006B7E4E">
              <w:rPr>
                <w:b/>
                <w:bCs/>
                <w:lang w:eastAsia="ja-JP"/>
              </w:rPr>
              <w:t>2026</w:t>
            </w:r>
          </w:p>
        </w:tc>
        <w:tc>
          <w:tcPr>
            <w:tcW w:w="992" w:type="dxa"/>
            <w:vAlign w:val="center"/>
          </w:tcPr>
          <w:p w14:paraId="3FA30363" w14:textId="77777777" w:rsidR="0054070E" w:rsidRPr="006B7E4E" w:rsidRDefault="0054070E" w:rsidP="00AE51FC">
            <w:pPr>
              <w:pStyle w:val="Tabletext"/>
              <w:jc w:val="center"/>
              <w:rPr>
                <w:b/>
                <w:bCs/>
                <w:lang w:eastAsia="ja-JP"/>
              </w:rPr>
            </w:pPr>
            <w:r w:rsidRPr="006B7E4E">
              <w:rPr>
                <w:b/>
                <w:bCs/>
                <w:lang w:eastAsia="ja-JP"/>
              </w:rPr>
              <w:t>2027</w:t>
            </w:r>
          </w:p>
        </w:tc>
        <w:tc>
          <w:tcPr>
            <w:tcW w:w="992" w:type="dxa"/>
            <w:vAlign w:val="center"/>
          </w:tcPr>
          <w:p w14:paraId="6BC5CC7F" w14:textId="77777777" w:rsidR="0054070E" w:rsidRPr="006B7E4E" w:rsidRDefault="0054070E" w:rsidP="00AE51FC">
            <w:pPr>
              <w:pStyle w:val="Tabletext"/>
              <w:jc w:val="center"/>
              <w:rPr>
                <w:b/>
                <w:bCs/>
                <w:lang w:eastAsia="ja-JP"/>
              </w:rPr>
            </w:pPr>
            <w:r w:rsidRPr="006B7E4E">
              <w:rPr>
                <w:b/>
                <w:bCs/>
                <w:lang w:eastAsia="ja-JP"/>
              </w:rPr>
              <w:t>2028</w:t>
            </w:r>
          </w:p>
        </w:tc>
        <w:tc>
          <w:tcPr>
            <w:tcW w:w="992" w:type="dxa"/>
            <w:vAlign w:val="center"/>
          </w:tcPr>
          <w:p w14:paraId="1E4314AE" w14:textId="77777777" w:rsidR="0054070E" w:rsidRPr="006B7E4E" w:rsidRDefault="0054070E" w:rsidP="00AE51FC">
            <w:pPr>
              <w:pStyle w:val="Tabletext"/>
              <w:jc w:val="center"/>
              <w:rPr>
                <w:b/>
                <w:bCs/>
                <w:lang w:eastAsia="ja-JP"/>
              </w:rPr>
            </w:pPr>
            <w:r w:rsidRPr="006B7E4E">
              <w:rPr>
                <w:b/>
                <w:bCs/>
                <w:lang w:eastAsia="ja-JP"/>
              </w:rPr>
              <w:t>2029</w:t>
            </w:r>
          </w:p>
        </w:tc>
        <w:tc>
          <w:tcPr>
            <w:tcW w:w="993" w:type="dxa"/>
            <w:vAlign w:val="center"/>
          </w:tcPr>
          <w:p w14:paraId="0E7D2A4F" w14:textId="77777777" w:rsidR="0054070E" w:rsidRPr="006B7E4E" w:rsidRDefault="0054070E" w:rsidP="00AE51FC">
            <w:pPr>
              <w:pStyle w:val="Tabletext"/>
              <w:jc w:val="center"/>
              <w:rPr>
                <w:b/>
                <w:bCs/>
                <w:lang w:eastAsia="ja-JP"/>
              </w:rPr>
            </w:pPr>
            <w:r w:rsidRPr="006B7E4E">
              <w:rPr>
                <w:b/>
                <w:bCs/>
                <w:lang w:eastAsia="ja-JP"/>
              </w:rPr>
              <w:t>2030</w:t>
            </w:r>
          </w:p>
        </w:tc>
        <w:tc>
          <w:tcPr>
            <w:tcW w:w="991" w:type="dxa"/>
            <w:vAlign w:val="center"/>
          </w:tcPr>
          <w:p w14:paraId="72CCDD08" w14:textId="77777777" w:rsidR="0054070E" w:rsidRPr="006B7E4E" w:rsidRDefault="0054070E" w:rsidP="00AE51FC">
            <w:pPr>
              <w:pStyle w:val="Tabletext"/>
              <w:jc w:val="center"/>
              <w:rPr>
                <w:b/>
                <w:bCs/>
                <w:lang w:eastAsia="ja-JP"/>
              </w:rPr>
            </w:pPr>
            <w:r w:rsidRPr="006B7E4E">
              <w:rPr>
                <w:b/>
                <w:bCs/>
                <w:lang w:eastAsia="ja-JP"/>
              </w:rPr>
              <w:t>2031</w:t>
            </w:r>
          </w:p>
        </w:tc>
      </w:tr>
      <w:tr w:rsidR="00F55FE1" w:rsidRPr="00BD4A2A" w14:paraId="1146228B" w14:textId="77777777" w:rsidTr="00AE51FC">
        <w:trPr>
          <w:trHeight w:val="115"/>
        </w:trPr>
        <w:tc>
          <w:tcPr>
            <w:tcW w:w="3435" w:type="dxa"/>
            <w:vAlign w:val="center"/>
          </w:tcPr>
          <w:p w14:paraId="4DD426AE" w14:textId="77777777" w:rsidR="0054070E" w:rsidRPr="00BD4A2A" w:rsidRDefault="0054070E" w:rsidP="0054070E">
            <w:pPr>
              <w:pStyle w:val="Tabletext"/>
              <w:rPr>
                <w:lang w:eastAsia="ja-JP"/>
              </w:rPr>
            </w:pPr>
            <w:r w:rsidRPr="00BD4A2A">
              <w:rPr>
                <w:lang w:eastAsia="ja-JP"/>
              </w:rPr>
              <w:t>Base case</w:t>
            </w:r>
          </w:p>
        </w:tc>
        <w:tc>
          <w:tcPr>
            <w:tcW w:w="993" w:type="dxa"/>
            <w:vAlign w:val="center"/>
          </w:tcPr>
          <w:p w14:paraId="5EDCBDF8" w14:textId="04D6F500"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402"/>
                <w14:textFill>
                  <w14:solidFill>
                    <w14:srgbClr w14:val="000000">
                      <w14:alpha w14:val="100000"/>
                    </w14:srgbClr>
                  </w14:solidFill>
                </w14:textFill>
              </w:rPr>
              <w:t>|||</w:t>
            </w:r>
            <w:r w:rsidR="00EA4DFF" w:rsidRPr="00EA4DFF">
              <w:rPr>
                <w:color w:val="000000"/>
                <w:spacing w:val="3"/>
                <w:szCs w:val="20"/>
                <w:shd w:val="solid" w:color="000000" w:fill="000000"/>
                <w:fitText w:val="320" w:id="-663580402"/>
                <w14:textFill>
                  <w14:solidFill>
                    <w14:srgbClr w14:val="000000">
                      <w14:alpha w14:val="100000"/>
                    </w14:srgbClr>
                  </w14:solidFill>
                </w14:textFill>
              </w:rPr>
              <w:t>|</w:t>
            </w:r>
            <w:r w:rsidR="00624AB2" w:rsidRPr="00AE51FC">
              <w:rPr>
                <w:rFonts w:cstheme="minorHAnsi"/>
                <w:bCs/>
                <w:szCs w:val="20"/>
                <w:vertAlign w:val="superscript"/>
              </w:rPr>
              <w:t>1</w:t>
            </w:r>
          </w:p>
        </w:tc>
        <w:tc>
          <w:tcPr>
            <w:tcW w:w="992" w:type="dxa"/>
            <w:vAlign w:val="center"/>
          </w:tcPr>
          <w:p w14:paraId="5570CE5A" w14:textId="1E45A7A6" w:rsidR="0054070E" w:rsidRPr="00AE51FC" w:rsidRDefault="0054070E" w:rsidP="00AE51FC">
            <w:pPr>
              <w:pStyle w:val="Tabletext"/>
              <w:jc w:val="center"/>
              <w:rPr>
                <w:szCs w:val="20"/>
                <w:highlight w:val="lightGray"/>
              </w:rPr>
            </w:pPr>
            <w:r w:rsidRPr="00AE51FC">
              <w:rPr>
                <w:szCs w:val="20"/>
              </w:rPr>
              <w:t>$</w:t>
            </w:r>
            <w:r w:rsidR="00EA4DFF" w:rsidRPr="00EA4DFF">
              <w:rPr>
                <w:color w:val="000000"/>
                <w:spacing w:val="53"/>
                <w:szCs w:val="20"/>
                <w:shd w:val="solid" w:color="000000" w:fill="000000"/>
                <w:fitText w:val="330" w:id="-663580401"/>
                <w14:textFill>
                  <w14:solidFill>
                    <w14:srgbClr w14:val="000000">
                      <w14:alpha w14:val="100000"/>
                    </w14:srgbClr>
                  </w14:solidFill>
                </w14:textFill>
              </w:rPr>
              <w:t>|||</w:t>
            </w:r>
            <w:r w:rsidR="00EA4DFF" w:rsidRPr="00EA4DFF">
              <w:rPr>
                <w:color w:val="000000"/>
                <w:spacing w:val="1"/>
                <w:szCs w:val="20"/>
                <w:shd w:val="solid" w:color="000000" w:fill="000000"/>
                <w:fitText w:val="330" w:id="-663580401"/>
                <w14:textFill>
                  <w14:solidFill>
                    <w14:srgbClr w14:val="000000">
                      <w14:alpha w14:val="100000"/>
                    </w14:srgbClr>
                  </w14:solidFill>
                </w14:textFill>
              </w:rPr>
              <w:t>|</w:t>
            </w:r>
            <w:r w:rsidR="00624AB2" w:rsidRPr="00AE51FC">
              <w:rPr>
                <w:rFonts w:cstheme="minorHAnsi"/>
                <w:bCs/>
                <w:szCs w:val="20"/>
                <w:vertAlign w:val="superscript"/>
              </w:rPr>
              <w:t>1</w:t>
            </w:r>
          </w:p>
        </w:tc>
        <w:tc>
          <w:tcPr>
            <w:tcW w:w="992" w:type="dxa"/>
            <w:vAlign w:val="center"/>
          </w:tcPr>
          <w:p w14:paraId="63A924D1" w14:textId="5F99D3B9"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400"/>
                <w14:textFill>
                  <w14:solidFill>
                    <w14:srgbClr w14:val="000000">
                      <w14:alpha w14:val="100000"/>
                    </w14:srgbClr>
                  </w14:solidFill>
                </w14:textFill>
              </w:rPr>
              <w:t>|||</w:t>
            </w:r>
            <w:r w:rsidR="00EA4DFF" w:rsidRPr="00EA4DFF">
              <w:rPr>
                <w:color w:val="000000"/>
                <w:spacing w:val="1"/>
                <w:szCs w:val="20"/>
                <w:shd w:val="solid" w:color="000000" w:fill="000000"/>
                <w:fitText w:val="330" w:id="-663580400"/>
                <w14:textFill>
                  <w14:solidFill>
                    <w14:srgbClr w14:val="000000">
                      <w14:alpha w14:val="100000"/>
                    </w14:srgbClr>
                  </w14:solidFill>
                </w14:textFill>
              </w:rPr>
              <w:t>|</w:t>
            </w:r>
            <w:r w:rsidR="00624AB2" w:rsidRPr="00AE51FC">
              <w:rPr>
                <w:rFonts w:cstheme="minorHAnsi"/>
                <w:bCs/>
                <w:szCs w:val="20"/>
                <w:vertAlign w:val="superscript"/>
              </w:rPr>
              <w:t>1</w:t>
            </w:r>
          </w:p>
        </w:tc>
        <w:tc>
          <w:tcPr>
            <w:tcW w:w="992" w:type="dxa"/>
            <w:vAlign w:val="center"/>
          </w:tcPr>
          <w:p w14:paraId="6AF642C2" w14:textId="186112DB"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416"/>
                <w14:textFill>
                  <w14:solidFill>
                    <w14:srgbClr w14:val="000000">
                      <w14:alpha w14:val="100000"/>
                    </w14:srgbClr>
                  </w14:solidFill>
                </w14:textFill>
              </w:rPr>
              <w:t>|||</w:t>
            </w:r>
            <w:r w:rsidR="00EA4DFF" w:rsidRPr="00EA4DFF">
              <w:rPr>
                <w:color w:val="000000"/>
                <w:spacing w:val="1"/>
                <w:szCs w:val="20"/>
                <w:shd w:val="solid" w:color="000000" w:fill="000000"/>
                <w:fitText w:val="330" w:id="-663580416"/>
                <w14:textFill>
                  <w14:solidFill>
                    <w14:srgbClr w14:val="000000">
                      <w14:alpha w14:val="100000"/>
                    </w14:srgbClr>
                  </w14:solidFill>
                </w14:textFill>
              </w:rPr>
              <w:t>|</w:t>
            </w:r>
            <w:r w:rsidR="00624AB2" w:rsidRPr="00AE51FC">
              <w:rPr>
                <w:rFonts w:cstheme="minorHAnsi"/>
                <w:bCs/>
                <w:szCs w:val="20"/>
                <w:vertAlign w:val="superscript"/>
              </w:rPr>
              <w:t>1</w:t>
            </w:r>
          </w:p>
        </w:tc>
        <w:tc>
          <w:tcPr>
            <w:tcW w:w="993" w:type="dxa"/>
            <w:vAlign w:val="center"/>
          </w:tcPr>
          <w:p w14:paraId="046C0EB5" w14:textId="5CCB08A3" w:rsidR="0054070E" w:rsidRPr="00AE51FC" w:rsidRDefault="0054070E" w:rsidP="00AE51FC">
            <w:pPr>
              <w:pStyle w:val="Tabletext"/>
              <w:jc w:val="center"/>
              <w:rPr>
                <w:szCs w:val="20"/>
                <w:highlight w:val="lightGray"/>
              </w:rPr>
            </w:pPr>
            <w:r w:rsidRPr="00AE51FC">
              <w:rPr>
                <w:szCs w:val="20"/>
              </w:rPr>
              <w:t>$</w:t>
            </w:r>
            <w:r w:rsidR="00EA4DFF" w:rsidRPr="00EA4DFF">
              <w:rPr>
                <w:color w:val="000000"/>
                <w:spacing w:val="49"/>
                <w:szCs w:val="20"/>
                <w:shd w:val="solid" w:color="000000" w:fill="000000"/>
                <w:fitText w:val="320" w:id="-663580415"/>
                <w14:textFill>
                  <w14:solidFill>
                    <w14:srgbClr w14:val="000000">
                      <w14:alpha w14:val="100000"/>
                    </w14:srgbClr>
                  </w14:solidFill>
                </w14:textFill>
              </w:rPr>
              <w:t>|||</w:t>
            </w:r>
            <w:r w:rsidR="00EA4DFF" w:rsidRPr="00EA4DFF">
              <w:rPr>
                <w:color w:val="000000"/>
                <w:spacing w:val="3"/>
                <w:szCs w:val="20"/>
                <w:shd w:val="solid" w:color="000000" w:fill="000000"/>
                <w:fitText w:val="320" w:id="-663580415"/>
                <w14:textFill>
                  <w14:solidFill>
                    <w14:srgbClr w14:val="000000">
                      <w14:alpha w14:val="100000"/>
                    </w14:srgbClr>
                  </w14:solidFill>
                </w14:textFill>
              </w:rPr>
              <w:t>|</w:t>
            </w:r>
            <w:r w:rsidR="00624AB2" w:rsidRPr="00AE51FC">
              <w:rPr>
                <w:rFonts w:cstheme="minorHAnsi"/>
                <w:bCs/>
                <w:szCs w:val="20"/>
                <w:vertAlign w:val="superscript"/>
              </w:rPr>
              <w:t>1</w:t>
            </w:r>
          </w:p>
        </w:tc>
        <w:tc>
          <w:tcPr>
            <w:tcW w:w="991" w:type="dxa"/>
            <w:vAlign w:val="center"/>
          </w:tcPr>
          <w:p w14:paraId="407CDD64" w14:textId="6E7D084C"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414"/>
                <w14:textFill>
                  <w14:solidFill>
                    <w14:srgbClr w14:val="000000">
                      <w14:alpha w14:val="100000"/>
                    </w14:srgbClr>
                  </w14:solidFill>
                </w14:textFill>
              </w:rPr>
              <w:t>|||</w:t>
            </w:r>
            <w:r w:rsidR="00EA4DFF" w:rsidRPr="00EA4DFF">
              <w:rPr>
                <w:color w:val="000000"/>
                <w:spacing w:val="1"/>
                <w:szCs w:val="20"/>
                <w:shd w:val="solid" w:color="000000" w:fill="000000"/>
                <w:fitText w:val="330" w:id="-663580414"/>
                <w14:textFill>
                  <w14:solidFill>
                    <w14:srgbClr w14:val="000000">
                      <w14:alpha w14:val="100000"/>
                    </w14:srgbClr>
                  </w14:solidFill>
                </w14:textFill>
              </w:rPr>
              <w:t>|</w:t>
            </w:r>
            <w:r w:rsidR="00624AB2" w:rsidRPr="00AE51FC">
              <w:rPr>
                <w:rFonts w:cstheme="minorHAnsi"/>
                <w:bCs/>
                <w:szCs w:val="20"/>
                <w:vertAlign w:val="superscript"/>
              </w:rPr>
              <w:t>1</w:t>
            </w:r>
          </w:p>
        </w:tc>
      </w:tr>
      <w:tr w:rsidR="00F55FE1" w:rsidRPr="00BD4A2A" w14:paraId="48B80B72" w14:textId="77777777" w:rsidTr="00AE51FC">
        <w:trPr>
          <w:trHeight w:val="115"/>
        </w:trPr>
        <w:tc>
          <w:tcPr>
            <w:tcW w:w="3435" w:type="dxa"/>
            <w:vAlign w:val="center"/>
          </w:tcPr>
          <w:p w14:paraId="4AA7E079" w14:textId="7B5568DF" w:rsidR="0054070E" w:rsidRPr="00BD4A2A" w:rsidRDefault="0054070E" w:rsidP="0054070E">
            <w:pPr>
              <w:pStyle w:val="Tabletext"/>
              <w:rPr>
                <w:lang w:eastAsia="ja-JP"/>
              </w:rPr>
            </w:pPr>
            <w:r w:rsidRPr="00BD4A2A">
              <w:rPr>
                <w:lang w:eastAsia="ja-JP"/>
              </w:rPr>
              <w:t xml:space="preserve">Max uptake rate from DMPA increased from </w:t>
            </w:r>
            <w:r w:rsidR="00EA4DFF" w:rsidRPr="00EA4DFF">
              <w:rPr>
                <w:color w:val="000000"/>
                <w:spacing w:val="53"/>
                <w:shd w:val="solid" w:color="000000" w:fill="000000"/>
                <w:fitText w:val="330" w:id="-663580413"/>
                <w:lang w:eastAsia="ja-JP"/>
                <w14:textFill>
                  <w14:solidFill>
                    <w14:srgbClr w14:val="000000">
                      <w14:alpha w14:val="100000"/>
                    </w14:srgbClr>
                  </w14:solidFill>
                </w14:textFill>
              </w:rPr>
              <w:t>|||</w:t>
            </w:r>
            <w:r w:rsidR="00EA4DFF" w:rsidRPr="00EA4DFF">
              <w:rPr>
                <w:color w:val="000000"/>
                <w:spacing w:val="1"/>
                <w:shd w:val="solid" w:color="000000" w:fill="000000"/>
                <w:fitText w:val="330" w:id="-663580413"/>
                <w:lang w:eastAsia="ja-JP"/>
                <w14:textFill>
                  <w14:solidFill>
                    <w14:srgbClr w14:val="000000">
                      <w14:alpha w14:val="100000"/>
                    </w14:srgbClr>
                  </w14:solidFill>
                </w14:textFill>
              </w:rPr>
              <w:t>|</w:t>
            </w:r>
            <w:r w:rsidRPr="00BD4A2A">
              <w:rPr>
                <w:lang w:eastAsia="ja-JP"/>
              </w:rPr>
              <w:t xml:space="preserve">% to </w:t>
            </w:r>
            <w:r w:rsidR="00EA4DFF" w:rsidRPr="00EA4DFF">
              <w:rPr>
                <w:color w:val="000000"/>
                <w:spacing w:val="53"/>
                <w:shd w:val="solid" w:color="000000" w:fill="000000"/>
                <w:fitText w:val="330" w:id="-663580412"/>
                <w:lang w:eastAsia="ja-JP"/>
                <w14:textFill>
                  <w14:solidFill>
                    <w14:srgbClr w14:val="000000">
                      <w14:alpha w14:val="100000"/>
                    </w14:srgbClr>
                  </w14:solidFill>
                </w14:textFill>
              </w:rPr>
              <w:t>|||</w:t>
            </w:r>
            <w:r w:rsidR="00EA4DFF" w:rsidRPr="00EA4DFF">
              <w:rPr>
                <w:color w:val="000000"/>
                <w:spacing w:val="1"/>
                <w:shd w:val="solid" w:color="000000" w:fill="000000"/>
                <w:fitText w:val="330" w:id="-663580412"/>
                <w:lang w:eastAsia="ja-JP"/>
                <w14:textFill>
                  <w14:solidFill>
                    <w14:srgbClr w14:val="000000">
                      <w14:alpha w14:val="100000"/>
                    </w14:srgbClr>
                  </w14:solidFill>
                </w14:textFill>
              </w:rPr>
              <w:t>|</w:t>
            </w:r>
            <w:r w:rsidRPr="00BD4A2A">
              <w:rPr>
                <w:lang w:eastAsia="ja-JP"/>
              </w:rPr>
              <w:t>%</w:t>
            </w:r>
          </w:p>
        </w:tc>
        <w:tc>
          <w:tcPr>
            <w:tcW w:w="993" w:type="dxa"/>
            <w:vAlign w:val="center"/>
          </w:tcPr>
          <w:p w14:paraId="255B61B8" w14:textId="1ADDBAF7"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411"/>
                <w14:textFill>
                  <w14:solidFill>
                    <w14:srgbClr w14:val="000000">
                      <w14:alpha w14:val="100000"/>
                    </w14:srgbClr>
                  </w14:solidFill>
                </w14:textFill>
              </w:rPr>
              <w:t>|||</w:t>
            </w:r>
            <w:r w:rsidR="00EA4DFF" w:rsidRPr="00EA4DFF">
              <w:rPr>
                <w:color w:val="000000"/>
                <w:spacing w:val="3"/>
                <w:szCs w:val="20"/>
                <w:shd w:val="solid" w:color="000000" w:fill="000000"/>
                <w:fitText w:val="320" w:id="-663580411"/>
                <w14:textFill>
                  <w14:solidFill>
                    <w14:srgbClr w14:val="000000">
                      <w14:alpha w14:val="100000"/>
                    </w14:srgbClr>
                  </w14:solidFill>
                </w14:textFill>
              </w:rPr>
              <w:t>|</w:t>
            </w:r>
            <w:r w:rsidR="00624AB2" w:rsidRPr="00AE51FC">
              <w:rPr>
                <w:rFonts w:cstheme="minorHAnsi"/>
                <w:bCs/>
                <w:szCs w:val="20"/>
                <w:vertAlign w:val="superscript"/>
              </w:rPr>
              <w:t>1</w:t>
            </w:r>
          </w:p>
        </w:tc>
        <w:tc>
          <w:tcPr>
            <w:tcW w:w="992" w:type="dxa"/>
            <w:vAlign w:val="center"/>
          </w:tcPr>
          <w:p w14:paraId="3DC08891" w14:textId="51CC4369"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410"/>
                <w14:textFill>
                  <w14:solidFill>
                    <w14:srgbClr w14:val="000000">
                      <w14:alpha w14:val="100000"/>
                    </w14:srgbClr>
                  </w14:solidFill>
                </w14:textFill>
              </w:rPr>
              <w:t>|||</w:t>
            </w:r>
            <w:r w:rsidR="00EA4DFF" w:rsidRPr="00EA4DFF">
              <w:rPr>
                <w:color w:val="000000"/>
                <w:spacing w:val="1"/>
                <w:szCs w:val="20"/>
                <w:shd w:val="solid" w:color="000000" w:fill="000000"/>
                <w:fitText w:val="330" w:id="-663580410"/>
                <w14:textFill>
                  <w14:solidFill>
                    <w14:srgbClr w14:val="000000">
                      <w14:alpha w14:val="100000"/>
                    </w14:srgbClr>
                  </w14:solidFill>
                </w14:textFill>
              </w:rPr>
              <w:t>|</w:t>
            </w:r>
            <w:r w:rsidR="00624AB2" w:rsidRPr="00AE51FC">
              <w:rPr>
                <w:rFonts w:cstheme="minorHAnsi"/>
                <w:bCs/>
                <w:szCs w:val="20"/>
                <w:vertAlign w:val="superscript"/>
              </w:rPr>
              <w:t>1</w:t>
            </w:r>
          </w:p>
        </w:tc>
        <w:tc>
          <w:tcPr>
            <w:tcW w:w="992" w:type="dxa"/>
            <w:vAlign w:val="center"/>
          </w:tcPr>
          <w:p w14:paraId="1E43E969" w14:textId="11049E67"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409"/>
                <w14:textFill>
                  <w14:solidFill>
                    <w14:srgbClr w14:val="000000">
                      <w14:alpha w14:val="100000"/>
                    </w14:srgbClr>
                  </w14:solidFill>
                </w14:textFill>
              </w:rPr>
              <w:t>|||</w:t>
            </w:r>
            <w:r w:rsidR="00EA4DFF" w:rsidRPr="00EA4DFF">
              <w:rPr>
                <w:color w:val="000000"/>
                <w:spacing w:val="1"/>
                <w:szCs w:val="20"/>
                <w:shd w:val="solid" w:color="000000" w:fill="000000"/>
                <w:fitText w:val="330" w:id="-663580409"/>
                <w14:textFill>
                  <w14:solidFill>
                    <w14:srgbClr w14:val="000000">
                      <w14:alpha w14:val="100000"/>
                    </w14:srgbClr>
                  </w14:solidFill>
                </w14:textFill>
              </w:rPr>
              <w:t>|</w:t>
            </w:r>
            <w:r w:rsidR="00624AB2" w:rsidRPr="00AE51FC">
              <w:rPr>
                <w:rFonts w:cstheme="minorHAnsi"/>
                <w:bCs/>
                <w:szCs w:val="20"/>
                <w:vertAlign w:val="superscript"/>
              </w:rPr>
              <w:t>1</w:t>
            </w:r>
          </w:p>
        </w:tc>
        <w:tc>
          <w:tcPr>
            <w:tcW w:w="992" w:type="dxa"/>
            <w:vAlign w:val="center"/>
          </w:tcPr>
          <w:p w14:paraId="2E5E269B" w14:textId="005F679F"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408"/>
                <w14:textFill>
                  <w14:solidFill>
                    <w14:srgbClr w14:val="000000">
                      <w14:alpha w14:val="100000"/>
                    </w14:srgbClr>
                  </w14:solidFill>
                </w14:textFill>
              </w:rPr>
              <w:t>|||</w:t>
            </w:r>
            <w:r w:rsidR="00EA4DFF" w:rsidRPr="00EA4DFF">
              <w:rPr>
                <w:color w:val="000000"/>
                <w:spacing w:val="1"/>
                <w:szCs w:val="20"/>
                <w:shd w:val="solid" w:color="000000" w:fill="000000"/>
                <w:fitText w:val="330" w:id="-663580408"/>
                <w14:textFill>
                  <w14:solidFill>
                    <w14:srgbClr w14:val="000000">
                      <w14:alpha w14:val="100000"/>
                    </w14:srgbClr>
                  </w14:solidFill>
                </w14:textFill>
              </w:rPr>
              <w:t>|</w:t>
            </w:r>
            <w:r w:rsidR="00624AB2" w:rsidRPr="00AE51FC">
              <w:rPr>
                <w:rFonts w:cstheme="minorHAnsi"/>
                <w:bCs/>
                <w:szCs w:val="20"/>
                <w:vertAlign w:val="superscript"/>
              </w:rPr>
              <w:t>1</w:t>
            </w:r>
          </w:p>
        </w:tc>
        <w:tc>
          <w:tcPr>
            <w:tcW w:w="993" w:type="dxa"/>
            <w:vAlign w:val="center"/>
          </w:tcPr>
          <w:p w14:paraId="6CFBCA65" w14:textId="5BD4D41F"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407"/>
                <w14:textFill>
                  <w14:solidFill>
                    <w14:srgbClr w14:val="000000">
                      <w14:alpha w14:val="100000"/>
                    </w14:srgbClr>
                  </w14:solidFill>
                </w14:textFill>
              </w:rPr>
              <w:t>|||</w:t>
            </w:r>
            <w:r w:rsidR="00EA4DFF" w:rsidRPr="00EA4DFF">
              <w:rPr>
                <w:color w:val="000000"/>
                <w:spacing w:val="3"/>
                <w:szCs w:val="20"/>
                <w:shd w:val="solid" w:color="000000" w:fill="000000"/>
                <w:fitText w:val="320" w:id="-663580407"/>
                <w14:textFill>
                  <w14:solidFill>
                    <w14:srgbClr w14:val="000000">
                      <w14:alpha w14:val="100000"/>
                    </w14:srgbClr>
                  </w14:solidFill>
                </w14:textFill>
              </w:rPr>
              <w:t>|</w:t>
            </w:r>
            <w:r w:rsidR="00624AB2" w:rsidRPr="00AE51FC">
              <w:rPr>
                <w:rFonts w:cstheme="minorHAnsi"/>
                <w:bCs/>
                <w:szCs w:val="20"/>
                <w:vertAlign w:val="superscript"/>
              </w:rPr>
              <w:t>1</w:t>
            </w:r>
          </w:p>
        </w:tc>
        <w:tc>
          <w:tcPr>
            <w:tcW w:w="991" w:type="dxa"/>
            <w:vAlign w:val="center"/>
          </w:tcPr>
          <w:p w14:paraId="1290667A" w14:textId="31EF18F7"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406"/>
                <w14:textFill>
                  <w14:solidFill>
                    <w14:srgbClr w14:val="000000">
                      <w14:alpha w14:val="100000"/>
                    </w14:srgbClr>
                  </w14:solidFill>
                </w14:textFill>
              </w:rPr>
              <w:t>|||</w:t>
            </w:r>
            <w:r w:rsidR="00EA4DFF" w:rsidRPr="00EA4DFF">
              <w:rPr>
                <w:color w:val="000000"/>
                <w:spacing w:val="1"/>
                <w:szCs w:val="20"/>
                <w:shd w:val="solid" w:color="000000" w:fill="000000"/>
                <w:fitText w:val="330" w:id="-663580406"/>
                <w14:textFill>
                  <w14:solidFill>
                    <w14:srgbClr w14:val="000000">
                      <w14:alpha w14:val="100000"/>
                    </w14:srgbClr>
                  </w14:solidFill>
                </w14:textFill>
              </w:rPr>
              <w:t>|</w:t>
            </w:r>
            <w:r w:rsidR="00624AB2" w:rsidRPr="00AE51FC">
              <w:rPr>
                <w:rFonts w:cstheme="minorHAnsi"/>
                <w:bCs/>
                <w:szCs w:val="20"/>
                <w:vertAlign w:val="superscript"/>
              </w:rPr>
              <w:t>1</w:t>
            </w:r>
          </w:p>
        </w:tc>
      </w:tr>
      <w:tr w:rsidR="00F55FE1" w:rsidRPr="00BD4A2A" w14:paraId="29411D7A" w14:textId="77777777" w:rsidTr="00AE51FC">
        <w:trPr>
          <w:trHeight w:val="115"/>
        </w:trPr>
        <w:tc>
          <w:tcPr>
            <w:tcW w:w="3435" w:type="dxa"/>
            <w:vAlign w:val="center"/>
          </w:tcPr>
          <w:p w14:paraId="579BE5EF" w14:textId="141095E3" w:rsidR="0054070E" w:rsidRPr="00BD4A2A" w:rsidRDefault="0054070E" w:rsidP="0054070E">
            <w:pPr>
              <w:pStyle w:val="Tabletext"/>
              <w:rPr>
                <w:lang w:eastAsia="ja-JP"/>
              </w:rPr>
            </w:pPr>
            <w:r w:rsidRPr="00BD4A2A">
              <w:rPr>
                <w:lang w:eastAsia="ja-JP"/>
              </w:rPr>
              <w:t xml:space="preserve">Max uptake rate from DMPA decreased from </w:t>
            </w:r>
            <w:r w:rsidR="00EA4DFF" w:rsidRPr="00EA4DFF">
              <w:rPr>
                <w:color w:val="000000"/>
                <w:spacing w:val="53"/>
                <w:shd w:val="solid" w:color="000000" w:fill="000000"/>
                <w:fitText w:val="330" w:id="-663580405"/>
                <w:lang w:eastAsia="ja-JP"/>
                <w14:textFill>
                  <w14:solidFill>
                    <w14:srgbClr w14:val="000000">
                      <w14:alpha w14:val="100000"/>
                    </w14:srgbClr>
                  </w14:solidFill>
                </w14:textFill>
              </w:rPr>
              <w:t>|||</w:t>
            </w:r>
            <w:r w:rsidR="00EA4DFF" w:rsidRPr="00EA4DFF">
              <w:rPr>
                <w:color w:val="000000"/>
                <w:spacing w:val="1"/>
                <w:shd w:val="solid" w:color="000000" w:fill="000000"/>
                <w:fitText w:val="330" w:id="-663580405"/>
                <w:lang w:eastAsia="ja-JP"/>
                <w14:textFill>
                  <w14:solidFill>
                    <w14:srgbClr w14:val="000000">
                      <w14:alpha w14:val="100000"/>
                    </w14:srgbClr>
                  </w14:solidFill>
                </w14:textFill>
              </w:rPr>
              <w:t>|</w:t>
            </w:r>
            <w:r w:rsidRPr="00BD4A2A">
              <w:rPr>
                <w:lang w:eastAsia="ja-JP"/>
              </w:rPr>
              <w:t xml:space="preserve">% to </w:t>
            </w:r>
            <w:r w:rsidR="00EA4DFF" w:rsidRPr="00EA4DFF">
              <w:rPr>
                <w:color w:val="000000"/>
                <w:spacing w:val="53"/>
                <w:shd w:val="solid" w:color="000000" w:fill="000000"/>
                <w:fitText w:val="330" w:id="-663580404"/>
                <w:lang w:eastAsia="ja-JP"/>
                <w14:textFill>
                  <w14:solidFill>
                    <w14:srgbClr w14:val="000000">
                      <w14:alpha w14:val="100000"/>
                    </w14:srgbClr>
                  </w14:solidFill>
                </w14:textFill>
              </w:rPr>
              <w:t>|||</w:t>
            </w:r>
            <w:r w:rsidR="00EA4DFF" w:rsidRPr="00EA4DFF">
              <w:rPr>
                <w:color w:val="000000"/>
                <w:spacing w:val="1"/>
                <w:shd w:val="solid" w:color="000000" w:fill="000000"/>
                <w:fitText w:val="330" w:id="-663580404"/>
                <w:lang w:eastAsia="ja-JP"/>
                <w14:textFill>
                  <w14:solidFill>
                    <w14:srgbClr w14:val="000000">
                      <w14:alpha w14:val="100000"/>
                    </w14:srgbClr>
                  </w14:solidFill>
                </w14:textFill>
              </w:rPr>
              <w:t>|</w:t>
            </w:r>
            <w:r w:rsidRPr="00BD4A2A">
              <w:rPr>
                <w:lang w:eastAsia="ja-JP"/>
              </w:rPr>
              <w:t>%</w:t>
            </w:r>
          </w:p>
        </w:tc>
        <w:tc>
          <w:tcPr>
            <w:tcW w:w="993" w:type="dxa"/>
            <w:vAlign w:val="center"/>
          </w:tcPr>
          <w:p w14:paraId="12D0F3A5" w14:textId="7C321E7E"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403"/>
                <w14:textFill>
                  <w14:solidFill>
                    <w14:srgbClr w14:val="000000">
                      <w14:alpha w14:val="100000"/>
                    </w14:srgbClr>
                  </w14:solidFill>
                </w14:textFill>
              </w:rPr>
              <w:t>|||</w:t>
            </w:r>
            <w:r w:rsidR="00EA4DFF" w:rsidRPr="00EA4DFF">
              <w:rPr>
                <w:color w:val="000000"/>
                <w:spacing w:val="3"/>
                <w:szCs w:val="20"/>
                <w:shd w:val="solid" w:color="000000" w:fill="000000"/>
                <w:fitText w:val="320" w:id="-663580403"/>
                <w14:textFill>
                  <w14:solidFill>
                    <w14:srgbClr w14:val="000000">
                      <w14:alpha w14:val="100000"/>
                    </w14:srgbClr>
                  </w14:solidFill>
                </w14:textFill>
              </w:rPr>
              <w:t>|</w:t>
            </w:r>
            <w:r w:rsidR="00D357B3" w:rsidRPr="00AE51FC">
              <w:rPr>
                <w:rFonts w:cstheme="minorHAnsi"/>
                <w:bCs/>
                <w:szCs w:val="20"/>
                <w:vertAlign w:val="superscript"/>
              </w:rPr>
              <w:t>1</w:t>
            </w:r>
          </w:p>
        </w:tc>
        <w:tc>
          <w:tcPr>
            <w:tcW w:w="992" w:type="dxa"/>
            <w:vAlign w:val="center"/>
          </w:tcPr>
          <w:p w14:paraId="751FB10B" w14:textId="2BBBB5CA"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60"/>
                <w14:textFill>
                  <w14:solidFill>
                    <w14:srgbClr w14:val="000000">
                      <w14:alpha w14:val="100000"/>
                    </w14:srgbClr>
                  </w14:solidFill>
                </w14:textFill>
              </w:rPr>
              <w:t>|||</w:t>
            </w:r>
            <w:r w:rsidR="00EA4DFF" w:rsidRPr="00EA4DFF">
              <w:rPr>
                <w:color w:val="000000"/>
                <w:spacing w:val="1"/>
                <w:szCs w:val="20"/>
                <w:shd w:val="solid" w:color="000000" w:fill="000000"/>
                <w:fitText w:val="330" w:id="-663580160"/>
                <w14:textFill>
                  <w14:solidFill>
                    <w14:srgbClr w14:val="000000">
                      <w14:alpha w14:val="100000"/>
                    </w14:srgbClr>
                  </w14:solidFill>
                </w14:textFill>
              </w:rPr>
              <w:t>|</w:t>
            </w:r>
            <w:r w:rsidR="00D357B3" w:rsidRPr="00AE51FC">
              <w:rPr>
                <w:rFonts w:cstheme="minorHAnsi"/>
                <w:bCs/>
                <w:szCs w:val="20"/>
                <w:vertAlign w:val="superscript"/>
              </w:rPr>
              <w:t>1</w:t>
            </w:r>
          </w:p>
        </w:tc>
        <w:tc>
          <w:tcPr>
            <w:tcW w:w="992" w:type="dxa"/>
            <w:vAlign w:val="center"/>
          </w:tcPr>
          <w:p w14:paraId="5BD7E45C" w14:textId="28670E99"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9"/>
                <w14:textFill>
                  <w14:solidFill>
                    <w14:srgbClr w14:val="000000">
                      <w14:alpha w14:val="100000"/>
                    </w14:srgbClr>
                  </w14:solidFill>
                </w14:textFill>
              </w:rPr>
              <w:t>|||</w:t>
            </w:r>
            <w:r w:rsidR="00EA4DFF" w:rsidRPr="00EA4DFF">
              <w:rPr>
                <w:color w:val="000000"/>
                <w:spacing w:val="1"/>
                <w:szCs w:val="20"/>
                <w:shd w:val="solid" w:color="000000" w:fill="000000"/>
                <w:fitText w:val="330" w:id="-663580159"/>
                <w14:textFill>
                  <w14:solidFill>
                    <w14:srgbClr w14:val="000000">
                      <w14:alpha w14:val="100000"/>
                    </w14:srgbClr>
                  </w14:solidFill>
                </w14:textFill>
              </w:rPr>
              <w:t>|</w:t>
            </w:r>
            <w:r w:rsidR="00D357B3" w:rsidRPr="00AE51FC">
              <w:rPr>
                <w:rFonts w:cstheme="minorHAnsi"/>
                <w:bCs/>
                <w:szCs w:val="20"/>
                <w:vertAlign w:val="superscript"/>
              </w:rPr>
              <w:t>1</w:t>
            </w:r>
          </w:p>
        </w:tc>
        <w:tc>
          <w:tcPr>
            <w:tcW w:w="992" w:type="dxa"/>
            <w:vAlign w:val="center"/>
          </w:tcPr>
          <w:p w14:paraId="046096E2" w14:textId="6F9F135C"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8"/>
                <w14:textFill>
                  <w14:solidFill>
                    <w14:srgbClr w14:val="000000">
                      <w14:alpha w14:val="100000"/>
                    </w14:srgbClr>
                  </w14:solidFill>
                </w14:textFill>
              </w:rPr>
              <w:t>|||</w:t>
            </w:r>
            <w:r w:rsidR="00EA4DFF" w:rsidRPr="00EA4DFF">
              <w:rPr>
                <w:color w:val="000000"/>
                <w:spacing w:val="1"/>
                <w:szCs w:val="20"/>
                <w:shd w:val="solid" w:color="000000" w:fill="000000"/>
                <w:fitText w:val="330" w:id="-663580158"/>
                <w14:textFill>
                  <w14:solidFill>
                    <w14:srgbClr w14:val="000000">
                      <w14:alpha w14:val="100000"/>
                    </w14:srgbClr>
                  </w14:solidFill>
                </w14:textFill>
              </w:rPr>
              <w:t>|</w:t>
            </w:r>
            <w:r w:rsidR="00D357B3" w:rsidRPr="00AE51FC">
              <w:rPr>
                <w:rFonts w:cstheme="minorHAnsi"/>
                <w:bCs/>
                <w:szCs w:val="20"/>
                <w:vertAlign w:val="superscript"/>
              </w:rPr>
              <w:t>1</w:t>
            </w:r>
          </w:p>
        </w:tc>
        <w:tc>
          <w:tcPr>
            <w:tcW w:w="993" w:type="dxa"/>
            <w:vAlign w:val="center"/>
          </w:tcPr>
          <w:p w14:paraId="08892071" w14:textId="46004EA4"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57"/>
                <w14:textFill>
                  <w14:solidFill>
                    <w14:srgbClr w14:val="000000">
                      <w14:alpha w14:val="100000"/>
                    </w14:srgbClr>
                  </w14:solidFill>
                </w14:textFill>
              </w:rPr>
              <w:t>|||</w:t>
            </w:r>
            <w:r w:rsidR="00EA4DFF" w:rsidRPr="00EA4DFF">
              <w:rPr>
                <w:color w:val="000000"/>
                <w:spacing w:val="3"/>
                <w:szCs w:val="20"/>
                <w:shd w:val="solid" w:color="000000" w:fill="000000"/>
                <w:fitText w:val="320" w:id="-663580157"/>
                <w14:textFill>
                  <w14:solidFill>
                    <w14:srgbClr w14:val="000000">
                      <w14:alpha w14:val="100000"/>
                    </w14:srgbClr>
                  </w14:solidFill>
                </w14:textFill>
              </w:rPr>
              <w:t>|</w:t>
            </w:r>
            <w:r w:rsidR="00D357B3" w:rsidRPr="00AE51FC">
              <w:rPr>
                <w:rFonts w:cstheme="minorHAnsi"/>
                <w:bCs/>
                <w:szCs w:val="20"/>
                <w:vertAlign w:val="superscript"/>
              </w:rPr>
              <w:t>1</w:t>
            </w:r>
          </w:p>
        </w:tc>
        <w:tc>
          <w:tcPr>
            <w:tcW w:w="991" w:type="dxa"/>
            <w:vAlign w:val="center"/>
          </w:tcPr>
          <w:p w14:paraId="0FAE3558" w14:textId="7B2900F4"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6"/>
                <w14:textFill>
                  <w14:solidFill>
                    <w14:srgbClr w14:val="000000">
                      <w14:alpha w14:val="100000"/>
                    </w14:srgbClr>
                  </w14:solidFill>
                </w14:textFill>
              </w:rPr>
              <w:t>|||</w:t>
            </w:r>
            <w:r w:rsidR="00EA4DFF" w:rsidRPr="00EA4DFF">
              <w:rPr>
                <w:color w:val="000000"/>
                <w:spacing w:val="1"/>
                <w:szCs w:val="20"/>
                <w:shd w:val="solid" w:color="000000" w:fill="000000"/>
                <w:fitText w:val="330" w:id="-663580156"/>
                <w14:textFill>
                  <w14:solidFill>
                    <w14:srgbClr w14:val="000000">
                      <w14:alpha w14:val="100000"/>
                    </w14:srgbClr>
                  </w14:solidFill>
                </w14:textFill>
              </w:rPr>
              <w:t>|</w:t>
            </w:r>
            <w:r w:rsidR="00D357B3" w:rsidRPr="00AE51FC">
              <w:rPr>
                <w:rFonts w:cstheme="minorHAnsi"/>
                <w:bCs/>
                <w:szCs w:val="20"/>
                <w:vertAlign w:val="superscript"/>
              </w:rPr>
              <w:t>1</w:t>
            </w:r>
          </w:p>
        </w:tc>
      </w:tr>
      <w:tr w:rsidR="00F55FE1" w:rsidRPr="00BD4A2A" w14:paraId="76A564EB" w14:textId="77777777" w:rsidTr="00AE51FC">
        <w:trPr>
          <w:trHeight w:val="115"/>
        </w:trPr>
        <w:tc>
          <w:tcPr>
            <w:tcW w:w="3435" w:type="dxa"/>
            <w:vAlign w:val="center"/>
          </w:tcPr>
          <w:p w14:paraId="4214A71D" w14:textId="6412E980" w:rsidR="0054070E" w:rsidRPr="00BD4A2A" w:rsidRDefault="0054070E" w:rsidP="0054070E">
            <w:pPr>
              <w:pStyle w:val="Tabletext"/>
              <w:rPr>
                <w:lang w:eastAsia="ja-JP"/>
              </w:rPr>
            </w:pPr>
            <w:r w:rsidRPr="00BD4A2A">
              <w:rPr>
                <w:lang w:eastAsia="ja-JP"/>
              </w:rPr>
              <w:t xml:space="preserve">Max uptake rate from OCs increased from </w:t>
            </w:r>
            <w:r w:rsidR="00EA4DFF" w:rsidRPr="00EA4DFF">
              <w:rPr>
                <w:color w:val="000000"/>
                <w:spacing w:val="53"/>
                <w:shd w:val="solid" w:color="000000" w:fill="000000"/>
                <w:fitText w:val="330" w:id="-663580155"/>
                <w:lang w:eastAsia="ja-JP"/>
                <w14:textFill>
                  <w14:solidFill>
                    <w14:srgbClr w14:val="000000">
                      <w14:alpha w14:val="100000"/>
                    </w14:srgbClr>
                  </w14:solidFill>
                </w14:textFill>
              </w:rPr>
              <w:t>|||</w:t>
            </w:r>
            <w:r w:rsidR="00EA4DFF" w:rsidRPr="00EA4DFF">
              <w:rPr>
                <w:color w:val="000000"/>
                <w:spacing w:val="1"/>
                <w:shd w:val="solid" w:color="000000" w:fill="000000"/>
                <w:fitText w:val="330" w:id="-663580155"/>
                <w:lang w:eastAsia="ja-JP"/>
                <w14:textFill>
                  <w14:solidFill>
                    <w14:srgbClr w14:val="000000">
                      <w14:alpha w14:val="100000"/>
                    </w14:srgbClr>
                  </w14:solidFill>
                </w14:textFill>
              </w:rPr>
              <w:t>|</w:t>
            </w:r>
            <w:r w:rsidRPr="00BD4A2A">
              <w:rPr>
                <w:lang w:eastAsia="ja-JP"/>
              </w:rPr>
              <w:t xml:space="preserve">% to </w:t>
            </w:r>
            <w:r w:rsidR="00EA4DFF" w:rsidRPr="00EA4DFF">
              <w:rPr>
                <w:color w:val="000000"/>
                <w:spacing w:val="53"/>
                <w:shd w:val="solid" w:color="000000" w:fill="000000"/>
                <w:fitText w:val="330" w:id="-663580154"/>
                <w:lang w:eastAsia="ja-JP"/>
                <w14:textFill>
                  <w14:solidFill>
                    <w14:srgbClr w14:val="000000">
                      <w14:alpha w14:val="100000"/>
                    </w14:srgbClr>
                  </w14:solidFill>
                </w14:textFill>
              </w:rPr>
              <w:t>|||</w:t>
            </w:r>
            <w:r w:rsidR="00EA4DFF" w:rsidRPr="00EA4DFF">
              <w:rPr>
                <w:color w:val="000000"/>
                <w:spacing w:val="1"/>
                <w:shd w:val="solid" w:color="000000" w:fill="000000"/>
                <w:fitText w:val="330" w:id="-663580154"/>
                <w:lang w:eastAsia="ja-JP"/>
                <w14:textFill>
                  <w14:solidFill>
                    <w14:srgbClr w14:val="000000">
                      <w14:alpha w14:val="100000"/>
                    </w14:srgbClr>
                  </w14:solidFill>
                </w14:textFill>
              </w:rPr>
              <w:t>|</w:t>
            </w:r>
            <w:r w:rsidRPr="00BD4A2A">
              <w:rPr>
                <w:lang w:eastAsia="ja-JP"/>
              </w:rPr>
              <w:t>%</w:t>
            </w:r>
          </w:p>
        </w:tc>
        <w:tc>
          <w:tcPr>
            <w:tcW w:w="993" w:type="dxa"/>
            <w:vAlign w:val="center"/>
          </w:tcPr>
          <w:p w14:paraId="2D5BDC8D" w14:textId="570D177C"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53"/>
                <w14:textFill>
                  <w14:solidFill>
                    <w14:srgbClr w14:val="000000">
                      <w14:alpha w14:val="100000"/>
                    </w14:srgbClr>
                  </w14:solidFill>
                </w14:textFill>
              </w:rPr>
              <w:t>|||</w:t>
            </w:r>
            <w:r w:rsidR="00EA4DFF" w:rsidRPr="00EA4DFF">
              <w:rPr>
                <w:color w:val="000000"/>
                <w:spacing w:val="3"/>
                <w:szCs w:val="20"/>
                <w:shd w:val="solid" w:color="000000" w:fill="000000"/>
                <w:fitText w:val="320" w:id="-663580153"/>
                <w14:textFill>
                  <w14:solidFill>
                    <w14:srgbClr w14:val="000000">
                      <w14:alpha w14:val="100000"/>
                    </w14:srgbClr>
                  </w14:solidFill>
                </w14:textFill>
              </w:rPr>
              <w:t>|</w:t>
            </w:r>
            <w:r w:rsidR="00D357B3" w:rsidRPr="00AE51FC">
              <w:rPr>
                <w:rFonts w:cstheme="minorHAnsi"/>
                <w:bCs/>
                <w:szCs w:val="20"/>
                <w:vertAlign w:val="superscript"/>
              </w:rPr>
              <w:t>1</w:t>
            </w:r>
          </w:p>
        </w:tc>
        <w:tc>
          <w:tcPr>
            <w:tcW w:w="992" w:type="dxa"/>
            <w:vAlign w:val="center"/>
          </w:tcPr>
          <w:p w14:paraId="3828DEF8" w14:textId="46D65B42"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2"/>
                <w14:textFill>
                  <w14:solidFill>
                    <w14:srgbClr w14:val="000000">
                      <w14:alpha w14:val="100000"/>
                    </w14:srgbClr>
                  </w14:solidFill>
                </w14:textFill>
              </w:rPr>
              <w:t>|||</w:t>
            </w:r>
            <w:r w:rsidR="00EA4DFF" w:rsidRPr="00EA4DFF">
              <w:rPr>
                <w:color w:val="000000"/>
                <w:spacing w:val="1"/>
                <w:szCs w:val="20"/>
                <w:shd w:val="solid" w:color="000000" w:fill="000000"/>
                <w:fitText w:val="330" w:id="-663580152"/>
                <w14:textFill>
                  <w14:solidFill>
                    <w14:srgbClr w14:val="000000">
                      <w14:alpha w14:val="100000"/>
                    </w14:srgbClr>
                  </w14:solidFill>
                </w14:textFill>
              </w:rPr>
              <w:t>|</w:t>
            </w:r>
            <w:r w:rsidR="00D357B3" w:rsidRPr="00AE51FC">
              <w:rPr>
                <w:rFonts w:cstheme="minorHAnsi"/>
                <w:bCs/>
                <w:szCs w:val="20"/>
                <w:vertAlign w:val="superscript"/>
              </w:rPr>
              <w:t>1</w:t>
            </w:r>
          </w:p>
        </w:tc>
        <w:tc>
          <w:tcPr>
            <w:tcW w:w="992" w:type="dxa"/>
            <w:vAlign w:val="center"/>
          </w:tcPr>
          <w:p w14:paraId="12FEB074" w14:textId="5F52543F"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1"/>
                <w14:textFill>
                  <w14:solidFill>
                    <w14:srgbClr w14:val="000000">
                      <w14:alpha w14:val="100000"/>
                    </w14:srgbClr>
                  </w14:solidFill>
                </w14:textFill>
              </w:rPr>
              <w:t>|||</w:t>
            </w:r>
            <w:r w:rsidR="00EA4DFF" w:rsidRPr="00EA4DFF">
              <w:rPr>
                <w:color w:val="000000"/>
                <w:spacing w:val="1"/>
                <w:szCs w:val="20"/>
                <w:shd w:val="solid" w:color="000000" w:fill="000000"/>
                <w:fitText w:val="330" w:id="-663580151"/>
                <w14:textFill>
                  <w14:solidFill>
                    <w14:srgbClr w14:val="000000">
                      <w14:alpha w14:val="100000"/>
                    </w14:srgbClr>
                  </w14:solidFill>
                </w14:textFill>
              </w:rPr>
              <w:t>|</w:t>
            </w:r>
            <w:r w:rsidR="00D357B3" w:rsidRPr="00AE51FC">
              <w:rPr>
                <w:rFonts w:cstheme="minorHAnsi"/>
                <w:bCs/>
                <w:szCs w:val="20"/>
                <w:vertAlign w:val="superscript"/>
              </w:rPr>
              <w:t>1</w:t>
            </w:r>
          </w:p>
        </w:tc>
        <w:tc>
          <w:tcPr>
            <w:tcW w:w="992" w:type="dxa"/>
            <w:vAlign w:val="center"/>
          </w:tcPr>
          <w:p w14:paraId="4FC41C3E" w14:textId="2449802D"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0"/>
                <w14:textFill>
                  <w14:solidFill>
                    <w14:srgbClr w14:val="000000">
                      <w14:alpha w14:val="100000"/>
                    </w14:srgbClr>
                  </w14:solidFill>
                </w14:textFill>
              </w:rPr>
              <w:t>|||</w:t>
            </w:r>
            <w:r w:rsidR="00EA4DFF" w:rsidRPr="00EA4DFF">
              <w:rPr>
                <w:color w:val="000000"/>
                <w:spacing w:val="1"/>
                <w:szCs w:val="20"/>
                <w:shd w:val="solid" w:color="000000" w:fill="000000"/>
                <w:fitText w:val="330" w:id="-663580150"/>
                <w14:textFill>
                  <w14:solidFill>
                    <w14:srgbClr w14:val="000000">
                      <w14:alpha w14:val="100000"/>
                    </w14:srgbClr>
                  </w14:solidFill>
                </w14:textFill>
              </w:rPr>
              <w:t>|</w:t>
            </w:r>
            <w:r w:rsidR="00D357B3" w:rsidRPr="00AE51FC">
              <w:rPr>
                <w:rFonts w:cstheme="minorHAnsi"/>
                <w:bCs/>
                <w:szCs w:val="20"/>
                <w:vertAlign w:val="superscript"/>
              </w:rPr>
              <w:t>1</w:t>
            </w:r>
          </w:p>
        </w:tc>
        <w:tc>
          <w:tcPr>
            <w:tcW w:w="993" w:type="dxa"/>
            <w:vAlign w:val="center"/>
          </w:tcPr>
          <w:p w14:paraId="317C6904" w14:textId="17EC320E"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49"/>
                <w14:textFill>
                  <w14:solidFill>
                    <w14:srgbClr w14:val="000000">
                      <w14:alpha w14:val="100000"/>
                    </w14:srgbClr>
                  </w14:solidFill>
                </w14:textFill>
              </w:rPr>
              <w:t>|||</w:t>
            </w:r>
            <w:r w:rsidR="00EA4DFF" w:rsidRPr="00EA4DFF">
              <w:rPr>
                <w:color w:val="000000"/>
                <w:spacing w:val="3"/>
                <w:szCs w:val="20"/>
                <w:shd w:val="solid" w:color="000000" w:fill="000000"/>
                <w:fitText w:val="320" w:id="-663580149"/>
                <w14:textFill>
                  <w14:solidFill>
                    <w14:srgbClr w14:val="000000">
                      <w14:alpha w14:val="100000"/>
                    </w14:srgbClr>
                  </w14:solidFill>
                </w14:textFill>
              </w:rPr>
              <w:t>|</w:t>
            </w:r>
            <w:r w:rsidR="00D357B3" w:rsidRPr="00AE51FC">
              <w:rPr>
                <w:rFonts w:cstheme="minorHAnsi"/>
                <w:bCs/>
                <w:szCs w:val="20"/>
                <w:vertAlign w:val="superscript"/>
              </w:rPr>
              <w:t>1</w:t>
            </w:r>
          </w:p>
        </w:tc>
        <w:tc>
          <w:tcPr>
            <w:tcW w:w="991" w:type="dxa"/>
            <w:vAlign w:val="center"/>
          </w:tcPr>
          <w:p w14:paraId="0CD586EA" w14:textId="346AB268"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48"/>
                <w14:textFill>
                  <w14:solidFill>
                    <w14:srgbClr w14:val="000000">
                      <w14:alpha w14:val="100000"/>
                    </w14:srgbClr>
                  </w14:solidFill>
                </w14:textFill>
              </w:rPr>
              <w:t>|||</w:t>
            </w:r>
            <w:r w:rsidR="00EA4DFF" w:rsidRPr="00EA4DFF">
              <w:rPr>
                <w:color w:val="000000"/>
                <w:spacing w:val="1"/>
                <w:szCs w:val="20"/>
                <w:shd w:val="solid" w:color="000000" w:fill="000000"/>
                <w:fitText w:val="330" w:id="-663580148"/>
                <w14:textFill>
                  <w14:solidFill>
                    <w14:srgbClr w14:val="000000">
                      <w14:alpha w14:val="100000"/>
                    </w14:srgbClr>
                  </w14:solidFill>
                </w14:textFill>
              </w:rPr>
              <w:t>|</w:t>
            </w:r>
            <w:r w:rsidR="00D357B3" w:rsidRPr="00AE51FC">
              <w:rPr>
                <w:rFonts w:cstheme="minorHAnsi"/>
                <w:bCs/>
                <w:szCs w:val="20"/>
                <w:vertAlign w:val="superscript"/>
              </w:rPr>
              <w:t>1</w:t>
            </w:r>
          </w:p>
        </w:tc>
      </w:tr>
      <w:tr w:rsidR="00F55FE1" w:rsidRPr="00BD4A2A" w14:paraId="19FD434C" w14:textId="77777777" w:rsidTr="00AE51FC">
        <w:trPr>
          <w:trHeight w:val="115"/>
        </w:trPr>
        <w:tc>
          <w:tcPr>
            <w:tcW w:w="3435" w:type="dxa"/>
            <w:vAlign w:val="center"/>
          </w:tcPr>
          <w:p w14:paraId="421D8820" w14:textId="782708FF" w:rsidR="0054070E" w:rsidRPr="00BD4A2A" w:rsidRDefault="0054070E" w:rsidP="0054070E">
            <w:pPr>
              <w:pStyle w:val="Tabletext"/>
              <w:rPr>
                <w:lang w:eastAsia="ja-JP"/>
              </w:rPr>
            </w:pPr>
            <w:r w:rsidRPr="00BD4A2A">
              <w:rPr>
                <w:lang w:eastAsia="ja-JP"/>
              </w:rPr>
              <w:t xml:space="preserve">Max uptake rate from OCs decreased from </w:t>
            </w:r>
            <w:r w:rsidR="00EA4DFF" w:rsidRPr="00EA4DFF">
              <w:rPr>
                <w:color w:val="000000"/>
                <w:spacing w:val="53"/>
                <w:shd w:val="solid" w:color="000000" w:fill="000000"/>
                <w:fitText w:val="330" w:id="-663580147"/>
                <w:lang w:eastAsia="ja-JP"/>
                <w14:textFill>
                  <w14:solidFill>
                    <w14:srgbClr w14:val="000000">
                      <w14:alpha w14:val="100000"/>
                    </w14:srgbClr>
                  </w14:solidFill>
                </w14:textFill>
              </w:rPr>
              <w:t>|||</w:t>
            </w:r>
            <w:r w:rsidR="00EA4DFF" w:rsidRPr="00EA4DFF">
              <w:rPr>
                <w:color w:val="000000"/>
                <w:spacing w:val="1"/>
                <w:shd w:val="solid" w:color="000000" w:fill="000000"/>
                <w:fitText w:val="330" w:id="-663580147"/>
                <w:lang w:eastAsia="ja-JP"/>
                <w14:textFill>
                  <w14:solidFill>
                    <w14:srgbClr w14:val="000000">
                      <w14:alpha w14:val="100000"/>
                    </w14:srgbClr>
                  </w14:solidFill>
                </w14:textFill>
              </w:rPr>
              <w:t>|</w:t>
            </w:r>
            <w:r w:rsidRPr="00BD4A2A">
              <w:rPr>
                <w:lang w:eastAsia="ja-JP"/>
              </w:rPr>
              <w:t xml:space="preserve">% to </w:t>
            </w:r>
            <w:r w:rsidR="00EA4DFF" w:rsidRPr="00EA4DFF">
              <w:rPr>
                <w:color w:val="000000"/>
                <w:spacing w:val="53"/>
                <w:shd w:val="solid" w:color="000000" w:fill="000000"/>
                <w:fitText w:val="330" w:id="-663580146"/>
                <w:lang w:eastAsia="ja-JP"/>
                <w14:textFill>
                  <w14:solidFill>
                    <w14:srgbClr w14:val="000000">
                      <w14:alpha w14:val="100000"/>
                    </w14:srgbClr>
                  </w14:solidFill>
                </w14:textFill>
              </w:rPr>
              <w:t>|||</w:t>
            </w:r>
            <w:r w:rsidR="00EA4DFF" w:rsidRPr="00EA4DFF">
              <w:rPr>
                <w:color w:val="000000"/>
                <w:spacing w:val="1"/>
                <w:shd w:val="solid" w:color="000000" w:fill="000000"/>
                <w:fitText w:val="330" w:id="-663580146"/>
                <w:lang w:eastAsia="ja-JP"/>
                <w14:textFill>
                  <w14:solidFill>
                    <w14:srgbClr w14:val="000000">
                      <w14:alpha w14:val="100000"/>
                    </w14:srgbClr>
                  </w14:solidFill>
                </w14:textFill>
              </w:rPr>
              <w:t>|</w:t>
            </w:r>
            <w:r w:rsidRPr="00BD4A2A">
              <w:rPr>
                <w:lang w:eastAsia="ja-JP"/>
              </w:rPr>
              <w:t>%</w:t>
            </w:r>
          </w:p>
        </w:tc>
        <w:tc>
          <w:tcPr>
            <w:tcW w:w="993" w:type="dxa"/>
            <w:vAlign w:val="center"/>
          </w:tcPr>
          <w:p w14:paraId="01FC1E1A" w14:textId="0C906347"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45"/>
                <w14:textFill>
                  <w14:solidFill>
                    <w14:srgbClr w14:val="000000">
                      <w14:alpha w14:val="100000"/>
                    </w14:srgbClr>
                  </w14:solidFill>
                </w14:textFill>
              </w:rPr>
              <w:t>|||</w:t>
            </w:r>
            <w:r w:rsidR="00EA4DFF" w:rsidRPr="00EA4DFF">
              <w:rPr>
                <w:color w:val="000000"/>
                <w:spacing w:val="3"/>
                <w:szCs w:val="20"/>
                <w:shd w:val="solid" w:color="000000" w:fill="000000"/>
                <w:fitText w:val="320" w:id="-663580145"/>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401B8331" w14:textId="5A2D7F0C"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44"/>
                <w14:textFill>
                  <w14:solidFill>
                    <w14:srgbClr w14:val="000000">
                      <w14:alpha w14:val="100000"/>
                    </w14:srgbClr>
                  </w14:solidFill>
                </w14:textFill>
              </w:rPr>
              <w:t>|||</w:t>
            </w:r>
            <w:r w:rsidR="00EA4DFF" w:rsidRPr="00EA4DFF">
              <w:rPr>
                <w:color w:val="000000"/>
                <w:spacing w:val="1"/>
                <w:szCs w:val="20"/>
                <w:shd w:val="solid" w:color="000000" w:fill="000000"/>
                <w:fitText w:val="330" w:id="-663580144"/>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7A84CE09" w14:textId="53B84995"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60"/>
                <w14:textFill>
                  <w14:solidFill>
                    <w14:srgbClr w14:val="000000">
                      <w14:alpha w14:val="100000"/>
                    </w14:srgbClr>
                  </w14:solidFill>
                </w14:textFill>
              </w:rPr>
              <w:t>|||</w:t>
            </w:r>
            <w:r w:rsidR="00EA4DFF" w:rsidRPr="00EA4DFF">
              <w:rPr>
                <w:color w:val="000000"/>
                <w:spacing w:val="1"/>
                <w:szCs w:val="20"/>
                <w:shd w:val="solid" w:color="000000" w:fill="000000"/>
                <w:fitText w:val="330" w:id="-663580160"/>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53E11AF1" w14:textId="3FE0738B"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9"/>
                <w14:textFill>
                  <w14:solidFill>
                    <w14:srgbClr w14:val="000000">
                      <w14:alpha w14:val="100000"/>
                    </w14:srgbClr>
                  </w14:solidFill>
                </w14:textFill>
              </w:rPr>
              <w:t>|||</w:t>
            </w:r>
            <w:r w:rsidR="00EA4DFF" w:rsidRPr="00EA4DFF">
              <w:rPr>
                <w:color w:val="000000"/>
                <w:spacing w:val="1"/>
                <w:szCs w:val="20"/>
                <w:shd w:val="solid" w:color="000000" w:fill="000000"/>
                <w:fitText w:val="330" w:id="-663580159"/>
                <w14:textFill>
                  <w14:solidFill>
                    <w14:srgbClr w14:val="000000">
                      <w14:alpha w14:val="100000"/>
                    </w14:srgbClr>
                  </w14:solidFill>
                </w14:textFill>
              </w:rPr>
              <w:t>|</w:t>
            </w:r>
            <w:r w:rsidR="00005277" w:rsidRPr="00AE51FC">
              <w:rPr>
                <w:rFonts w:cstheme="minorHAnsi"/>
                <w:bCs/>
                <w:szCs w:val="20"/>
                <w:vertAlign w:val="superscript"/>
              </w:rPr>
              <w:t>1</w:t>
            </w:r>
          </w:p>
        </w:tc>
        <w:tc>
          <w:tcPr>
            <w:tcW w:w="993" w:type="dxa"/>
            <w:vAlign w:val="center"/>
          </w:tcPr>
          <w:p w14:paraId="7DD36A23" w14:textId="71B4FA83"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58"/>
                <w14:textFill>
                  <w14:solidFill>
                    <w14:srgbClr w14:val="000000">
                      <w14:alpha w14:val="100000"/>
                    </w14:srgbClr>
                  </w14:solidFill>
                </w14:textFill>
              </w:rPr>
              <w:t>|||</w:t>
            </w:r>
            <w:r w:rsidR="00EA4DFF" w:rsidRPr="00EA4DFF">
              <w:rPr>
                <w:color w:val="000000"/>
                <w:spacing w:val="3"/>
                <w:szCs w:val="20"/>
                <w:shd w:val="solid" w:color="000000" w:fill="000000"/>
                <w:fitText w:val="320" w:id="-663580158"/>
                <w14:textFill>
                  <w14:solidFill>
                    <w14:srgbClr w14:val="000000">
                      <w14:alpha w14:val="100000"/>
                    </w14:srgbClr>
                  </w14:solidFill>
                </w14:textFill>
              </w:rPr>
              <w:t>|</w:t>
            </w:r>
            <w:r w:rsidR="00005277" w:rsidRPr="00AE51FC">
              <w:rPr>
                <w:rFonts w:cstheme="minorHAnsi"/>
                <w:bCs/>
                <w:szCs w:val="20"/>
                <w:vertAlign w:val="superscript"/>
              </w:rPr>
              <w:t>1</w:t>
            </w:r>
          </w:p>
        </w:tc>
        <w:tc>
          <w:tcPr>
            <w:tcW w:w="991" w:type="dxa"/>
            <w:vAlign w:val="center"/>
          </w:tcPr>
          <w:p w14:paraId="329BB1B5" w14:textId="55D55663"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7"/>
                <w14:textFill>
                  <w14:solidFill>
                    <w14:srgbClr w14:val="000000">
                      <w14:alpha w14:val="100000"/>
                    </w14:srgbClr>
                  </w14:solidFill>
                </w14:textFill>
              </w:rPr>
              <w:t>|||</w:t>
            </w:r>
            <w:r w:rsidR="00EA4DFF" w:rsidRPr="00EA4DFF">
              <w:rPr>
                <w:color w:val="000000"/>
                <w:spacing w:val="1"/>
                <w:szCs w:val="20"/>
                <w:shd w:val="solid" w:color="000000" w:fill="000000"/>
                <w:fitText w:val="330" w:id="-663580157"/>
                <w14:textFill>
                  <w14:solidFill>
                    <w14:srgbClr w14:val="000000">
                      <w14:alpha w14:val="100000"/>
                    </w14:srgbClr>
                  </w14:solidFill>
                </w14:textFill>
              </w:rPr>
              <w:t>|</w:t>
            </w:r>
            <w:r w:rsidR="00005277" w:rsidRPr="00AE51FC">
              <w:rPr>
                <w:rFonts w:cstheme="minorHAnsi"/>
                <w:bCs/>
                <w:szCs w:val="20"/>
                <w:vertAlign w:val="superscript"/>
              </w:rPr>
              <w:t>1</w:t>
            </w:r>
          </w:p>
        </w:tc>
      </w:tr>
      <w:tr w:rsidR="00F55FE1" w:rsidRPr="00BD4A2A" w14:paraId="2E57A502" w14:textId="77777777" w:rsidTr="00AE51FC">
        <w:trPr>
          <w:trHeight w:val="115"/>
        </w:trPr>
        <w:tc>
          <w:tcPr>
            <w:tcW w:w="3435" w:type="dxa"/>
            <w:vAlign w:val="center"/>
          </w:tcPr>
          <w:p w14:paraId="240B8C95" w14:textId="77777777" w:rsidR="0054070E" w:rsidRPr="00BD4A2A" w:rsidRDefault="0054070E" w:rsidP="0054070E">
            <w:pPr>
              <w:pStyle w:val="Tabletext"/>
              <w:rPr>
                <w:lang w:eastAsia="ja-JP"/>
              </w:rPr>
            </w:pPr>
            <w:r w:rsidRPr="00BD4A2A">
              <w:rPr>
                <w:lang w:eastAsia="ja-JP"/>
              </w:rPr>
              <w:t>Annual growth rate NuvaRing increased from 8% to 12% to account for more switches from private script OCs</w:t>
            </w:r>
          </w:p>
        </w:tc>
        <w:tc>
          <w:tcPr>
            <w:tcW w:w="993" w:type="dxa"/>
            <w:vAlign w:val="center"/>
          </w:tcPr>
          <w:p w14:paraId="6A1CFF07" w14:textId="31A00FD1"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56"/>
                <w14:textFill>
                  <w14:solidFill>
                    <w14:srgbClr w14:val="000000">
                      <w14:alpha w14:val="100000"/>
                    </w14:srgbClr>
                  </w14:solidFill>
                </w14:textFill>
              </w:rPr>
              <w:t>|||</w:t>
            </w:r>
            <w:r w:rsidR="00EA4DFF" w:rsidRPr="00EA4DFF">
              <w:rPr>
                <w:color w:val="000000"/>
                <w:spacing w:val="3"/>
                <w:szCs w:val="20"/>
                <w:shd w:val="solid" w:color="000000" w:fill="000000"/>
                <w:fitText w:val="320" w:id="-663580156"/>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757093A5" w14:textId="4A334A06"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5"/>
                <w14:textFill>
                  <w14:solidFill>
                    <w14:srgbClr w14:val="000000">
                      <w14:alpha w14:val="100000"/>
                    </w14:srgbClr>
                  </w14:solidFill>
                </w14:textFill>
              </w:rPr>
              <w:t>|||</w:t>
            </w:r>
            <w:r w:rsidR="00EA4DFF" w:rsidRPr="00EA4DFF">
              <w:rPr>
                <w:color w:val="000000"/>
                <w:spacing w:val="1"/>
                <w:szCs w:val="20"/>
                <w:shd w:val="solid" w:color="000000" w:fill="000000"/>
                <w:fitText w:val="330" w:id="-663580155"/>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7ADD148D" w14:textId="054DB180"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4"/>
                <w14:textFill>
                  <w14:solidFill>
                    <w14:srgbClr w14:val="000000">
                      <w14:alpha w14:val="100000"/>
                    </w14:srgbClr>
                  </w14:solidFill>
                </w14:textFill>
              </w:rPr>
              <w:t>|||</w:t>
            </w:r>
            <w:r w:rsidR="00EA4DFF" w:rsidRPr="00EA4DFF">
              <w:rPr>
                <w:color w:val="000000"/>
                <w:spacing w:val="1"/>
                <w:szCs w:val="20"/>
                <w:shd w:val="solid" w:color="000000" w:fill="000000"/>
                <w:fitText w:val="330" w:id="-663580154"/>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0E6A6FEB" w14:textId="62B08740"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3"/>
                <w14:textFill>
                  <w14:solidFill>
                    <w14:srgbClr w14:val="000000">
                      <w14:alpha w14:val="100000"/>
                    </w14:srgbClr>
                  </w14:solidFill>
                </w14:textFill>
              </w:rPr>
              <w:t>|||</w:t>
            </w:r>
            <w:r w:rsidR="00EA4DFF" w:rsidRPr="00EA4DFF">
              <w:rPr>
                <w:color w:val="000000"/>
                <w:spacing w:val="1"/>
                <w:szCs w:val="20"/>
                <w:shd w:val="solid" w:color="000000" w:fill="000000"/>
                <w:fitText w:val="330" w:id="-663580153"/>
                <w14:textFill>
                  <w14:solidFill>
                    <w14:srgbClr w14:val="000000">
                      <w14:alpha w14:val="100000"/>
                    </w14:srgbClr>
                  </w14:solidFill>
                </w14:textFill>
              </w:rPr>
              <w:t>|</w:t>
            </w:r>
            <w:r w:rsidR="00005277" w:rsidRPr="00AE51FC">
              <w:rPr>
                <w:rFonts w:cstheme="minorHAnsi"/>
                <w:bCs/>
                <w:szCs w:val="20"/>
                <w:vertAlign w:val="superscript"/>
              </w:rPr>
              <w:t>1</w:t>
            </w:r>
          </w:p>
        </w:tc>
        <w:tc>
          <w:tcPr>
            <w:tcW w:w="993" w:type="dxa"/>
            <w:vAlign w:val="center"/>
          </w:tcPr>
          <w:p w14:paraId="2454463E" w14:textId="14346B38"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52"/>
                <w14:textFill>
                  <w14:solidFill>
                    <w14:srgbClr w14:val="000000">
                      <w14:alpha w14:val="100000"/>
                    </w14:srgbClr>
                  </w14:solidFill>
                </w14:textFill>
              </w:rPr>
              <w:t>|||</w:t>
            </w:r>
            <w:r w:rsidR="00EA4DFF" w:rsidRPr="00EA4DFF">
              <w:rPr>
                <w:color w:val="000000"/>
                <w:spacing w:val="3"/>
                <w:szCs w:val="20"/>
                <w:shd w:val="solid" w:color="000000" w:fill="000000"/>
                <w:fitText w:val="320" w:id="-663580152"/>
                <w14:textFill>
                  <w14:solidFill>
                    <w14:srgbClr w14:val="000000">
                      <w14:alpha w14:val="100000"/>
                    </w14:srgbClr>
                  </w14:solidFill>
                </w14:textFill>
              </w:rPr>
              <w:t>|</w:t>
            </w:r>
            <w:r w:rsidR="00005277" w:rsidRPr="00AE51FC">
              <w:rPr>
                <w:rFonts w:cstheme="minorHAnsi"/>
                <w:bCs/>
                <w:szCs w:val="20"/>
                <w:vertAlign w:val="superscript"/>
              </w:rPr>
              <w:t>1</w:t>
            </w:r>
          </w:p>
        </w:tc>
        <w:tc>
          <w:tcPr>
            <w:tcW w:w="991" w:type="dxa"/>
            <w:vAlign w:val="center"/>
          </w:tcPr>
          <w:p w14:paraId="50177105" w14:textId="16B78D29"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1"/>
                <w14:textFill>
                  <w14:solidFill>
                    <w14:srgbClr w14:val="000000">
                      <w14:alpha w14:val="100000"/>
                    </w14:srgbClr>
                  </w14:solidFill>
                </w14:textFill>
              </w:rPr>
              <w:t>|||</w:t>
            </w:r>
            <w:r w:rsidR="00EA4DFF" w:rsidRPr="00EA4DFF">
              <w:rPr>
                <w:color w:val="000000"/>
                <w:spacing w:val="1"/>
                <w:szCs w:val="20"/>
                <w:shd w:val="solid" w:color="000000" w:fill="000000"/>
                <w:fitText w:val="330" w:id="-663580151"/>
                <w14:textFill>
                  <w14:solidFill>
                    <w14:srgbClr w14:val="000000">
                      <w14:alpha w14:val="100000"/>
                    </w14:srgbClr>
                  </w14:solidFill>
                </w14:textFill>
              </w:rPr>
              <w:t>|</w:t>
            </w:r>
            <w:r w:rsidR="00005277" w:rsidRPr="00AE51FC">
              <w:rPr>
                <w:rFonts w:cstheme="minorHAnsi"/>
                <w:bCs/>
                <w:szCs w:val="20"/>
                <w:vertAlign w:val="superscript"/>
              </w:rPr>
              <w:t>1</w:t>
            </w:r>
          </w:p>
        </w:tc>
      </w:tr>
      <w:tr w:rsidR="00F55FE1" w:rsidRPr="00BD4A2A" w14:paraId="009AD770" w14:textId="77777777" w:rsidTr="00AE51FC">
        <w:trPr>
          <w:trHeight w:val="115"/>
        </w:trPr>
        <w:tc>
          <w:tcPr>
            <w:tcW w:w="3435" w:type="dxa"/>
            <w:vAlign w:val="center"/>
          </w:tcPr>
          <w:p w14:paraId="73620F8C" w14:textId="77777777" w:rsidR="0054070E" w:rsidRPr="00BD4A2A" w:rsidRDefault="0054070E" w:rsidP="0054070E">
            <w:pPr>
              <w:pStyle w:val="Tabletext"/>
              <w:rPr>
                <w:lang w:eastAsia="ja-JP"/>
              </w:rPr>
            </w:pPr>
            <w:r w:rsidRPr="00BD4A2A">
              <w:rPr>
                <w:lang w:eastAsia="ja-JP"/>
              </w:rPr>
              <w:t>Annual growth rate NuvaRing decreased from 8% to 4% to account for fewer switches from private script OCs</w:t>
            </w:r>
          </w:p>
        </w:tc>
        <w:tc>
          <w:tcPr>
            <w:tcW w:w="993" w:type="dxa"/>
            <w:vAlign w:val="center"/>
          </w:tcPr>
          <w:p w14:paraId="13FB5530" w14:textId="1B5B281D"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50"/>
                <w14:textFill>
                  <w14:solidFill>
                    <w14:srgbClr w14:val="000000">
                      <w14:alpha w14:val="100000"/>
                    </w14:srgbClr>
                  </w14:solidFill>
                </w14:textFill>
              </w:rPr>
              <w:t>|||</w:t>
            </w:r>
            <w:r w:rsidR="00EA4DFF" w:rsidRPr="00EA4DFF">
              <w:rPr>
                <w:color w:val="000000"/>
                <w:spacing w:val="3"/>
                <w:szCs w:val="20"/>
                <w:shd w:val="solid" w:color="000000" w:fill="000000"/>
                <w:fitText w:val="320" w:id="-663580150"/>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2BFFD87F" w14:textId="19D48EF0"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49"/>
                <w14:textFill>
                  <w14:solidFill>
                    <w14:srgbClr w14:val="000000">
                      <w14:alpha w14:val="100000"/>
                    </w14:srgbClr>
                  </w14:solidFill>
                </w14:textFill>
              </w:rPr>
              <w:t>|||</w:t>
            </w:r>
            <w:r w:rsidR="00EA4DFF" w:rsidRPr="00EA4DFF">
              <w:rPr>
                <w:color w:val="000000"/>
                <w:spacing w:val="1"/>
                <w:szCs w:val="20"/>
                <w:shd w:val="solid" w:color="000000" w:fill="000000"/>
                <w:fitText w:val="330" w:id="-663580149"/>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1121539C" w14:textId="72D334DC"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48"/>
                <w14:textFill>
                  <w14:solidFill>
                    <w14:srgbClr w14:val="000000">
                      <w14:alpha w14:val="100000"/>
                    </w14:srgbClr>
                  </w14:solidFill>
                </w14:textFill>
              </w:rPr>
              <w:t>|||</w:t>
            </w:r>
            <w:r w:rsidR="00EA4DFF" w:rsidRPr="00EA4DFF">
              <w:rPr>
                <w:color w:val="000000"/>
                <w:spacing w:val="1"/>
                <w:szCs w:val="20"/>
                <w:shd w:val="solid" w:color="000000" w:fill="000000"/>
                <w:fitText w:val="330" w:id="-663580148"/>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4691487C" w14:textId="18C75E81"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47"/>
                <w14:textFill>
                  <w14:solidFill>
                    <w14:srgbClr w14:val="000000">
                      <w14:alpha w14:val="100000"/>
                    </w14:srgbClr>
                  </w14:solidFill>
                </w14:textFill>
              </w:rPr>
              <w:t>|||</w:t>
            </w:r>
            <w:r w:rsidR="00EA4DFF" w:rsidRPr="00EA4DFF">
              <w:rPr>
                <w:color w:val="000000"/>
                <w:spacing w:val="1"/>
                <w:szCs w:val="20"/>
                <w:shd w:val="solid" w:color="000000" w:fill="000000"/>
                <w:fitText w:val="330" w:id="-663580147"/>
                <w14:textFill>
                  <w14:solidFill>
                    <w14:srgbClr w14:val="000000">
                      <w14:alpha w14:val="100000"/>
                    </w14:srgbClr>
                  </w14:solidFill>
                </w14:textFill>
              </w:rPr>
              <w:t>|</w:t>
            </w:r>
            <w:r w:rsidR="00005277" w:rsidRPr="00AE51FC">
              <w:rPr>
                <w:rFonts w:cstheme="minorHAnsi"/>
                <w:bCs/>
                <w:szCs w:val="20"/>
                <w:vertAlign w:val="superscript"/>
              </w:rPr>
              <w:t>1</w:t>
            </w:r>
          </w:p>
        </w:tc>
        <w:tc>
          <w:tcPr>
            <w:tcW w:w="993" w:type="dxa"/>
            <w:vAlign w:val="center"/>
          </w:tcPr>
          <w:p w14:paraId="4E969B75" w14:textId="6B1BE337"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46"/>
                <w14:textFill>
                  <w14:solidFill>
                    <w14:srgbClr w14:val="000000">
                      <w14:alpha w14:val="100000"/>
                    </w14:srgbClr>
                  </w14:solidFill>
                </w14:textFill>
              </w:rPr>
              <w:t>|||</w:t>
            </w:r>
            <w:r w:rsidR="00EA4DFF" w:rsidRPr="00EA4DFF">
              <w:rPr>
                <w:color w:val="000000"/>
                <w:spacing w:val="3"/>
                <w:szCs w:val="20"/>
                <w:shd w:val="solid" w:color="000000" w:fill="000000"/>
                <w:fitText w:val="320" w:id="-663580146"/>
                <w14:textFill>
                  <w14:solidFill>
                    <w14:srgbClr w14:val="000000">
                      <w14:alpha w14:val="100000"/>
                    </w14:srgbClr>
                  </w14:solidFill>
                </w14:textFill>
              </w:rPr>
              <w:t>|</w:t>
            </w:r>
            <w:r w:rsidR="00005277" w:rsidRPr="00AE51FC">
              <w:rPr>
                <w:rFonts w:cstheme="minorHAnsi"/>
                <w:bCs/>
                <w:szCs w:val="20"/>
                <w:vertAlign w:val="superscript"/>
              </w:rPr>
              <w:t>1</w:t>
            </w:r>
          </w:p>
        </w:tc>
        <w:tc>
          <w:tcPr>
            <w:tcW w:w="991" w:type="dxa"/>
            <w:vAlign w:val="center"/>
          </w:tcPr>
          <w:p w14:paraId="02D6AC40" w14:textId="205C67B0"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45"/>
                <w14:textFill>
                  <w14:solidFill>
                    <w14:srgbClr w14:val="000000">
                      <w14:alpha w14:val="100000"/>
                    </w14:srgbClr>
                  </w14:solidFill>
                </w14:textFill>
              </w:rPr>
              <w:t>|||</w:t>
            </w:r>
            <w:r w:rsidR="00EA4DFF" w:rsidRPr="00EA4DFF">
              <w:rPr>
                <w:color w:val="000000"/>
                <w:spacing w:val="1"/>
                <w:szCs w:val="20"/>
                <w:shd w:val="solid" w:color="000000" w:fill="000000"/>
                <w:fitText w:val="330" w:id="-663580145"/>
                <w14:textFill>
                  <w14:solidFill>
                    <w14:srgbClr w14:val="000000">
                      <w14:alpha w14:val="100000"/>
                    </w14:srgbClr>
                  </w14:solidFill>
                </w14:textFill>
              </w:rPr>
              <w:t>|</w:t>
            </w:r>
            <w:r w:rsidR="00005277" w:rsidRPr="00AE51FC">
              <w:rPr>
                <w:rFonts w:cstheme="minorHAnsi"/>
                <w:bCs/>
                <w:szCs w:val="20"/>
                <w:vertAlign w:val="superscript"/>
              </w:rPr>
              <w:t>1</w:t>
            </w:r>
          </w:p>
        </w:tc>
      </w:tr>
      <w:tr w:rsidR="00F55FE1" w:rsidRPr="00BD4A2A" w14:paraId="6C24D67E" w14:textId="77777777" w:rsidTr="00AE51FC">
        <w:trPr>
          <w:trHeight w:val="115"/>
        </w:trPr>
        <w:tc>
          <w:tcPr>
            <w:tcW w:w="3435" w:type="dxa"/>
            <w:vAlign w:val="center"/>
          </w:tcPr>
          <w:p w14:paraId="4F47A267" w14:textId="301A2BFB" w:rsidR="0054070E" w:rsidRPr="00BD4A2A" w:rsidRDefault="006F2005" w:rsidP="0054070E">
            <w:pPr>
              <w:pStyle w:val="Tabletext"/>
              <w:rPr>
                <w:lang w:eastAsia="ja-JP"/>
              </w:rPr>
            </w:pPr>
            <w:r>
              <w:rPr>
                <w:lang w:eastAsia="ja-JP"/>
              </w:rPr>
              <w:t xml:space="preserve">CVR </w:t>
            </w:r>
            <w:r w:rsidR="0054070E" w:rsidRPr="00BD4A2A">
              <w:rPr>
                <w:lang w:eastAsia="ja-JP"/>
              </w:rPr>
              <w:t>adherence increased 82.7% to 87.4% (Odds</w:t>
            </w:r>
            <w:r w:rsidR="00F65098">
              <w:rPr>
                <w:lang w:eastAsia="ja-JP"/>
              </w:rPr>
              <w:t>s</w:t>
            </w:r>
            <w:r w:rsidR="0054070E" w:rsidRPr="00BD4A2A">
              <w:rPr>
                <w:lang w:eastAsia="ja-JP"/>
              </w:rPr>
              <w:t>on 2005</w:t>
            </w:r>
            <w:r w:rsidR="00360A59">
              <w:rPr>
                <w:lang w:eastAsia="ja-JP"/>
              </w:rPr>
              <w:t>b</w:t>
            </w:r>
            <w:r w:rsidR="0054070E" w:rsidRPr="00BD4A2A">
              <w:rPr>
                <w:lang w:eastAsia="ja-JP"/>
              </w:rPr>
              <w:t>)</w:t>
            </w:r>
          </w:p>
        </w:tc>
        <w:tc>
          <w:tcPr>
            <w:tcW w:w="993" w:type="dxa"/>
            <w:vAlign w:val="center"/>
          </w:tcPr>
          <w:p w14:paraId="0A2E3B88" w14:textId="0AD06EA8"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44"/>
                <w14:textFill>
                  <w14:solidFill>
                    <w14:srgbClr w14:val="000000">
                      <w14:alpha w14:val="100000"/>
                    </w14:srgbClr>
                  </w14:solidFill>
                </w14:textFill>
              </w:rPr>
              <w:t>|||</w:t>
            </w:r>
            <w:r w:rsidR="00EA4DFF" w:rsidRPr="00EA4DFF">
              <w:rPr>
                <w:color w:val="000000"/>
                <w:spacing w:val="3"/>
                <w:szCs w:val="20"/>
                <w:shd w:val="solid" w:color="000000" w:fill="000000"/>
                <w:fitText w:val="320" w:id="-663580144"/>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2AAE8947" w14:textId="1D902196"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60"/>
                <w14:textFill>
                  <w14:solidFill>
                    <w14:srgbClr w14:val="000000">
                      <w14:alpha w14:val="100000"/>
                    </w14:srgbClr>
                  </w14:solidFill>
                </w14:textFill>
              </w:rPr>
              <w:t>|||</w:t>
            </w:r>
            <w:r w:rsidR="00EA4DFF" w:rsidRPr="00EA4DFF">
              <w:rPr>
                <w:color w:val="000000"/>
                <w:spacing w:val="1"/>
                <w:szCs w:val="20"/>
                <w:shd w:val="solid" w:color="000000" w:fill="000000"/>
                <w:fitText w:val="330" w:id="-663580160"/>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04D53D77" w14:textId="25D352CF"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9"/>
                <w14:textFill>
                  <w14:solidFill>
                    <w14:srgbClr w14:val="000000">
                      <w14:alpha w14:val="100000"/>
                    </w14:srgbClr>
                  </w14:solidFill>
                </w14:textFill>
              </w:rPr>
              <w:t>|||</w:t>
            </w:r>
            <w:r w:rsidR="00EA4DFF" w:rsidRPr="00EA4DFF">
              <w:rPr>
                <w:color w:val="000000"/>
                <w:spacing w:val="1"/>
                <w:szCs w:val="20"/>
                <w:shd w:val="solid" w:color="000000" w:fill="000000"/>
                <w:fitText w:val="330" w:id="-663580159"/>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03A3BB73" w14:textId="31BBE3F3"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8"/>
                <w14:textFill>
                  <w14:solidFill>
                    <w14:srgbClr w14:val="000000">
                      <w14:alpha w14:val="100000"/>
                    </w14:srgbClr>
                  </w14:solidFill>
                </w14:textFill>
              </w:rPr>
              <w:t>|||</w:t>
            </w:r>
            <w:r w:rsidR="00EA4DFF" w:rsidRPr="00EA4DFF">
              <w:rPr>
                <w:color w:val="000000"/>
                <w:spacing w:val="1"/>
                <w:szCs w:val="20"/>
                <w:shd w:val="solid" w:color="000000" w:fill="000000"/>
                <w:fitText w:val="330" w:id="-663580158"/>
                <w14:textFill>
                  <w14:solidFill>
                    <w14:srgbClr w14:val="000000">
                      <w14:alpha w14:val="100000"/>
                    </w14:srgbClr>
                  </w14:solidFill>
                </w14:textFill>
              </w:rPr>
              <w:t>|</w:t>
            </w:r>
            <w:r w:rsidR="00005277" w:rsidRPr="00AE51FC">
              <w:rPr>
                <w:rFonts w:cstheme="minorHAnsi"/>
                <w:bCs/>
                <w:szCs w:val="20"/>
                <w:vertAlign w:val="superscript"/>
              </w:rPr>
              <w:t>1</w:t>
            </w:r>
          </w:p>
        </w:tc>
        <w:tc>
          <w:tcPr>
            <w:tcW w:w="993" w:type="dxa"/>
            <w:vAlign w:val="center"/>
          </w:tcPr>
          <w:p w14:paraId="3B5AED9D" w14:textId="53292360"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57"/>
                <w14:textFill>
                  <w14:solidFill>
                    <w14:srgbClr w14:val="000000">
                      <w14:alpha w14:val="100000"/>
                    </w14:srgbClr>
                  </w14:solidFill>
                </w14:textFill>
              </w:rPr>
              <w:t>|||</w:t>
            </w:r>
            <w:r w:rsidR="00EA4DFF" w:rsidRPr="00EA4DFF">
              <w:rPr>
                <w:color w:val="000000"/>
                <w:spacing w:val="3"/>
                <w:szCs w:val="20"/>
                <w:shd w:val="solid" w:color="000000" w:fill="000000"/>
                <w:fitText w:val="320" w:id="-663580157"/>
                <w14:textFill>
                  <w14:solidFill>
                    <w14:srgbClr w14:val="000000">
                      <w14:alpha w14:val="100000"/>
                    </w14:srgbClr>
                  </w14:solidFill>
                </w14:textFill>
              </w:rPr>
              <w:t>|</w:t>
            </w:r>
            <w:r w:rsidR="00005277" w:rsidRPr="00AE51FC">
              <w:rPr>
                <w:rFonts w:cstheme="minorHAnsi"/>
                <w:bCs/>
                <w:szCs w:val="20"/>
                <w:vertAlign w:val="superscript"/>
              </w:rPr>
              <w:t>1</w:t>
            </w:r>
          </w:p>
        </w:tc>
        <w:tc>
          <w:tcPr>
            <w:tcW w:w="991" w:type="dxa"/>
            <w:vAlign w:val="center"/>
          </w:tcPr>
          <w:p w14:paraId="2A5A7AC6" w14:textId="461F0CA6"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6"/>
                <w14:textFill>
                  <w14:solidFill>
                    <w14:srgbClr w14:val="000000">
                      <w14:alpha w14:val="100000"/>
                    </w14:srgbClr>
                  </w14:solidFill>
                </w14:textFill>
              </w:rPr>
              <w:t>|||</w:t>
            </w:r>
            <w:r w:rsidR="00EA4DFF" w:rsidRPr="00EA4DFF">
              <w:rPr>
                <w:color w:val="000000"/>
                <w:spacing w:val="1"/>
                <w:szCs w:val="20"/>
                <w:shd w:val="solid" w:color="000000" w:fill="000000"/>
                <w:fitText w:val="330" w:id="-663580156"/>
                <w14:textFill>
                  <w14:solidFill>
                    <w14:srgbClr w14:val="000000">
                      <w14:alpha w14:val="100000"/>
                    </w14:srgbClr>
                  </w14:solidFill>
                </w14:textFill>
              </w:rPr>
              <w:t>|</w:t>
            </w:r>
            <w:r w:rsidR="00005277" w:rsidRPr="00AE51FC">
              <w:rPr>
                <w:rFonts w:cstheme="minorHAnsi"/>
                <w:bCs/>
                <w:szCs w:val="20"/>
                <w:vertAlign w:val="superscript"/>
              </w:rPr>
              <w:t>1</w:t>
            </w:r>
          </w:p>
        </w:tc>
      </w:tr>
      <w:tr w:rsidR="00F55FE1" w:rsidRPr="00BD4A2A" w14:paraId="42AE0CC8" w14:textId="77777777" w:rsidTr="00AE51FC">
        <w:trPr>
          <w:trHeight w:val="115"/>
        </w:trPr>
        <w:tc>
          <w:tcPr>
            <w:tcW w:w="3435" w:type="dxa"/>
            <w:vAlign w:val="center"/>
          </w:tcPr>
          <w:p w14:paraId="5C45946F" w14:textId="5873C110" w:rsidR="0054070E" w:rsidRPr="00BD4A2A" w:rsidRDefault="006F2005" w:rsidP="0054070E">
            <w:pPr>
              <w:pStyle w:val="Tabletext"/>
              <w:rPr>
                <w:lang w:eastAsia="ja-JP"/>
              </w:rPr>
            </w:pPr>
            <w:r>
              <w:rPr>
                <w:lang w:eastAsia="ja-JP"/>
              </w:rPr>
              <w:t xml:space="preserve">CVR </w:t>
            </w:r>
            <w:r w:rsidR="0054070E" w:rsidRPr="00BD4A2A">
              <w:rPr>
                <w:lang w:eastAsia="ja-JP"/>
              </w:rPr>
              <w:t>adherence decreased 82.7% to 78.0% (Gill 2020)</w:t>
            </w:r>
          </w:p>
        </w:tc>
        <w:tc>
          <w:tcPr>
            <w:tcW w:w="993" w:type="dxa"/>
            <w:vAlign w:val="center"/>
          </w:tcPr>
          <w:p w14:paraId="745C5F7B" w14:textId="3997FF86"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55"/>
                <w14:textFill>
                  <w14:solidFill>
                    <w14:srgbClr w14:val="000000">
                      <w14:alpha w14:val="100000"/>
                    </w14:srgbClr>
                  </w14:solidFill>
                </w14:textFill>
              </w:rPr>
              <w:t>|||</w:t>
            </w:r>
            <w:r w:rsidR="00EA4DFF" w:rsidRPr="00EA4DFF">
              <w:rPr>
                <w:color w:val="000000"/>
                <w:spacing w:val="3"/>
                <w:szCs w:val="20"/>
                <w:shd w:val="solid" w:color="000000" w:fill="000000"/>
                <w:fitText w:val="320" w:id="-663580155"/>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16C7E6E0" w14:textId="5F0A1660"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4"/>
                <w14:textFill>
                  <w14:solidFill>
                    <w14:srgbClr w14:val="000000">
                      <w14:alpha w14:val="100000"/>
                    </w14:srgbClr>
                  </w14:solidFill>
                </w14:textFill>
              </w:rPr>
              <w:t>|||</w:t>
            </w:r>
            <w:r w:rsidR="00EA4DFF" w:rsidRPr="00EA4DFF">
              <w:rPr>
                <w:color w:val="000000"/>
                <w:spacing w:val="1"/>
                <w:szCs w:val="20"/>
                <w:shd w:val="solid" w:color="000000" w:fill="000000"/>
                <w:fitText w:val="330" w:id="-663580154"/>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0DF0D627" w14:textId="374459B7"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3"/>
                <w14:textFill>
                  <w14:solidFill>
                    <w14:srgbClr w14:val="000000">
                      <w14:alpha w14:val="100000"/>
                    </w14:srgbClr>
                  </w14:solidFill>
                </w14:textFill>
              </w:rPr>
              <w:t>|||</w:t>
            </w:r>
            <w:r w:rsidR="00EA4DFF" w:rsidRPr="00EA4DFF">
              <w:rPr>
                <w:color w:val="000000"/>
                <w:spacing w:val="1"/>
                <w:szCs w:val="20"/>
                <w:shd w:val="solid" w:color="000000" w:fill="000000"/>
                <w:fitText w:val="330" w:id="-663580153"/>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6B54412D" w14:textId="159BB504"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2"/>
                <w14:textFill>
                  <w14:solidFill>
                    <w14:srgbClr w14:val="000000">
                      <w14:alpha w14:val="100000"/>
                    </w14:srgbClr>
                  </w14:solidFill>
                </w14:textFill>
              </w:rPr>
              <w:t>|||</w:t>
            </w:r>
            <w:r w:rsidR="00EA4DFF" w:rsidRPr="00EA4DFF">
              <w:rPr>
                <w:color w:val="000000"/>
                <w:spacing w:val="1"/>
                <w:szCs w:val="20"/>
                <w:shd w:val="solid" w:color="000000" w:fill="000000"/>
                <w:fitText w:val="330" w:id="-663580152"/>
                <w14:textFill>
                  <w14:solidFill>
                    <w14:srgbClr w14:val="000000">
                      <w14:alpha w14:val="100000"/>
                    </w14:srgbClr>
                  </w14:solidFill>
                </w14:textFill>
              </w:rPr>
              <w:t>|</w:t>
            </w:r>
            <w:r w:rsidR="00005277" w:rsidRPr="00AE51FC">
              <w:rPr>
                <w:rFonts w:cstheme="minorHAnsi"/>
                <w:bCs/>
                <w:szCs w:val="20"/>
                <w:vertAlign w:val="superscript"/>
              </w:rPr>
              <w:t>1</w:t>
            </w:r>
          </w:p>
        </w:tc>
        <w:tc>
          <w:tcPr>
            <w:tcW w:w="993" w:type="dxa"/>
            <w:vAlign w:val="center"/>
          </w:tcPr>
          <w:p w14:paraId="1A553F3B" w14:textId="5929EDCA"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51"/>
                <w14:textFill>
                  <w14:solidFill>
                    <w14:srgbClr w14:val="000000">
                      <w14:alpha w14:val="100000"/>
                    </w14:srgbClr>
                  </w14:solidFill>
                </w14:textFill>
              </w:rPr>
              <w:t>|||</w:t>
            </w:r>
            <w:r w:rsidR="00EA4DFF" w:rsidRPr="00EA4DFF">
              <w:rPr>
                <w:color w:val="000000"/>
                <w:spacing w:val="3"/>
                <w:szCs w:val="20"/>
                <w:shd w:val="solid" w:color="000000" w:fill="000000"/>
                <w:fitText w:val="320" w:id="-663580151"/>
                <w14:textFill>
                  <w14:solidFill>
                    <w14:srgbClr w14:val="000000">
                      <w14:alpha w14:val="100000"/>
                    </w14:srgbClr>
                  </w14:solidFill>
                </w14:textFill>
              </w:rPr>
              <w:t>|</w:t>
            </w:r>
            <w:r w:rsidR="00005277" w:rsidRPr="00AE51FC">
              <w:rPr>
                <w:rFonts w:cstheme="minorHAnsi"/>
                <w:bCs/>
                <w:szCs w:val="20"/>
                <w:vertAlign w:val="superscript"/>
              </w:rPr>
              <w:t>1</w:t>
            </w:r>
          </w:p>
        </w:tc>
        <w:tc>
          <w:tcPr>
            <w:tcW w:w="991" w:type="dxa"/>
            <w:vAlign w:val="center"/>
          </w:tcPr>
          <w:p w14:paraId="536772DB" w14:textId="62A45CF5"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0"/>
                <w14:textFill>
                  <w14:solidFill>
                    <w14:srgbClr w14:val="000000">
                      <w14:alpha w14:val="100000"/>
                    </w14:srgbClr>
                  </w14:solidFill>
                </w14:textFill>
              </w:rPr>
              <w:t>|||</w:t>
            </w:r>
            <w:r w:rsidR="00EA4DFF" w:rsidRPr="00EA4DFF">
              <w:rPr>
                <w:color w:val="000000"/>
                <w:spacing w:val="1"/>
                <w:szCs w:val="20"/>
                <w:shd w:val="solid" w:color="000000" w:fill="000000"/>
                <w:fitText w:val="330" w:id="-663580150"/>
                <w14:textFill>
                  <w14:solidFill>
                    <w14:srgbClr w14:val="000000">
                      <w14:alpha w14:val="100000"/>
                    </w14:srgbClr>
                  </w14:solidFill>
                </w14:textFill>
              </w:rPr>
              <w:t>|</w:t>
            </w:r>
            <w:r w:rsidR="00005277" w:rsidRPr="00AE51FC">
              <w:rPr>
                <w:rFonts w:cstheme="minorHAnsi"/>
                <w:bCs/>
                <w:szCs w:val="20"/>
                <w:vertAlign w:val="superscript"/>
              </w:rPr>
              <w:t>1</w:t>
            </w:r>
          </w:p>
        </w:tc>
      </w:tr>
      <w:tr w:rsidR="00F55FE1" w:rsidRPr="00BD4A2A" w14:paraId="184F0ED3" w14:textId="77777777" w:rsidTr="00AE51FC">
        <w:trPr>
          <w:trHeight w:val="115"/>
        </w:trPr>
        <w:tc>
          <w:tcPr>
            <w:tcW w:w="3435" w:type="dxa"/>
            <w:vAlign w:val="center"/>
          </w:tcPr>
          <w:p w14:paraId="2A2D2A9A" w14:textId="6E9A53FA" w:rsidR="0054070E" w:rsidRPr="00BD4A2A" w:rsidRDefault="0054070E" w:rsidP="0054070E">
            <w:pPr>
              <w:pStyle w:val="Tabletext"/>
              <w:rPr>
                <w:lang w:eastAsia="ja-JP"/>
              </w:rPr>
            </w:pPr>
            <w:r w:rsidRPr="00BD4A2A">
              <w:t xml:space="preserve">Uptake from </w:t>
            </w:r>
            <w:r w:rsidR="006F2005">
              <w:t xml:space="preserve">CVR </w:t>
            </w:r>
            <w:r w:rsidRPr="00BD4A2A">
              <w:t xml:space="preserve">(via private script) increased to Yr 1 </w:t>
            </w:r>
            <w:r w:rsidR="00EA4DFF" w:rsidRPr="00EA4DFF">
              <w:rPr>
                <w:color w:val="000000"/>
                <w:spacing w:val="53"/>
                <w:shd w:val="solid" w:color="000000" w:fill="000000"/>
                <w:fitText w:val="330" w:id="-663580149"/>
                <w14:textFill>
                  <w14:solidFill>
                    <w14:srgbClr w14:val="000000">
                      <w14:alpha w14:val="100000"/>
                    </w14:srgbClr>
                  </w14:solidFill>
                </w14:textFill>
              </w:rPr>
              <w:t>|||</w:t>
            </w:r>
            <w:r w:rsidR="00EA4DFF" w:rsidRPr="00EA4DFF">
              <w:rPr>
                <w:color w:val="000000"/>
                <w:spacing w:val="1"/>
                <w:shd w:val="solid" w:color="000000" w:fill="000000"/>
                <w:fitText w:val="330" w:id="-663580149"/>
                <w14:textFill>
                  <w14:solidFill>
                    <w14:srgbClr w14:val="000000">
                      <w14:alpha w14:val="100000"/>
                    </w14:srgbClr>
                  </w14:solidFill>
                </w14:textFill>
              </w:rPr>
              <w:t>|</w:t>
            </w:r>
            <w:r w:rsidRPr="00BD4A2A">
              <w:t>%, Yr</w:t>
            </w:r>
            <w:r w:rsidR="00525D1C">
              <w:t> </w:t>
            </w:r>
            <w:r w:rsidRPr="00BD4A2A">
              <w:t xml:space="preserve">2 onwards </w:t>
            </w:r>
            <w:r w:rsidR="00EA4DFF" w:rsidRPr="00EA4DFF">
              <w:rPr>
                <w:color w:val="000000"/>
                <w:spacing w:val="53"/>
                <w:shd w:val="solid" w:color="000000" w:fill="000000"/>
                <w:fitText w:val="330" w:id="-663580148"/>
                <w14:textFill>
                  <w14:solidFill>
                    <w14:srgbClr w14:val="000000">
                      <w14:alpha w14:val="100000"/>
                    </w14:srgbClr>
                  </w14:solidFill>
                </w14:textFill>
              </w:rPr>
              <w:t>|||</w:t>
            </w:r>
            <w:r w:rsidR="00EA4DFF" w:rsidRPr="00EA4DFF">
              <w:rPr>
                <w:color w:val="000000"/>
                <w:spacing w:val="1"/>
                <w:shd w:val="solid" w:color="000000" w:fill="000000"/>
                <w:fitText w:val="330" w:id="-663580148"/>
                <w14:textFill>
                  <w14:solidFill>
                    <w14:srgbClr w14:val="000000">
                      <w14:alpha w14:val="100000"/>
                    </w14:srgbClr>
                  </w14:solidFill>
                </w14:textFill>
              </w:rPr>
              <w:t>|</w:t>
            </w:r>
            <w:r w:rsidRPr="00BD4A2A">
              <w:t>%</w:t>
            </w:r>
          </w:p>
        </w:tc>
        <w:tc>
          <w:tcPr>
            <w:tcW w:w="993" w:type="dxa"/>
            <w:vAlign w:val="center"/>
          </w:tcPr>
          <w:p w14:paraId="21C81689" w14:textId="6B4C5DFB"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47"/>
                <w14:textFill>
                  <w14:solidFill>
                    <w14:srgbClr w14:val="000000">
                      <w14:alpha w14:val="100000"/>
                    </w14:srgbClr>
                  </w14:solidFill>
                </w14:textFill>
              </w:rPr>
              <w:t>|||</w:t>
            </w:r>
            <w:r w:rsidR="00EA4DFF" w:rsidRPr="00EA4DFF">
              <w:rPr>
                <w:color w:val="000000"/>
                <w:spacing w:val="3"/>
                <w:szCs w:val="20"/>
                <w:shd w:val="solid" w:color="000000" w:fill="000000"/>
                <w:fitText w:val="320" w:id="-663580147"/>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14154F47" w14:textId="5C24ECFA"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46"/>
                <w14:textFill>
                  <w14:solidFill>
                    <w14:srgbClr w14:val="000000">
                      <w14:alpha w14:val="100000"/>
                    </w14:srgbClr>
                  </w14:solidFill>
                </w14:textFill>
              </w:rPr>
              <w:t>|||</w:t>
            </w:r>
            <w:r w:rsidR="00EA4DFF" w:rsidRPr="00EA4DFF">
              <w:rPr>
                <w:color w:val="000000"/>
                <w:spacing w:val="1"/>
                <w:szCs w:val="20"/>
                <w:shd w:val="solid" w:color="000000" w:fill="000000"/>
                <w:fitText w:val="330" w:id="-663580146"/>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108F118A" w14:textId="51D5C0EB"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45"/>
                <w14:textFill>
                  <w14:solidFill>
                    <w14:srgbClr w14:val="000000">
                      <w14:alpha w14:val="100000"/>
                    </w14:srgbClr>
                  </w14:solidFill>
                </w14:textFill>
              </w:rPr>
              <w:t>|||</w:t>
            </w:r>
            <w:r w:rsidR="00EA4DFF" w:rsidRPr="00EA4DFF">
              <w:rPr>
                <w:color w:val="000000"/>
                <w:spacing w:val="1"/>
                <w:szCs w:val="20"/>
                <w:shd w:val="solid" w:color="000000" w:fill="000000"/>
                <w:fitText w:val="330" w:id="-663580145"/>
                <w14:textFill>
                  <w14:solidFill>
                    <w14:srgbClr w14:val="000000">
                      <w14:alpha w14:val="100000"/>
                    </w14:srgbClr>
                  </w14:solidFill>
                </w14:textFill>
              </w:rPr>
              <w:t>|</w:t>
            </w:r>
            <w:r w:rsidR="00005277" w:rsidRPr="00AE51FC">
              <w:rPr>
                <w:rFonts w:cstheme="minorHAnsi"/>
                <w:bCs/>
                <w:szCs w:val="20"/>
                <w:vertAlign w:val="superscript"/>
              </w:rPr>
              <w:t>1</w:t>
            </w:r>
          </w:p>
        </w:tc>
        <w:tc>
          <w:tcPr>
            <w:tcW w:w="992" w:type="dxa"/>
            <w:vAlign w:val="center"/>
          </w:tcPr>
          <w:p w14:paraId="5BA09E31" w14:textId="26B02B8A"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44"/>
                <w14:textFill>
                  <w14:solidFill>
                    <w14:srgbClr w14:val="000000">
                      <w14:alpha w14:val="100000"/>
                    </w14:srgbClr>
                  </w14:solidFill>
                </w14:textFill>
              </w:rPr>
              <w:t>|||</w:t>
            </w:r>
            <w:r w:rsidR="00EA4DFF" w:rsidRPr="00EA4DFF">
              <w:rPr>
                <w:color w:val="000000"/>
                <w:spacing w:val="1"/>
                <w:szCs w:val="20"/>
                <w:shd w:val="solid" w:color="000000" w:fill="000000"/>
                <w:fitText w:val="330" w:id="-663580144"/>
                <w14:textFill>
                  <w14:solidFill>
                    <w14:srgbClr w14:val="000000">
                      <w14:alpha w14:val="100000"/>
                    </w14:srgbClr>
                  </w14:solidFill>
                </w14:textFill>
              </w:rPr>
              <w:t>|</w:t>
            </w:r>
            <w:r w:rsidR="00005277" w:rsidRPr="00AE51FC">
              <w:rPr>
                <w:rFonts w:cstheme="minorHAnsi"/>
                <w:bCs/>
                <w:szCs w:val="20"/>
                <w:vertAlign w:val="superscript"/>
              </w:rPr>
              <w:t>1</w:t>
            </w:r>
          </w:p>
        </w:tc>
        <w:tc>
          <w:tcPr>
            <w:tcW w:w="993" w:type="dxa"/>
            <w:vAlign w:val="center"/>
          </w:tcPr>
          <w:p w14:paraId="3BE1AD72" w14:textId="4FDDA76C"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49"/>
                <w:szCs w:val="20"/>
                <w:shd w:val="solid" w:color="000000" w:fill="000000"/>
                <w:fitText w:val="320" w:id="-663580160"/>
                <w14:textFill>
                  <w14:solidFill>
                    <w14:srgbClr w14:val="000000">
                      <w14:alpha w14:val="100000"/>
                    </w14:srgbClr>
                  </w14:solidFill>
                </w14:textFill>
              </w:rPr>
              <w:t>|||</w:t>
            </w:r>
            <w:r w:rsidR="00EA4DFF" w:rsidRPr="00EA4DFF">
              <w:rPr>
                <w:color w:val="000000"/>
                <w:spacing w:val="3"/>
                <w:szCs w:val="20"/>
                <w:shd w:val="solid" w:color="000000" w:fill="000000"/>
                <w:fitText w:val="320" w:id="-663580160"/>
                <w14:textFill>
                  <w14:solidFill>
                    <w14:srgbClr w14:val="000000">
                      <w14:alpha w14:val="100000"/>
                    </w14:srgbClr>
                  </w14:solidFill>
                </w14:textFill>
              </w:rPr>
              <w:t>|</w:t>
            </w:r>
            <w:r w:rsidR="00005277" w:rsidRPr="00AE51FC">
              <w:rPr>
                <w:rFonts w:cstheme="minorHAnsi"/>
                <w:bCs/>
                <w:szCs w:val="20"/>
                <w:vertAlign w:val="superscript"/>
              </w:rPr>
              <w:t>1</w:t>
            </w:r>
          </w:p>
        </w:tc>
        <w:tc>
          <w:tcPr>
            <w:tcW w:w="991" w:type="dxa"/>
            <w:vAlign w:val="center"/>
          </w:tcPr>
          <w:p w14:paraId="5BC7BA9D" w14:textId="15C777F0" w:rsidR="0054070E" w:rsidRPr="00AE51FC" w:rsidRDefault="0054070E" w:rsidP="00AE51FC">
            <w:pPr>
              <w:pStyle w:val="Tabletext"/>
              <w:jc w:val="center"/>
              <w:rPr>
                <w:szCs w:val="20"/>
                <w:lang w:eastAsia="ja-JP"/>
              </w:rPr>
            </w:pPr>
            <w:r w:rsidRPr="00AE51FC">
              <w:rPr>
                <w:szCs w:val="20"/>
              </w:rPr>
              <w:t>$</w:t>
            </w:r>
            <w:r w:rsidR="00EA4DFF" w:rsidRPr="00EA4DFF">
              <w:rPr>
                <w:color w:val="000000"/>
                <w:spacing w:val="53"/>
                <w:szCs w:val="20"/>
                <w:shd w:val="solid" w:color="000000" w:fill="000000"/>
                <w:fitText w:val="330" w:id="-663580159"/>
                <w14:textFill>
                  <w14:solidFill>
                    <w14:srgbClr w14:val="000000">
                      <w14:alpha w14:val="100000"/>
                    </w14:srgbClr>
                  </w14:solidFill>
                </w14:textFill>
              </w:rPr>
              <w:t>|||</w:t>
            </w:r>
            <w:r w:rsidR="00EA4DFF" w:rsidRPr="00EA4DFF">
              <w:rPr>
                <w:color w:val="000000"/>
                <w:spacing w:val="1"/>
                <w:szCs w:val="20"/>
                <w:shd w:val="solid" w:color="000000" w:fill="000000"/>
                <w:fitText w:val="330" w:id="-663580159"/>
                <w14:textFill>
                  <w14:solidFill>
                    <w14:srgbClr w14:val="000000">
                      <w14:alpha w14:val="100000"/>
                    </w14:srgbClr>
                  </w14:solidFill>
                </w14:textFill>
              </w:rPr>
              <w:t>|</w:t>
            </w:r>
            <w:r w:rsidR="00005277" w:rsidRPr="00AE51FC">
              <w:rPr>
                <w:rFonts w:cstheme="minorHAnsi"/>
                <w:bCs/>
                <w:szCs w:val="20"/>
                <w:vertAlign w:val="superscript"/>
              </w:rPr>
              <w:t>1</w:t>
            </w:r>
          </w:p>
        </w:tc>
      </w:tr>
    </w:tbl>
    <w:p w14:paraId="740B1475" w14:textId="2DC66C7D" w:rsidR="0058552D" w:rsidRDefault="0054070E" w:rsidP="0053245C">
      <w:pPr>
        <w:pStyle w:val="TableFigureFooter"/>
      </w:pPr>
      <w:r>
        <w:t>Source: Table 4.6.1, p150 of the submission</w:t>
      </w:r>
      <w:r w:rsidR="001B62B7">
        <w:t xml:space="preserve"> main body</w:t>
      </w:r>
      <w:r>
        <w:t xml:space="preserve">. </w:t>
      </w:r>
    </w:p>
    <w:p w14:paraId="7448EF30" w14:textId="029F3C70" w:rsidR="0054070E" w:rsidRDefault="000332F7" w:rsidP="00AE51FC">
      <w:pPr>
        <w:pStyle w:val="TableFigureFooter"/>
        <w:spacing w:after="0"/>
      </w:pPr>
      <w:r>
        <w:t xml:space="preserve">CVR = contraceptive vaginal ring; </w:t>
      </w:r>
      <w:r w:rsidR="0054070E" w:rsidRPr="00BD4A2A">
        <w:t>DMPA</w:t>
      </w:r>
      <w:r w:rsidR="007922B3">
        <w:t xml:space="preserve"> =</w:t>
      </w:r>
      <w:r w:rsidR="0054070E" w:rsidRPr="00BD4A2A">
        <w:t xml:space="preserve"> depot medroxyprogesterone acetate; </w:t>
      </w:r>
      <w:r w:rsidR="00AE1ABC">
        <w:t xml:space="preserve">Max = maximum; </w:t>
      </w:r>
      <w:r w:rsidR="0054070E" w:rsidRPr="00BD4A2A">
        <w:t>OC</w:t>
      </w:r>
      <w:r w:rsidR="007922B3">
        <w:t xml:space="preserve"> =</w:t>
      </w:r>
      <w:r w:rsidR="0054070E" w:rsidRPr="00BD4A2A">
        <w:t xml:space="preserve"> oral contraceptives; PBS</w:t>
      </w:r>
      <w:r w:rsidR="002977D9">
        <w:t> </w:t>
      </w:r>
      <w:r w:rsidR="007922B3">
        <w:t>=</w:t>
      </w:r>
      <w:r w:rsidR="002977D9">
        <w:t> </w:t>
      </w:r>
      <w:r w:rsidR="0054070E" w:rsidRPr="00BD4A2A">
        <w:t>Pharmaceutical Benefits Scheme; RPBS</w:t>
      </w:r>
      <w:r w:rsidR="007922B3">
        <w:t xml:space="preserve"> =</w:t>
      </w:r>
      <w:r w:rsidR="0054070E" w:rsidRPr="00BD4A2A">
        <w:t xml:space="preserve"> Repatriation Pharmaceutical Benefits Scheme</w:t>
      </w:r>
      <w:r>
        <w:t>; Yr = year.</w:t>
      </w:r>
    </w:p>
    <w:p w14:paraId="02C9BD1C" w14:textId="77777777" w:rsidR="007978C4" w:rsidRPr="00F56B14" w:rsidRDefault="007978C4" w:rsidP="007978C4">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63CEF37F" w14:textId="17C9D024" w:rsidR="007978C4" w:rsidRPr="007978C4" w:rsidRDefault="007978C4" w:rsidP="00AE51FC">
      <w:pPr>
        <w:spacing w:after="120"/>
        <w:jc w:val="left"/>
      </w:pPr>
      <w:r w:rsidRPr="00624AB2">
        <w:rPr>
          <w:rFonts w:ascii="Arial Narrow" w:hAnsi="Arial Narrow" w:cstheme="minorHAnsi"/>
          <w:bCs/>
          <w:i/>
          <w:iCs/>
          <w:sz w:val="18"/>
          <w:szCs w:val="18"/>
          <w:vertAlign w:val="superscript"/>
        </w:rPr>
        <w:t xml:space="preserve">1 </w:t>
      </w:r>
      <w:r w:rsidR="00624AB2" w:rsidRPr="00AE51FC">
        <w:rPr>
          <w:rFonts w:ascii="Arial Narrow" w:hAnsi="Arial Narrow" w:cstheme="minorHAnsi"/>
          <w:bCs/>
          <w:i/>
          <w:iCs/>
          <w:sz w:val="18"/>
          <w:szCs w:val="18"/>
        </w:rPr>
        <w:t>$0 to &lt; $10 million</w:t>
      </w:r>
    </w:p>
    <w:p w14:paraId="51BCDAE2" w14:textId="53E004AC" w:rsidR="00EF4BA2" w:rsidRPr="006B682B" w:rsidRDefault="002347C6" w:rsidP="00EF4BA2">
      <w:pPr>
        <w:pStyle w:val="3-BodyText"/>
      </w:pPr>
      <w:r w:rsidRPr="006B682B">
        <w:t>The PSCR provided revised financial estimates, which</w:t>
      </w:r>
      <w:r w:rsidR="00034134" w:rsidRPr="006B682B">
        <w:t xml:space="preserve"> included </w:t>
      </w:r>
      <w:r w:rsidR="000D07D2" w:rsidRPr="006B682B">
        <w:t xml:space="preserve">a revised requested AEMP of $54.35 for 12 weeks of treatment, </w:t>
      </w:r>
      <w:r w:rsidR="00554C02" w:rsidRPr="006B682B">
        <w:t xml:space="preserve">revised script equivalence to COCs, a lowered annual growth rate from +8% to +4%, </w:t>
      </w:r>
      <w:r w:rsidR="00B95557" w:rsidRPr="006B682B">
        <w:t>and removal of adherence rates. The revised</w:t>
      </w:r>
      <w:r w:rsidRPr="006B682B">
        <w:t xml:space="preserve"> estimate</w:t>
      </w:r>
      <w:r w:rsidR="00B95557" w:rsidRPr="006B682B">
        <w:t>s showed</w:t>
      </w:r>
      <w:r w:rsidRPr="006B682B">
        <w:t xml:space="preserve"> a net cost to the PBS of </w:t>
      </w:r>
      <w:r w:rsidR="00276975" w:rsidRPr="00276975">
        <w:rPr>
          <w:bCs/>
        </w:rPr>
        <w:t>$0 to &lt; $10 million</w:t>
      </w:r>
      <w:r w:rsidR="00211324" w:rsidRPr="006B682B">
        <w:t xml:space="preserve"> over the first 6</w:t>
      </w:r>
      <w:r w:rsidR="00276975">
        <w:t> </w:t>
      </w:r>
      <w:r w:rsidR="00211324" w:rsidRPr="006B682B">
        <w:t xml:space="preserve">years of listing, and provided a scenario analysis </w:t>
      </w:r>
      <w:r w:rsidR="002A2AD2" w:rsidRPr="006B682B">
        <w:t xml:space="preserve">that if </w:t>
      </w:r>
      <w:r w:rsidR="00EA4DFF" w:rsidRPr="00EA4DFF">
        <w:rPr>
          <w:color w:val="000000"/>
          <w:w w:val="60"/>
          <w:shd w:val="solid" w:color="000000" w:fill="000000"/>
          <w:fitText w:val="470" w:id="-663580158"/>
          <w14:textFill>
            <w14:solidFill>
              <w14:srgbClr w14:val="000000">
                <w14:alpha w14:val="100000"/>
              </w14:srgbClr>
            </w14:solidFill>
          </w14:textFill>
        </w:rPr>
        <w:t>|||  ||</w:t>
      </w:r>
      <w:r w:rsidR="00EA4DFF" w:rsidRPr="00EA4DFF">
        <w:rPr>
          <w:color w:val="000000"/>
          <w:spacing w:val="6"/>
          <w:w w:val="60"/>
          <w:shd w:val="solid" w:color="000000" w:fill="000000"/>
          <w:fitText w:val="470" w:id="-663580158"/>
          <w14:textFill>
            <w14:solidFill>
              <w14:srgbClr w14:val="000000">
                <w14:alpha w14:val="100000"/>
              </w14:srgbClr>
            </w14:solidFill>
          </w14:textFill>
        </w:rPr>
        <w:t>|</w:t>
      </w:r>
      <w:r w:rsidR="002A2AD2" w:rsidRPr="006B682B">
        <w:t xml:space="preserve">% of women currently using CVR privately are eligible for the proposed PBS listing, the net cost to the PBS will be </w:t>
      </w:r>
      <w:r w:rsidR="00276975" w:rsidRPr="00276975">
        <w:rPr>
          <w:bCs/>
        </w:rPr>
        <w:t>$0 to &lt; $10 million</w:t>
      </w:r>
      <w:r w:rsidR="00276975" w:rsidRPr="006B682B">
        <w:t xml:space="preserve"> </w:t>
      </w:r>
      <w:r w:rsidR="002A2AD2" w:rsidRPr="006B682B">
        <w:t>over the first 6 years of listing.</w:t>
      </w:r>
    </w:p>
    <w:p w14:paraId="5A392126" w14:textId="5FDE8AC3" w:rsidR="00A95EBD" w:rsidRPr="006B682B" w:rsidRDefault="00A95EBD" w:rsidP="009D73EC">
      <w:pPr>
        <w:keepNext/>
        <w:keepLines/>
        <w:jc w:val="left"/>
        <w:rPr>
          <w:rFonts w:ascii="Arial Narrow" w:hAnsi="Arial Narrow"/>
          <w:b/>
          <w:bCs/>
          <w:sz w:val="20"/>
          <w:szCs w:val="20"/>
        </w:rPr>
      </w:pPr>
      <w:r w:rsidRPr="006B682B">
        <w:rPr>
          <w:rFonts w:ascii="Arial Narrow" w:hAnsi="Arial Narrow"/>
          <w:b/>
          <w:bCs/>
          <w:sz w:val="20"/>
          <w:szCs w:val="20"/>
        </w:rPr>
        <w:lastRenderedPageBreak/>
        <w:t xml:space="preserve">Table </w:t>
      </w:r>
      <w:r w:rsidR="006777E0" w:rsidRPr="006B682B">
        <w:rPr>
          <w:rFonts w:ascii="Arial Narrow" w:hAnsi="Arial Narrow"/>
          <w:b/>
          <w:bCs/>
          <w:sz w:val="20"/>
          <w:szCs w:val="20"/>
        </w:rPr>
        <w:t>14:</w:t>
      </w:r>
      <w:r w:rsidRPr="006B682B">
        <w:rPr>
          <w:rFonts w:ascii="Arial Narrow" w:hAnsi="Arial Narrow"/>
          <w:b/>
          <w:bCs/>
          <w:sz w:val="20"/>
          <w:szCs w:val="20"/>
        </w:rPr>
        <w:t xml:space="preserve"> Revised estimated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97"/>
        <w:gridCol w:w="993"/>
        <w:gridCol w:w="992"/>
        <w:gridCol w:w="992"/>
        <w:gridCol w:w="937"/>
        <w:gridCol w:w="937"/>
        <w:gridCol w:w="819"/>
      </w:tblGrid>
      <w:tr w:rsidR="00A95EBD" w:rsidRPr="006B682B" w14:paraId="395DB8C3" w14:textId="77777777" w:rsidTr="009D73EC">
        <w:trPr>
          <w:trHeight w:val="260"/>
        </w:trPr>
        <w:tc>
          <w:tcPr>
            <w:tcW w:w="3397" w:type="dxa"/>
            <w:vMerge w:val="restart"/>
            <w:shd w:val="clear" w:color="auto" w:fill="auto"/>
            <w:noWrap/>
            <w:vAlign w:val="center"/>
            <w:hideMark/>
          </w:tcPr>
          <w:p w14:paraId="5CB9A557" w14:textId="77777777" w:rsidR="00A95EBD" w:rsidRPr="006B682B" w:rsidRDefault="00A95EBD" w:rsidP="009D73EC">
            <w:pPr>
              <w:keepNext/>
              <w:keepLines/>
              <w:rPr>
                <w:rFonts w:ascii="Arial Narrow" w:hAnsi="Arial Narrow" w:cs="Times New Roman"/>
                <w:b/>
                <w:bCs/>
                <w:sz w:val="20"/>
                <w:szCs w:val="20"/>
              </w:rPr>
            </w:pPr>
            <w:r w:rsidRPr="006B682B">
              <w:rPr>
                <w:rFonts w:ascii="Arial Narrow" w:hAnsi="Arial Narrow" w:cs="Times New Roman"/>
                <w:b/>
                <w:bCs/>
                <w:sz w:val="20"/>
                <w:szCs w:val="20"/>
              </w:rPr>
              <w:t>Net cost to PBS + RPBS</w:t>
            </w:r>
          </w:p>
          <w:p w14:paraId="5908E215" w14:textId="77777777" w:rsidR="00A95EBD" w:rsidRPr="006B682B" w:rsidRDefault="00A95EBD" w:rsidP="009D73EC">
            <w:pPr>
              <w:keepNext/>
              <w:keepLines/>
              <w:rPr>
                <w:rFonts w:ascii="Arial Narrow" w:hAnsi="Arial Narrow" w:cs="Times New Roman"/>
                <w:b/>
                <w:bCs/>
                <w:sz w:val="20"/>
                <w:szCs w:val="20"/>
              </w:rPr>
            </w:pPr>
            <w:r w:rsidRPr="006B682B">
              <w:rPr>
                <w:rFonts w:ascii="Arial Narrow" w:hAnsi="Arial Narrow" w:cs="Times New Roman"/>
                <w:b/>
                <w:bCs/>
                <w:sz w:val="20"/>
                <w:szCs w:val="20"/>
              </w:rPr>
              <w:t> </w:t>
            </w:r>
          </w:p>
        </w:tc>
        <w:tc>
          <w:tcPr>
            <w:tcW w:w="993" w:type="dxa"/>
            <w:shd w:val="clear" w:color="auto" w:fill="auto"/>
            <w:noWrap/>
            <w:vAlign w:val="center"/>
            <w:hideMark/>
          </w:tcPr>
          <w:p w14:paraId="44D6138C" w14:textId="77777777" w:rsidR="00A95EBD" w:rsidRPr="006B682B" w:rsidRDefault="00A95EBD" w:rsidP="009D73EC">
            <w:pPr>
              <w:keepNext/>
              <w:keepLines/>
              <w:jc w:val="center"/>
              <w:rPr>
                <w:rFonts w:ascii="Arial Narrow" w:hAnsi="Arial Narrow" w:cs="Times New Roman"/>
                <w:b/>
                <w:bCs/>
                <w:sz w:val="20"/>
                <w:szCs w:val="20"/>
              </w:rPr>
            </w:pPr>
            <w:r w:rsidRPr="006B682B">
              <w:rPr>
                <w:rFonts w:ascii="Arial Narrow" w:hAnsi="Arial Narrow" w:cs="Times New Roman"/>
                <w:b/>
                <w:bCs/>
                <w:sz w:val="20"/>
                <w:szCs w:val="20"/>
              </w:rPr>
              <w:t>Year 1</w:t>
            </w:r>
          </w:p>
        </w:tc>
        <w:tc>
          <w:tcPr>
            <w:tcW w:w="992" w:type="dxa"/>
            <w:shd w:val="clear" w:color="auto" w:fill="auto"/>
            <w:noWrap/>
            <w:vAlign w:val="center"/>
            <w:hideMark/>
          </w:tcPr>
          <w:p w14:paraId="63B8CC7B" w14:textId="77777777" w:rsidR="00A95EBD" w:rsidRPr="006B682B" w:rsidRDefault="00A95EBD" w:rsidP="009D73EC">
            <w:pPr>
              <w:keepNext/>
              <w:keepLines/>
              <w:jc w:val="center"/>
              <w:rPr>
                <w:rFonts w:ascii="Arial Narrow" w:hAnsi="Arial Narrow" w:cs="Times New Roman"/>
                <w:b/>
                <w:bCs/>
                <w:sz w:val="20"/>
                <w:szCs w:val="20"/>
              </w:rPr>
            </w:pPr>
            <w:r w:rsidRPr="006B682B">
              <w:rPr>
                <w:rFonts w:ascii="Arial Narrow" w:hAnsi="Arial Narrow" w:cs="Times New Roman"/>
                <w:b/>
                <w:bCs/>
                <w:sz w:val="20"/>
                <w:szCs w:val="20"/>
              </w:rPr>
              <w:t>Year 2</w:t>
            </w:r>
          </w:p>
        </w:tc>
        <w:tc>
          <w:tcPr>
            <w:tcW w:w="992" w:type="dxa"/>
            <w:shd w:val="clear" w:color="auto" w:fill="auto"/>
            <w:noWrap/>
            <w:vAlign w:val="center"/>
            <w:hideMark/>
          </w:tcPr>
          <w:p w14:paraId="438976BB" w14:textId="77777777" w:rsidR="00A95EBD" w:rsidRPr="006B682B" w:rsidRDefault="00A95EBD" w:rsidP="009D73EC">
            <w:pPr>
              <w:keepNext/>
              <w:keepLines/>
              <w:jc w:val="center"/>
              <w:rPr>
                <w:rFonts w:ascii="Arial Narrow" w:hAnsi="Arial Narrow" w:cs="Times New Roman"/>
                <w:b/>
                <w:bCs/>
                <w:sz w:val="20"/>
                <w:szCs w:val="20"/>
              </w:rPr>
            </w:pPr>
            <w:r w:rsidRPr="006B682B">
              <w:rPr>
                <w:rFonts w:ascii="Arial Narrow" w:hAnsi="Arial Narrow" w:cs="Times New Roman"/>
                <w:b/>
                <w:bCs/>
                <w:sz w:val="20"/>
                <w:szCs w:val="20"/>
              </w:rPr>
              <w:t>Year 3</w:t>
            </w:r>
          </w:p>
        </w:tc>
        <w:tc>
          <w:tcPr>
            <w:tcW w:w="937" w:type="dxa"/>
            <w:shd w:val="clear" w:color="auto" w:fill="auto"/>
            <w:noWrap/>
            <w:vAlign w:val="center"/>
            <w:hideMark/>
          </w:tcPr>
          <w:p w14:paraId="0B9CBAEE" w14:textId="77777777" w:rsidR="00A95EBD" w:rsidRPr="006B682B" w:rsidRDefault="00A95EBD" w:rsidP="009D73EC">
            <w:pPr>
              <w:keepNext/>
              <w:keepLines/>
              <w:jc w:val="center"/>
              <w:rPr>
                <w:rFonts w:ascii="Arial Narrow" w:hAnsi="Arial Narrow" w:cs="Times New Roman"/>
                <w:b/>
                <w:bCs/>
                <w:sz w:val="20"/>
                <w:szCs w:val="20"/>
              </w:rPr>
            </w:pPr>
            <w:r w:rsidRPr="006B682B">
              <w:rPr>
                <w:rFonts w:ascii="Arial Narrow" w:hAnsi="Arial Narrow" w:cs="Times New Roman"/>
                <w:b/>
                <w:bCs/>
                <w:sz w:val="20"/>
                <w:szCs w:val="20"/>
              </w:rPr>
              <w:t>Year 4</w:t>
            </w:r>
          </w:p>
        </w:tc>
        <w:tc>
          <w:tcPr>
            <w:tcW w:w="937" w:type="dxa"/>
            <w:shd w:val="clear" w:color="auto" w:fill="auto"/>
            <w:noWrap/>
            <w:vAlign w:val="center"/>
            <w:hideMark/>
          </w:tcPr>
          <w:p w14:paraId="16BBEB85" w14:textId="77777777" w:rsidR="00A95EBD" w:rsidRPr="006B682B" w:rsidRDefault="00A95EBD" w:rsidP="009D73EC">
            <w:pPr>
              <w:keepNext/>
              <w:keepLines/>
              <w:jc w:val="center"/>
              <w:rPr>
                <w:rFonts w:ascii="Arial Narrow" w:hAnsi="Arial Narrow" w:cs="Times New Roman"/>
                <w:b/>
                <w:bCs/>
                <w:sz w:val="20"/>
                <w:szCs w:val="20"/>
              </w:rPr>
            </w:pPr>
            <w:r w:rsidRPr="006B682B">
              <w:rPr>
                <w:rFonts w:ascii="Arial Narrow" w:hAnsi="Arial Narrow" w:cs="Times New Roman"/>
                <w:b/>
                <w:bCs/>
                <w:sz w:val="20"/>
                <w:szCs w:val="20"/>
              </w:rPr>
              <w:t>Year 5</w:t>
            </w:r>
          </w:p>
        </w:tc>
        <w:tc>
          <w:tcPr>
            <w:tcW w:w="819" w:type="dxa"/>
            <w:shd w:val="clear" w:color="auto" w:fill="auto"/>
            <w:noWrap/>
            <w:vAlign w:val="center"/>
            <w:hideMark/>
          </w:tcPr>
          <w:p w14:paraId="4247037D" w14:textId="77777777" w:rsidR="00A95EBD" w:rsidRPr="006B682B" w:rsidRDefault="00A95EBD" w:rsidP="009D73EC">
            <w:pPr>
              <w:keepNext/>
              <w:keepLines/>
              <w:jc w:val="center"/>
              <w:rPr>
                <w:rFonts w:ascii="Arial Narrow" w:hAnsi="Arial Narrow" w:cs="Times New Roman"/>
                <w:b/>
                <w:bCs/>
                <w:sz w:val="20"/>
                <w:szCs w:val="20"/>
              </w:rPr>
            </w:pPr>
            <w:r w:rsidRPr="006B682B">
              <w:rPr>
                <w:rFonts w:ascii="Arial Narrow" w:hAnsi="Arial Narrow" w:cs="Times New Roman"/>
                <w:b/>
                <w:bCs/>
                <w:sz w:val="20"/>
                <w:szCs w:val="20"/>
              </w:rPr>
              <w:t>Year 6</w:t>
            </w:r>
          </w:p>
        </w:tc>
      </w:tr>
      <w:tr w:rsidR="00A95EBD" w:rsidRPr="006B682B" w14:paraId="122400EA" w14:textId="77777777" w:rsidTr="009D73EC">
        <w:trPr>
          <w:trHeight w:val="260"/>
        </w:trPr>
        <w:tc>
          <w:tcPr>
            <w:tcW w:w="3397" w:type="dxa"/>
            <w:vMerge/>
            <w:shd w:val="clear" w:color="auto" w:fill="auto"/>
            <w:noWrap/>
            <w:vAlign w:val="center"/>
            <w:hideMark/>
          </w:tcPr>
          <w:p w14:paraId="5B85EF53" w14:textId="77777777" w:rsidR="00A95EBD" w:rsidRPr="006B682B" w:rsidRDefault="00A95EBD" w:rsidP="009D73EC">
            <w:pPr>
              <w:keepNext/>
              <w:keepLines/>
              <w:rPr>
                <w:rFonts w:ascii="Arial Narrow" w:hAnsi="Arial Narrow" w:cs="Times New Roman"/>
                <w:b/>
                <w:bCs/>
                <w:sz w:val="20"/>
                <w:szCs w:val="20"/>
              </w:rPr>
            </w:pPr>
          </w:p>
        </w:tc>
        <w:tc>
          <w:tcPr>
            <w:tcW w:w="993" w:type="dxa"/>
            <w:shd w:val="clear" w:color="auto" w:fill="auto"/>
            <w:noWrap/>
            <w:vAlign w:val="center"/>
            <w:hideMark/>
          </w:tcPr>
          <w:p w14:paraId="3C3B1EDD" w14:textId="77777777" w:rsidR="00A95EBD" w:rsidRPr="006B682B" w:rsidRDefault="00A95EBD" w:rsidP="009D73EC">
            <w:pPr>
              <w:keepNext/>
              <w:keepLines/>
              <w:jc w:val="center"/>
              <w:rPr>
                <w:rFonts w:ascii="Arial Narrow" w:hAnsi="Arial Narrow" w:cs="Times New Roman"/>
                <w:b/>
                <w:bCs/>
                <w:sz w:val="20"/>
                <w:szCs w:val="20"/>
              </w:rPr>
            </w:pPr>
            <w:r w:rsidRPr="006B682B">
              <w:rPr>
                <w:rFonts w:ascii="Arial Narrow" w:hAnsi="Arial Narrow" w:cs="Times New Roman"/>
                <w:b/>
                <w:bCs/>
                <w:sz w:val="20"/>
                <w:szCs w:val="20"/>
              </w:rPr>
              <w:t>2026</w:t>
            </w:r>
          </w:p>
        </w:tc>
        <w:tc>
          <w:tcPr>
            <w:tcW w:w="992" w:type="dxa"/>
            <w:shd w:val="clear" w:color="auto" w:fill="auto"/>
            <w:noWrap/>
            <w:vAlign w:val="center"/>
            <w:hideMark/>
          </w:tcPr>
          <w:p w14:paraId="431BEAB6" w14:textId="77777777" w:rsidR="00A95EBD" w:rsidRPr="006B682B" w:rsidRDefault="00A95EBD" w:rsidP="009D73EC">
            <w:pPr>
              <w:keepNext/>
              <w:keepLines/>
              <w:jc w:val="center"/>
              <w:rPr>
                <w:rFonts w:ascii="Arial Narrow" w:hAnsi="Arial Narrow" w:cs="Times New Roman"/>
                <w:b/>
                <w:bCs/>
                <w:sz w:val="20"/>
                <w:szCs w:val="20"/>
              </w:rPr>
            </w:pPr>
            <w:r w:rsidRPr="006B682B">
              <w:rPr>
                <w:rFonts w:ascii="Arial Narrow" w:hAnsi="Arial Narrow" w:cs="Times New Roman"/>
                <w:b/>
                <w:bCs/>
                <w:sz w:val="20"/>
                <w:szCs w:val="20"/>
              </w:rPr>
              <w:t>2027</w:t>
            </w:r>
          </w:p>
        </w:tc>
        <w:tc>
          <w:tcPr>
            <w:tcW w:w="992" w:type="dxa"/>
            <w:shd w:val="clear" w:color="auto" w:fill="auto"/>
            <w:noWrap/>
            <w:vAlign w:val="center"/>
            <w:hideMark/>
          </w:tcPr>
          <w:p w14:paraId="21082D93" w14:textId="77777777" w:rsidR="00A95EBD" w:rsidRPr="006B682B" w:rsidRDefault="00A95EBD" w:rsidP="009D73EC">
            <w:pPr>
              <w:keepNext/>
              <w:keepLines/>
              <w:jc w:val="center"/>
              <w:rPr>
                <w:rFonts w:ascii="Arial Narrow" w:hAnsi="Arial Narrow" w:cs="Times New Roman"/>
                <w:b/>
                <w:bCs/>
                <w:sz w:val="20"/>
                <w:szCs w:val="20"/>
              </w:rPr>
            </w:pPr>
            <w:r w:rsidRPr="006B682B">
              <w:rPr>
                <w:rFonts w:ascii="Arial Narrow" w:hAnsi="Arial Narrow" w:cs="Times New Roman"/>
                <w:b/>
                <w:bCs/>
                <w:sz w:val="20"/>
                <w:szCs w:val="20"/>
              </w:rPr>
              <w:t>2028</w:t>
            </w:r>
          </w:p>
        </w:tc>
        <w:tc>
          <w:tcPr>
            <w:tcW w:w="937" w:type="dxa"/>
            <w:shd w:val="clear" w:color="auto" w:fill="auto"/>
            <w:noWrap/>
            <w:vAlign w:val="center"/>
            <w:hideMark/>
          </w:tcPr>
          <w:p w14:paraId="51C911A1" w14:textId="77777777" w:rsidR="00A95EBD" w:rsidRPr="006B682B" w:rsidRDefault="00A95EBD" w:rsidP="009D73EC">
            <w:pPr>
              <w:keepNext/>
              <w:keepLines/>
              <w:jc w:val="center"/>
              <w:rPr>
                <w:rFonts w:ascii="Arial Narrow" w:hAnsi="Arial Narrow" w:cs="Times New Roman"/>
                <w:b/>
                <w:bCs/>
                <w:sz w:val="20"/>
                <w:szCs w:val="20"/>
              </w:rPr>
            </w:pPr>
            <w:r w:rsidRPr="006B682B">
              <w:rPr>
                <w:rFonts w:ascii="Arial Narrow" w:hAnsi="Arial Narrow" w:cs="Times New Roman"/>
                <w:b/>
                <w:bCs/>
                <w:sz w:val="20"/>
                <w:szCs w:val="20"/>
              </w:rPr>
              <w:t>2029</w:t>
            </w:r>
          </w:p>
        </w:tc>
        <w:tc>
          <w:tcPr>
            <w:tcW w:w="937" w:type="dxa"/>
            <w:shd w:val="clear" w:color="auto" w:fill="auto"/>
            <w:noWrap/>
            <w:vAlign w:val="center"/>
            <w:hideMark/>
          </w:tcPr>
          <w:p w14:paraId="29B6344B" w14:textId="77777777" w:rsidR="00A95EBD" w:rsidRPr="006B682B" w:rsidRDefault="00A95EBD" w:rsidP="009D73EC">
            <w:pPr>
              <w:keepNext/>
              <w:keepLines/>
              <w:jc w:val="center"/>
              <w:rPr>
                <w:rFonts w:ascii="Arial Narrow" w:hAnsi="Arial Narrow" w:cs="Times New Roman"/>
                <w:b/>
                <w:bCs/>
                <w:sz w:val="20"/>
                <w:szCs w:val="20"/>
              </w:rPr>
            </w:pPr>
            <w:r w:rsidRPr="006B682B">
              <w:rPr>
                <w:rFonts w:ascii="Arial Narrow" w:hAnsi="Arial Narrow" w:cs="Times New Roman"/>
                <w:b/>
                <w:bCs/>
                <w:sz w:val="20"/>
                <w:szCs w:val="20"/>
              </w:rPr>
              <w:t>2030</w:t>
            </w:r>
          </w:p>
        </w:tc>
        <w:tc>
          <w:tcPr>
            <w:tcW w:w="819" w:type="dxa"/>
            <w:shd w:val="clear" w:color="auto" w:fill="auto"/>
            <w:noWrap/>
            <w:vAlign w:val="center"/>
            <w:hideMark/>
          </w:tcPr>
          <w:p w14:paraId="4E00DCD0" w14:textId="77777777" w:rsidR="00A95EBD" w:rsidRPr="006B682B" w:rsidRDefault="00A95EBD" w:rsidP="009D73EC">
            <w:pPr>
              <w:keepNext/>
              <w:keepLines/>
              <w:jc w:val="center"/>
              <w:rPr>
                <w:rFonts w:ascii="Arial Narrow" w:hAnsi="Arial Narrow" w:cs="Times New Roman"/>
                <w:b/>
                <w:bCs/>
                <w:sz w:val="20"/>
                <w:szCs w:val="20"/>
              </w:rPr>
            </w:pPr>
            <w:r w:rsidRPr="006B682B">
              <w:rPr>
                <w:rFonts w:ascii="Arial Narrow" w:hAnsi="Arial Narrow" w:cs="Times New Roman"/>
                <w:b/>
                <w:bCs/>
                <w:sz w:val="20"/>
                <w:szCs w:val="20"/>
              </w:rPr>
              <w:t>2031</w:t>
            </w:r>
          </w:p>
        </w:tc>
      </w:tr>
      <w:tr w:rsidR="00A95EBD" w:rsidRPr="006B682B" w14:paraId="14330B5B" w14:textId="77777777" w:rsidTr="009D73EC">
        <w:trPr>
          <w:trHeight w:val="255"/>
        </w:trPr>
        <w:tc>
          <w:tcPr>
            <w:tcW w:w="3397" w:type="dxa"/>
            <w:shd w:val="clear" w:color="auto" w:fill="auto"/>
            <w:noWrap/>
            <w:vAlign w:val="center"/>
            <w:hideMark/>
          </w:tcPr>
          <w:p w14:paraId="0A43D353" w14:textId="77777777" w:rsidR="00A95EBD" w:rsidRPr="006B682B" w:rsidRDefault="00A95EBD" w:rsidP="009D73EC">
            <w:pPr>
              <w:keepNext/>
              <w:keepLines/>
              <w:rPr>
                <w:rFonts w:ascii="Arial Narrow" w:hAnsi="Arial Narrow" w:cs="Times New Roman"/>
                <w:sz w:val="20"/>
                <w:szCs w:val="20"/>
              </w:rPr>
            </w:pPr>
            <w:r w:rsidRPr="006B682B">
              <w:rPr>
                <w:rFonts w:ascii="Arial Narrow" w:hAnsi="Arial Narrow" w:cs="Times New Roman"/>
                <w:sz w:val="20"/>
                <w:szCs w:val="20"/>
              </w:rPr>
              <w:t xml:space="preserve">Base case: </w:t>
            </w:r>
          </w:p>
          <w:p w14:paraId="670EC11C" w14:textId="77777777" w:rsidR="00A95EBD" w:rsidRPr="006B682B" w:rsidRDefault="00A95EBD" w:rsidP="009D73EC">
            <w:pPr>
              <w:keepNext/>
              <w:keepLines/>
              <w:rPr>
                <w:rFonts w:ascii="Arial Narrow" w:hAnsi="Arial Narrow" w:cs="Times New Roman"/>
                <w:sz w:val="20"/>
                <w:szCs w:val="20"/>
              </w:rPr>
            </w:pPr>
            <w:r w:rsidRPr="006B682B">
              <w:rPr>
                <w:rFonts w:ascii="Arial Narrow" w:hAnsi="Arial Narrow" w:cs="Times New Roman"/>
                <w:sz w:val="20"/>
                <w:szCs w:val="20"/>
              </w:rPr>
              <w:t xml:space="preserve">AEMP $54.35 per Q12W, </w:t>
            </w:r>
          </w:p>
          <w:p w14:paraId="3C134496" w14:textId="77777777" w:rsidR="00A95EBD" w:rsidRPr="006B682B" w:rsidRDefault="00A95EBD" w:rsidP="009D73EC">
            <w:pPr>
              <w:keepNext/>
              <w:keepLines/>
              <w:rPr>
                <w:rFonts w:ascii="Arial Narrow" w:hAnsi="Arial Narrow" w:cs="Times New Roman"/>
                <w:sz w:val="20"/>
                <w:szCs w:val="20"/>
              </w:rPr>
            </w:pPr>
            <w:r w:rsidRPr="006B682B">
              <w:rPr>
                <w:rFonts w:ascii="Arial Narrow" w:hAnsi="Arial Narrow" w:cs="Times New Roman"/>
                <w:sz w:val="20"/>
                <w:szCs w:val="20"/>
              </w:rPr>
              <w:t>annual growth 4%</w:t>
            </w:r>
          </w:p>
        </w:tc>
        <w:tc>
          <w:tcPr>
            <w:tcW w:w="993" w:type="dxa"/>
            <w:shd w:val="clear" w:color="auto" w:fill="auto"/>
            <w:noWrap/>
            <w:vAlign w:val="center"/>
            <w:hideMark/>
          </w:tcPr>
          <w:p w14:paraId="4A3AFA2B" w14:textId="60054568"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49"/>
                <w:sz w:val="20"/>
                <w:szCs w:val="20"/>
                <w:shd w:val="solid" w:color="000000" w:fill="000000"/>
                <w:fitText w:val="320" w:id="-663580157"/>
                <w14:textFill>
                  <w14:solidFill>
                    <w14:srgbClr w14:val="000000">
                      <w14:alpha w14:val="100000"/>
                    </w14:srgbClr>
                  </w14:solidFill>
                </w14:textFill>
              </w:rPr>
              <w:t>|||</w:t>
            </w:r>
            <w:r w:rsidR="00EA4DFF" w:rsidRPr="00EA4DFF">
              <w:rPr>
                <w:rFonts w:ascii="Arial Narrow" w:hAnsi="Arial Narrow" w:cs="Times New Roman"/>
                <w:color w:val="000000"/>
                <w:spacing w:val="3"/>
                <w:sz w:val="20"/>
                <w:szCs w:val="20"/>
                <w:shd w:val="solid" w:color="000000" w:fill="000000"/>
                <w:fitText w:val="320" w:id="-663580157"/>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992" w:type="dxa"/>
            <w:shd w:val="clear" w:color="auto" w:fill="auto"/>
            <w:noWrap/>
            <w:vAlign w:val="center"/>
            <w:hideMark/>
          </w:tcPr>
          <w:p w14:paraId="539C2EFE" w14:textId="6A1C666B"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56"/>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56"/>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992" w:type="dxa"/>
            <w:shd w:val="clear" w:color="auto" w:fill="auto"/>
            <w:noWrap/>
            <w:vAlign w:val="center"/>
            <w:hideMark/>
          </w:tcPr>
          <w:p w14:paraId="29C3AB47" w14:textId="473198A9"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55"/>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55"/>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937" w:type="dxa"/>
            <w:shd w:val="clear" w:color="auto" w:fill="auto"/>
            <w:noWrap/>
            <w:vAlign w:val="center"/>
            <w:hideMark/>
          </w:tcPr>
          <w:p w14:paraId="528E96F0" w14:textId="0D663795"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54"/>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54"/>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937" w:type="dxa"/>
            <w:shd w:val="clear" w:color="auto" w:fill="auto"/>
            <w:noWrap/>
            <w:vAlign w:val="center"/>
            <w:hideMark/>
          </w:tcPr>
          <w:p w14:paraId="43414E5A" w14:textId="2F3CFD72"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53"/>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53"/>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819" w:type="dxa"/>
            <w:shd w:val="clear" w:color="auto" w:fill="auto"/>
            <w:noWrap/>
            <w:vAlign w:val="center"/>
            <w:hideMark/>
          </w:tcPr>
          <w:p w14:paraId="3B67B261" w14:textId="756A42C8"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52"/>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52"/>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r>
      <w:tr w:rsidR="00A95EBD" w:rsidRPr="006B682B" w14:paraId="2540A4FA" w14:textId="77777777" w:rsidTr="009D73EC">
        <w:trPr>
          <w:trHeight w:val="255"/>
        </w:trPr>
        <w:tc>
          <w:tcPr>
            <w:tcW w:w="3397" w:type="dxa"/>
            <w:shd w:val="clear" w:color="auto" w:fill="auto"/>
            <w:noWrap/>
            <w:vAlign w:val="center"/>
            <w:hideMark/>
          </w:tcPr>
          <w:p w14:paraId="05476CEA" w14:textId="77777777" w:rsidR="00A95EBD" w:rsidRPr="006B682B" w:rsidRDefault="00A95EBD" w:rsidP="009D73EC">
            <w:pPr>
              <w:keepNext/>
              <w:keepLines/>
              <w:rPr>
                <w:rFonts w:ascii="Arial Narrow" w:hAnsi="Arial Narrow" w:cs="Times New Roman"/>
                <w:sz w:val="20"/>
                <w:szCs w:val="20"/>
              </w:rPr>
            </w:pPr>
            <w:r w:rsidRPr="006B682B">
              <w:rPr>
                <w:rFonts w:ascii="Arial Narrow" w:hAnsi="Arial Narrow" w:cs="Times New Roman"/>
                <w:sz w:val="20"/>
                <w:szCs w:val="20"/>
              </w:rPr>
              <w:t>Scenario analysis 1:</w:t>
            </w:r>
          </w:p>
          <w:p w14:paraId="202A1218" w14:textId="77777777" w:rsidR="00A95EBD" w:rsidRPr="006B682B" w:rsidRDefault="00A95EBD" w:rsidP="009D73EC">
            <w:pPr>
              <w:keepNext/>
              <w:keepLines/>
              <w:rPr>
                <w:rFonts w:ascii="Arial Narrow" w:hAnsi="Arial Narrow" w:cs="Times New Roman"/>
                <w:sz w:val="20"/>
                <w:szCs w:val="20"/>
              </w:rPr>
            </w:pPr>
            <w:r w:rsidRPr="006B682B">
              <w:rPr>
                <w:rFonts w:ascii="Arial Narrow" w:hAnsi="Arial Narrow" w:cs="Times New Roman"/>
                <w:sz w:val="20"/>
                <w:szCs w:val="20"/>
              </w:rPr>
              <w:t xml:space="preserve">AEMP $54.35 per Q12W, </w:t>
            </w:r>
          </w:p>
          <w:p w14:paraId="0904E855" w14:textId="3D336BF1" w:rsidR="00A95EBD" w:rsidRPr="006B682B" w:rsidRDefault="00A95EBD" w:rsidP="009D73EC">
            <w:pPr>
              <w:keepNext/>
              <w:keepLines/>
              <w:rPr>
                <w:rFonts w:ascii="Arial Narrow" w:hAnsi="Arial Narrow" w:cs="Times New Roman"/>
                <w:sz w:val="20"/>
                <w:szCs w:val="20"/>
              </w:rPr>
            </w:pPr>
            <w:r w:rsidRPr="006B682B">
              <w:rPr>
                <w:rFonts w:ascii="Arial Narrow" w:hAnsi="Arial Narrow" w:cs="Times New Roman"/>
                <w:sz w:val="20"/>
                <w:szCs w:val="20"/>
              </w:rPr>
              <w:t xml:space="preserve">annual growth 4%, only </w:t>
            </w:r>
            <w:r w:rsidR="00EA4DFF" w:rsidRPr="00EA4DFF">
              <w:rPr>
                <w:rFonts w:ascii="Arial Narrow" w:hAnsi="Arial Narrow" w:cs="Times New Roman"/>
                <w:color w:val="000000"/>
                <w:spacing w:val="9"/>
                <w:sz w:val="20"/>
                <w:szCs w:val="20"/>
                <w:shd w:val="solid" w:color="000000" w:fill="000000"/>
                <w:fitText w:val="310" w:id="-663580151"/>
                <w14:textFill>
                  <w14:solidFill>
                    <w14:srgbClr w14:val="000000">
                      <w14:alpha w14:val="100000"/>
                    </w14:srgbClr>
                  </w14:solidFill>
                </w14:textFill>
              </w:rPr>
              <w:t>||  |</w:t>
            </w:r>
            <w:r w:rsidR="00EA4DFF" w:rsidRPr="00EA4DFF">
              <w:rPr>
                <w:rFonts w:ascii="Arial Narrow" w:hAnsi="Arial Narrow" w:cs="Times New Roman"/>
                <w:color w:val="000000"/>
                <w:spacing w:val="4"/>
                <w:sz w:val="20"/>
                <w:szCs w:val="20"/>
                <w:shd w:val="solid" w:color="000000" w:fill="000000"/>
                <w:fitText w:val="310" w:id="-663580151"/>
                <w14:textFill>
                  <w14:solidFill>
                    <w14:srgbClr w14:val="000000">
                      <w14:alpha w14:val="100000"/>
                    </w14:srgbClr>
                  </w14:solidFill>
                </w14:textFill>
              </w:rPr>
              <w:t>|</w:t>
            </w:r>
            <w:r w:rsidRPr="006B682B">
              <w:rPr>
                <w:rFonts w:ascii="Arial Narrow" w:hAnsi="Arial Narrow" w:cs="Times New Roman"/>
                <w:sz w:val="20"/>
                <w:szCs w:val="20"/>
              </w:rPr>
              <w:t>% uptake from private script</w:t>
            </w:r>
          </w:p>
        </w:tc>
        <w:tc>
          <w:tcPr>
            <w:tcW w:w="993" w:type="dxa"/>
            <w:shd w:val="clear" w:color="auto" w:fill="auto"/>
            <w:noWrap/>
            <w:vAlign w:val="center"/>
            <w:hideMark/>
          </w:tcPr>
          <w:p w14:paraId="1C51AE8B" w14:textId="4C37789F"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49"/>
                <w:sz w:val="20"/>
                <w:szCs w:val="20"/>
                <w:shd w:val="solid" w:color="000000" w:fill="000000"/>
                <w:fitText w:val="320" w:id="-663580150"/>
                <w14:textFill>
                  <w14:solidFill>
                    <w14:srgbClr w14:val="000000">
                      <w14:alpha w14:val="100000"/>
                    </w14:srgbClr>
                  </w14:solidFill>
                </w14:textFill>
              </w:rPr>
              <w:t>|||</w:t>
            </w:r>
            <w:r w:rsidR="00EA4DFF" w:rsidRPr="00EA4DFF">
              <w:rPr>
                <w:rFonts w:ascii="Arial Narrow" w:hAnsi="Arial Narrow" w:cs="Times New Roman"/>
                <w:color w:val="000000"/>
                <w:spacing w:val="3"/>
                <w:sz w:val="20"/>
                <w:szCs w:val="20"/>
                <w:shd w:val="solid" w:color="000000" w:fill="000000"/>
                <w:fitText w:val="320" w:id="-663580150"/>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992" w:type="dxa"/>
            <w:shd w:val="clear" w:color="auto" w:fill="auto"/>
            <w:noWrap/>
            <w:vAlign w:val="center"/>
            <w:hideMark/>
          </w:tcPr>
          <w:p w14:paraId="04A1BDAD" w14:textId="63C48258"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49"/>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49"/>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992" w:type="dxa"/>
            <w:shd w:val="clear" w:color="auto" w:fill="auto"/>
            <w:noWrap/>
            <w:vAlign w:val="center"/>
            <w:hideMark/>
          </w:tcPr>
          <w:p w14:paraId="4BF64BA5" w14:textId="44358D5B"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48"/>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48"/>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937" w:type="dxa"/>
            <w:shd w:val="clear" w:color="auto" w:fill="auto"/>
            <w:noWrap/>
            <w:vAlign w:val="center"/>
            <w:hideMark/>
          </w:tcPr>
          <w:p w14:paraId="42C0E2D1" w14:textId="3731B993"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47"/>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47"/>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937" w:type="dxa"/>
            <w:shd w:val="clear" w:color="auto" w:fill="auto"/>
            <w:noWrap/>
            <w:vAlign w:val="center"/>
            <w:hideMark/>
          </w:tcPr>
          <w:p w14:paraId="7CCA38A6" w14:textId="21697A6C"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46"/>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46"/>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819" w:type="dxa"/>
            <w:shd w:val="clear" w:color="auto" w:fill="auto"/>
            <w:noWrap/>
            <w:vAlign w:val="center"/>
            <w:hideMark/>
          </w:tcPr>
          <w:p w14:paraId="74EC3881" w14:textId="56603184"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45"/>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45"/>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r>
      <w:tr w:rsidR="00A95EBD" w:rsidRPr="006B682B" w14:paraId="0BBBA9A0" w14:textId="77777777" w:rsidTr="009D73EC">
        <w:trPr>
          <w:trHeight w:val="255"/>
        </w:trPr>
        <w:tc>
          <w:tcPr>
            <w:tcW w:w="3397" w:type="dxa"/>
            <w:shd w:val="clear" w:color="auto" w:fill="auto"/>
            <w:noWrap/>
            <w:vAlign w:val="center"/>
            <w:hideMark/>
          </w:tcPr>
          <w:p w14:paraId="3C05C4E4" w14:textId="77777777" w:rsidR="00A95EBD" w:rsidRPr="006B682B" w:rsidRDefault="00A95EBD" w:rsidP="009D73EC">
            <w:pPr>
              <w:keepNext/>
              <w:keepLines/>
              <w:rPr>
                <w:rFonts w:ascii="Arial Narrow" w:hAnsi="Arial Narrow" w:cs="Times New Roman"/>
                <w:sz w:val="20"/>
                <w:szCs w:val="20"/>
              </w:rPr>
            </w:pPr>
            <w:r w:rsidRPr="006B682B">
              <w:rPr>
                <w:rFonts w:ascii="Arial Narrow" w:hAnsi="Arial Narrow" w:cs="Times New Roman"/>
                <w:sz w:val="20"/>
                <w:szCs w:val="20"/>
              </w:rPr>
              <w:t>Scenario analysis 2:</w:t>
            </w:r>
          </w:p>
          <w:p w14:paraId="445F2FE7" w14:textId="77777777" w:rsidR="00A95EBD" w:rsidRPr="006B682B" w:rsidRDefault="00A95EBD" w:rsidP="009D73EC">
            <w:pPr>
              <w:keepNext/>
              <w:keepLines/>
              <w:rPr>
                <w:rFonts w:ascii="Arial Narrow" w:hAnsi="Arial Narrow" w:cs="Times New Roman"/>
                <w:sz w:val="20"/>
                <w:szCs w:val="20"/>
              </w:rPr>
            </w:pPr>
            <w:r w:rsidRPr="006B682B">
              <w:rPr>
                <w:rFonts w:ascii="Arial Narrow" w:hAnsi="Arial Narrow" w:cs="Times New Roman"/>
                <w:sz w:val="20"/>
                <w:szCs w:val="20"/>
              </w:rPr>
              <w:t xml:space="preserve">AEMP $45.45 per Q12W, </w:t>
            </w:r>
          </w:p>
          <w:p w14:paraId="12BD78ED" w14:textId="77777777" w:rsidR="00A95EBD" w:rsidRPr="006B682B" w:rsidRDefault="00A95EBD" w:rsidP="009D73EC">
            <w:pPr>
              <w:keepNext/>
              <w:keepLines/>
              <w:rPr>
                <w:rFonts w:ascii="Arial Narrow" w:hAnsi="Arial Narrow" w:cs="Times New Roman"/>
                <w:sz w:val="20"/>
                <w:szCs w:val="20"/>
              </w:rPr>
            </w:pPr>
            <w:r w:rsidRPr="006B682B">
              <w:rPr>
                <w:rFonts w:ascii="Arial Narrow" w:hAnsi="Arial Narrow" w:cs="Times New Roman"/>
                <w:sz w:val="20"/>
                <w:szCs w:val="20"/>
              </w:rPr>
              <w:t>annual growth 4%</w:t>
            </w:r>
          </w:p>
        </w:tc>
        <w:tc>
          <w:tcPr>
            <w:tcW w:w="993" w:type="dxa"/>
            <w:shd w:val="clear" w:color="auto" w:fill="auto"/>
            <w:noWrap/>
            <w:vAlign w:val="center"/>
            <w:hideMark/>
          </w:tcPr>
          <w:p w14:paraId="09D4E4EE" w14:textId="75B5235D"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49"/>
                <w:sz w:val="20"/>
                <w:szCs w:val="20"/>
                <w:shd w:val="solid" w:color="000000" w:fill="000000"/>
                <w:fitText w:val="320" w:id="-663580144"/>
                <w14:textFill>
                  <w14:solidFill>
                    <w14:srgbClr w14:val="000000">
                      <w14:alpha w14:val="100000"/>
                    </w14:srgbClr>
                  </w14:solidFill>
                </w14:textFill>
              </w:rPr>
              <w:t>|||</w:t>
            </w:r>
            <w:r w:rsidR="00EA4DFF" w:rsidRPr="00EA4DFF">
              <w:rPr>
                <w:rFonts w:ascii="Arial Narrow" w:hAnsi="Arial Narrow" w:cs="Times New Roman"/>
                <w:color w:val="000000"/>
                <w:spacing w:val="3"/>
                <w:sz w:val="20"/>
                <w:szCs w:val="20"/>
                <w:shd w:val="solid" w:color="000000" w:fill="000000"/>
                <w:fitText w:val="320" w:id="-663580144"/>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992" w:type="dxa"/>
            <w:shd w:val="clear" w:color="auto" w:fill="auto"/>
            <w:noWrap/>
            <w:vAlign w:val="center"/>
            <w:hideMark/>
          </w:tcPr>
          <w:p w14:paraId="475F4737" w14:textId="3AC40B48"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60"/>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60"/>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992" w:type="dxa"/>
            <w:shd w:val="clear" w:color="auto" w:fill="auto"/>
            <w:noWrap/>
            <w:vAlign w:val="center"/>
            <w:hideMark/>
          </w:tcPr>
          <w:p w14:paraId="2D3BF122" w14:textId="702EC562"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59"/>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59"/>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937" w:type="dxa"/>
            <w:shd w:val="clear" w:color="auto" w:fill="auto"/>
            <w:noWrap/>
            <w:vAlign w:val="center"/>
            <w:hideMark/>
          </w:tcPr>
          <w:p w14:paraId="6F9E6B42" w14:textId="2B805B83"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58"/>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58"/>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937" w:type="dxa"/>
            <w:shd w:val="clear" w:color="auto" w:fill="auto"/>
            <w:noWrap/>
            <w:vAlign w:val="center"/>
            <w:hideMark/>
          </w:tcPr>
          <w:p w14:paraId="2B85AEE0" w14:textId="4806A0C2"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EA4DFF">
              <w:rPr>
                <w:rFonts w:ascii="Arial Narrow" w:hAnsi="Arial Narrow" w:cs="Times New Roman"/>
                <w:color w:val="000000"/>
                <w:spacing w:val="53"/>
                <w:sz w:val="20"/>
                <w:szCs w:val="20"/>
                <w:shd w:val="solid" w:color="000000" w:fill="000000"/>
                <w:fitText w:val="330" w:id="-663580157"/>
                <w14:textFill>
                  <w14:solidFill>
                    <w14:srgbClr w14:val="000000">
                      <w14:alpha w14:val="100000"/>
                    </w14:srgbClr>
                  </w14:solidFill>
                </w14:textFill>
              </w:rPr>
              <w:t>|||</w:t>
            </w:r>
            <w:r w:rsidR="00EA4DFF" w:rsidRPr="00EA4DFF">
              <w:rPr>
                <w:rFonts w:ascii="Arial Narrow" w:hAnsi="Arial Narrow" w:cs="Times New Roman"/>
                <w:color w:val="000000"/>
                <w:spacing w:val="1"/>
                <w:sz w:val="20"/>
                <w:szCs w:val="20"/>
                <w:shd w:val="solid" w:color="000000" w:fill="000000"/>
                <w:fitText w:val="330" w:id="-663580157"/>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c>
          <w:tcPr>
            <w:tcW w:w="819" w:type="dxa"/>
            <w:shd w:val="clear" w:color="auto" w:fill="auto"/>
            <w:noWrap/>
            <w:vAlign w:val="center"/>
            <w:hideMark/>
          </w:tcPr>
          <w:p w14:paraId="4292906E" w14:textId="1890CDB2" w:rsidR="00A95EBD" w:rsidRPr="009D73EC" w:rsidRDefault="00A95EBD" w:rsidP="009D73EC">
            <w:pPr>
              <w:keepNext/>
              <w:keepLines/>
              <w:jc w:val="center"/>
              <w:rPr>
                <w:rFonts w:ascii="Arial Narrow" w:hAnsi="Arial Narrow" w:cs="Times New Roman"/>
                <w:sz w:val="20"/>
                <w:szCs w:val="20"/>
              </w:rPr>
            </w:pPr>
            <w:r w:rsidRPr="009D73EC">
              <w:rPr>
                <w:rFonts w:ascii="Arial Narrow" w:hAnsi="Arial Narrow" w:cs="Times New Roman"/>
                <w:sz w:val="20"/>
                <w:szCs w:val="20"/>
              </w:rPr>
              <w:t>$</w:t>
            </w:r>
            <w:r w:rsidR="00EA4DFF" w:rsidRPr="00A942F3">
              <w:rPr>
                <w:rFonts w:ascii="Arial Narrow" w:hAnsi="Arial Narrow" w:cs="Times New Roman"/>
                <w:color w:val="000000"/>
                <w:spacing w:val="53"/>
                <w:sz w:val="20"/>
                <w:szCs w:val="20"/>
                <w:shd w:val="solid" w:color="000000" w:fill="000000"/>
                <w:fitText w:val="330" w:id="-663580156"/>
                <w14:textFill>
                  <w14:solidFill>
                    <w14:srgbClr w14:val="000000">
                      <w14:alpha w14:val="100000"/>
                    </w14:srgbClr>
                  </w14:solidFill>
                </w14:textFill>
              </w:rPr>
              <w:t>|||</w:t>
            </w:r>
            <w:r w:rsidR="00EA4DFF" w:rsidRPr="00A942F3">
              <w:rPr>
                <w:rFonts w:ascii="Arial Narrow" w:hAnsi="Arial Narrow" w:cs="Times New Roman"/>
                <w:color w:val="000000"/>
                <w:spacing w:val="1"/>
                <w:sz w:val="20"/>
                <w:szCs w:val="20"/>
                <w:shd w:val="solid" w:color="000000" w:fill="000000"/>
                <w:fitText w:val="330" w:id="-663580156"/>
                <w14:textFill>
                  <w14:solidFill>
                    <w14:srgbClr w14:val="000000">
                      <w14:alpha w14:val="100000"/>
                    </w14:srgbClr>
                  </w14:solidFill>
                </w14:textFill>
              </w:rPr>
              <w:t>|</w:t>
            </w:r>
            <w:r w:rsidR="00371E8F" w:rsidRPr="009D73EC">
              <w:rPr>
                <w:rFonts w:ascii="Arial Narrow" w:hAnsi="Arial Narrow" w:cstheme="minorHAnsi"/>
                <w:bCs/>
                <w:sz w:val="20"/>
                <w:szCs w:val="20"/>
                <w:vertAlign w:val="superscript"/>
              </w:rPr>
              <w:t>1</w:t>
            </w:r>
          </w:p>
        </w:tc>
      </w:tr>
    </w:tbl>
    <w:p w14:paraId="63F6AF70" w14:textId="7A5F17B6" w:rsidR="00A95EBD" w:rsidRPr="006B682B" w:rsidRDefault="00A95EBD" w:rsidP="001D420A">
      <w:pPr>
        <w:pStyle w:val="TableFigureFooter"/>
      </w:pPr>
      <w:r w:rsidRPr="006B682B">
        <w:t>Source: Table 3, p5 of the PSCR</w:t>
      </w:r>
      <w:r w:rsidR="00157053">
        <w:t>.</w:t>
      </w:r>
    </w:p>
    <w:p w14:paraId="3967148D" w14:textId="78A58690" w:rsidR="00A95EBD" w:rsidRPr="006B682B" w:rsidRDefault="00A95EBD" w:rsidP="001D420A">
      <w:pPr>
        <w:pStyle w:val="TableFigureFooter"/>
        <w:spacing w:after="0"/>
      </w:pPr>
      <w:r w:rsidRPr="006B682B">
        <w:t>AEMP = approved ex-manufacturer price; PBS = Pharmaceutical Benefits Scheme; RPBS = Repatriation Pharmaceutical Benefits Scheme; Q12W = every 12 weeks.</w:t>
      </w:r>
    </w:p>
    <w:p w14:paraId="4FA783C2" w14:textId="77777777" w:rsidR="00371E8F" w:rsidRPr="00F56B14" w:rsidRDefault="00371E8F" w:rsidP="009D73EC">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68769047" w14:textId="77777777" w:rsidR="00371E8F" w:rsidRPr="009D73EC" w:rsidRDefault="00371E8F" w:rsidP="009D73EC">
      <w:pPr>
        <w:spacing w:after="120"/>
        <w:jc w:val="left"/>
        <w:rPr>
          <w:rFonts w:ascii="Arial Narrow" w:hAnsi="Arial Narrow" w:cstheme="minorHAnsi"/>
          <w:bCs/>
          <w:i/>
          <w:iCs/>
          <w:sz w:val="18"/>
          <w:szCs w:val="18"/>
        </w:rPr>
      </w:pPr>
      <w:r w:rsidRPr="009D73EC">
        <w:rPr>
          <w:rFonts w:ascii="Arial Narrow" w:hAnsi="Arial Narrow" w:cstheme="minorHAnsi"/>
          <w:bCs/>
          <w:i/>
          <w:iCs/>
          <w:sz w:val="18"/>
          <w:szCs w:val="18"/>
          <w:vertAlign w:val="superscript"/>
        </w:rPr>
        <w:t>1</w:t>
      </w:r>
      <w:r w:rsidRPr="009D73EC">
        <w:rPr>
          <w:rFonts w:ascii="Arial Narrow" w:hAnsi="Arial Narrow" w:cstheme="minorHAnsi"/>
          <w:bCs/>
          <w:i/>
          <w:iCs/>
          <w:sz w:val="18"/>
          <w:szCs w:val="18"/>
        </w:rPr>
        <w:t xml:space="preserve"> $0 to &lt; $10 million</w:t>
      </w:r>
    </w:p>
    <w:p w14:paraId="42673DCA" w14:textId="1D7048C8" w:rsidR="00391484" w:rsidRDefault="00ED551C" w:rsidP="00DD0F9A">
      <w:pPr>
        <w:pStyle w:val="3-BodyText"/>
        <w:rPr>
          <w:rFonts w:eastAsia="Calibri"/>
          <w:i/>
        </w:rPr>
      </w:pPr>
      <w:r w:rsidRPr="006B682B">
        <w:t xml:space="preserve">The PSCR </w:t>
      </w:r>
      <w:r w:rsidR="003955A4">
        <w:t xml:space="preserve">and </w:t>
      </w:r>
      <w:r w:rsidR="008A3C64">
        <w:t>p</w:t>
      </w:r>
      <w:r w:rsidR="003955A4">
        <w:t xml:space="preserve">re-PBAC Response </w:t>
      </w:r>
      <w:r w:rsidRPr="006B682B">
        <w:t xml:space="preserve">estimated that if </w:t>
      </w:r>
      <w:r w:rsidR="00984FC4" w:rsidRPr="006B682B">
        <w:t xml:space="preserve">CVR has </w:t>
      </w:r>
      <w:r w:rsidRPr="006B682B">
        <w:t xml:space="preserve">an AEMP of $45.45 </w:t>
      </w:r>
      <w:r w:rsidR="00984FC4" w:rsidRPr="006B682B">
        <w:t xml:space="preserve">and an unrestricted listing, the cost to the PBS will be </w:t>
      </w:r>
      <w:r w:rsidR="009D73EC" w:rsidRPr="009D73EC">
        <w:rPr>
          <w:bCs/>
        </w:rPr>
        <w:t>$0 to &lt; $10 million</w:t>
      </w:r>
      <w:r w:rsidR="009D73EC" w:rsidRPr="009D73EC">
        <w:t xml:space="preserve"> </w:t>
      </w:r>
      <w:r w:rsidR="00984FC4" w:rsidRPr="006B682B">
        <w:t>over the first 6</w:t>
      </w:r>
      <w:r w:rsidR="009D73EC">
        <w:t> </w:t>
      </w:r>
      <w:r w:rsidR="00984FC4" w:rsidRPr="006B682B">
        <w:t>years of listing.</w:t>
      </w:r>
      <w:bookmarkStart w:id="51" w:name="_Hlk103934877"/>
    </w:p>
    <w:p w14:paraId="6026F5CA" w14:textId="66746DFD" w:rsidR="005D21ED" w:rsidRPr="00A22E44" w:rsidRDefault="00DD0F9A" w:rsidP="00DD0F9A">
      <w:pPr>
        <w:pStyle w:val="3-BodyText"/>
        <w:numPr>
          <w:ilvl w:val="0"/>
          <w:numId w:val="0"/>
        </w:numPr>
      </w:pPr>
      <w:r>
        <w:rPr>
          <w:rFonts w:eastAsia="Calibri"/>
          <w:iCs/>
        </w:rPr>
        <w:tab/>
      </w:r>
      <w:bookmarkEnd w:id="51"/>
      <w:r w:rsidR="007B69A6" w:rsidRPr="007B69A6">
        <w:rPr>
          <w:i/>
          <w:iCs/>
          <w:lang w:eastAsia="en-US"/>
        </w:rPr>
        <w:t>For more detail on PBAC’s view, see section 7 PBAC outcome.</w:t>
      </w:r>
    </w:p>
    <w:p w14:paraId="13111BC6" w14:textId="247A5481" w:rsidR="004F7E04" w:rsidRDefault="004F7E04" w:rsidP="004F7E04">
      <w:pPr>
        <w:pStyle w:val="2-SectionHeading"/>
        <w:numPr>
          <w:ilvl w:val="0"/>
          <w:numId w:val="1"/>
        </w:numPr>
      </w:pPr>
      <w:r>
        <w:t>PBAC Outcome</w:t>
      </w:r>
    </w:p>
    <w:p w14:paraId="67E7944D" w14:textId="77000B98" w:rsidR="004F7E04" w:rsidRPr="00EF551A" w:rsidRDefault="004F7E04" w:rsidP="004F7E04">
      <w:pPr>
        <w:pStyle w:val="3-BodyText"/>
      </w:pPr>
      <w:r w:rsidRPr="00777B5C">
        <w:rPr>
          <w:lang w:val="en-GB"/>
        </w:rPr>
        <w:t>The PBAC recommended the listing of e</w:t>
      </w:r>
      <w:r>
        <w:rPr>
          <w:lang w:val="en-GB"/>
        </w:rPr>
        <w:t>tonogestrel</w:t>
      </w:r>
      <w:r w:rsidRPr="00777B5C">
        <w:rPr>
          <w:lang w:val="en-GB"/>
        </w:rPr>
        <w:t xml:space="preserve"> with </w:t>
      </w:r>
      <w:r w:rsidR="00017456">
        <w:rPr>
          <w:lang w:val="en-GB"/>
        </w:rPr>
        <w:t>ethinylestradiol</w:t>
      </w:r>
      <w:r w:rsidRPr="00777B5C">
        <w:rPr>
          <w:lang w:val="en-GB"/>
        </w:rPr>
        <w:t xml:space="preserve"> (E</w:t>
      </w:r>
      <w:r>
        <w:rPr>
          <w:lang w:val="en-GB"/>
        </w:rPr>
        <w:t>NG</w:t>
      </w:r>
      <w:r w:rsidRPr="00777B5C">
        <w:rPr>
          <w:lang w:val="en-GB"/>
        </w:rPr>
        <w:t>/</w:t>
      </w:r>
      <w:r>
        <w:rPr>
          <w:lang w:val="en-GB"/>
        </w:rPr>
        <w:t>EE</w:t>
      </w:r>
      <w:r w:rsidRPr="00777B5C">
        <w:rPr>
          <w:lang w:val="en-GB"/>
        </w:rPr>
        <w:t>)</w:t>
      </w:r>
      <w:r w:rsidR="00666F3F">
        <w:rPr>
          <w:lang w:val="en-GB"/>
        </w:rPr>
        <w:t xml:space="preserve"> contraceptive vaginal ring (CVR)</w:t>
      </w:r>
      <w:r w:rsidRPr="00777B5C">
        <w:rPr>
          <w:lang w:val="en-GB"/>
        </w:rPr>
        <w:t xml:space="preserve"> as a </w:t>
      </w:r>
      <w:r w:rsidR="00313D5C">
        <w:rPr>
          <w:lang w:val="en-GB"/>
        </w:rPr>
        <w:t xml:space="preserve">General Schedule </w:t>
      </w:r>
      <w:r w:rsidRPr="00777B5C">
        <w:rPr>
          <w:lang w:val="en-GB"/>
        </w:rPr>
        <w:t>Unrestricted Benefit. The PBAC’s recommendation for listing was based on its assessment that the cost-effectiveness of E</w:t>
      </w:r>
      <w:r>
        <w:rPr>
          <w:lang w:val="en-GB"/>
        </w:rPr>
        <w:t>NG</w:t>
      </w:r>
      <w:r w:rsidRPr="00777B5C">
        <w:rPr>
          <w:lang w:val="en-GB"/>
        </w:rPr>
        <w:t>/</w:t>
      </w:r>
      <w:r>
        <w:rPr>
          <w:lang w:val="en-GB"/>
        </w:rPr>
        <w:t>EE</w:t>
      </w:r>
      <w:r w:rsidR="00AA5FCE">
        <w:rPr>
          <w:lang w:val="en-GB"/>
        </w:rPr>
        <w:t xml:space="preserve"> CVR</w:t>
      </w:r>
      <w:r w:rsidRPr="00777B5C">
        <w:rPr>
          <w:lang w:val="en-GB"/>
        </w:rPr>
        <w:t xml:space="preserve"> would be acceptable if</w:t>
      </w:r>
      <w:r>
        <w:rPr>
          <w:lang w:val="en-GB"/>
        </w:rPr>
        <w:t xml:space="preserve"> </w:t>
      </w:r>
      <w:r w:rsidRPr="00777B5C">
        <w:rPr>
          <w:lang w:val="en-GB"/>
        </w:rPr>
        <w:t>it were cost-minimised against</w:t>
      </w:r>
      <w:r w:rsidR="003955A4">
        <w:rPr>
          <w:lang w:val="en-GB"/>
        </w:rPr>
        <w:t xml:space="preserve"> </w:t>
      </w:r>
      <w:r w:rsidR="009C7E90">
        <w:rPr>
          <w:lang w:val="en-GB"/>
        </w:rPr>
        <w:t>the</w:t>
      </w:r>
      <w:r w:rsidR="00994B84">
        <w:rPr>
          <w:lang w:val="en-GB"/>
        </w:rPr>
        <w:t xml:space="preserve"> </w:t>
      </w:r>
      <w:r w:rsidR="003955A4">
        <w:rPr>
          <w:lang w:val="en-GB"/>
        </w:rPr>
        <w:t>PBS</w:t>
      </w:r>
      <w:r w:rsidR="00AA5FCE">
        <w:rPr>
          <w:lang w:val="en-GB"/>
        </w:rPr>
        <w:t>-</w:t>
      </w:r>
      <w:r w:rsidR="003955A4">
        <w:rPr>
          <w:lang w:val="en-GB"/>
        </w:rPr>
        <w:t>listed</w:t>
      </w:r>
      <w:r>
        <w:rPr>
          <w:lang w:val="en-GB"/>
        </w:rPr>
        <w:t xml:space="preserve"> </w:t>
      </w:r>
      <w:r w:rsidR="009C2703">
        <w:rPr>
          <w:lang w:val="en-GB"/>
        </w:rPr>
        <w:t>c</w:t>
      </w:r>
      <w:r>
        <w:rPr>
          <w:lang w:val="en-GB"/>
        </w:rPr>
        <w:t>ombined</w:t>
      </w:r>
      <w:r w:rsidR="003955A4">
        <w:rPr>
          <w:lang w:val="en-GB"/>
        </w:rPr>
        <w:t xml:space="preserve"> </w:t>
      </w:r>
      <w:r>
        <w:rPr>
          <w:lang w:val="en-GB"/>
        </w:rPr>
        <w:t xml:space="preserve">oral contraceptives (COCs) </w:t>
      </w:r>
      <w:r w:rsidR="00D91307">
        <w:rPr>
          <w:lang w:val="en-GB"/>
        </w:rPr>
        <w:t xml:space="preserve">drospirenone with </w:t>
      </w:r>
      <w:r>
        <w:rPr>
          <w:lang w:val="en-GB"/>
        </w:rPr>
        <w:t>ethinylestradiol (EE/DRSP)</w:t>
      </w:r>
      <w:r w:rsidR="009C2703">
        <w:rPr>
          <w:lang w:val="en-GB"/>
        </w:rPr>
        <w:t>.</w:t>
      </w:r>
    </w:p>
    <w:p w14:paraId="6ED169AB" w14:textId="727B287C" w:rsidR="004F7E04" w:rsidRPr="009D73EC" w:rsidRDefault="00EF551A" w:rsidP="009D73EC">
      <w:pPr>
        <w:pStyle w:val="3-BodyText"/>
      </w:pPr>
      <w:r>
        <w:rPr>
          <w:lang w:val="en-GB"/>
        </w:rPr>
        <w:t xml:space="preserve">The PBAC </w:t>
      </w:r>
      <w:r w:rsidR="00061B95">
        <w:rPr>
          <w:lang w:val="en-GB"/>
        </w:rPr>
        <w:t>noted that the submission nominated depo-medroxyprogesterone acetate</w:t>
      </w:r>
      <w:r w:rsidR="00586AB7">
        <w:rPr>
          <w:lang w:val="en-GB"/>
        </w:rPr>
        <w:t xml:space="preserve"> (DMPA)</w:t>
      </w:r>
      <w:r w:rsidR="00061B95">
        <w:rPr>
          <w:lang w:val="en-GB"/>
        </w:rPr>
        <w:t xml:space="preserve"> injection as the main comparator</w:t>
      </w:r>
      <w:r w:rsidR="000A3861">
        <w:rPr>
          <w:lang w:val="en-GB"/>
        </w:rPr>
        <w:t xml:space="preserve"> and COCs as alternative comparators</w:t>
      </w:r>
      <w:r w:rsidR="00061B95">
        <w:rPr>
          <w:lang w:val="en-GB"/>
        </w:rPr>
        <w:t xml:space="preserve">. The PBAC </w:t>
      </w:r>
      <w:r>
        <w:rPr>
          <w:lang w:val="en-GB"/>
        </w:rPr>
        <w:t>considered th</w:t>
      </w:r>
      <w:r w:rsidR="00590638">
        <w:rPr>
          <w:lang w:val="en-GB"/>
        </w:rPr>
        <w:t xml:space="preserve">at there were </w:t>
      </w:r>
      <w:proofErr w:type="gramStart"/>
      <w:r w:rsidR="00590638">
        <w:rPr>
          <w:lang w:val="en-GB"/>
        </w:rPr>
        <w:t>a number of</w:t>
      </w:r>
      <w:proofErr w:type="gramEnd"/>
      <w:r w:rsidR="00590638">
        <w:rPr>
          <w:lang w:val="en-GB"/>
        </w:rPr>
        <w:t xml:space="preserve"> appropriate </w:t>
      </w:r>
      <w:r>
        <w:rPr>
          <w:lang w:val="en-GB"/>
        </w:rPr>
        <w:t>comparator</w:t>
      </w:r>
      <w:r w:rsidR="00590638">
        <w:rPr>
          <w:lang w:val="en-GB"/>
        </w:rPr>
        <w:t>s</w:t>
      </w:r>
      <w:r>
        <w:rPr>
          <w:lang w:val="en-GB"/>
        </w:rPr>
        <w:t>,</w:t>
      </w:r>
      <w:r w:rsidR="00590638">
        <w:rPr>
          <w:lang w:val="en-GB"/>
        </w:rPr>
        <w:t xml:space="preserve"> including</w:t>
      </w:r>
      <w:r w:rsidR="00BF46DE">
        <w:rPr>
          <w:lang w:val="en-GB"/>
        </w:rPr>
        <w:t xml:space="preserve"> recently</w:t>
      </w:r>
      <w:r w:rsidR="00590638">
        <w:rPr>
          <w:lang w:val="en-GB"/>
        </w:rPr>
        <w:t xml:space="preserve"> </w:t>
      </w:r>
      <w:r w:rsidR="00BF46DE">
        <w:rPr>
          <w:lang w:val="en-GB"/>
        </w:rPr>
        <w:t>PBS-</w:t>
      </w:r>
      <w:r w:rsidR="001435A3">
        <w:rPr>
          <w:lang w:val="en-GB"/>
        </w:rPr>
        <w:t>listed</w:t>
      </w:r>
      <w:r>
        <w:rPr>
          <w:lang w:val="en-GB"/>
        </w:rPr>
        <w:t xml:space="preserve"> </w:t>
      </w:r>
      <w:r w:rsidR="00590638">
        <w:rPr>
          <w:lang w:val="en-GB"/>
        </w:rPr>
        <w:t>COCs containing</w:t>
      </w:r>
      <w:r w:rsidR="008C4211">
        <w:rPr>
          <w:lang w:val="en-GB"/>
        </w:rPr>
        <w:t xml:space="preserve"> EE/DRSP</w:t>
      </w:r>
      <w:r w:rsidR="00590638">
        <w:rPr>
          <w:lang w:val="en-GB"/>
        </w:rPr>
        <w:t xml:space="preserve">. </w:t>
      </w:r>
    </w:p>
    <w:p w14:paraId="08331085" w14:textId="68590039" w:rsidR="00560142" w:rsidRDefault="00560142" w:rsidP="004F7E04">
      <w:pPr>
        <w:pStyle w:val="3-BodyText"/>
      </w:pPr>
      <w:r>
        <w:t xml:space="preserve">The PBAC noted that a Restricted Benefit listing had been proposed in the submission. The PBAC considered that </w:t>
      </w:r>
      <w:r w:rsidR="00702A75">
        <w:t>evidence provided in the</w:t>
      </w:r>
      <w:r>
        <w:t xml:space="preserve"> submissio</w:t>
      </w:r>
      <w:r w:rsidR="00702A75">
        <w:t>n did not support the</w:t>
      </w:r>
      <w:r>
        <w:t xml:space="preserve"> propos</w:t>
      </w:r>
      <w:r w:rsidR="00702A75">
        <w:t>al to</w:t>
      </w:r>
      <w:r>
        <w:t xml:space="preserve"> restrict </w:t>
      </w:r>
      <w:r w:rsidR="00702A75">
        <w:t>ENG/EE</w:t>
      </w:r>
      <w:r w:rsidR="00413500">
        <w:t xml:space="preserve"> CVR</w:t>
      </w:r>
      <w:r w:rsidR="00702A75">
        <w:t xml:space="preserve"> PBS eligibility to women who were </w:t>
      </w:r>
      <w:r w:rsidR="00702A75" w:rsidRPr="00B55BBD">
        <w:rPr>
          <w:lang w:eastAsia="en-US"/>
        </w:rPr>
        <w:t>seeking contraception but require</w:t>
      </w:r>
      <w:r w:rsidR="003955A4">
        <w:rPr>
          <w:lang w:eastAsia="en-US"/>
        </w:rPr>
        <w:t>d</w:t>
      </w:r>
      <w:r w:rsidR="00702A75" w:rsidRPr="00B55BBD">
        <w:rPr>
          <w:lang w:eastAsia="en-US"/>
        </w:rPr>
        <w:t xml:space="preserve"> a non-oral preparation due to difficulty swallowing tablets, gastrointestinal disturbances or malabsorption issues, or undesirable adverse effects with the use of oral contraceptives</w:t>
      </w:r>
      <w:r w:rsidR="00702A75">
        <w:rPr>
          <w:lang w:eastAsia="en-US"/>
        </w:rPr>
        <w:t>.</w:t>
      </w:r>
      <w:r w:rsidR="00FB5069">
        <w:rPr>
          <w:lang w:eastAsia="en-US"/>
        </w:rPr>
        <w:t xml:space="preserve"> The PBAC advised that use outside of the proposed restriction was likely.</w:t>
      </w:r>
    </w:p>
    <w:p w14:paraId="75368740" w14:textId="3C380DFC" w:rsidR="004F7E04" w:rsidRPr="00702A75" w:rsidRDefault="00031270" w:rsidP="00E242A4">
      <w:pPr>
        <w:pStyle w:val="3-BodyText"/>
      </w:pPr>
      <w:r>
        <w:rPr>
          <w:lang w:eastAsia="en-US"/>
        </w:rPr>
        <w:t xml:space="preserve">The PBAC </w:t>
      </w:r>
      <w:r w:rsidR="008865B6">
        <w:rPr>
          <w:lang w:eastAsia="en-US"/>
        </w:rPr>
        <w:t>note</w:t>
      </w:r>
      <w:r w:rsidR="003955A4">
        <w:rPr>
          <w:lang w:eastAsia="en-US"/>
        </w:rPr>
        <w:t>d</w:t>
      </w:r>
      <w:r w:rsidR="008865B6">
        <w:rPr>
          <w:lang w:eastAsia="en-US"/>
        </w:rPr>
        <w:t xml:space="preserve"> consumer comments</w:t>
      </w:r>
      <w:r w:rsidR="003955A4">
        <w:rPr>
          <w:lang w:eastAsia="en-US"/>
        </w:rPr>
        <w:t xml:space="preserve"> that</w:t>
      </w:r>
      <w:r w:rsidR="00004AEC" w:rsidRPr="00F43BAA">
        <w:rPr>
          <w:bCs/>
          <w:snapToGrid w:val="0"/>
        </w:rPr>
        <w:t xml:space="preserve"> ENG/EE </w:t>
      </w:r>
      <w:r w:rsidR="00B33D0A">
        <w:rPr>
          <w:bCs/>
          <w:snapToGrid w:val="0"/>
        </w:rPr>
        <w:t>CVR</w:t>
      </w:r>
      <w:r w:rsidR="00004AEC" w:rsidRPr="00F43BAA">
        <w:rPr>
          <w:bCs/>
          <w:snapToGrid w:val="0"/>
        </w:rPr>
        <w:t xml:space="preserve"> will provide another contraceptive </w:t>
      </w:r>
      <w:r w:rsidR="003955A4" w:rsidRPr="00F43BAA">
        <w:rPr>
          <w:bCs/>
          <w:snapToGrid w:val="0"/>
        </w:rPr>
        <w:t xml:space="preserve">option </w:t>
      </w:r>
      <w:r w:rsidR="00004AEC" w:rsidRPr="00F43BAA">
        <w:rPr>
          <w:bCs/>
          <w:snapToGrid w:val="0"/>
        </w:rPr>
        <w:t>for women</w:t>
      </w:r>
      <w:r w:rsidR="000C7A1B">
        <w:rPr>
          <w:bCs/>
          <w:snapToGrid w:val="0"/>
        </w:rPr>
        <w:t>,</w:t>
      </w:r>
      <w:r w:rsidR="00004AEC" w:rsidRPr="00F43BAA">
        <w:rPr>
          <w:bCs/>
          <w:snapToGrid w:val="0"/>
        </w:rPr>
        <w:t xml:space="preserve"> providing greater contraceptive choice</w:t>
      </w:r>
      <w:r w:rsidR="00AC0B29">
        <w:rPr>
          <w:bCs/>
          <w:snapToGrid w:val="0"/>
        </w:rPr>
        <w:t xml:space="preserve"> </w:t>
      </w:r>
      <w:r w:rsidR="00AC0B29" w:rsidRPr="00AC0B29">
        <w:rPr>
          <w:bCs/>
          <w:snapToGrid w:val="0"/>
        </w:rPr>
        <w:t>for a range of reasons that included, but were broader tha</w:t>
      </w:r>
      <w:r w:rsidR="000C7A1B">
        <w:rPr>
          <w:bCs/>
          <w:snapToGrid w:val="0"/>
        </w:rPr>
        <w:t>n,</w:t>
      </w:r>
      <w:r w:rsidR="00AC0B29" w:rsidRPr="00AC0B29">
        <w:rPr>
          <w:bCs/>
          <w:snapToGrid w:val="0"/>
        </w:rPr>
        <w:t xml:space="preserve"> those specified in the submission</w:t>
      </w:r>
      <w:r w:rsidR="008865B6">
        <w:rPr>
          <w:lang w:eastAsia="en-US"/>
        </w:rPr>
        <w:t xml:space="preserve">. </w:t>
      </w:r>
      <w:r w:rsidR="00004AEC" w:rsidRPr="00004AEC">
        <w:rPr>
          <w:lang w:eastAsia="en-US"/>
        </w:rPr>
        <w:lastRenderedPageBreak/>
        <w:t>The PBAC</w:t>
      </w:r>
      <w:r w:rsidR="004F6EFE">
        <w:rPr>
          <w:lang w:eastAsia="en-US"/>
        </w:rPr>
        <w:t xml:space="preserve"> also</w:t>
      </w:r>
      <w:r w:rsidR="00004AEC" w:rsidRPr="00004AEC">
        <w:rPr>
          <w:lang w:eastAsia="en-US"/>
        </w:rPr>
        <w:t xml:space="preserve"> noted consumer comments highlighting </w:t>
      </w:r>
      <w:r w:rsidR="00887924">
        <w:rPr>
          <w:lang w:eastAsia="en-US"/>
        </w:rPr>
        <w:t xml:space="preserve">that PBS listing of ENG/EE </w:t>
      </w:r>
      <w:r w:rsidR="00B33D0A">
        <w:rPr>
          <w:lang w:eastAsia="en-US"/>
        </w:rPr>
        <w:t xml:space="preserve">CVR </w:t>
      </w:r>
      <w:r w:rsidR="00887924">
        <w:rPr>
          <w:lang w:eastAsia="en-US"/>
        </w:rPr>
        <w:t xml:space="preserve">would improve affordability and accessibility of ENG/EE for many </w:t>
      </w:r>
      <w:proofErr w:type="gramStart"/>
      <w:r w:rsidR="00887924">
        <w:rPr>
          <w:lang w:eastAsia="en-US"/>
        </w:rPr>
        <w:t>women</w:t>
      </w:r>
      <w:r w:rsidR="00B33D0A">
        <w:rPr>
          <w:lang w:eastAsia="en-US"/>
        </w:rPr>
        <w:t>, and</w:t>
      </w:r>
      <w:proofErr w:type="gramEnd"/>
      <w:r w:rsidR="00B33D0A">
        <w:rPr>
          <w:lang w:eastAsia="en-US"/>
        </w:rPr>
        <w:t xml:space="preserve"> increase equitable access</w:t>
      </w:r>
      <w:r w:rsidR="00004AEC">
        <w:rPr>
          <w:lang w:eastAsia="en-US"/>
        </w:rPr>
        <w:t>.</w:t>
      </w:r>
      <w:r w:rsidR="00004AEC" w:rsidRPr="00004AEC">
        <w:rPr>
          <w:lang w:eastAsia="en-US"/>
        </w:rPr>
        <w:t xml:space="preserve"> </w:t>
      </w:r>
      <w:r w:rsidR="00313D5C" w:rsidRPr="00F43BAA">
        <w:rPr>
          <w:snapToGrid w:val="0"/>
        </w:rPr>
        <w:t xml:space="preserve">The PBAC recalled the outcomes from the oral </w:t>
      </w:r>
      <w:proofErr w:type="gramStart"/>
      <w:r w:rsidR="00313D5C" w:rsidRPr="00F43BAA">
        <w:rPr>
          <w:snapToGrid w:val="0"/>
        </w:rPr>
        <w:t>contraceptives</w:t>
      </w:r>
      <w:proofErr w:type="gramEnd"/>
      <w:r w:rsidR="00313D5C" w:rsidRPr="00F43BAA">
        <w:rPr>
          <w:snapToGrid w:val="0"/>
        </w:rPr>
        <w:t xml:space="preserve"> stakeholder meeting convened in October 2024, including that stakeholders stated that it was important to have a range of hormonal contraceptive options available on the PBS as choice of therapy can be highly individualised</w:t>
      </w:r>
      <w:r w:rsidR="001435A3" w:rsidRPr="00F43BAA">
        <w:rPr>
          <w:snapToGrid w:val="0"/>
        </w:rPr>
        <w:t xml:space="preserve">. </w:t>
      </w:r>
      <w:r w:rsidR="00004AEC" w:rsidRPr="00F43BAA">
        <w:rPr>
          <w:snapToGrid w:val="0"/>
        </w:rPr>
        <w:t xml:space="preserve">The </w:t>
      </w:r>
      <w:r w:rsidR="001435A3" w:rsidRPr="00F43BAA">
        <w:rPr>
          <w:snapToGrid w:val="0"/>
        </w:rPr>
        <w:t xml:space="preserve">PBAC </w:t>
      </w:r>
      <w:r w:rsidR="00DA3601">
        <w:rPr>
          <w:snapToGrid w:val="0"/>
        </w:rPr>
        <w:t>therefore considered</w:t>
      </w:r>
      <w:r w:rsidR="00004AEC" w:rsidRPr="00F43BAA">
        <w:rPr>
          <w:snapToGrid w:val="0"/>
        </w:rPr>
        <w:t xml:space="preserve"> that </w:t>
      </w:r>
      <w:r w:rsidR="00DA3601">
        <w:rPr>
          <w:snapToGrid w:val="0"/>
        </w:rPr>
        <w:t>listing</w:t>
      </w:r>
      <w:r w:rsidR="00004AEC" w:rsidRPr="00F43BAA">
        <w:rPr>
          <w:snapToGrid w:val="0"/>
        </w:rPr>
        <w:t xml:space="preserve"> E</w:t>
      </w:r>
      <w:r w:rsidR="000A05AD">
        <w:rPr>
          <w:snapToGrid w:val="0"/>
        </w:rPr>
        <w:t>N</w:t>
      </w:r>
      <w:r w:rsidR="00004AEC" w:rsidRPr="00F43BAA">
        <w:rPr>
          <w:snapToGrid w:val="0"/>
        </w:rPr>
        <w:t>G/EE</w:t>
      </w:r>
      <w:r w:rsidR="00DA3601">
        <w:rPr>
          <w:snapToGrid w:val="0"/>
        </w:rPr>
        <w:t xml:space="preserve"> CVR</w:t>
      </w:r>
      <w:r w:rsidR="00004AEC" w:rsidRPr="00F43BAA">
        <w:rPr>
          <w:snapToGrid w:val="0"/>
        </w:rPr>
        <w:t xml:space="preserve"> as</w:t>
      </w:r>
      <w:r w:rsidR="00DA3601">
        <w:rPr>
          <w:snapToGrid w:val="0"/>
        </w:rPr>
        <w:t xml:space="preserve"> an</w:t>
      </w:r>
      <w:r w:rsidR="00004AEC" w:rsidRPr="00F43BAA">
        <w:rPr>
          <w:snapToGrid w:val="0"/>
        </w:rPr>
        <w:t xml:space="preserve"> Unrestricted Benefit</w:t>
      </w:r>
      <w:r w:rsidR="00C20800">
        <w:rPr>
          <w:snapToGrid w:val="0"/>
        </w:rPr>
        <w:t xml:space="preserve"> </w:t>
      </w:r>
      <w:r w:rsidR="00A245EC">
        <w:rPr>
          <w:snapToGrid w:val="0"/>
        </w:rPr>
        <w:t>provided another contraceptive option for individuals</w:t>
      </w:r>
      <w:r w:rsidR="00004AEC" w:rsidRPr="00F43BAA">
        <w:rPr>
          <w:snapToGrid w:val="0"/>
        </w:rPr>
        <w:t>.</w:t>
      </w:r>
    </w:p>
    <w:p w14:paraId="6AC73EB3" w14:textId="48A3A324" w:rsidR="00702A75" w:rsidRDefault="00F566DD" w:rsidP="00702A75">
      <w:pPr>
        <w:pStyle w:val="3-BodyText"/>
        <w:rPr>
          <w:snapToGrid w:val="0"/>
          <w:lang w:val="en-GB"/>
        </w:rPr>
      </w:pPr>
      <w:r>
        <w:rPr>
          <w:snapToGrid w:val="0"/>
          <w:lang w:val="en-GB"/>
        </w:rPr>
        <w:t xml:space="preserve">The PBAC noted the limitations of the </w:t>
      </w:r>
      <w:r w:rsidR="00F43BAA">
        <w:rPr>
          <w:snapToGrid w:val="0"/>
          <w:lang w:val="en-GB"/>
        </w:rPr>
        <w:t>evidence</w:t>
      </w:r>
      <w:r>
        <w:rPr>
          <w:snapToGrid w:val="0"/>
          <w:lang w:val="en-GB"/>
        </w:rPr>
        <w:t xml:space="preserve"> that w</w:t>
      </w:r>
      <w:r w:rsidR="00F43BAA">
        <w:rPr>
          <w:snapToGrid w:val="0"/>
          <w:lang w:val="en-GB"/>
        </w:rPr>
        <w:t>as</w:t>
      </w:r>
      <w:r>
        <w:rPr>
          <w:snapToGrid w:val="0"/>
          <w:lang w:val="en-GB"/>
        </w:rPr>
        <w:t xml:space="preserve"> submitted in support of the claim that ENG/EE</w:t>
      </w:r>
      <w:r w:rsidR="00AD3FB0">
        <w:rPr>
          <w:snapToGrid w:val="0"/>
          <w:lang w:val="en-GB"/>
        </w:rPr>
        <w:t xml:space="preserve"> CVR</w:t>
      </w:r>
      <w:r>
        <w:rPr>
          <w:snapToGrid w:val="0"/>
          <w:lang w:val="en-GB"/>
        </w:rPr>
        <w:t xml:space="preserve"> had non-inferior efficacy and safety compared to DMPA. </w:t>
      </w:r>
      <w:r w:rsidR="00C05D06">
        <w:rPr>
          <w:snapToGrid w:val="0"/>
          <w:lang w:val="en-GB"/>
        </w:rPr>
        <w:t xml:space="preserve">The PBAC noted the evidence provided in support of the claim that ENG/EE had non-inferior efficacy and safety compared to COCs. </w:t>
      </w:r>
      <w:r w:rsidR="003371C1">
        <w:rPr>
          <w:snapToGrid w:val="0"/>
          <w:lang w:val="en-GB"/>
        </w:rPr>
        <w:t>The</w:t>
      </w:r>
      <w:r w:rsidR="00702A75">
        <w:rPr>
          <w:snapToGrid w:val="0"/>
          <w:lang w:val="en-GB"/>
        </w:rPr>
        <w:t xml:space="preserve"> PBAC</w:t>
      </w:r>
      <w:r w:rsidR="003371C1">
        <w:rPr>
          <w:snapToGrid w:val="0"/>
          <w:lang w:val="en-GB"/>
        </w:rPr>
        <w:t xml:space="preserve"> noted the comparison of adverse events between ENG/EE and COCs based on the evidence provide</w:t>
      </w:r>
      <w:r w:rsidR="00AD3FB0">
        <w:rPr>
          <w:snapToGrid w:val="0"/>
          <w:lang w:val="en-GB"/>
        </w:rPr>
        <w:t>d</w:t>
      </w:r>
      <w:r w:rsidR="00AF25D6">
        <w:rPr>
          <w:snapToGrid w:val="0"/>
          <w:lang w:val="en-GB"/>
        </w:rPr>
        <w:t>,</w:t>
      </w:r>
      <w:r w:rsidR="003371C1">
        <w:rPr>
          <w:snapToGrid w:val="0"/>
          <w:lang w:val="en-GB"/>
        </w:rPr>
        <w:t xml:space="preserve"> and the limitations of this evidence that were identified. Overall</w:t>
      </w:r>
      <w:r w:rsidR="00520DF7">
        <w:rPr>
          <w:snapToGrid w:val="0"/>
          <w:lang w:val="en-GB"/>
        </w:rPr>
        <w:t>,</w:t>
      </w:r>
      <w:r w:rsidR="003371C1">
        <w:rPr>
          <w:snapToGrid w:val="0"/>
          <w:lang w:val="en-GB"/>
        </w:rPr>
        <w:t xml:space="preserve"> the PBAC</w:t>
      </w:r>
      <w:r w:rsidR="00702A75">
        <w:rPr>
          <w:snapToGrid w:val="0"/>
          <w:lang w:val="en-GB"/>
        </w:rPr>
        <w:t xml:space="preserve"> considered that ENG/EE </w:t>
      </w:r>
      <w:r w:rsidR="00520DF7">
        <w:rPr>
          <w:snapToGrid w:val="0"/>
          <w:lang w:val="en-GB"/>
        </w:rPr>
        <w:t xml:space="preserve">CVR </w:t>
      </w:r>
      <w:r w:rsidR="00702A75">
        <w:rPr>
          <w:snapToGrid w:val="0"/>
          <w:lang w:val="en-GB"/>
        </w:rPr>
        <w:t xml:space="preserve">has non-inferior contraceptive efficacy </w:t>
      </w:r>
      <w:r w:rsidR="00533CAB">
        <w:rPr>
          <w:snapToGrid w:val="0"/>
          <w:lang w:val="en-GB"/>
        </w:rPr>
        <w:t xml:space="preserve">and safety </w:t>
      </w:r>
      <w:r w:rsidR="00702A75">
        <w:rPr>
          <w:snapToGrid w:val="0"/>
          <w:lang w:val="en-GB"/>
        </w:rPr>
        <w:t xml:space="preserve">compared to </w:t>
      </w:r>
      <w:r w:rsidR="000A05AD">
        <w:rPr>
          <w:snapToGrid w:val="0"/>
          <w:lang w:val="en-GB"/>
        </w:rPr>
        <w:t xml:space="preserve">DMPA injection </w:t>
      </w:r>
      <w:r w:rsidR="00BD3711">
        <w:rPr>
          <w:snapToGrid w:val="0"/>
          <w:lang w:val="en-GB"/>
        </w:rPr>
        <w:t>and</w:t>
      </w:r>
      <w:r w:rsidR="003040D9">
        <w:rPr>
          <w:snapToGrid w:val="0"/>
          <w:lang w:val="en-GB"/>
        </w:rPr>
        <w:t xml:space="preserve"> COCs</w:t>
      </w:r>
      <w:r w:rsidR="00BD3711">
        <w:rPr>
          <w:snapToGrid w:val="0"/>
          <w:lang w:val="en-GB"/>
        </w:rPr>
        <w:t xml:space="preserve"> currently</w:t>
      </w:r>
      <w:r w:rsidR="00702A75">
        <w:rPr>
          <w:snapToGrid w:val="0"/>
          <w:lang w:val="en-GB"/>
        </w:rPr>
        <w:t xml:space="preserve"> PBS-listed. </w:t>
      </w:r>
      <w:r w:rsidR="005555D2">
        <w:rPr>
          <w:snapToGrid w:val="0"/>
          <w:lang w:val="en-GB"/>
        </w:rPr>
        <w:t>The PBAC considered the ENG/EE CVR would provide a contraceptive option for</w:t>
      </w:r>
      <w:r w:rsidR="00B379EC">
        <w:rPr>
          <w:snapToGrid w:val="0"/>
          <w:lang w:val="en-GB"/>
        </w:rPr>
        <w:t xml:space="preserve"> a</w:t>
      </w:r>
      <w:r w:rsidR="005555D2">
        <w:rPr>
          <w:snapToGrid w:val="0"/>
          <w:lang w:val="en-GB"/>
        </w:rPr>
        <w:t xml:space="preserve"> </w:t>
      </w:r>
      <w:r w:rsidR="00B379EC">
        <w:rPr>
          <w:snapToGrid w:val="0"/>
          <w:lang w:val="en-GB"/>
        </w:rPr>
        <w:t>broader population</w:t>
      </w:r>
      <w:r w:rsidR="005555D2">
        <w:rPr>
          <w:snapToGrid w:val="0"/>
          <w:lang w:val="en-GB"/>
        </w:rPr>
        <w:t xml:space="preserve"> than </w:t>
      </w:r>
      <w:r w:rsidR="00B379EC">
        <w:rPr>
          <w:snapToGrid w:val="0"/>
          <w:lang w:val="en-GB"/>
        </w:rPr>
        <w:t>the population who</w:t>
      </w:r>
      <w:r w:rsidR="00994B84">
        <w:rPr>
          <w:snapToGrid w:val="0"/>
          <w:lang w:val="en-GB"/>
        </w:rPr>
        <w:t xml:space="preserve"> would</w:t>
      </w:r>
      <w:r w:rsidR="00B379EC">
        <w:rPr>
          <w:snapToGrid w:val="0"/>
          <w:lang w:val="en-GB"/>
        </w:rPr>
        <w:t xml:space="preserve"> be prescribed DMPA</w:t>
      </w:r>
      <w:r w:rsidR="005555D2">
        <w:rPr>
          <w:snapToGrid w:val="0"/>
          <w:lang w:val="en-GB"/>
        </w:rPr>
        <w:t xml:space="preserve">. </w:t>
      </w:r>
      <w:r w:rsidR="00702A75">
        <w:rPr>
          <w:snapToGrid w:val="0"/>
          <w:lang w:val="en-GB"/>
        </w:rPr>
        <w:t>The PBAC therefore recommended listing E</w:t>
      </w:r>
      <w:r w:rsidR="00BD3711">
        <w:rPr>
          <w:snapToGrid w:val="0"/>
          <w:lang w:val="en-GB"/>
        </w:rPr>
        <w:t>NG/EE</w:t>
      </w:r>
      <w:r w:rsidR="00702A75">
        <w:rPr>
          <w:snapToGrid w:val="0"/>
          <w:lang w:val="en-GB"/>
        </w:rPr>
        <w:t xml:space="preserve"> </w:t>
      </w:r>
      <w:r w:rsidR="006A262B">
        <w:rPr>
          <w:snapToGrid w:val="0"/>
          <w:lang w:val="en-GB"/>
        </w:rPr>
        <w:t xml:space="preserve">CVR </w:t>
      </w:r>
      <w:r w:rsidR="00702A75">
        <w:rPr>
          <w:snapToGrid w:val="0"/>
          <w:lang w:val="en-GB"/>
        </w:rPr>
        <w:t xml:space="preserve">on a cost-minimisation basis to </w:t>
      </w:r>
      <w:r w:rsidR="00BD3711">
        <w:rPr>
          <w:snapToGrid w:val="0"/>
          <w:lang w:val="en-GB"/>
        </w:rPr>
        <w:t>EE/DRSP</w:t>
      </w:r>
      <w:r w:rsidR="00702A75" w:rsidRPr="1ACE3856">
        <w:rPr>
          <w:snapToGrid w:val="0"/>
          <w:lang w:val="en-GB"/>
        </w:rPr>
        <w:t>.</w:t>
      </w:r>
      <w:r w:rsidR="00702A75">
        <w:rPr>
          <w:snapToGrid w:val="0"/>
          <w:lang w:val="en-GB"/>
        </w:rPr>
        <w:t xml:space="preserve"> </w:t>
      </w:r>
      <w:r w:rsidR="00C06B36">
        <w:rPr>
          <w:snapToGrid w:val="0"/>
          <w:lang w:val="en-GB"/>
        </w:rPr>
        <w:t xml:space="preserve">The PBAC noted that three ENG/EE CVR </w:t>
      </w:r>
      <w:r w:rsidR="00B379EC">
        <w:rPr>
          <w:snapToGrid w:val="0"/>
          <w:lang w:val="en-GB"/>
        </w:rPr>
        <w:t xml:space="preserve">provides 12 weeks of contraception. </w:t>
      </w:r>
      <w:r w:rsidR="00702A75">
        <w:rPr>
          <w:snapToGrid w:val="0"/>
          <w:lang w:val="en-GB"/>
        </w:rPr>
        <w:t xml:space="preserve">The PBAC advised the equi-effective doses are </w:t>
      </w:r>
      <w:proofErr w:type="gramStart"/>
      <w:r w:rsidR="00B379EC">
        <w:rPr>
          <w:snapToGrid w:val="0"/>
          <w:lang w:val="en-GB"/>
        </w:rPr>
        <w:t>12</w:t>
      </w:r>
      <w:r w:rsidR="009D73EC">
        <w:rPr>
          <w:snapToGrid w:val="0"/>
          <w:lang w:val="en-GB"/>
        </w:rPr>
        <w:t> </w:t>
      </w:r>
      <w:r w:rsidR="00B379EC">
        <w:rPr>
          <w:snapToGrid w:val="0"/>
          <w:lang w:val="en-GB"/>
        </w:rPr>
        <w:t>week</w:t>
      </w:r>
      <w:proofErr w:type="gramEnd"/>
      <w:r w:rsidR="00702A75">
        <w:rPr>
          <w:snapToGrid w:val="0"/>
          <w:lang w:val="en-GB"/>
        </w:rPr>
        <w:t xml:space="preserve"> cycle of E</w:t>
      </w:r>
      <w:r w:rsidR="00BD3711">
        <w:rPr>
          <w:snapToGrid w:val="0"/>
          <w:lang w:val="en-GB"/>
        </w:rPr>
        <w:t>NG</w:t>
      </w:r>
      <w:r w:rsidR="005C548E">
        <w:rPr>
          <w:snapToGrid w:val="0"/>
          <w:lang w:val="en-GB"/>
        </w:rPr>
        <w:t xml:space="preserve"> 11.7 mg</w:t>
      </w:r>
      <w:r w:rsidR="00BD3711">
        <w:rPr>
          <w:snapToGrid w:val="0"/>
          <w:lang w:val="en-GB"/>
        </w:rPr>
        <w:t>/EE</w:t>
      </w:r>
      <w:r w:rsidR="005C548E">
        <w:rPr>
          <w:snapToGrid w:val="0"/>
          <w:lang w:val="en-GB"/>
        </w:rPr>
        <w:t xml:space="preserve"> 2.7 mg</w:t>
      </w:r>
      <w:r w:rsidR="00702A75">
        <w:rPr>
          <w:snapToGrid w:val="0"/>
          <w:lang w:val="en-GB"/>
        </w:rPr>
        <w:t xml:space="preserve"> </w:t>
      </w:r>
      <w:r w:rsidR="006A262B">
        <w:rPr>
          <w:snapToGrid w:val="0"/>
          <w:lang w:val="en-GB"/>
        </w:rPr>
        <w:t xml:space="preserve">CVR </w:t>
      </w:r>
      <w:r w:rsidR="00702A75" w:rsidRPr="00F52F4F">
        <w:rPr>
          <w:snapToGrid w:val="0"/>
        </w:rPr>
        <w:t>≡</w:t>
      </w:r>
      <w:r w:rsidR="00702A75">
        <w:rPr>
          <w:snapToGrid w:val="0"/>
        </w:rPr>
        <w:t xml:space="preserve"> </w:t>
      </w:r>
      <w:proofErr w:type="gramStart"/>
      <w:r w:rsidR="00B379EC">
        <w:rPr>
          <w:snapToGrid w:val="0"/>
        </w:rPr>
        <w:t>12 week</w:t>
      </w:r>
      <w:proofErr w:type="gramEnd"/>
      <w:r w:rsidR="00702A75">
        <w:rPr>
          <w:snapToGrid w:val="0"/>
        </w:rPr>
        <w:t xml:space="preserve"> cycle</w:t>
      </w:r>
      <w:r w:rsidR="00B379EC">
        <w:rPr>
          <w:snapToGrid w:val="0"/>
        </w:rPr>
        <w:t xml:space="preserve"> (equivalent to 3 x </w:t>
      </w:r>
      <w:proofErr w:type="gramStart"/>
      <w:r w:rsidR="00B379EC">
        <w:rPr>
          <w:snapToGrid w:val="0"/>
        </w:rPr>
        <w:t>28</w:t>
      </w:r>
      <w:r w:rsidR="009D73EC">
        <w:rPr>
          <w:snapToGrid w:val="0"/>
        </w:rPr>
        <w:t> </w:t>
      </w:r>
      <w:r w:rsidR="00B379EC">
        <w:rPr>
          <w:snapToGrid w:val="0"/>
        </w:rPr>
        <w:t>day</w:t>
      </w:r>
      <w:proofErr w:type="gramEnd"/>
      <w:r w:rsidR="00B379EC">
        <w:rPr>
          <w:snapToGrid w:val="0"/>
        </w:rPr>
        <w:t xml:space="preserve"> cycles)</w:t>
      </w:r>
      <w:r w:rsidR="00702A75">
        <w:rPr>
          <w:snapToGrid w:val="0"/>
        </w:rPr>
        <w:t xml:space="preserve"> of EE 20 microgram/DRSP 3 mg / </w:t>
      </w:r>
      <w:proofErr w:type="gramStart"/>
      <w:r w:rsidR="00B379EC">
        <w:rPr>
          <w:snapToGrid w:val="0"/>
        </w:rPr>
        <w:t>12 week</w:t>
      </w:r>
      <w:proofErr w:type="gramEnd"/>
      <w:r w:rsidR="00702A75">
        <w:rPr>
          <w:snapToGrid w:val="0"/>
        </w:rPr>
        <w:t xml:space="preserve"> cycle of EE 30 microgram/DRSP 3 mg.</w:t>
      </w:r>
    </w:p>
    <w:p w14:paraId="764AD5D4" w14:textId="4962214E" w:rsidR="00D85A4D" w:rsidRDefault="00D85A4D" w:rsidP="00D85A4D">
      <w:pPr>
        <w:pStyle w:val="3-BodyText"/>
        <w:rPr>
          <w:snapToGrid w:val="0"/>
          <w:lang w:val="en-GB"/>
        </w:rPr>
      </w:pPr>
      <w:r>
        <w:rPr>
          <w:snapToGrid w:val="0"/>
          <w:lang w:val="en-GB"/>
        </w:rPr>
        <w:t>The PBAC advised that ENG/EE</w:t>
      </w:r>
      <w:r w:rsidR="00892B5D">
        <w:rPr>
          <w:snapToGrid w:val="0"/>
          <w:lang w:val="en-GB"/>
        </w:rPr>
        <w:t xml:space="preserve"> CVR</w:t>
      </w:r>
      <w:r>
        <w:rPr>
          <w:snapToGrid w:val="0"/>
          <w:lang w:val="en-GB"/>
        </w:rPr>
        <w:t xml:space="preserve"> is suitable for prescribing by nurse practitioners and endorsed midwives. </w:t>
      </w:r>
    </w:p>
    <w:p w14:paraId="43CACEDD" w14:textId="7A60F9D2" w:rsidR="008A585E" w:rsidRDefault="008865B6" w:rsidP="004F7E04">
      <w:pPr>
        <w:pStyle w:val="3-BodyText"/>
      </w:pPr>
      <w:r>
        <w:t xml:space="preserve">The PBAC noted </w:t>
      </w:r>
      <w:r w:rsidR="00F43BAA">
        <w:t xml:space="preserve">that the </w:t>
      </w:r>
      <w:r w:rsidR="00FC1405">
        <w:t>estimated use and financial estimates provided in the submission were based on the proposed Restricted listing</w:t>
      </w:r>
      <w:r w:rsidR="00514CA6">
        <w:t>.</w:t>
      </w:r>
      <w:r w:rsidR="00FC1405">
        <w:t xml:space="preserve"> </w:t>
      </w:r>
      <w:r w:rsidR="00514CA6">
        <w:t>H</w:t>
      </w:r>
      <w:r w:rsidR="00FC1405">
        <w:t xml:space="preserve">owever, </w:t>
      </w:r>
      <w:r>
        <w:t xml:space="preserve">revised </w:t>
      </w:r>
      <w:r w:rsidR="003040D9">
        <w:t xml:space="preserve">financial estimates </w:t>
      </w:r>
      <w:r w:rsidR="00FC1405">
        <w:t xml:space="preserve">for an </w:t>
      </w:r>
      <w:r w:rsidR="00F43BAA">
        <w:t>U</w:t>
      </w:r>
      <w:r w:rsidR="00FC1405">
        <w:t>nrestricted list</w:t>
      </w:r>
      <w:r w:rsidR="008A585E">
        <w:t xml:space="preserve">ing were provided </w:t>
      </w:r>
      <w:r w:rsidR="003040D9">
        <w:t>in the</w:t>
      </w:r>
      <w:r w:rsidR="008A585E">
        <w:t xml:space="preserve"> PSCR and</w:t>
      </w:r>
      <w:r w:rsidR="003040D9">
        <w:t xml:space="preserve"> </w:t>
      </w:r>
      <w:r w:rsidR="007C3FF0">
        <w:t>p</w:t>
      </w:r>
      <w:r w:rsidR="003040D9">
        <w:t>re-PBAC response</w:t>
      </w:r>
      <w:r w:rsidR="008A585E">
        <w:t xml:space="preserve"> </w:t>
      </w:r>
      <w:r w:rsidR="00514CA6">
        <w:t>which</w:t>
      </w:r>
      <w:r w:rsidR="003040D9">
        <w:t xml:space="preserve"> estimated </w:t>
      </w:r>
      <w:r w:rsidR="00514CA6">
        <w:t xml:space="preserve">a </w:t>
      </w:r>
      <w:r w:rsidR="00FC1405">
        <w:t>net cost to the PBS/RP</w:t>
      </w:r>
      <w:r w:rsidR="00514CA6">
        <w:t>B</w:t>
      </w:r>
      <w:r w:rsidR="00FC1405">
        <w:t xml:space="preserve">S of </w:t>
      </w:r>
      <w:r w:rsidR="00ED1FDA" w:rsidRPr="00276975">
        <w:rPr>
          <w:bCs/>
        </w:rPr>
        <w:t>$0 to &lt; $10 million</w:t>
      </w:r>
      <w:r w:rsidR="00ED1FDA" w:rsidRPr="006B682B">
        <w:t xml:space="preserve"> </w:t>
      </w:r>
      <w:r w:rsidR="00FC1405">
        <w:t xml:space="preserve">in the first year and a total of </w:t>
      </w:r>
      <w:r w:rsidR="00ED1FDA" w:rsidRPr="00276975">
        <w:rPr>
          <w:bCs/>
        </w:rPr>
        <w:t>$0 to &lt; $10 million</w:t>
      </w:r>
      <w:r w:rsidR="00ED1FDA" w:rsidRPr="006B682B">
        <w:t xml:space="preserve"> </w:t>
      </w:r>
      <w:r w:rsidR="00FC1405" w:rsidRPr="006B682B">
        <w:t>over the first 6 years of listing.</w:t>
      </w:r>
      <w:r w:rsidR="008A585E">
        <w:t xml:space="preserve"> </w:t>
      </w:r>
    </w:p>
    <w:p w14:paraId="320AC1C2" w14:textId="7592130E" w:rsidR="00FC1405" w:rsidRDefault="008A585E" w:rsidP="004F7E04">
      <w:pPr>
        <w:pStyle w:val="3-BodyText"/>
      </w:pPr>
      <w:r>
        <w:t xml:space="preserve">The PBAC considered that </w:t>
      </w:r>
      <w:r w:rsidR="00586AB7">
        <w:t xml:space="preserve">the </w:t>
      </w:r>
      <w:r>
        <w:t xml:space="preserve">estimates for an Unrestricted listing, which included </w:t>
      </w:r>
      <w:r w:rsidRPr="006B682B">
        <w:t>revised script equivalence to COCs, a lowered annual growth rate from +8% to +4%, and removal of adherence rates</w:t>
      </w:r>
      <w:r>
        <w:t xml:space="preserve">, were </w:t>
      </w:r>
      <w:r w:rsidR="00586AB7">
        <w:t xml:space="preserve">more </w:t>
      </w:r>
      <w:r>
        <w:t>reasonable.</w:t>
      </w:r>
      <w:r w:rsidR="00586AB7">
        <w:t xml:space="preserve"> </w:t>
      </w:r>
      <w:r w:rsidR="00586AB7" w:rsidRPr="00CA00D0">
        <w:rPr>
          <w:snapToGrid w:val="0"/>
          <w:lang w:val="en-GB"/>
        </w:rPr>
        <w:t>However, the PBAC advised that overall</w:t>
      </w:r>
      <w:r w:rsidR="000A05AD">
        <w:rPr>
          <w:snapToGrid w:val="0"/>
          <w:lang w:val="en-GB"/>
        </w:rPr>
        <w:t>,</w:t>
      </w:r>
      <w:r w:rsidR="00586AB7" w:rsidRPr="00CA00D0">
        <w:rPr>
          <w:snapToGrid w:val="0"/>
          <w:lang w:val="en-GB"/>
        </w:rPr>
        <w:t xml:space="preserve"> there were uncertainties in the uptake</w:t>
      </w:r>
      <w:r w:rsidR="00586AB7">
        <w:rPr>
          <w:snapToGrid w:val="0"/>
          <w:lang w:val="en-GB"/>
        </w:rPr>
        <w:t xml:space="preserve"> rate from DMPA and COCs</w:t>
      </w:r>
      <w:r w:rsidR="00586AB7" w:rsidRPr="00CA00D0">
        <w:rPr>
          <w:snapToGrid w:val="0"/>
          <w:lang w:val="en-GB"/>
        </w:rPr>
        <w:t xml:space="preserve"> that are listed on the PBS, and therefore uncertainties in the financial implications of their listings.</w:t>
      </w:r>
      <w:r w:rsidR="00586AB7">
        <w:rPr>
          <w:snapToGrid w:val="0"/>
          <w:lang w:val="en-GB"/>
        </w:rPr>
        <w:t xml:space="preserve"> </w:t>
      </w:r>
      <w:r w:rsidR="00586AB7" w:rsidRPr="00CA00D0">
        <w:rPr>
          <w:snapToGrid w:val="0"/>
          <w:lang w:val="en-GB"/>
        </w:rPr>
        <w:t xml:space="preserve">The PBAC </w:t>
      </w:r>
      <w:r w:rsidR="00586AB7">
        <w:rPr>
          <w:snapToGrid w:val="0"/>
          <w:lang w:val="en-GB"/>
        </w:rPr>
        <w:t>recalled</w:t>
      </w:r>
      <w:r w:rsidR="00586AB7" w:rsidRPr="00CA00D0">
        <w:rPr>
          <w:snapToGrid w:val="0"/>
          <w:lang w:val="en-GB"/>
        </w:rPr>
        <w:t xml:space="preserve"> its request from its July 2024 meeting that a utilisation review of newer oral contraceptive pills listed on the PBS be conducted 2</w:t>
      </w:r>
      <w:r w:rsidR="00586AB7">
        <w:rPr>
          <w:snapToGrid w:val="0"/>
          <w:lang w:val="en-GB"/>
        </w:rPr>
        <w:t> </w:t>
      </w:r>
      <w:r w:rsidR="00586AB7" w:rsidRPr="00CA00D0">
        <w:rPr>
          <w:snapToGrid w:val="0"/>
          <w:lang w:val="en-GB"/>
        </w:rPr>
        <w:t xml:space="preserve">years after their listing (paragraph 7.12, drospirenone with ethinylestradiol, </w:t>
      </w:r>
      <w:r w:rsidR="00CF6123">
        <w:rPr>
          <w:snapToGrid w:val="0"/>
          <w:lang w:val="en-GB"/>
        </w:rPr>
        <w:t>Public Summary Document (</w:t>
      </w:r>
      <w:r w:rsidR="00586AB7" w:rsidRPr="00CA00D0">
        <w:rPr>
          <w:snapToGrid w:val="0"/>
          <w:lang w:val="en-GB"/>
        </w:rPr>
        <w:t>PSD</w:t>
      </w:r>
      <w:r w:rsidR="00CF6123">
        <w:rPr>
          <w:snapToGrid w:val="0"/>
          <w:lang w:val="en-GB"/>
        </w:rPr>
        <w:t>)</w:t>
      </w:r>
      <w:r w:rsidR="00586AB7" w:rsidRPr="00CA00D0">
        <w:rPr>
          <w:snapToGrid w:val="0"/>
          <w:lang w:val="en-GB"/>
        </w:rPr>
        <w:t>, July 2024 PBAC Meeting with November 2024 Addendum)</w:t>
      </w:r>
      <w:r w:rsidR="00586AB7">
        <w:rPr>
          <w:snapToGrid w:val="0"/>
          <w:lang w:val="en-GB"/>
        </w:rPr>
        <w:t xml:space="preserve"> and considered that ENG/EE </w:t>
      </w:r>
      <w:r w:rsidR="00112A1F">
        <w:rPr>
          <w:snapToGrid w:val="0"/>
          <w:lang w:val="en-GB"/>
        </w:rPr>
        <w:t xml:space="preserve">CVR </w:t>
      </w:r>
      <w:r w:rsidR="00586AB7">
        <w:rPr>
          <w:snapToGrid w:val="0"/>
          <w:lang w:val="en-GB"/>
        </w:rPr>
        <w:t xml:space="preserve">should be included in this </w:t>
      </w:r>
      <w:r w:rsidR="0059680B">
        <w:rPr>
          <w:snapToGrid w:val="0"/>
          <w:lang w:val="en-GB"/>
        </w:rPr>
        <w:t>request</w:t>
      </w:r>
      <w:r w:rsidR="00586AB7" w:rsidRPr="00CA00D0">
        <w:rPr>
          <w:snapToGrid w:val="0"/>
          <w:lang w:val="en-GB"/>
        </w:rPr>
        <w:t>.</w:t>
      </w:r>
    </w:p>
    <w:p w14:paraId="6D1A0DCC" w14:textId="45874182" w:rsidR="008A585E" w:rsidRPr="00951B2B" w:rsidRDefault="008A585E" w:rsidP="008A585E">
      <w:pPr>
        <w:pStyle w:val="3-BodyText"/>
        <w:rPr>
          <w:snapToGrid w:val="0"/>
          <w:lang w:val="en-GB"/>
        </w:rPr>
      </w:pPr>
      <w:r w:rsidRPr="00951B2B">
        <w:rPr>
          <w:snapToGrid w:val="0"/>
          <w:lang w:val="en-GB"/>
        </w:rPr>
        <w:t xml:space="preserve">The PBAC recommended that </w:t>
      </w:r>
      <w:r w:rsidR="000A05AD">
        <w:rPr>
          <w:snapToGrid w:val="0"/>
          <w:lang w:val="en-GB"/>
        </w:rPr>
        <w:t>ENG/EE</w:t>
      </w:r>
      <w:r>
        <w:rPr>
          <w:snapToGrid w:val="0"/>
          <w:lang w:val="en-GB"/>
        </w:rPr>
        <w:t xml:space="preserve"> </w:t>
      </w:r>
      <w:r w:rsidR="00112A1F">
        <w:rPr>
          <w:snapToGrid w:val="0"/>
          <w:lang w:val="en-GB"/>
        </w:rPr>
        <w:t xml:space="preserve">CVR </w:t>
      </w:r>
      <w:r w:rsidRPr="00951B2B">
        <w:rPr>
          <w:snapToGrid w:val="0"/>
          <w:lang w:val="en-GB"/>
        </w:rPr>
        <w:t>should</w:t>
      </w:r>
      <w:r w:rsidR="00F43BAA">
        <w:rPr>
          <w:snapToGrid w:val="0"/>
          <w:lang w:val="en-GB"/>
        </w:rPr>
        <w:t xml:space="preserve"> not</w:t>
      </w:r>
      <w:r w:rsidRPr="00951B2B">
        <w:rPr>
          <w:snapToGrid w:val="0"/>
          <w:lang w:val="en-GB"/>
        </w:rPr>
        <w:t xml:space="preserve"> be treated as interchangeable </w:t>
      </w:r>
      <w:r w:rsidR="00F43BAA">
        <w:rPr>
          <w:snapToGrid w:val="0"/>
          <w:lang w:val="en-GB"/>
        </w:rPr>
        <w:t xml:space="preserve">with any other medicines </w:t>
      </w:r>
      <w:r>
        <w:rPr>
          <w:snapToGrid w:val="0"/>
          <w:lang w:val="en-GB"/>
        </w:rPr>
        <w:t xml:space="preserve">currently listed on the PBS. </w:t>
      </w:r>
    </w:p>
    <w:p w14:paraId="15A37639" w14:textId="14755939" w:rsidR="008A585E" w:rsidRPr="00061B95" w:rsidRDefault="00061B95" w:rsidP="004F7E04">
      <w:pPr>
        <w:pStyle w:val="3-BodyText"/>
      </w:pPr>
      <w:r w:rsidRPr="00525B39">
        <w:rPr>
          <w:bCs/>
          <w:snapToGrid w:val="0"/>
          <w:lang w:val="en-GB"/>
        </w:rPr>
        <w:lastRenderedPageBreak/>
        <w:t>The PBAC recommended that the Early Supply Rule should apply.</w:t>
      </w:r>
    </w:p>
    <w:p w14:paraId="6A476940" w14:textId="56A37B9E" w:rsidR="00061B95" w:rsidRPr="00E16F08" w:rsidRDefault="00061B95" w:rsidP="00061B95">
      <w:pPr>
        <w:pStyle w:val="3-BodyText"/>
        <w:rPr>
          <w:bCs/>
          <w:snapToGrid w:val="0"/>
          <w:lang w:val="en-GB"/>
        </w:rPr>
      </w:pPr>
      <w:r w:rsidRPr="006F2E9E">
        <w:rPr>
          <w:lang w:val="en-GB"/>
        </w:rPr>
        <w:t xml:space="preserve">The PBAC noted that its recommendation was on a cost-minimisation basis and advised that, because </w:t>
      </w:r>
      <w:r>
        <w:rPr>
          <w:lang w:val="en-GB"/>
        </w:rPr>
        <w:t xml:space="preserve">ENG/EE </w:t>
      </w:r>
      <w:r w:rsidR="00FF0F9A">
        <w:rPr>
          <w:lang w:val="en-GB"/>
        </w:rPr>
        <w:t xml:space="preserve">CVR </w:t>
      </w:r>
      <w:r>
        <w:rPr>
          <w:lang w:val="en-GB"/>
        </w:rPr>
        <w:t>is</w:t>
      </w:r>
      <w:r w:rsidRPr="006F2E9E">
        <w:rPr>
          <w:lang w:val="en-GB"/>
        </w:rPr>
        <w:t xml:space="preserve"> not expected to provide a substantial</w:t>
      </w:r>
      <w:r w:rsidRPr="006F2E9E">
        <w:rPr>
          <w:bCs/>
          <w:lang w:val="en-GB"/>
        </w:rPr>
        <w:t xml:space="preserve"> and clinically relevant improvement in efficacy, or reduction of toxicity, over </w:t>
      </w:r>
      <w:r>
        <w:rPr>
          <w:bCs/>
          <w:lang w:val="en-GB"/>
        </w:rPr>
        <w:t xml:space="preserve">other COCs currently PBS listed, </w:t>
      </w:r>
      <w:r w:rsidRPr="006F2E9E">
        <w:rPr>
          <w:bCs/>
          <w:lang w:val="en-GB"/>
        </w:rPr>
        <w:t xml:space="preserve">or not expected to address a high and urgent unmet clinical need given the presence of an alternative therapy, the criteria prescribed by the </w:t>
      </w:r>
      <w:r w:rsidRPr="006F2E9E">
        <w:rPr>
          <w:bCs/>
          <w:i/>
          <w:lang w:val="en-GB"/>
        </w:rPr>
        <w:t>National Health (Pharmaceuticals and Vaccines – Cost Recovery) Regulations 2022</w:t>
      </w:r>
      <w:r w:rsidRPr="006F2E9E">
        <w:rPr>
          <w:bCs/>
          <w:lang w:val="en-GB"/>
        </w:rPr>
        <w:t xml:space="preserve"> for Pricing Pathway A were not met.</w:t>
      </w:r>
    </w:p>
    <w:p w14:paraId="0B25698B" w14:textId="5C00A803" w:rsidR="00D524AF" w:rsidRPr="003656D6" w:rsidRDefault="00061B95" w:rsidP="003656D6">
      <w:pPr>
        <w:pStyle w:val="3-BodyText"/>
        <w:rPr>
          <w:snapToGrid w:val="0"/>
          <w:lang w:val="en-GB"/>
        </w:rPr>
      </w:pPr>
      <w:r w:rsidRPr="00525B39">
        <w:rPr>
          <w:snapToGrid w:val="0"/>
          <w:lang w:val="en-GB"/>
        </w:rPr>
        <w:t>The PBAC noted that this submission is not eligible for an Independent Review</w:t>
      </w:r>
      <w:r>
        <w:rPr>
          <w:snapToGrid w:val="0"/>
          <w:lang w:val="en-GB"/>
        </w:rPr>
        <w:t xml:space="preserve"> because it received a positive recommendation</w:t>
      </w:r>
      <w:r w:rsidRPr="00525B39">
        <w:rPr>
          <w:snapToGrid w:val="0"/>
          <w:lang w:val="en-GB"/>
        </w:rPr>
        <w:t xml:space="preserve">. </w:t>
      </w:r>
    </w:p>
    <w:p w14:paraId="605FA7A3" w14:textId="47E2CC01" w:rsidR="00D524AF" w:rsidRDefault="00D524AF" w:rsidP="00ED1FDA">
      <w:pPr>
        <w:pStyle w:val="3-BodyText"/>
        <w:numPr>
          <w:ilvl w:val="0"/>
          <w:numId w:val="0"/>
        </w:numPr>
        <w:spacing w:after="0"/>
        <w:rPr>
          <w:b/>
          <w:bCs/>
          <w:snapToGrid w:val="0"/>
          <w:lang w:val="en-GB"/>
        </w:rPr>
      </w:pPr>
      <w:r w:rsidRPr="00D524AF">
        <w:rPr>
          <w:b/>
          <w:bCs/>
          <w:snapToGrid w:val="0"/>
          <w:lang w:val="en-GB"/>
        </w:rPr>
        <w:t>Outcome:</w:t>
      </w:r>
    </w:p>
    <w:p w14:paraId="0E0BEB8C" w14:textId="441819B7" w:rsidR="006831DC" w:rsidRPr="00E8693C" w:rsidRDefault="00D524AF" w:rsidP="00ED1FDA">
      <w:pPr>
        <w:pStyle w:val="3-BodyText"/>
        <w:numPr>
          <w:ilvl w:val="0"/>
          <w:numId w:val="0"/>
        </w:numPr>
        <w:spacing w:before="0"/>
        <w:rPr>
          <w:snapToGrid w:val="0"/>
          <w:lang w:val="en-GB"/>
        </w:rPr>
      </w:pPr>
      <w:r>
        <w:rPr>
          <w:snapToGrid w:val="0"/>
          <w:lang w:val="en-GB"/>
        </w:rPr>
        <w:t xml:space="preserve">Recommended </w:t>
      </w:r>
    </w:p>
    <w:p w14:paraId="6E40F808" w14:textId="77777777" w:rsidR="00F43BAA" w:rsidRPr="00907671" w:rsidRDefault="00F43BAA" w:rsidP="00F43BAA">
      <w:pPr>
        <w:pStyle w:val="2-SectionHeading"/>
      </w:pPr>
      <w:r w:rsidRPr="00907671">
        <w:t>Recommended listing</w:t>
      </w:r>
    </w:p>
    <w:p w14:paraId="4D783FCB" w14:textId="77777777" w:rsidR="00F43BAA" w:rsidRDefault="00F43BAA" w:rsidP="00F43BAA">
      <w:pPr>
        <w:pStyle w:val="3-BodyText"/>
        <w:rPr>
          <w:b/>
          <w:snapToGrid w:val="0"/>
        </w:rPr>
      </w:pPr>
      <w:r w:rsidRPr="00D135F8">
        <w:rPr>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11"/>
        <w:gridCol w:w="812"/>
        <w:gridCol w:w="811"/>
        <w:gridCol w:w="812"/>
        <w:gridCol w:w="1824"/>
        <w:gridCol w:w="7"/>
      </w:tblGrid>
      <w:tr w:rsidR="00F43BAA" w:rsidRPr="00D00774" w14:paraId="00929C01" w14:textId="77777777" w:rsidTr="00F43BAA">
        <w:trPr>
          <w:cantSplit/>
          <w:trHeight w:val="20"/>
        </w:trPr>
        <w:tc>
          <w:tcPr>
            <w:tcW w:w="3940" w:type="dxa"/>
            <w:vAlign w:val="center"/>
          </w:tcPr>
          <w:p w14:paraId="67F7AAD3" w14:textId="77777777" w:rsidR="00F43BAA" w:rsidRPr="00D00774" w:rsidRDefault="00F43BAA" w:rsidP="00E242A4">
            <w:pPr>
              <w:keepLines/>
              <w:jc w:val="left"/>
              <w:rPr>
                <w:rFonts w:ascii="Arial Narrow" w:eastAsia="Calibri" w:hAnsi="Arial Narrow"/>
                <w:b/>
                <w:bCs/>
                <w:sz w:val="20"/>
                <w:szCs w:val="20"/>
                <w:lang w:eastAsia="en-US"/>
              </w:rPr>
            </w:pPr>
            <w:r w:rsidRPr="00D00774">
              <w:rPr>
                <w:rFonts w:ascii="Arial Narrow" w:eastAsia="Calibri" w:hAnsi="Arial Narrow"/>
                <w:b/>
                <w:bCs/>
                <w:sz w:val="20"/>
                <w:szCs w:val="20"/>
                <w:lang w:eastAsia="en-US"/>
              </w:rPr>
              <w:t>MEDICINAL PRODUCT</w:t>
            </w:r>
          </w:p>
          <w:p w14:paraId="23615339" w14:textId="77777777" w:rsidR="00F43BAA" w:rsidRPr="00D00774" w:rsidRDefault="00F43BAA" w:rsidP="00E242A4">
            <w:pPr>
              <w:keepLines/>
              <w:jc w:val="left"/>
              <w:rPr>
                <w:rFonts w:ascii="Arial Narrow" w:eastAsia="Calibri" w:hAnsi="Arial Narrow"/>
                <w:b/>
                <w:sz w:val="20"/>
                <w:szCs w:val="20"/>
                <w:lang w:eastAsia="en-US"/>
              </w:rPr>
            </w:pPr>
            <w:r w:rsidRPr="00D00774">
              <w:rPr>
                <w:rFonts w:ascii="Arial Narrow" w:eastAsia="Calibri" w:hAnsi="Arial Narrow"/>
                <w:b/>
                <w:bCs/>
                <w:sz w:val="20"/>
                <w:szCs w:val="20"/>
                <w:lang w:eastAsia="en-US"/>
              </w:rPr>
              <w:t>medicinal product pack</w:t>
            </w:r>
          </w:p>
        </w:tc>
        <w:tc>
          <w:tcPr>
            <w:tcW w:w="811" w:type="dxa"/>
            <w:vAlign w:val="center"/>
          </w:tcPr>
          <w:p w14:paraId="67C2663B" w14:textId="77777777" w:rsidR="00F43BAA" w:rsidRPr="00D00774" w:rsidRDefault="00F43BAA" w:rsidP="00E242A4">
            <w:pPr>
              <w:keepLines/>
              <w:jc w:val="center"/>
              <w:rPr>
                <w:rFonts w:ascii="Arial Narrow" w:eastAsia="Calibri" w:hAnsi="Arial Narrow"/>
                <w:b/>
                <w:sz w:val="20"/>
                <w:szCs w:val="20"/>
                <w:lang w:eastAsia="en-US"/>
              </w:rPr>
            </w:pPr>
            <w:r w:rsidRPr="00D00774">
              <w:rPr>
                <w:rFonts w:ascii="Arial Narrow" w:eastAsia="Calibri" w:hAnsi="Arial Narrow"/>
                <w:b/>
                <w:sz w:val="20"/>
                <w:szCs w:val="20"/>
                <w:lang w:eastAsia="en-US"/>
              </w:rPr>
              <w:t>PBS item code</w:t>
            </w:r>
          </w:p>
        </w:tc>
        <w:tc>
          <w:tcPr>
            <w:tcW w:w="812" w:type="dxa"/>
            <w:vAlign w:val="center"/>
          </w:tcPr>
          <w:p w14:paraId="27D8CBF0" w14:textId="77777777" w:rsidR="00F43BAA" w:rsidRPr="00D00774" w:rsidRDefault="00F43BAA" w:rsidP="00E242A4">
            <w:pPr>
              <w:keepLines/>
              <w:jc w:val="center"/>
              <w:rPr>
                <w:rFonts w:ascii="Arial Narrow" w:eastAsia="Calibri" w:hAnsi="Arial Narrow"/>
                <w:b/>
                <w:sz w:val="20"/>
                <w:szCs w:val="20"/>
                <w:lang w:eastAsia="en-US"/>
              </w:rPr>
            </w:pPr>
            <w:r w:rsidRPr="00D00774">
              <w:rPr>
                <w:rFonts w:ascii="Arial Narrow" w:eastAsia="Calibri" w:hAnsi="Arial Narrow"/>
                <w:b/>
                <w:sz w:val="20"/>
                <w:szCs w:val="20"/>
                <w:lang w:eastAsia="en-US"/>
              </w:rPr>
              <w:t>Max. qty packs</w:t>
            </w:r>
          </w:p>
        </w:tc>
        <w:tc>
          <w:tcPr>
            <w:tcW w:w="811" w:type="dxa"/>
            <w:vAlign w:val="center"/>
          </w:tcPr>
          <w:p w14:paraId="43147C3F" w14:textId="77777777" w:rsidR="00F43BAA" w:rsidRPr="00D00774" w:rsidRDefault="00F43BAA" w:rsidP="00E242A4">
            <w:pPr>
              <w:keepLines/>
              <w:jc w:val="center"/>
              <w:rPr>
                <w:rFonts w:ascii="Arial Narrow" w:eastAsia="Calibri" w:hAnsi="Arial Narrow"/>
                <w:b/>
                <w:sz w:val="20"/>
                <w:szCs w:val="20"/>
                <w:lang w:eastAsia="en-US"/>
              </w:rPr>
            </w:pPr>
            <w:r w:rsidRPr="00D00774">
              <w:rPr>
                <w:rFonts w:ascii="Arial Narrow" w:eastAsia="Calibri" w:hAnsi="Arial Narrow"/>
                <w:b/>
                <w:sz w:val="20"/>
                <w:szCs w:val="20"/>
                <w:lang w:eastAsia="en-US"/>
              </w:rPr>
              <w:t>Max. qty units</w:t>
            </w:r>
          </w:p>
        </w:tc>
        <w:tc>
          <w:tcPr>
            <w:tcW w:w="812" w:type="dxa"/>
            <w:vAlign w:val="center"/>
          </w:tcPr>
          <w:p w14:paraId="03EF505C" w14:textId="77777777" w:rsidR="00F43BAA" w:rsidRPr="00D00774" w:rsidRDefault="00F43BAA" w:rsidP="00E242A4">
            <w:pPr>
              <w:keepLines/>
              <w:jc w:val="center"/>
              <w:rPr>
                <w:rFonts w:ascii="Arial Narrow" w:eastAsia="Calibri" w:hAnsi="Arial Narrow"/>
                <w:b/>
                <w:bCs/>
                <w:sz w:val="20"/>
                <w:szCs w:val="20"/>
                <w:lang w:eastAsia="en-US"/>
              </w:rPr>
            </w:pPr>
            <w:r w:rsidRPr="00D00774">
              <w:rPr>
                <w:rFonts w:ascii="Arial Narrow" w:eastAsia="Calibri" w:hAnsi="Arial Narrow"/>
                <w:b/>
                <w:bCs/>
                <w:sz w:val="20"/>
                <w:szCs w:val="20"/>
                <w:lang w:eastAsia="en-US"/>
              </w:rPr>
              <w:t>№.of</w:t>
            </w:r>
          </w:p>
          <w:p w14:paraId="0EEA9A3D" w14:textId="77777777" w:rsidR="00F43BAA" w:rsidRPr="00D00774" w:rsidRDefault="00F43BAA" w:rsidP="00E242A4">
            <w:pPr>
              <w:keepLines/>
              <w:jc w:val="center"/>
              <w:rPr>
                <w:rFonts w:ascii="Arial Narrow" w:eastAsia="Calibri" w:hAnsi="Arial Narrow"/>
                <w:b/>
                <w:bCs/>
                <w:sz w:val="20"/>
                <w:szCs w:val="20"/>
                <w:lang w:eastAsia="en-US"/>
              </w:rPr>
            </w:pPr>
            <w:r w:rsidRPr="00D00774">
              <w:rPr>
                <w:rFonts w:ascii="Arial Narrow" w:eastAsia="Calibri" w:hAnsi="Arial Narrow"/>
                <w:b/>
                <w:bCs/>
                <w:sz w:val="20"/>
                <w:szCs w:val="20"/>
                <w:lang w:eastAsia="en-US"/>
              </w:rPr>
              <w:t>Rpts</w:t>
            </w:r>
          </w:p>
        </w:tc>
        <w:tc>
          <w:tcPr>
            <w:tcW w:w="1831" w:type="dxa"/>
            <w:gridSpan w:val="2"/>
            <w:vAlign w:val="center"/>
          </w:tcPr>
          <w:p w14:paraId="592BCE35" w14:textId="77777777" w:rsidR="00F43BAA" w:rsidRPr="00D00774" w:rsidRDefault="00F43BAA" w:rsidP="00E242A4">
            <w:pPr>
              <w:keepLines/>
              <w:jc w:val="left"/>
              <w:rPr>
                <w:rFonts w:ascii="Arial Narrow" w:eastAsia="Calibri" w:hAnsi="Arial Narrow"/>
                <w:b/>
                <w:sz w:val="20"/>
                <w:szCs w:val="20"/>
                <w:lang w:val="fr-FR" w:eastAsia="en-US"/>
              </w:rPr>
            </w:pPr>
            <w:r w:rsidRPr="00D00774">
              <w:rPr>
                <w:rFonts w:ascii="Arial Narrow" w:eastAsia="Calibri" w:hAnsi="Arial Narrow"/>
                <w:b/>
                <w:sz w:val="20"/>
                <w:szCs w:val="20"/>
                <w:lang w:eastAsia="en-US"/>
              </w:rPr>
              <w:t>Available brands</w:t>
            </w:r>
          </w:p>
        </w:tc>
      </w:tr>
      <w:tr w:rsidR="00F43BAA" w:rsidRPr="00D00774" w14:paraId="6817A027" w14:textId="77777777" w:rsidTr="00F43BAA">
        <w:trPr>
          <w:cantSplit/>
          <w:trHeight w:val="20"/>
        </w:trPr>
        <w:tc>
          <w:tcPr>
            <w:tcW w:w="9017" w:type="dxa"/>
            <w:gridSpan w:val="7"/>
            <w:vAlign w:val="center"/>
          </w:tcPr>
          <w:p w14:paraId="13777030" w14:textId="77777777" w:rsidR="00F43BAA" w:rsidRPr="00D00774" w:rsidRDefault="00F43BAA" w:rsidP="00E242A4">
            <w:pPr>
              <w:keepLines/>
              <w:jc w:val="left"/>
              <w:rPr>
                <w:rFonts w:ascii="Arial Narrow" w:eastAsia="Calibri" w:hAnsi="Arial Narrow"/>
                <w:sz w:val="20"/>
                <w:szCs w:val="20"/>
                <w:lang w:eastAsia="en-US"/>
              </w:rPr>
            </w:pPr>
            <w:r w:rsidRPr="00D00774">
              <w:rPr>
                <w:rFonts w:ascii="Arial Narrow" w:eastAsia="Calibri" w:hAnsi="Arial Narrow"/>
                <w:bCs/>
                <w:sz w:val="20"/>
                <w:szCs w:val="20"/>
                <w:lang w:eastAsia="en-US"/>
              </w:rPr>
              <w:t>ETONOGESTREL + ETHINYLESTRADIOL</w:t>
            </w:r>
          </w:p>
        </w:tc>
      </w:tr>
      <w:tr w:rsidR="00F43BAA" w:rsidRPr="00D00774" w14:paraId="439DBDDD" w14:textId="77777777" w:rsidTr="00F43BAA">
        <w:trPr>
          <w:cantSplit/>
          <w:trHeight w:val="20"/>
        </w:trPr>
        <w:tc>
          <w:tcPr>
            <w:tcW w:w="3940" w:type="dxa"/>
            <w:vAlign w:val="center"/>
          </w:tcPr>
          <w:p w14:paraId="6D67DEC8" w14:textId="77777777" w:rsidR="00F43BAA" w:rsidRPr="00D00774" w:rsidRDefault="00F43BAA" w:rsidP="00E242A4">
            <w:pPr>
              <w:keepLines/>
              <w:jc w:val="left"/>
              <w:rPr>
                <w:rFonts w:ascii="Arial Narrow" w:eastAsia="Calibri" w:hAnsi="Arial Narrow"/>
                <w:sz w:val="20"/>
                <w:szCs w:val="20"/>
                <w:lang w:eastAsia="en-US"/>
              </w:rPr>
            </w:pPr>
            <w:r w:rsidRPr="00D00774">
              <w:rPr>
                <w:rFonts w:ascii="Arial Narrow" w:eastAsia="Calibri" w:hAnsi="Arial Narrow"/>
                <w:sz w:val="20"/>
                <w:szCs w:val="20"/>
                <w:lang w:eastAsia="en-US"/>
              </w:rPr>
              <w:t>etonogestrel 120 microgram/24 hours + ethinylestradiol 15 microgram/24 hours vaginal drug delivery system, 3 rings</w:t>
            </w:r>
          </w:p>
        </w:tc>
        <w:tc>
          <w:tcPr>
            <w:tcW w:w="811" w:type="dxa"/>
            <w:vAlign w:val="center"/>
          </w:tcPr>
          <w:p w14:paraId="44DA8250" w14:textId="77777777" w:rsidR="00F43BAA" w:rsidRPr="00D00774" w:rsidRDefault="00F43BAA" w:rsidP="00E242A4">
            <w:pPr>
              <w:keepLines/>
              <w:jc w:val="center"/>
              <w:rPr>
                <w:rFonts w:ascii="Arial Narrow" w:eastAsia="Calibri" w:hAnsi="Arial Narrow"/>
                <w:sz w:val="20"/>
                <w:szCs w:val="20"/>
                <w:lang w:eastAsia="en-US"/>
              </w:rPr>
            </w:pPr>
            <w:r w:rsidRPr="00D00774">
              <w:rPr>
                <w:rFonts w:ascii="Arial Narrow" w:eastAsia="Calibri" w:hAnsi="Arial Narrow"/>
                <w:sz w:val="20"/>
                <w:szCs w:val="20"/>
                <w:lang w:eastAsia="en-US"/>
              </w:rPr>
              <w:t>NEW</w:t>
            </w:r>
          </w:p>
          <w:p w14:paraId="0DC60105" w14:textId="15112981" w:rsidR="00F43BAA" w:rsidRPr="00D00774" w:rsidRDefault="00F43BAA" w:rsidP="00E242A4">
            <w:pPr>
              <w:keepLines/>
              <w:jc w:val="center"/>
              <w:rPr>
                <w:rFonts w:ascii="Arial Narrow" w:eastAsia="Calibri" w:hAnsi="Arial Narrow"/>
                <w:sz w:val="14"/>
                <w:szCs w:val="14"/>
                <w:lang w:eastAsia="en-US"/>
              </w:rPr>
            </w:pPr>
          </w:p>
        </w:tc>
        <w:tc>
          <w:tcPr>
            <w:tcW w:w="812" w:type="dxa"/>
            <w:vAlign w:val="center"/>
          </w:tcPr>
          <w:p w14:paraId="0021DB03" w14:textId="77777777" w:rsidR="00F43BAA" w:rsidRPr="00D00774" w:rsidRDefault="00F43BAA" w:rsidP="00E242A4">
            <w:pPr>
              <w:keepLines/>
              <w:jc w:val="center"/>
              <w:rPr>
                <w:rFonts w:ascii="Arial Narrow" w:eastAsia="Calibri" w:hAnsi="Arial Narrow"/>
                <w:sz w:val="20"/>
                <w:szCs w:val="20"/>
                <w:lang w:eastAsia="en-US"/>
              </w:rPr>
            </w:pPr>
            <w:r w:rsidRPr="00D00774">
              <w:rPr>
                <w:rFonts w:ascii="Arial Narrow" w:eastAsia="Calibri" w:hAnsi="Arial Narrow"/>
                <w:sz w:val="20"/>
                <w:szCs w:val="20"/>
                <w:lang w:eastAsia="en-US"/>
              </w:rPr>
              <w:t>1</w:t>
            </w:r>
          </w:p>
        </w:tc>
        <w:tc>
          <w:tcPr>
            <w:tcW w:w="811" w:type="dxa"/>
            <w:vAlign w:val="center"/>
          </w:tcPr>
          <w:p w14:paraId="2DDBAC6D" w14:textId="77777777" w:rsidR="00F43BAA" w:rsidRPr="00D00774" w:rsidRDefault="00F43BAA" w:rsidP="00E242A4">
            <w:pPr>
              <w:keepLines/>
              <w:jc w:val="center"/>
              <w:rPr>
                <w:rFonts w:ascii="Arial Narrow" w:eastAsia="Calibri" w:hAnsi="Arial Narrow"/>
                <w:sz w:val="20"/>
                <w:szCs w:val="20"/>
                <w:lang w:eastAsia="en-US"/>
              </w:rPr>
            </w:pPr>
            <w:r w:rsidRPr="00D00774">
              <w:rPr>
                <w:rFonts w:ascii="Arial Narrow" w:eastAsia="Calibri" w:hAnsi="Arial Narrow"/>
                <w:sz w:val="20"/>
                <w:szCs w:val="20"/>
                <w:lang w:eastAsia="en-US"/>
              </w:rPr>
              <w:t>3</w:t>
            </w:r>
          </w:p>
        </w:tc>
        <w:tc>
          <w:tcPr>
            <w:tcW w:w="812" w:type="dxa"/>
            <w:vAlign w:val="center"/>
          </w:tcPr>
          <w:p w14:paraId="5F729D20" w14:textId="77777777" w:rsidR="00F43BAA" w:rsidRPr="00D00774" w:rsidRDefault="00F43BAA" w:rsidP="00E242A4">
            <w:pPr>
              <w:keepLines/>
              <w:jc w:val="center"/>
              <w:rPr>
                <w:rFonts w:ascii="Arial Narrow" w:eastAsia="Calibri" w:hAnsi="Arial Narrow"/>
                <w:sz w:val="20"/>
                <w:szCs w:val="20"/>
                <w:lang w:eastAsia="en-US"/>
              </w:rPr>
            </w:pPr>
            <w:r w:rsidRPr="00D00774">
              <w:rPr>
                <w:rFonts w:ascii="Arial Narrow" w:eastAsia="Calibri" w:hAnsi="Arial Narrow"/>
                <w:sz w:val="20"/>
                <w:szCs w:val="20"/>
                <w:lang w:eastAsia="en-US"/>
              </w:rPr>
              <w:t>3</w:t>
            </w:r>
          </w:p>
        </w:tc>
        <w:tc>
          <w:tcPr>
            <w:tcW w:w="1831" w:type="dxa"/>
            <w:gridSpan w:val="2"/>
            <w:vAlign w:val="center"/>
          </w:tcPr>
          <w:p w14:paraId="4B02C072" w14:textId="77777777" w:rsidR="00F43BAA" w:rsidRPr="00D00774" w:rsidRDefault="00F43BAA" w:rsidP="00E242A4">
            <w:pPr>
              <w:keepLines/>
              <w:jc w:val="left"/>
              <w:rPr>
                <w:rFonts w:ascii="Arial Narrow" w:eastAsia="Calibri" w:hAnsi="Arial Narrow"/>
                <w:sz w:val="20"/>
                <w:szCs w:val="20"/>
                <w:lang w:eastAsia="en-US"/>
              </w:rPr>
            </w:pPr>
            <w:r w:rsidRPr="00D00774">
              <w:rPr>
                <w:rFonts w:ascii="Arial Narrow" w:eastAsia="Calibri" w:hAnsi="Arial Narrow"/>
                <w:sz w:val="20"/>
                <w:szCs w:val="20"/>
                <w:lang w:eastAsia="en-US"/>
              </w:rPr>
              <w:t>NuvaRing</w:t>
            </w:r>
          </w:p>
        </w:tc>
      </w:tr>
      <w:tr w:rsidR="00F43BAA" w:rsidRPr="00D00774" w14:paraId="5D27CC96" w14:textId="77777777" w:rsidTr="00F43BAA">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1589A912" w14:textId="77777777" w:rsidR="00F43BAA" w:rsidRPr="00D00774" w:rsidRDefault="00F43BAA" w:rsidP="00E242A4">
            <w:pPr>
              <w:jc w:val="left"/>
              <w:rPr>
                <w:rFonts w:ascii="Arial Narrow" w:eastAsia="Calibri" w:hAnsi="Arial Narrow"/>
                <w:sz w:val="20"/>
                <w:szCs w:val="20"/>
                <w:lang w:eastAsia="en-US"/>
              </w:rPr>
            </w:pPr>
          </w:p>
        </w:tc>
      </w:tr>
      <w:tr w:rsidR="00F43BAA" w:rsidRPr="00D00774" w14:paraId="72B796B7" w14:textId="77777777" w:rsidTr="00F43BAA">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5AE08768" w14:textId="77777777" w:rsidR="00F43BAA" w:rsidRPr="00D00774" w:rsidRDefault="00F43BAA" w:rsidP="00E242A4">
            <w:pPr>
              <w:keepLines/>
              <w:jc w:val="left"/>
              <w:rPr>
                <w:rFonts w:ascii="Arial Narrow" w:eastAsia="Calibri" w:hAnsi="Arial Narrow"/>
                <w:b/>
                <w:sz w:val="20"/>
                <w:szCs w:val="20"/>
                <w:lang w:eastAsia="en-US"/>
              </w:rPr>
            </w:pPr>
            <w:r w:rsidRPr="00D00774">
              <w:rPr>
                <w:rFonts w:ascii="Arial Narrow" w:eastAsia="Calibri" w:hAnsi="Arial Narrow" w:cs="Times New Roman"/>
                <w:b/>
                <w:sz w:val="20"/>
                <w:szCs w:val="20"/>
                <w:lang w:eastAsia="en-US"/>
              </w:rPr>
              <w:t>Restriction Summary [new1]</w:t>
            </w:r>
            <w:r w:rsidRPr="00D00774">
              <w:rPr>
                <w:rFonts w:ascii="Arial Narrow" w:eastAsia="Calibri" w:hAnsi="Arial Narrow" w:cs="Times New Roman"/>
                <w:b/>
                <w:color w:val="FF0000"/>
                <w:sz w:val="20"/>
                <w:szCs w:val="20"/>
                <w:lang w:eastAsia="en-US"/>
              </w:rPr>
              <w:t xml:space="preserve"> </w:t>
            </w:r>
            <w:r w:rsidRPr="00D00774">
              <w:rPr>
                <w:rFonts w:ascii="Arial Narrow" w:eastAsia="Calibri" w:hAnsi="Arial Narrow" w:cs="Times New Roman"/>
                <w:b/>
                <w:sz w:val="20"/>
                <w:szCs w:val="20"/>
                <w:lang w:eastAsia="en-US"/>
              </w:rPr>
              <w:t>/ Treatment of Concept: [new1A]</w:t>
            </w:r>
          </w:p>
        </w:tc>
      </w:tr>
      <w:tr w:rsidR="0068400B" w:rsidRPr="00D00774" w14:paraId="4568349D" w14:textId="77777777" w:rsidTr="0068400B">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7E3153C9" w14:textId="77777777" w:rsidR="0068400B" w:rsidRPr="00D00774" w:rsidRDefault="0068400B" w:rsidP="00E242A4">
            <w:pPr>
              <w:keepLines/>
              <w:jc w:val="left"/>
              <w:rPr>
                <w:rFonts w:ascii="Arial Narrow" w:eastAsia="Calibri" w:hAnsi="Arial Narrow"/>
                <w:sz w:val="20"/>
                <w:szCs w:val="20"/>
                <w:lang w:eastAsia="en-US"/>
              </w:rPr>
            </w:pPr>
            <w:r w:rsidRPr="00D00774">
              <w:rPr>
                <w:rFonts w:ascii="Arial Narrow" w:eastAsia="Calibri" w:hAnsi="Arial Narrow"/>
                <w:b/>
                <w:sz w:val="20"/>
                <w:szCs w:val="20"/>
                <w:lang w:eastAsia="en-US"/>
              </w:rPr>
              <w:t>Category / Program:</w:t>
            </w:r>
            <w:r w:rsidRPr="00D00774">
              <w:rPr>
                <w:rFonts w:ascii="Arial Narrow" w:eastAsia="Calibri" w:hAnsi="Arial Narrow"/>
                <w:color w:val="FF0000"/>
                <w:sz w:val="20"/>
                <w:szCs w:val="20"/>
                <w:lang w:eastAsia="en-US"/>
              </w:rPr>
              <w:t xml:space="preserve"> </w:t>
            </w:r>
            <w:r w:rsidRPr="00D00774">
              <w:rPr>
                <w:rFonts w:ascii="Arial Narrow" w:eastAsia="Calibri" w:hAnsi="Arial Narrow"/>
                <w:sz w:val="20"/>
                <w:szCs w:val="20"/>
                <w:lang w:eastAsia="en-US"/>
              </w:rPr>
              <w:fldChar w:fldCharType="begin">
                <w:ffData>
                  <w:name w:val="Check1"/>
                  <w:enabled/>
                  <w:calcOnExit w:val="0"/>
                  <w:checkBox>
                    <w:sizeAuto/>
                    <w:default w:val="1"/>
                  </w:checkBox>
                </w:ffData>
              </w:fldChar>
            </w:r>
            <w:r w:rsidRPr="00D00774">
              <w:rPr>
                <w:rFonts w:ascii="Arial Narrow" w:eastAsia="Calibri" w:hAnsi="Arial Narrow"/>
                <w:sz w:val="20"/>
                <w:szCs w:val="20"/>
                <w:lang w:eastAsia="en-US"/>
              </w:rPr>
              <w:instrText xml:space="preserve"> FORMCHECKBOX </w:instrText>
            </w:r>
            <w:r w:rsidRPr="00D00774">
              <w:rPr>
                <w:rFonts w:ascii="Arial Narrow" w:eastAsia="Calibri" w:hAnsi="Arial Narrow"/>
                <w:sz w:val="20"/>
                <w:szCs w:val="20"/>
                <w:lang w:eastAsia="en-US"/>
              </w:rPr>
            </w:r>
            <w:r w:rsidRPr="00D00774">
              <w:rPr>
                <w:rFonts w:ascii="Arial Narrow" w:eastAsia="Calibri" w:hAnsi="Arial Narrow"/>
                <w:sz w:val="20"/>
                <w:szCs w:val="20"/>
                <w:lang w:eastAsia="en-US"/>
              </w:rPr>
              <w:fldChar w:fldCharType="separate"/>
            </w:r>
            <w:r w:rsidRPr="00D00774">
              <w:rPr>
                <w:rFonts w:ascii="Arial Narrow" w:eastAsia="Calibri" w:hAnsi="Arial Narrow"/>
                <w:sz w:val="20"/>
                <w:szCs w:val="20"/>
                <w:lang w:eastAsia="en-US"/>
              </w:rPr>
              <w:fldChar w:fldCharType="end"/>
            </w:r>
            <w:r w:rsidRPr="00D00774">
              <w:rPr>
                <w:rFonts w:ascii="Arial Narrow" w:eastAsia="Calibri" w:hAnsi="Arial Narrow"/>
                <w:sz w:val="20"/>
                <w:szCs w:val="20"/>
                <w:lang w:eastAsia="en-US"/>
              </w:rPr>
              <w:t xml:space="preserve"> GENERAL - General Schedule (Code GE) </w:t>
            </w:r>
          </w:p>
        </w:tc>
      </w:tr>
      <w:tr w:rsidR="0068400B" w:rsidRPr="00D00774" w14:paraId="2E008311" w14:textId="77777777" w:rsidTr="0068400B">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176F9053" w14:textId="77777777" w:rsidR="0068400B" w:rsidRPr="00D00774" w:rsidRDefault="0068400B" w:rsidP="00E242A4">
            <w:pPr>
              <w:keepLines/>
              <w:rPr>
                <w:rFonts w:ascii="Arial Narrow" w:eastAsia="Calibri" w:hAnsi="Arial Narrow"/>
                <w:b/>
                <w:sz w:val="20"/>
                <w:szCs w:val="20"/>
                <w:lang w:eastAsia="en-US"/>
              </w:rPr>
            </w:pPr>
            <w:r w:rsidRPr="00D00774">
              <w:rPr>
                <w:rFonts w:ascii="Arial Narrow" w:eastAsia="Calibri" w:hAnsi="Arial Narrow"/>
                <w:b/>
                <w:sz w:val="20"/>
                <w:szCs w:val="20"/>
                <w:lang w:eastAsia="en-US"/>
              </w:rPr>
              <w:t xml:space="preserve">Prescriber type: </w:t>
            </w:r>
            <w:r w:rsidRPr="00D00774">
              <w:rPr>
                <w:rFonts w:ascii="Arial Narrow" w:eastAsia="Calibri" w:hAnsi="Arial Narrow"/>
                <w:sz w:val="20"/>
                <w:szCs w:val="20"/>
                <w:lang w:eastAsia="en-US"/>
              </w:rPr>
              <w:fldChar w:fldCharType="begin">
                <w:ffData>
                  <w:name w:val=""/>
                  <w:enabled/>
                  <w:calcOnExit w:val="0"/>
                  <w:checkBox>
                    <w:sizeAuto/>
                    <w:default w:val="1"/>
                  </w:checkBox>
                </w:ffData>
              </w:fldChar>
            </w:r>
            <w:r w:rsidRPr="00D00774">
              <w:rPr>
                <w:rFonts w:ascii="Arial Narrow" w:eastAsia="Calibri" w:hAnsi="Arial Narrow"/>
                <w:sz w:val="20"/>
                <w:szCs w:val="20"/>
                <w:lang w:eastAsia="en-US"/>
              </w:rPr>
              <w:instrText xml:space="preserve"> FORMCHECKBOX </w:instrText>
            </w:r>
            <w:r w:rsidRPr="00D00774">
              <w:rPr>
                <w:rFonts w:ascii="Arial Narrow" w:eastAsia="Calibri" w:hAnsi="Arial Narrow"/>
                <w:sz w:val="20"/>
                <w:szCs w:val="20"/>
                <w:lang w:eastAsia="en-US"/>
              </w:rPr>
            </w:r>
            <w:r w:rsidRPr="00D00774">
              <w:rPr>
                <w:rFonts w:ascii="Arial Narrow" w:eastAsia="Calibri" w:hAnsi="Arial Narrow"/>
                <w:sz w:val="20"/>
                <w:szCs w:val="20"/>
                <w:lang w:eastAsia="en-US"/>
              </w:rPr>
              <w:fldChar w:fldCharType="separate"/>
            </w:r>
            <w:r w:rsidRPr="00D00774">
              <w:rPr>
                <w:rFonts w:ascii="Arial Narrow" w:eastAsia="Calibri" w:hAnsi="Arial Narrow"/>
                <w:sz w:val="20"/>
                <w:szCs w:val="20"/>
                <w:lang w:eastAsia="en-US"/>
              </w:rPr>
              <w:fldChar w:fldCharType="end"/>
            </w:r>
            <w:r w:rsidRPr="00D00774">
              <w:rPr>
                <w:rFonts w:ascii="Arial Narrow" w:eastAsia="Calibri" w:hAnsi="Arial Narrow"/>
                <w:sz w:val="20"/>
                <w:szCs w:val="20"/>
                <w:lang w:eastAsia="en-US"/>
              </w:rPr>
              <w:t xml:space="preserve">Medical Practitioners </w:t>
            </w:r>
            <w:r w:rsidRPr="00D00774">
              <w:rPr>
                <w:rFonts w:ascii="Arial Narrow" w:eastAsia="Calibri" w:hAnsi="Arial Narrow"/>
                <w:sz w:val="20"/>
                <w:szCs w:val="20"/>
                <w:lang w:eastAsia="en-US"/>
              </w:rPr>
              <w:fldChar w:fldCharType="begin">
                <w:ffData>
                  <w:name w:val="Check3"/>
                  <w:enabled/>
                  <w:calcOnExit w:val="0"/>
                  <w:checkBox>
                    <w:sizeAuto/>
                    <w:default w:val="1"/>
                  </w:checkBox>
                </w:ffData>
              </w:fldChar>
            </w:r>
            <w:r w:rsidRPr="00D00774">
              <w:rPr>
                <w:rFonts w:ascii="Arial Narrow" w:eastAsia="Calibri" w:hAnsi="Arial Narrow"/>
                <w:sz w:val="20"/>
                <w:szCs w:val="20"/>
                <w:lang w:eastAsia="en-US"/>
              </w:rPr>
              <w:instrText xml:space="preserve"> FORMCHECKBOX </w:instrText>
            </w:r>
            <w:r w:rsidRPr="00D00774">
              <w:rPr>
                <w:rFonts w:ascii="Arial Narrow" w:eastAsia="Calibri" w:hAnsi="Arial Narrow"/>
                <w:sz w:val="20"/>
                <w:szCs w:val="20"/>
                <w:lang w:eastAsia="en-US"/>
              </w:rPr>
            </w:r>
            <w:r w:rsidRPr="00D00774">
              <w:rPr>
                <w:rFonts w:ascii="Arial Narrow" w:eastAsia="Calibri" w:hAnsi="Arial Narrow"/>
                <w:sz w:val="20"/>
                <w:szCs w:val="20"/>
                <w:lang w:eastAsia="en-US"/>
              </w:rPr>
              <w:fldChar w:fldCharType="separate"/>
            </w:r>
            <w:r w:rsidRPr="00D00774">
              <w:rPr>
                <w:rFonts w:ascii="Arial Narrow" w:eastAsia="Calibri" w:hAnsi="Arial Narrow"/>
                <w:sz w:val="20"/>
                <w:szCs w:val="20"/>
                <w:lang w:eastAsia="en-US"/>
              </w:rPr>
              <w:fldChar w:fldCharType="end"/>
            </w:r>
            <w:r w:rsidRPr="00D00774">
              <w:rPr>
                <w:rFonts w:ascii="Arial Narrow" w:eastAsia="Calibri" w:hAnsi="Arial Narrow"/>
                <w:sz w:val="20"/>
                <w:szCs w:val="20"/>
                <w:lang w:eastAsia="en-US"/>
              </w:rPr>
              <w:t xml:space="preserve">Nurse practitioners </w:t>
            </w:r>
            <w:r w:rsidRPr="00D00774">
              <w:rPr>
                <w:rFonts w:ascii="Arial Narrow" w:eastAsia="Calibri" w:hAnsi="Arial Narrow"/>
                <w:sz w:val="20"/>
                <w:szCs w:val="20"/>
                <w:lang w:eastAsia="en-US"/>
              </w:rPr>
              <w:fldChar w:fldCharType="begin">
                <w:ffData>
                  <w:name w:val="Check5"/>
                  <w:enabled/>
                  <w:calcOnExit w:val="0"/>
                  <w:checkBox>
                    <w:sizeAuto/>
                    <w:default w:val="1"/>
                  </w:checkBox>
                </w:ffData>
              </w:fldChar>
            </w:r>
            <w:r w:rsidRPr="00D00774">
              <w:rPr>
                <w:rFonts w:ascii="Arial Narrow" w:eastAsia="Calibri" w:hAnsi="Arial Narrow"/>
                <w:sz w:val="20"/>
                <w:szCs w:val="20"/>
                <w:lang w:eastAsia="en-US"/>
              </w:rPr>
              <w:instrText xml:space="preserve"> FORMCHECKBOX </w:instrText>
            </w:r>
            <w:r w:rsidRPr="00D00774">
              <w:rPr>
                <w:rFonts w:ascii="Arial Narrow" w:eastAsia="Calibri" w:hAnsi="Arial Narrow"/>
                <w:sz w:val="20"/>
                <w:szCs w:val="20"/>
                <w:lang w:eastAsia="en-US"/>
              </w:rPr>
            </w:r>
            <w:r w:rsidRPr="00D00774">
              <w:rPr>
                <w:rFonts w:ascii="Arial Narrow" w:eastAsia="Calibri" w:hAnsi="Arial Narrow"/>
                <w:sz w:val="20"/>
                <w:szCs w:val="20"/>
                <w:lang w:eastAsia="en-US"/>
              </w:rPr>
              <w:fldChar w:fldCharType="separate"/>
            </w:r>
            <w:r w:rsidRPr="00D00774">
              <w:rPr>
                <w:rFonts w:ascii="Arial Narrow" w:eastAsia="Calibri" w:hAnsi="Arial Narrow"/>
                <w:sz w:val="20"/>
                <w:szCs w:val="20"/>
                <w:lang w:eastAsia="en-US"/>
              </w:rPr>
              <w:fldChar w:fldCharType="end"/>
            </w:r>
            <w:r w:rsidRPr="00D00774">
              <w:rPr>
                <w:rFonts w:ascii="Arial Narrow" w:eastAsia="Calibri" w:hAnsi="Arial Narrow"/>
                <w:sz w:val="20"/>
                <w:szCs w:val="20"/>
                <w:lang w:eastAsia="en-US"/>
              </w:rPr>
              <w:t>Midwives</w:t>
            </w:r>
            <w:r w:rsidRPr="00D00774">
              <w:rPr>
                <w:rFonts w:ascii="Arial Narrow" w:eastAsia="Calibri" w:hAnsi="Arial Narrow"/>
                <w:color w:val="FF0000"/>
                <w:sz w:val="20"/>
                <w:szCs w:val="20"/>
                <w:lang w:eastAsia="en-US"/>
              </w:rPr>
              <w:t xml:space="preserve"> </w:t>
            </w:r>
          </w:p>
        </w:tc>
      </w:tr>
      <w:tr w:rsidR="0068400B" w:rsidRPr="00D00774" w14:paraId="17A0CF84" w14:textId="77777777" w:rsidTr="0068400B">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705568C2" w14:textId="45112027" w:rsidR="0068400B" w:rsidRPr="00D00774" w:rsidRDefault="0068400B" w:rsidP="00E242A4">
            <w:pPr>
              <w:keepLines/>
              <w:jc w:val="left"/>
              <w:rPr>
                <w:rFonts w:ascii="Arial Narrow" w:eastAsia="Calibri" w:hAnsi="Arial Narrow"/>
                <w:color w:val="FF0000"/>
                <w:sz w:val="20"/>
                <w:szCs w:val="20"/>
                <w:lang w:eastAsia="en-US"/>
              </w:rPr>
            </w:pPr>
            <w:r w:rsidRPr="00D00774">
              <w:rPr>
                <w:rFonts w:ascii="Arial Narrow" w:eastAsia="Calibri" w:hAnsi="Arial Narrow"/>
                <w:b/>
                <w:sz w:val="20"/>
                <w:szCs w:val="20"/>
                <w:lang w:eastAsia="en-US"/>
              </w:rPr>
              <w:t xml:space="preserve">Restriction type: </w:t>
            </w:r>
            <w:r w:rsidRPr="00D00774">
              <w:rPr>
                <w:rFonts w:ascii="Arial Narrow" w:eastAsia="Calibri" w:hAnsi="Arial Narrow"/>
                <w:strike/>
                <w:sz w:val="20"/>
                <w:szCs w:val="20"/>
                <w:lang w:eastAsia="en-US"/>
              </w:rPr>
              <w:fldChar w:fldCharType="begin">
                <w:ffData>
                  <w:name w:val=""/>
                  <w:enabled/>
                  <w:calcOnExit w:val="0"/>
                  <w:checkBox>
                    <w:sizeAuto/>
                    <w:default w:val="1"/>
                  </w:checkBox>
                </w:ffData>
              </w:fldChar>
            </w:r>
            <w:r w:rsidRPr="00D00774">
              <w:rPr>
                <w:rFonts w:ascii="Arial Narrow" w:eastAsia="Calibri" w:hAnsi="Arial Narrow"/>
                <w:strike/>
                <w:sz w:val="20"/>
                <w:szCs w:val="20"/>
                <w:lang w:eastAsia="en-US"/>
              </w:rPr>
              <w:instrText xml:space="preserve"> FORMCHECKBOX </w:instrText>
            </w:r>
            <w:r w:rsidRPr="00D00774">
              <w:rPr>
                <w:rFonts w:ascii="Arial Narrow" w:eastAsia="Calibri" w:hAnsi="Arial Narrow"/>
                <w:strike/>
                <w:sz w:val="20"/>
                <w:szCs w:val="20"/>
                <w:lang w:eastAsia="en-US"/>
              </w:rPr>
            </w:r>
            <w:r w:rsidRPr="00D00774">
              <w:rPr>
                <w:rFonts w:ascii="Arial Narrow" w:eastAsia="Calibri" w:hAnsi="Arial Narrow"/>
                <w:strike/>
                <w:sz w:val="20"/>
                <w:szCs w:val="20"/>
                <w:lang w:eastAsia="en-US"/>
              </w:rPr>
              <w:fldChar w:fldCharType="separate"/>
            </w:r>
            <w:r w:rsidRPr="00D00774">
              <w:rPr>
                <w:rFonts w:ascii="Arial Narrow" w:eastAsia="Calibri" w:hAnsi="Arial Narrow"/>
                <w:strike/>
                <w:sz w:val="20"/>
                <w:szCs w:val="20"/>
                <w:lang w:eastAsia="en-US"/>
              </w:rPr>
              <w:fldChar w:fldCharType="end"/>
            </w:r>
            <w:r>
              <w:rPr>
                <w:rFonts w:ascii="Arial Narrow" w:eastAsia="Calibri" w:hAnsi="Arial Narrow"/>
                <w:sz w:val="20"/>
                <w:szCs w:val="20"/>
                <w:lang w:eastAsia="en-US"/>
              </w:rPr>
              <w:t>Unr</w:t>
            </w:r>
            <w:r w:rsidRPr="00D00774">
              <w:rPr>
                <w:rFonts w:ascii="Arial Narrow" w:eastAsia="Calibri" w:hAnsi="Arial Narrow"/>
                <w:sz w:val="20"/>
                <w:szCs w:val="20"/>
                <w:lang w:eastAsia="en-US"/>
              </w:rPr>
              <w:t>estricted benefit</w:t>
            </w:r>
          </w:p>
        </w:tc>
      </w:tr>
    </w:tbl>
    <w:p w14:paraId="46EF28A2" w14:textId="24ED7CE8" w:rsidR="00753B29" w:rsidRDefault="005D3C7A" w:rsidP="00E8693C">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3BBC8E1B" w14:textId="77777777" w:rsidR="0068400B" w:rsidRPr="00061CBE" w:rsidRDefault="0068400B" w:rsidP="0068400B">
      <w:pPr>
        <w:pStyle w:val="2-SectionHeading"/>
        <w:numPr>
          <w:ilvl w:val="0"/>
          <w:numId w:val="0"/>
        </w:numPr>
        <w:ind w:left="720" w:hanging="720"/>
        <w:rPr>
          <w:lang w:val="en-GB"/>
        </w:rPr>
      </w:pPr>
      <w:r w:rsidRPr="00061CBE">
        <w:t>9</w:t>
      </w:r>
      <w:r w:rsidRPr="00061CBE">
        <w:tab/>
        <w:t>Context for Decision</w:t>
      </w:r>
    </w:p>
    <w:p w14:paraId="4BA477FA" w14:textId="77777777" w:rsidR="0068400B" w:rsidRPr="00061CBE" w:rsidRDefault="0068400B" w:rsidP="00ED1FDA">
      <w:pPr>
        <w:spacing w:before="120"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F9B874F" w14:textId="77777777" w:rsidR="0068400B" w:rsidRPr="00061CBE" w:rsidRDefault="0068400B" w:rsidP="0068400B">
      <w:pPr>
        <w:pStyle w:val="2-SectionHeading"/>
        <w:numPr>
          <w:ilvl w:val="0"/>
          <w:numId w:val="0"/>
        </w:numPr>
        <w:ind w:left="720" w:hanging="720"/>
      </w:pPr>
      <w:r w:rsidRPr="00061CBE">
        <w:lastRenderedPageBreak/>
        <w:t>10</w:t>
      </w:r>
      <w:r w:rsidRPr="00061CBE">
        <w:tab/>
        <w:t>Sponsor’s Comment</w:t>
      </w:r>
    </w:p>
    <w:p w14:paraId="71CCBB41" w14:textId="31514366" w:rsidR="0068400B" w:rsidRPr="00061CBE" w:rsidRDefault="0068400B" w:rsidP="00ED1FDA">
      <w:pPr>
        <w:spacing w:before="120" w:after="120"/>
        <w:ind w:left="720"/>
        <w:rPr>
          <w:bCs/>
        </w:rPr>
      </w:pPr>
      <w:r>
        <w:rPr>
          <w:bCs/>
        </w:rPr>
        <w:t>The sponsor had no comment.</w:t>
      </w:r>
    </w:p>
    <w:sectPr w:rsidR="0068400B" w:rsidRPr="00061CBE" w:rsidSect="0025100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F322" w14:textId="77777777" w:rsidR="005F0D45" w:rsidRDefault="005F0D45" w:rsidP="00124A51">
      <w:r>
        <w:separator/>
      </w:r>
    </w:p>
    <w:p w14:paraId="062E4A94" w14:textId="77777777" w:rsidR="005F0D45" w:rsidRDefault="005F0D45"/>
  </w:endnote>
  <w:endnote w:type="continuationSeparator" w:id="0">
    <w:p w14:paraId="60B797FB" w14:textId="77777777" w:rsidR="005F0D45" w:rsidRDefault="005F0D45" w:rsidP="00124A51">
      <w:r>
        <w:continuationSeparator/>
      </w:r>
    </w:p>
    <w:p w14:paraId="7E4E5098" w14:textId="77777777" w:rsidR="005F0D45" w:rsidRDefault="005F0D45"/>
  </w:endnote>
  <w:endnote w:type="continuationNotice" w:id="1">
    <w:p w14:paraId="752185BC" w14:textId="77777777" w:rsidR="005F0D45" w:rsidRDefault="005F0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D855" w14:textId="60CB2991" w:rsidR="00EA4DFF" w:rsidRDefault="005D2C83">
    <w:pPr>
      <w:pStyle w:val="Footer"/>
    </w:pPr>
    <w:r>
      <w:rPr>
        <w:noProof/>
      </w:rPr>
      <mc:AlternateContent>
        <mc:Choice Requires="wps">
          <w:drawing>
            <wp:anchor distT="0" distB="0" distL="0" distR="0" simplePos="0" relativeHeight="251658244" behindDoc="0" locked="0" layoutInCell="1" allowOverlap="1" wp14:anchorId="6D06776A" wp14:editId="04482D94">
              <wp:simplePos x="635" y="635"/>
              <wp:positionH relativeFrom="page">
                <wp:align>center</wp:align>
              </wp:positionH>
              <wp:positionV relativeFrom="page">
                <wp:align>bottom</wp:align>
              </wp:positionV>
              <wp:extent cx="551815" cy="376555"/>
              <wp:effectExtent l="0" t="0" r="635" b="0"/>
              <wp:wrapNone/>
              <wp:docPr id="4714888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B5B53F" w14:textId="32F6E4EA" w:rsidR="005D2C83" w:rsidRPr="005D2C83" w:rsidRDefault="005D2C83" w:rsidP="005D2C83">
                          <w:pPr>
                            <w:rPr>
                              <w:rFonts w:eastAsia="Calibri" w:cs="Calibri"/>
                              <w:noProof/>
                              <w:color w:val="FF0000"/>
                            </w:rPr>
                          </w:pPr>
                          <w:r w:rsidRPr="005D2C83">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6776A"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1B5B53F" w14:textId="32F6E4EA" w:rsidR="005D2C83" w:rsidRPr="005D2C83" w:rsidRDefault="005D2C83" w:rsidP="005D2C83">
                    <w:pPr>
                      <w:rPr>
                        <w:rFonts w:eastAsia="Calibri" w:cs="Calibri"/>
                        <w:noProof/>
                        <w:color w:val="FF0000"/>
                      </w:rPr>
                    </w:pPr>
                    <w:r w:rsidRPr="005D2C83">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B825FE9" w:rsidR="00D843F2" w:rsidRDefault="005D2C83" w:rsidP="00753B29">
    <w:pPr>
      <w:pStyle w:val="Footer"/>
      <w:jc w:val="center"/>
    </w:pPr>
    <w:r>
      <w:rPr>
        <w:noProof/>
      </w:rPr>
      <mc:AlternateContent>
        <mc:Choice Requires="wps">
          <w:drawing>
            <wp:anchor distT="0" distB="0" distL="0" distR="0" simplePos="0" relativeHeight="251658245" behindDoc="0" locked="0" layoutInCell="1" allowOverlap="1" wp14:anchorId="33A66289" wp14:editId="45527465">
              <wp:simplePos x="914400" y="9406467"/>
              <wp:positionH relativeFrom="page">
                <wp:align>center</wp:align>
              </wp:positionH>
              <wp:positionV relativeFrom="page">
                <wp:align>bottom</wp:align>
              </wp:positionV>
              <wp:extent cx="551815" cy="376555"/>
              <wp:effectExtent l="0" t="0" r="635" b="0"/>
              <wp:wrapNone/>
              <wp:docPr id="1024317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169A39" w14:textId="58274323" w:rsidR="005D2C83" w:rsidRPr="005D2C83" w:rsidRDefault="005D2C83" w:rsidP="005D2C83">
                          <w:pPr>
                            <w:rPr>
                              <w:rFonts w:eastAsia="Calibri" w:cs="Calibri"/>
                              <w:noProof/>
                              <w:color w:val="FF0000"/>
                            </w:rPr>
                          </w:pPr>
                          <w:r w:rsidRPr="005D2C83">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A66289"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2169A39" w14:textId="58274323" w:rsidR="005D2C83" w:rsidRPr="005D2C83" w:rsidRDefault="005D2C83" w:rsidP="005D2C83">
                    <w:pPr>
                      <w:rPr>
                        <w:rFonts w:eastAsia="Calibri" w:cs="Calibri"/>
                        <w:noProof/>
                        <w:color w:val="FF0000"/>
                      </w:rPr>
                    </w:pPr>
                    <w:r w:rsidRPr="005D2C83">
                      <w:rPr>
                        <w:rFonts w:eastAsia="Calibri" w:cs="Calibri"/>
                        <w:noProof/>
                        <w:color w:val="FF0000"/>
                      </w:rPr>
                      <w:t>OFFICIAL</w:t>
                    </w:r>
                  </w:p>
                </w:txbxContent>
              </v:textbox>
              <w10:wrap anchorx="page" anchory="page"/>
            </v:shape>
          </w:pict>
        </mc:Fallback>
      </mc:AlternateContent>
    </w:r>
  </w:p>
  <w:p w14:paraId="37484CD3" w14:textId="28D1D6E8"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67C" w14:textId="40313E59" w:rsidR="00EA4DFF" w:rsidRDefault="005D2C83">
    <w:pPr>
      <w:pStyle w:val="Footer"/>
    </w:pPr>
    <w:r>
      <w:rPr>
        <w:noProof/>
      </w:rPr>
      <mc:AlternateContent>
        <mc:Choice Requires="wps">
          <w:drawing>
            <wp:anchor distT="0" distB="0" distL="0" distR="0" simplePos="0" relativeHeight="251658243" behindDoc="0" locked="0" layoutInCell="1" allowOverlap="1" wp14:anchorId="3C31A995" wp14:editId="21606951">
              <wp:simplePos x="635" y="635"/>
              <wp:positionH relativeFrom="page">
                <wp:align>center</wp:align>
              </wp:positionH>
              <wp:positionV relativeFrom="page">
                <wp:align>bottom</wp:align>
              </wp:positionV>
              <wp:extent cx="551815" cy="376555"/>
              <wp:effectExtent l="0" t="0" r="635" b="0"/>
              <wp:wrapNone/>
              <wp:docPr id="5988632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A78865" w14:textId="672866A0" w:rsidR="005D2C83" w:rsidRPr="005D2C83" w:rsidRDefault="005D2C83" w:rsidP="005D2C83">
                          <w:pPr>
                            <w:rPr>
                              <w:rFonts w:eastAsia="Calibri" w:cs="Calibri"/>
                              <w:noProof/>
                              <w:color w:val="FF0000"/>
                            </w:rPr>
                          </w:pPr>
                          <w:r w:rsidRPr="005D2C83">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31A995"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5A78865" w14:textId="672866A0" w:rsidR="005D2C83" w:rsidRPr="005D2C83" w:rsidRDefault="005D2C83" w:rsidP="005D2C83">
                    <w:pPr>
                      <w:rPr>
                        <w:rFonts w:eastAsia="Calibri" w:cs="Calibri"/>
                        <w:noProof/>
                        <w:color w:val="FF0000"/>
                      </w:rPr>
                    </w:pPr>
                    <w:r w:rsidRPr="005D2C83">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C34D" w14:textId="77777777" w:rsidR="005F0D45" w:rsidRDefault="005F0D45">
      <w:r>
        <w:separator/>
      </w:r>
    </w:p>
  </w:footnote>
  <w:footnote w:type="continuationSeparator" w:id="0">
    <w:p w14:paraId="46ECCBDF" w14:textId="77777777" w:rsidR="005F0D45" w:rsidRDefault="005F0D45">
      <w:r>
        <w:continuationSeparator/>
      </w:r>
    </w:p>
  </w:footnote>
  <w:footnote w:type="continuationNotice" w:id="1">
    <w:p w14:paraId="50FE06EF" w14:textId="77777777" w:rsidR="005F0D45" w:rsidRDefault="005F0D45"/>
  </w:footnote>
  <w:footnote w:id="2">
    <w:p w14:paraId="1A768260" w14:textId="2D04D081" w:rsidR="00E12750" w:rsidRDefault="00E12750">
      <w:pPr>
        <w:pStyle w:val="FootnoteText"/>
      </w:pPr>
      <w:r>
        <w:rPr>
          <w:rStyle w:val="FootnoteReference"/>
        </w:rPr>
        <w:footnoteRef/>
      </w:r>
      <w:r>
        <w:t xml:space="preserve"> </w:t>
      </w:r>
      <w:r w:rsidR="004D62B0">
        <w:t xml:space="preserve">The Senate Community Affairs Reference Committee, (2023), ‘Ending the postcode lottery: Addressing barriers to </w:t>
      </w:r>
      <w:r w:rsidR="005D0820">
        <w:t xml:space="preserve">sexual, maternity </w:t>
      </w:r>
      <w:r w:rsidR="00227805">
        <w:t xml:space="preserve">and reproductive healthcare in Australia’, </w:t>
      </w:r>
      <w:r w:rsidR="00460D82">
        <w:t xml:space="preserve">Canberra: Commonwealth of Australia. Available at </w:t>
      </w:r>
      <w:r w:rsidR="00741F19" w:rsidRPr="00741F19">
        <w:t>https://parlinfo.aph.gov.au/parlInfo/download/committees/reportsen/RB000075/toc_pdf/EndingthepostcodelotteryAddressingbarrierstosexual,maternityandreproductivehealthcareinAustralia.pdf</w:t>
      </w:r>
    </w:p>
  </w:footnote>
  <w:footnote w:id="3">
    <w:p w14:paraId="5CC5FADE" w14:textId="696C4655" w:rsidR="002D26B0" w:rsidRDefault="002D26B0">
      <w:pPr>
        <w:pStyle w:val="FootnoteText"/>
      </w:pPr>
      <w:r>
        <w:rPr>
          <w:rStyle w:val="FootnoteReference"/>
        </w:rPr>
        <w:footnoteRef/>
      </w:r>
      <w:r>
        <w:t xml:space="preserve"> </w:t>
      </w:r>
      <w:r w:rsidR="00622CF5">
        <w:t>Australian Government Department of Health and Aged Care, (2024), ‘</w:t>
      </w:r>
      <w:r w:rsidR="00071646">
        <w:t>Oral Contraceptives Stakeholder Meeting Outcome Statement</w:t>
      </w:r>
      <w:r w:rsidR="00622CF5">
        <w:t>’</w:t>
      </w:r>
      <w:r w:rsidR="00071646">
        <w:t xml:space="preserve">, available at </w:t>
      </w:r>
      <w:r w:rsidRPr="002D26B0">
        <w:t>www.pbs.gov.au/industry/listing/elements/pbac-meetings/pbac-stakeholder-meetings/Oral-Contraceptives-Stakeholder-Meeting-October-2024-Outcome-Statement.pdf</w:t>
      </w:r>
      <w:r>
        <w:t xml:space="preserve"> </w:t>
      </w:r>
      <w:r w:rsidR="009F2184">
        <w:t>(</w:t>
      </w:r>
      <w:r>
        <w:t>accessed 6 February 2025</w:t>
      </w:r>
      <w:r w:rsidR="009F2184">
        <w:t>)</w:t>
      </w:r>
      <w:r>
        <w:t xml:space="preserve">. </w:t>
      </w:r>
    </w:p>
  </w:footnote>
  <w:footnote w:id="4">
    <w:p w14:paraId="2EDDD072" w14:textId="533C1975" w:rsidR="007F0BDC" w:rsidRDefault="007F0BDC" w:rsidP="007F0BDC">
      <w:pPr>
        <w:pStyle w:val="FootnoteText"/>
      </w:pPr>
      <w:r>
        <w:rPr>
          <w:rStyle w:val="FootnoteReference"/>
        </w:rPr>
        <w:footnoteRef/>
      </w:r>
      <w:r>
        <w:t xml:space="preserve"> Moore P</w:t>
      </w:r>
      <w:r w:rsidR="00C045B3">
        <w:t>.</w:t>
      </w:r>
      <w:r>
        <w:t>, Streeton C.</w:t>
      </w:r>
      <w:r w:rsidR="00C045B3">
        <w:t>, (2017),</w:t>
      </w:r>
      <w:r>
        <w:t xml:space="preserve"> </w:t>
      </w:r>
      <w:r w:rsidR="00C045B3">
        <w:t>‘</w:t>
      </w:r>
      <w:r>
        <w:t>Oral hormonal contraception in special circumstances</w:t>
      </w:r>
      <w:r w:rsidR="00087327">
        <w:t>’,</w:t>
      </w:r>
      <w:r w:rsidRPr="00077B79">
        <w:rPr>
          <w:i/>
          <w:iCs/>
        </w:rPr>
        <w:t xml:space="preserve"> </w:t>
      </w:r>
      <w:r w:rsidRPr="00087327">
        <w:t>Aust Fam Physician</w:t>
      </w:r>
      <w:r>
        <w:t xml:space="preserve">, 2017; 46:728-732. </w:t>
      </w:r>
    </w:p>
  </w:footnote>
  <w:footnote w:id="5">
    <w:p w14:paraId="114E0871" w14:textId="2954BFFC" w:rsidR="001D30AE" w:rsidRDefault="001D30AE" w:rsidP="001D30AE">
      <w:pPr>
        <w:pStyle w:val="FootnoteText"/>
      </w:pPr>
      <w:r>
        <w:rPr>
          <w:rStyle w:val="FootnoteReference"/>
        </w:rPr>
        <w:footnoteRef/>
      </w:r>
      <w:r>
        <w:t xml:space="preserve"> </w:t>
      </w:r>
      <w:hyperlink r:id="rId1" w:history="1">
        <w:r w:rsidR="00E65E5D" w:rsidRPr="00005ACD">
          <w:rPr>
            <w:rStyle w:val="Hyperlink"/>
            <w:color w:val="auto"/>
            <w:u w:val="none"/>
          </w:rPr>
          <w:t xml:space="preserve">Therapeutic Goods Administration, (2016), ‘Combined hormonal contraceptives’, </w:t>
        </w:r>
        <w:r w:rsidR="00E65E5D" w:rsidRPr="00C219BF">
          <w:rPr>
            <w:rStyle w:val="Hyperlink"/>
          </w:rPr>
          <w:t>www.tga.gov.au/news/safety-alerts/combined-hormonal-contraceptives</w:t>
        </w:r>
      </w:hyperlink>
      <w:r w:rsidR="00E65E5D">
        <w:t>,</w:t>
      </w:r>
      <w:r w:rsidR="00010362">
        <w:t xml:space="preserve"> </w:t>
      </w:r>
      <w:r w:rsidR="00E65E5D">
        <w:t>(a</w:t>
      </w:r>
      <w:r w:rsidR="00010362">
        <w:t>ccessed 6 March 2025</w:t>
      </w:r>
      <w:r w:rsidR="00E65E5D">
        <w:t>)</w:t>
      </w:r>
      <w:r w:rsidR="00010362">
        <w:t>.</w:t>
      </w:r>
    </w:p>
  </w:footnote>
  <w:footnote w:id="6">
    <w:p w14:paraId="02427552" w14:textId="6DA8D0A9" w:rsidR="004F74B9" w:rsidRDefault="004F74B9">
      <w:pPr>
        <w:pStyle w:val="FootnoteText"/>
      </w:pPr>
      <w:r>
        <w:rPr>
          <w:rStyle w:val="FootnoteReference"/>
        </w:rPr>
        <w:footnoteRef/>
      </w:r>
      <w:r>
        <w:t xml:space="preserve"> </w:t>
      </w:r>
      <w:r w:rsidR="00D4193E">
        <w:t>European Medicines Agency, (2014), ‘Combined hormonal contraceptives – referral</w:t>
      </w:r>
      <w:r w:rsidR="00407EDF">
        <w:t xml:space="preserve">’, </w:t>
      </w:r>
      <w:r w:rsidRPr="005E5F58">
        <w:t>www.ema.europa.eu/en/medicines/human/referrals/combined-hormonal-contraceptives</w:t>
      </w:r>
    </w:p>
  </w:footnote>
  <w:footnote w:id="7">
    <w:p w14:paraId="2D2465C7" w14:textId="4F0B8BCE" w:rsidR="00A54079" w:rsidRPr="004F74B9" w:rsidRDefault="00A54079">
      <w:pPr>
        <w:pStyle w:val="FootnoteText"/>
        <w:rPr>
          <w:rStyle w:val="TableFigureFooterChar"/>
          <w:rFonts w:ascii="Calibri" w:hAnsi="Calibri"/>
          <w:snapToGrid/>
          <w:sz w:val="20"/>
          <w:szCs w:val="20"/>
        </w:rPr>
      </w:pPr>
      <w:r>
        <w:rPr>
          <w:rStyle w:val="FootnoteReference"/>
        </w:rPr>
        <w:footnoteRef/>
      </w:r>
      <w:r>
        <w:t xml:space="preserve"> </w:t>
      </w:r>
      <w:r w:rsidR="00407EDF">
        <w:t xml:space="preserve">RANZCOG, </w:t>
      </w:r>
      <w:r w:rsidR="005A4EE7">
        <w:t>(2024), ‘</w:t>
      </w:r>
      <w:r w:rsidR="0069043E">
        <w:t xml:space="preserve">C-Gyn 3 Contraception’, </w:t>
      </w:r>
      <w:hyperlink r:id="rId2" w:history="1">
        <w:r w:rsidR="0069043E" w:rsidRPr="00C219BF">
          <w:rPr>
            <w:rStyle w:val="Hyperlink"/>
          </w:rPr>
          <w:t>https://ranzcog.edu.au/wp-content/uploads/Contraception-Clinical-Guideline.pdf</w:t>
        </w:r>
      </w:hyperlink>
      <w:r w:rsidR="0069043E">
        <w:t>,</w:t>
      </w:r>
      <w:r w:rsidR="001E150B">
        <w:t xml:space="preserve"> </w:t>
      </w:r>
      <w:r w:rsidR="0069043E">
        <w:t>(a</w:t>
      </w:r>
      <w:r w:rsidR="001E150B">
        <w:t>ccessed 6 March 2025</w:t>
      </w:r>
      <w:r w:rsidR="0069043E">
        <w:t>)</w:t>
      </w:r>
      <w:r w:rsidR="001E150B">
        <w:t>.</w:t>
      </w:r>
    </w:p>
  </w:footnote>
  <w:footnote w:id="8">
    <w:p w14:paraId="53E59D73" w14:textId="42868E16" w:rsidR="00B81C61" w:rsidRDefault="00B81C61">
      <w:pPr>
        <w:pStyle w:val="FootnoteText"/>
      </w:pPr>
      <w:r>
        <w:rPr>
          <w:rStyle w:val="FootnoteReference"/>
        </w:rPr>
        <w:footnoteRef/>
      </w:r>
      <w:r>
        <w:t xml:space="preserve"> </w:t>
      </w:r>
      <w:r w:rsidR="00873191">
        <w:t xml:space="preserve">Therapeutic Guidelines, 2025. Available at </w:t>
      </w:r>
      <w:hyperlink r:id="rId3" w:history="1">
        <w:r w:rsidR="00873191" w:rsidRPr="006C4C19">
          <w:rPr>
            <w:rStyle w:val="Hyperlink"/>
          </w:rPr>
          <w:t>www.tg.org.au</w:t>
        </w:r>
      </w:hyperlink>
      <w:r w:rsidR="00873191">
        <w:t xml:space="preserve"> (cited </w:t>
      </w:r>
      <w:r w:rsidR="00B15061">
        <w:t>Apr 2025).</w:t>
      </w:r>
    </w:p>
  </w:footnote>
  <w:footnote w:id="9">
    <w:p w14:paraId="36C1674B" w14:textId="503C4C46" w:rsidR="00A00E98" w:rsidRDefault="00A00E98">
      <w:pPr>
        <w:pStyle w:val="FootnoteText"/>
      </w:pPr>
      <w:r>
        <w:rPr>
          <w:rStyle w:val="FootnoteReference"/>
        </w:rPr>
        <w:footnoteRef/>
      </w:r>
      <w:r>
        <w:t xml:space="preserve"> Lopez </w:t>
      </w:r>
      <w:r w:rsidR="00CC4B0D">
        <w:t>(</w:t>
      </w:r>
      <w:r>
        <w:t>2013</w:t>
      </w:r>
      <w:r w:rsidR="00CC4B0D">
        <w:t>)</w:t>
      </w:r>
      <w:r>
        <w:t xml:space="preserve"> </w:t>
      </w:r>
      <w:r w:rsidR="006777EE">
        <w:t>estimated</w:t>
      </w:r>
      <w:r>
        <w:t xml:space="preserve"> a pooled odds ratio</w:t>
      </w:r>
      <w:r w:rsidR="006777EE">
        <w:t xml:space="preserve"> (95% CI)</w:t>
      </w:r>
      <w:r>
        <w:t xml:space="preserve"> for breast tenderness with CVR vs COC containing </w:t>
      </w:r>
      <w:r w:rsidR="006777EE">
        <w:t>drospirenone</w:t>
      </w:r>
      <w:r w:rsidR="00B77FE0">
        <w:t xml:space="preserve"> 3 mg</w:t>
      </w:r>
      <w:r w:rsidR="006777EE">
        <w:t xml:space="preserve"> and ethinylestradiol 30 mcg of 0.81 (0.47, 1.4) based on two trials with total N = 1</w:t>
      </w:r>
      <w:r w:rsidR="00A03DA6">
        <w:t>,</w:t>
      </w:r>
      <w:r w:rsidR="006777EE">
        <w:t xml:space="preserve">467. </w:t>
      </w:r>
    </w:p>
    <w:p w14:paraId="041BA30B" w14:textId="2F4956DA" w:rsidR="00E56375" w:rsidRDefault="00E56375">
      <w:pPr>
        <w:pStyle w:val="FootnoteText"/>
      </w:pPr>
      <w:r>
        <w:t xml:space="preserve">Lopez L.M., Grimes D.A., </w:t>
      </w:r>
      <w:r w:rsidR="003D5E80">
        <w:t xml:space="preserve">Gallo M.F., et al, (2013), </w:t>
      </w:r>
      <w:r w:rsidR="00CC4B0D">
        <w:t>‘Skin patch and vaginal ring versus combined oral contraceptives for contraception’, Cochrane Database Syst Rev</w:t>
      </w:r>
      <w:r w:rsidR="00233D65">
        <w:t>, 2013(4):CD003552.</w:t>
      </w:r>
    </w:p>
  </w:footnote>
  <w:footnote w:id="10">
    <w:p w14:paraId="53FF8371" w14:textId="6BD5EE51" w:rsidR="00A0393F" w:rsidRDefault="00A0393F">
      <w:pPr>
        <w:pStyle w:val="FootnoteText"/>
      </w:pPr>
      <w:r>
        <w:rPr>
          <w:rStyle w:val="FootnoteReference"/>
        </w:rPr>
        <w:footnoteRef/>
      </w:r>
      <w:r>
        <w:t xml:space="preserve"> </w:t>
      </w:r>
      <w:r w:rsidRPr="00A0393F">
        <w:t>Zapata</w:t>
      </w:r>
      <w:r w:rsidR="00E23474">
        <w:t xml:space="preserve"> </w:t>
      </w:r>
      <w:r w:rsidRPr="00A0393F">
        <w:t>L.B.</w:t>
      </w:r>
      <w:r w:rsidR="00E23474">
        <w:t xml:space="preserve">, </w:t>
      </w:r>
      <w:r w:rsidR="00674725">
        <w:t>Kortsmit K</w:t>
      </w:r>
      <w:r w:rsidR="00105966">
        <w:t>.</w:t>
      </w:r>
      <w:r w:rsidR="00674725">
        <w:t xml:space="preserve">, </w:t>
      </w:r>
      <w:r w:rsidR="00E33463">
        <w:t>Curtis K.M.,</w:t>
      </w:r>
      <w:r w:rsidRPr="00A0393F">
        <w:t xml:space="preserve"> et al</w:t>
      </w:r>
      <w:r w:rsidR="00E33463">
        <w:t>,</w:t>
      </w:r>
      <w:r w:rsidRPr="00A0393F">
        <w:t xml:space="preserve"> (2024)</w:t>
      </w:r>
      <w:r w:rsidR="00E33463">
        <w:t>,</w:t>
      </w:r>
      <w:r w:rsidRPr="00A0393F">
        <w:t xml:space="preserve"> ‘Continuation of </w:t>
      </w:r>
      <w:r w:rsidR="00E33463">
        <w:t>r</w:t>
      </w:r>
      <w:r w:rsidRPr="00A0393F">
        <w:t xml:space="preserve">eversible </w:t>
      </w:r>
      <w:r w:rsidR="00E33463">
        <w:t>c</w:t>
      </w:r>
      <w:r w:rsidRPr="00A0393F">
        <w:t xml:space="preserve">ontraception </w:t>
      </w:r>
      <w:r w:rsidR="00E33463">
        <w:t>f</w:t>
      </w:r>
      <w:r w:rsidRPr="00A0393F">
        <w:t>ollowin</w:t>
      </w:r>
      <w:r w:rsidR="00E33463">
        <w:t>g e</w:t>
      </w:r>
      <w:r w:rsidRPr="00A0393F">
        <w:t xml:space="preserve">nrollment in the Zika Contraception Access Network (Z-CAN) in Puerto Rico, 2016–2020’, Stud </w:t>
      </w:r>
      <w:r w:rsidR="00ED1A0F">
        <w:t>F</w:t>
      </w:r>
      <w:r w:rsidRPr="00A0393F">
        <w:t xml:space="preserve">am </w:t>
      </w:r>
      <w:r w:rsidR="00ED1A0F">
        <w:t>P</w:t>
      </w:r>
      <w:r w:rsidRPr="00A0393F">
        <w:t>lann, 55(2)</w:t>
      </w:r>
      <w:r w:rsidR="00ED1A0F">
        <w:t>:</w:t>
      </w:r>
      <w:r w:rsidRPr="00A0393F">
        <w:t>105–25. Available at: https://doi.org/10.1111/sifp.12262.</w:t>
      </w:r>
    </w:p>
  </w:footnote>
  <w:footnote w:id="11">
    <w:p w14:paraId="6F493AA0" w14:textId="602298B6" w:rsidR="00C4496E" w:rsidRDefault="00C4496E" w:rsidP="007572F5">
      <w:pPr>
        <w:pStyle w:val="Bibliography"/>
      </w:pPr>
      <w:r w:rsidRPr="006124B2">
        <w:rPr>
          <w:rStyle w:val="FootnoteReference"/>
          <w:sz w:val="20"/>
          <w:szCs w:val="20"/>
        </w:rPr>
        <w:footnoteRef/>
      </w:r>
      <w:r w:rsidRPr="006124B2">
        <w:rPr>
          <w:sz w:val="20"/>
          <w:szCs w:val="20"/>
        </w:rPr>
        <w:t xml:space="preserve"> </w:t>
      </w:r>
      <w:r w:rsidR="006124B2" w:rsidRPr="006124B2">
        <w:rPr>
          <w:sz w:val="20"/>
          <w:szCs w:val="20"/>
        </w:rPr>
        <w:t>Griffiths</w:t>
      </w:r>
      <w:r w:rsidR="006E1539">
        <w:rPr>
          <w:sz w:val="20"/>
          <w:szCs w:val="20"/>
        </w:rPr>
        <w:t xml:space="preserve"> </w:t>
      </w:r>
      <w:r w:rsidR="006124B2" w:rsidRPr="006124B2">
        <w:rPr>
          <w:sz w:val="20"/>
          <w:szCs w:val="20"/>
        </w:rPr>
        <w:t>E.K.</w:t>
      </w:r>
      <w:r w:rsidR="006E1539">
        <w:rPr>
          <w:sz w:val="20"/>
          <w:szCs w:val="20"/>
        </w:rPr>
        <w:t xml:space="preserve">, </w:t>
      </w:r>
      <w:r w:rsidR="00A801BA">
        <w:rPr>
          <w:sz w:val="20"/>
          <w:szCs w:val="20"/>
        </w:rPr>
        <w:t>Marley J.</w:t>
      </w:r>
      <w:r w:rsidR="00015CF5">
        <w:rPr>
          <w:sz w:val="20"/>
          <w:szCs w:val="20"/>
        </w:rPr>
        <w:t>V., Friello D.,</w:t>
      </w:r>
      <w:r w:rsidR="006124B2" w:rsidRPr="006124B2">
        <w:rPr>
          <w:sz w:val="20"/>
          <w:szCs w:val="20"/>
        </w:rPr>
        <w:t xml:space="preserve"> </w:t>
      </w:r>
      <w:r w:rsidR="006124B2" w:rsidRPr="00015CF5">
        <w:rPr>
          <w:sz w:val="20"/>
          <w:szCs w:val="20"/>
        </w:rPr>
        <w:t>et al</w:t>
      </w:r>
      <w:r w:rsidR="00015CF5">
        <w:rPr>
          <w:sz w:val="20"/>
          <w:szCs w:val="20"/>
        </w:rPr>
        <w:t>,</w:t>
      </w:r>
      <w:r w:rsidR="006124B2" w:rsidRPr="006124B2">
        <w:rPr>
          <w:sz w:val="20"/>
          <w:szCs w:val="20"/>
        </w:rPr>
        <w:t xml:space="preserve"> (2016)</w:t>
      </w:r>
      <w:r w:rsidR="00015CF5">
        <w:rPr>
          <w:sz w:val="20"/>
          <w:szCs w:val="20"/>
        </w:rPr>
        <w:t>,</w:t>
      </w:r>
      <w:r w:rsidR="006124B2" w:rsidRPr="006124B2">
        <w:rPr>
          <w:sz w:val="20"/>
          <w:szCs w:val="20"/>
        </w:rPr>
        <w:t xml:space="preserve"> ‘Uptake of long-acting, reversible contraception in three remote Aboriginal communities: a population-based study’, </w:t>
      </w:r>
      <w:r w:rsidR="006124B2" w:rsidRPr="00CB2D4B">
        <w:rPr>
          <w:sz w:val="20"/>
          <w:szCs w:val="20"/>
        </w:rPr>
        <w:t>Med J Aust,</w:t>
      </w:r>
      <w:r w:rsidR="006124B2" w:rsidRPr="006124B2">
        <w:rPr>
          <w:sz w:val="20"/>
          <w:szCs w:val="20"/>
        </w:rPr>
        <w:t xml:space="preserve"> 205(1)</w:t>
      </w:r>
      <w:r w:rsidR="00CB2D4B">
        <w:rPr>
          <w:sz w:val="20"/>
          <w:szCs w:val="20"/>
        </w:rPr>
        <w:t>:</w:t>
      </w:r>
      <w:r w:rsidR="006124B2" w:rsidRPr="006124B2">
        <w:rPr>
          <w:sz w:val="20"/>
          <w:szCs w:val="20"/>
        </w:rPr>
        <w:t xml:space="preserve">21–5. </w:t>
      </w:r>
    </w:p>
  </w:footnote>
  <w:footnote w:id="12">
    <w:p w14:paraId="2D6DCAC5" w14:textId="12F84721" w:rsidR="002E4D82" w:rsidRDefault="002E4D82" w:rsidP="007F27BF">
      <w:pPr>
        <w:pStyle w:val="FootnoteText"/>
      </w:pPr>
      <w:r>
        <w:rPr>
          <w:rStyle w:val="FootnoteReference"/>
        </w:rPr>
        <w:footnoteRef/>
      </w:r>
      <w:r>
        <w:t xml:space="preserve"> </w:t>
      </w:r>
      <w:r w:rsidR="00D66B7D">
        <w:t>Harris M.L., Egan N., Forder P.M., et al, (2021)</w:t>
      </w:r>
      <w:r w:rsidR="001D328D">
        <w:t>, ‘</w:t>
      </w:r>
      <w:r w:rsidR="007F27BF">
        <w:t>Contraceptive use among women through their later reproductive years: Findings from an Australian prospective cohort study’, PLoS One 16(8):e</w:t>
      </w:r>
      <w:r w:rsidR="00033139">
        <w:t>0255913.</w:t>
      </w:r>
    </w:p>
  </w:footnote>
  <w:footnote w:id="13">
    <w:p w14:paraId="5B2458B5" w14:textId="7A576C2B" w:rsidR="001D30AE" w:rsidRDefault="001D30AE">
      <w:pPr>
        <w:pStyle w:val="FootnoteText"/>
      </w:pPr>
      <w:r>
        <w:rPr>
          <w:rStyle w:val="FootnoteReference"/>
        </w:rPr>
        <w:footnoteRef/>
      </w:r>
      <w:r>
        <w:t xml:space="preserve"> Daoud N</w:t>
      </w:r>
      <w:r w:rsidR="00A72716">
        <w:t>.</w:t>
      </w:r>
      <w:r>
        <w:t>D</w:t>
      </w:r>
      <w:r w:rsidR="00A72716">
        <w:t>.</w:t>
      </w:r>
      <w:r>
        <w:t>, Ghoz H</w:t>
      </w:r>
      <w:r w:rsidR="00A72716">
        <w:t>.</w:t>
      </w:r>
      <w:r>
        <w:t>, Cannon R</w:t>
      </w:r>
      <w:r w:rsidR="00A72716">
        <w:t>.,</w:t>
      </w:r>
      <w:r>
        <w:t xml:space="preserve"> et al</w:t>
      </w:r>
      <w:r w:rsidR="009E62EC">
        <w:t>,</w:t>
      </w:r>
      <w:r>
        <w:t xml:space="preserve"> </w:t>
      </w:r>
      <w:r w:rsidR="007066DC">
        <w:t>(</w:t>
      </w:r>
      <w:r w:rsidR="009E62EC">
        <w:t>2022</w:t>
      </w:r>
      <w:r w:rsidR="007066DC">
        <w:t>)</w:t>
      </w:r>
      <w:r w:rsidR="009E62EC">
        <w:t>, ‘</w:t>
      </w:r>
      <w:r>
        <w:t>Oral contraceptive pills are an effective method of preventing pregnancy in women with Crohn's Disease</w:t>
      </w:r>
      <w:r w:rsidR="009E62EC">
        <w:t>’,</w:t>
      </w:r>
      <w:r>
        <w:t xml:space="preserve"> </w:t>
      </w:r>
      <w:r w:rsidRPr="00816593">
        <w:t>Crohn's and Colitis 360</w:t>
      </w:r>
      <w:r w:rsidR="00322E18">
        <w:t xml:space="preserve">, </w:t>
      </w:r>
      <w:r>
        <w:t xml:space="preserve">4:1-4. </w:t>
      </w:r>
    </w:p>
  </w:footnote>
  <w:footnote w:id="14">
    <w:p w14:paraId="01BF7AA3" w14:textId="252E6B2C" w:rsidR="00B0351D" w:rsidRDefault="00B0351D">
      <w:pPr>
        <w:pStyle w:val="FootnoteText"/>
      </w:pPr>
      <w:r>
        <w:rPr>
          <w:rStyle w:val="FootnoteReference"/>
        </w:rPr>
        <w:footnoteRef/>
      </w:r>
      <w:r>
        <w:t xml:space="preserve"> Whiteman M</w:t>
      </w:r>
      <w:r w:rsidR="007066DC">
        <w:t>.</w:t>
      </w:r>
      <w:r>
        <w:t>K</w:t>
      </w:r>
      <w:r w:rsidR="007066DC">
        <w:t>.</w:t>
      </w:r>
      <w:r>
        <w:t>, Oduyebo T</w:t>
      </w:r>
      <w:r w:rsidR="007066DC">
        <w:t>.</w:t>
      </w:r>
      <w:r>
        <w:t>, Zapata L</w:t>
      </w:r>
      <w:r w:rsidR="007066DC">
        <w:t>.</w:t>
      </w:r>
      <w:r>
        <w:t>B</w:t>
      </w:r>
      <w:r w:rsidR="007066DC">
        <w:t>.</w:t>
      </w:r>
      <w:r>
        <w:t>, Walker S</w:t>
      </w:r>
      <w:r w:rsidR="007066DC">
        <w:t>.</w:t>
      </w:r>
      <w:r>
        <w:t>, Curtis K</w:t>
      </w:r>
      <w:r w:rsidR="007066DC">
        <w:t>.</w:t>
      </w:r>
      <w:r>
        <w:t>M.</w:t>
      </w:r>
      <w:r w:rsidR="007066DC">
        <w:t>, (2016),</w:t>
      </w:r>
      <w:r>
        <w:t xml:space="preserve"> </w:t>
      </w:r>
      <w:r w:rsidR="007066DC">
        <w:t>‘</w:t>
      </w:r>
      <w:r>
        <w:t>Contraceptive safety among women with cystic fibrosis: A systematic review</w:t>
      </w:r>
      <w:r w:rsidR="007066DC">
        <w:t>’,</w:t>
      </w:r>
      <w:r>
        <w:t xml:space="preserve"> Contraception, 94:621-9. </w:t>
      </w:r>
    </w:p>
  </w:footnote>
  <w:footnote w:id="15">
    <w:p w14:paraId="7849E8F3" w14:textId="280FACED" w:rsidR="00B0351D" w:rsidRDefault="00B0351D" w:rsidP="00B0351D">
      <w:pPr>
        <w:pStyle w:val="FootnoteText"/>
        <w:jc w:val="left"/>
      </w:pPr>
      <w:r>
        <w:rPr>
          <w:rStyle w:val="FootnoteReference"/>
        </w:rPr>
        <w:footnoteRef/>
      </w:r>
      <w:r>
        <w:t xml:space="preserve"> </w:t>
      </w:r>
      <w:r w:rsidR="00B8388B">
        <w:t xml:space="preserve">U.S. Centers for Disease Control and Prevention, (2024), ‘U.S. medical eligibility criteria for contraceptive use, 2024’, </w:t>
      </w:r>
      <w:r w:rsidR="00B43EAA">
        <w:t>Centers for Disease Control and Prevention: Atlanta</w:t>
      </w:r>
      <w:r w:rsidR="00697C4E">
        <w:t xml:space="preserve">, GA. Available at </w:t>
      </w:r>
      <w:r w:rsidRPr="0096635B">
        <w:rPr>
          <w:u w:val="single"/>
        </w:rPr>
        <w:t>www.cdc.gov/mmwr/volumes/73/rr/pdfs/rr7304a1-H.pdf</w:t>
      </w:r>
      <w:r>
        <w:t xml:space="preserve"> </w:t>
      </w:r>
      <w:r w:rsidR="00322BED">
        <w:t>a</w:t>
      </w:r>
      <w:r>
        <w:t xml:space="preserve">ccessed 7 January 2025. </w:t>
      </w:r>
    </w:p>
  </w:footnote>
  <w:footnote w:id="16">
    <w:p w14:paraId="0D8093C5" w14:textId="5F04692B" w:rsidR="00B0351D" w:rsidRDefault="00B0351D" w:rsidP="00B0351D">
      <w:pPr>
        <w:pStyle w:val="FootnoteText"/>
        <w:jc w:val="left"/>
      </w:pPr>
      <w:r>
        <w:rPr>
          <w:rStyle w:val="FootnoteReference"/>
        </w:rPr>
        <w:footnoteRef/>
      </w:r>
      <w:r>
        <w:t xml:space="preserve"> </w:t>
      </w:r>
      <w:r w:rsidR="003C4ADB">
        <w:t xml:space="preserve">World Health Organization, (2015), </w:t>
      </w:r>
      <w:r w:rsidR="00326649">
        <w:t xml:space="preserve">‘Medical eligibility criteria for contraceptive use’, </w:t>
      </w:r>
      <w:r w:rsidR="00B92ADA">
        <w:t xml:space="preserve">World Health Organization: Geneva. Available at </w:t>
      </w:r>
      <w:r w:rsidRPr="0096635B">
        <w:rPr>
          <w:u w:val="single"/>
        </w:rPr>
        <w:t>https://iris.who.int/bitstream/handle/10665/181468/9789241549158_eng.pdf?sequence=9</w:t>
      </w:r>
      <w:r>
        <w:t xml:space="preserve"> </w:t>
      </w:r>
      <w:r w:rsidR="00B92ADA">
        <w:t>a</w:t>
      </w:r>
      <w:r>
        <w:t>ccessed 7</w:t>
      </w:r>
      <w:r w:rsidR="0096635B">
        <w:t> </w:t>
      </w:r>
      <w:r>
        <w:t xml:space="preserve">January 2025. </w:t>
      </w:r>
    </w:p>
  </w:footnote>
  <w:footnote w:id="17">
    <w:p w14:paraId="7B61AD5C" w14:textId="73B29A9C" w:rsidR="00B0351D" w:rsidRDefault="00B0351D" w:rsidP="00B0351D">
      <w:pPr>
        <w:pStyle w:val="FootnoteText"/>
        <w:jc w:val="left"/>
      </w:pPr>
      <w:r>
        <w:rPr>
          <w:rStyle w:val="FootnoteReference"/>
        </w:rPr>
        <w:footnoteRef/>
      </w:r>
      <w:r>
        <w:t xml:space="preserve"> </w:t>
      </w:r>
      <w:r w:rsidR="00E37AF8">
        <w:t xml:space="preserve">The Faculty of </w:t>
      </w:r>
      <w:r w:rsidR="008A36EC">
        <w:t xml:space="preserve">Sexual &amp; Reproductive Healthcare, </w:t>
      </w:r>
      <w:r w:rsidR="00677275">
        <w:t xml:space="preserve">(2019), </w:t>
      </w:r>
      <w:r w:rsidR="00B62A5B">
        <w:t xml:space="preserve">‘UK medical eligibility criteria’, </w:t>
      </w:r>
      <w:r w:rsidR="00691320">
        <w:t xml:space="preserve">Faculty of Sexual and Reproductive </w:t>
      </w:r>
      <w:r w:rsidR="00691320" w:rsidRPr="00763823">
        <w:t>Healthcare</w:t>
      </w:r>
      <w:r w:rsidR="005C0ED6" w:rsidRPr="00763823">
        <w:t xml:space="preserve">: </w:t>
      </w:r>
      <w:r w:rsidR="00065159" w:rsidRPr="00763823">
        <w:t xml:space="preserve">UK. Available at </w:t>
      </w:r>
      <w:hyperlink r:id="rId4" w:history="1">
        <w:r w:rsidR="00763823" w:rsidRPr="00763823">
          <w:rPr>
            <w:rStyle w:val="Hyperlink"/>
            <w:color w:val="auto"/>
          </w:rPr>
          <w:t>www.fsrh.org/Common/Uploaded%20files/documents/fsrh-ukmec-full-book-2019.pdf</w:t>
        </w:r>
      </w:hyperlink>
      <w:r w:rsidR="00763823" w:rsidRPr="00763823">
        <w:t xml:space="preserve"> </w:t>
      </w:r>
      <w:r w:rsidR="00065159">
        <w:t>a</w:t>
      </w:r>
      <w:r>
        <w:t xml:space="preserve">ccessed 7 January 2025. </w:t>
      </w:r>
    </w:p>
  </w:footnote>
  <w:footnote w:id="18">
    <w:p w14:paraId="79B52D27" w14:textId="7D465E35" w:rsidR="00F2536A" w:rsidRDefault="00F2536A">
      <w:pPr>
        <w:pStyle w:val="FootnoteText"/>
      </w:pPr>
      <w:r>
        <w:rPr>
          <w:rStyle w:val="FootnoteReference"/>
        </w:rPr>
        <w:footnoteRef/>
      </w:r>
      <w:r>
        <w:t xml:space="preserve"> </w:t>
      </w:r>
      <w:r w:rsidR="008F6116">
        <w:t>Food and Drug Administration, (2019), ‘</w:t>
      </w:r>
      <w:r w:rsidR="00EE0210">
        <w:t xml:space="preserve">Establishing effectiveness and safety for hormonal drug products </w:t>
      </w:r>
      <w:r w:rsidR="00545B98">
        <w:t>intended to prevent pregnancy</w:t>
      </w:r>
      <w:r w:rsidR="00797789">
        <w:t xml:space="preserve">. Guidance for industry’, </w:t>
      </w:r>
      <w:r w:rsidR="00184DB9">
        <w:t xml:space="preserve">U.S. Department of Health and </w:t>
      </w:r>
      <w:r w:rsidR="001542B1">
        <w:t xml:space="preserve">Human Services. </w:t>
      </w:r>
      <w:r w:rsidR="00856FFA">
        <w:t xml:space="preserve">Available at </w:t>
      </w:r>
      <w:r w:rsidRPr="00F2536A">
        <w:t>w</w:t>
      </w:r>
      <w:r w:rsidRPr="005A3DB3">
        <w:rPr>
          <w:u w:val="single"/>
        </w:rPr>
        <w:t xml:space="preserve">ww.fda.gov/media/128792/download </w:t>
      </w:r>
      <w:r>
        <w:t xml:space="preserve">accessed 9 January 2025. </w:t>
      </w:r>
    </w:p>
  </w:footnote>
  <w:footnote w:id="19">
    <w:p w14:paraId="04BDF70A" w14:textId="438D17DB" w:rsidR="00853EE6" w:rsidRDefault="00853EE6" w:rsidP="00853EE6">
      <w:pPr>
        <w:pStyle w:val="FootnoteText"/>
      </w:pPr>
      <w:r>
        <w:rPr>
          <w:rStyle w:val="FootnoteReference"/>
        </w:rPr>
        <w:footnoteRef/>
      </w:r>
      <w:r>
        <w:t xml:space="preserve"> Girum T</w:t>
      </w:r>
      <w:r w:rsidR="0035680D">
        <w:t>.</w:t>
      </w:r>
      <w:r>
        <w:t>, Wasie A.</w:t>
      </w:r>
      <w:r w:rsidR="0035680D">
        <w:t>, (2018),</w:t>
      </w:r>
      <w:r>
        <w:t xml:space="preserve"> </w:t>
      </w:r>
      <w:r w:rsidR="0035680D">
        <w:t>‘</w:t>
      </w:r>
      <w:r>
        <w:t>Return of fertility after discontinuation of contraception: a systematic review and meta-analysis</w:t>
      </w:r>
      <w:r w:rsidR="0035680D">
        <w:t>’,</w:t>
      </w:r>
      <w:r>
        <w:t xml:space="preserve"> </w:t>
      </w:r>
      <w:r w:rsidRPr="0078602E">
        <w:t>Contraception &amp; Reproductive Medicine</w:t>
      </w:r>
      <w:r w:rsidR="00E129F3">
        <w:t>, 23:3:9.</w:t>
      </w:r>
    </w:p>
  </w:footnote>
  <w:footnote w:id="20">
    <w:p w14:paraId="56F91370" w14:textId="3C34B46E" w:rsidR="001D30AE" w:rsidRDefault="001D30AE" w:rsidP="001D30AE">
      <w:pPr>
        <w:pStyle w:val="FootnoteText"/>
      </w:pPr>
      <w:r>
        <w:rPr>
          <w:rStyle w:val="FootnoteReference"/>
        </w:rPr>
        <w:footnoteRef/>
      </w:r>
      <w:r>
        <w:t xml:space="preserve"> These data were provided in Table 2.5.2, p82 of the submission</w:t>
      </w:r>
      <w:r w:rsidR="00CE4BA9">
        <w:t xml:space="preserve"> main body</w:t>
      </w:r>
      <w:r>
        <w:t xml:space="preserve">. The source is unclear, because the submission stated that the source was Table 2 of Hubacher </w:t>
      </w:r>
      <w:r w:rsidR="002B467E">
        <w:t>(</w:t>
      </w:r>
      <w:r>
        <w:t>2017</w:t>
      </w:r>
      <w:r w:rsidR="002B467E">
        <w:t>)</w:t>
      </w:r>
      <w:r>
        <w:t xml:space="preserve"> and Table 3 of Hubacher </w:t>
      </w:r>
      <w:r w:rsidR="002B467E">
        <w:t>(</w:t>
      </w:r>
      <w:r>
        <w:t>2018</w:t>
      </w:r>
      <w:r w:rsidR="002B467E">
        <w:t>)</w:t>
      </w:r>
      <w:r>
        <w:t xml:space="preserve">, but those tables do not contain the data. </w:t>
      </w:r>
    </w:p>
  </w:footnote>
  <w:footnote w:id="21">
    <w:p w14:paraId="7D7D1DDC" w14:textId="6D59264C" w:rsidR="00F6391B" w:rsidRDefault="00F6391B" w:rsidP="00F6391B">
      <w:pPr>
        <w:pStyle w:val="FootnoteText"/>
      </w:pPr>
      <w:r>
        <w:rPr>
          <w:rStyle w:val="FootnoteReference"/>
        </w:rPr>
        <w:footnoteRef/>
      </w:r>
      <w:r>
        <w:t xml:space="preserve"> Winner B</w:t>
      </w:r>
      <w:r w:rsidR="00ED3A69">
        <w:t>.</w:t>
      </w:r>
      <w:r>
        <w:t>, Peipert J</w:t>
      </w:r>
      <w:r w:rsidR="00ED3A69">
        <w:t>.</w:t>
      </w:r>
      <w:r>
        <w:t>F</w:t>
      </w:r>
      <w:r w:rsidR="00ED3A69">
        <w:t>.</w:t>
      </w:r>
      <w:r>
        <w:t>, Zhao, Q</w:t>
      </w:r>
      <w:r w:rsidR="00ED3A69">
        <w:t>.</w:t>
      </w:r>
      <w:r>
        <w:t>, et al</w:t>
      </w:r>
      <w:r w:rsidR="0092602F">
        <w:t>,</w:t>
      </w:r>
      <w:r>
        <w:t xml:space="preserve"> </w:t>
      </w:r>
      <w:r w:rsidR="00912D47">
        <w:t>(2012), ‘</w:t>
      </w:r>
      <w:r>
        <w:t>Effectiveness of long-acting reversible contraception</w:t>
      </w:r>
      <w:r w:rsidR="00912D47">
        <w:t>’,</w:t>
      </w:r>
      <w:r>
        <w:t xml:space="preserve"> </w:t>
      </w:r>
      <w:r w:rsidRPr="00EE1CC9">
        <w:t>N Engl J Med</w:t>
      </w:r>
      <w:r>
        <w:t xml:space="preserve"> 2012; 366:1998-2007. </w:t>
      </w:r>
    </w:p>
  </w:footnote>
  <w:footnote w:id="22">
    <w:p w14:paraId="53C38D9E" w14:textId="1443094E" w:rsidR="00797881" w:rsidRDefault="00797881" w:rsidP="00146412">
      <w:pPr>
        <w:pStyle w:val="FootnoteText"/>
        <w:jc w:val="left"/>
      </w:pPr>
      <w:r>
        <w:rPr>
          <w:rStyle w:val="FootnoteReference"/>
        </w:rPr>
        <w:footnoteRef/>
      </w:r>
      <w:r>
        <w:t xml:space="preserve"> </w:t>
      </w:r>
      <w:r w:rsidR="00252803">
        <w:t>‘</w:t>
      </w:r>
      <w:r w:rsidR="00750ACD">
        <w:t xml:space="preserve">Committee opinion no. 602: Depot medroxyprogesterone acetate </w:t>
      </w:r>
      <w:r w:rsidR="00CE4592">
        <w:t xml:space="preserve">and bone effects’, (2014), Obstet Gynecol </w:t>
      </w:r>
      <w:r w:rsidR="008B6D03">
        <w:t>123(6):1398-1402</w:t>
      </w:r>
      <w:r w:rsidR="00D67339">
        <w:t>,</w:t>
      </w:r>
      <w:r w:rsidR="008B6D03">
        <w:t xml:space="preserve"> </w:t>
      </w:r>
      <w:r w:rsidR="00D67339">
        <w:t>a</w:t>
      </w:r>
      <w:r w:rsidR="008B6D03">
        <w:t xml:space="preserve">vailable at </w:t>
      </w:r>
      <w:r w:rsidRPr="00D67339">
        <w:rPr>
          <w:u w:val="single"/>
        </w:rPr>
        <w:t xml:space="preserve">www.acog.org/clinical/clinical-guidance/committee-opinion/articles/2014/06/depot-medroxyprogesterone-acetate-and-bone-effects </w:t>
      </w:r>
      <w:r>
        <w:t>accessed 6 January 2025</w:t>
      </w:r>
      <w:r w:rsidR="00146412">
        <w:t xml:space="preserve">. </w:t>
      </w:r>
      <w:r w:rsidR="000C5C97">
        <w:t xml:space="preserve"> </w:t>
      </w:r>
    </w:p>
  </w:footnote>
  <w:footnote w:id="23">
    <w:p w14:paraId="7890464B" w14:textId="0A420701" w:rsidR="00146412" w:rsidRDefault="00146412" w:rsidP="00146412">
      <w:pPr>
        <w:pStyle w:val="FootnoteText"/>
        <w:jc w:val="left"/>
      </w:pPr>
      <w:r>
        <w:rPr>
          <w:rStyle w:val="FootnoteReference"/>
        </w:rPr>
        <w:footnoteRef/>
      </w:r>
      <w:r>
        <w:t xml:space="preserve"> </w:t>
      </w:r>
      <w:r w:rsidR="001771A2">
        <w:t xml:space="preserve">Faculty of Sexual </w:t>
      </w:r>
      <w:r w:rsidR="00181FAF">
        <w:t>&amp; Reproductive Healt</w:t>
      </w:r>
      <w:r w:rsidR="003567D3">
        <w:t>hcare, (</w:t>
      </w:r>
      <w:r w:rsidR="007E1FEE">
        <w:t>2019), ‘</w:t>
      </w:r>
      <w:r w:rsidR="002C42A3">
        <w:t>P</w:t>
      </w:r>
      <w:r w:rsidR="00BB08E3">
        <w:t>rogesto</w:t>
      </w:r>
      <w:r w:rsidR="00A22ECE">
        <w:t xml:space="preserve">gen-only </w:t>
      </w:r>
      <w:r w:rsidR="00625CD8">
        <w:t xml:space="preserve">injectable contraception’, </w:t>
      </w:r>
      <w:r w:rsidR="00402250">
        <w:t xml:space="preserve">Royal College of Obstetricians </w:t>
      </w:r>
      <w:r w:rsidR="007A475D">
        <w:t>&amp; Gy</w:t>
      </w:r>
      <w:r w:rsidR="00C8588B">
        <w:t xml:space="preserve">naecologists, </w:t>
      </w:r>
      <w:r w:rsidR="00EB4FCB">
        <w:t xml:space="preserve">available at </w:t>
      </w:r>
      <w:r w:rsidRPr="00D67339">
        <w:rPr>
          <w:u w:val="single"/>
        </w:rPr>
        <w:t>www.fsrh.org/Common/Uploaded%20files/documents/progestogen-only-injectable-december-2014-amended-11july2023.pdf</w:t>
      </w:r>
      <w:r>
        <w:t xml:space="preserve"> accessed 6 January 2025; the RANZCOG guidelines cited by the submission were based on the FSRH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F033" w14:textId="45F12295" w:rsidR="00EA4DFF" w:rsidRDefault="005D2C83">
    <w:pPr>
      <w:pStyle w:val="Header"/>
    </w:pPr>
    <w:r>
      <w:rPr>
        <w:noProof/>
      </w:rPr>
      <mc:AlternateContent>
        <mc:Choice Requires="wps">
          <w:drawing>
            <wp:anchor distT="0" distB="0" distL="0" distR="0" simplePos="0" relativeHeight="251658241" behindDoc="0" locked="0" layoutInCell="1" allowOverlap="1" wp14:anchorId="4EC87696" wp14:editId="4DBA7B0E">
              <wp:simplePos x="635" y="635"/>
              <wp:positionH relativeFrom="page">
                <wp:align>center</wp:align>
              </wp:positionH>
              <wp:positionV relativeFrom="page">
                <wp:align>top</wp:align>
              </wp:positionV>
              <wp:extent cx="551815" cy="376555"/>
              <wp:effectExtent l="0" t="0" r="635" b="4445"/>
              <wp:wrapNone/>
              <wp:docPr id="5099750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90F47A" w14:textId="59FFCA6E" w:rsidR="005D2C83" w:rsidRPr="005D2C83" w:rsidRDefault="005D2C83" w:rsidP="005D2C83">
                          <w:pPr>
                            <w:rPr>
                              <w:rFonts w:eastAsia="Calibri" w:cs="Calibri"/>
                              <w:noProof/>
                              <w:color w:val="FF0000"/>
                            </w:rPr>
                          </w:pPr>
                          <w:r w:rsidRPr="005D2C83">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C8769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3E90F47A" w14:textId="59FFCA6E" w:rsidR="005D2C83" w:rsidRPr="005D2C83" w:rsidRDefault="005D2C83" w:rsidP="005D2C83">
                    <w:pPr>
                      <w:rPr>
                        <w:rFonts w:eastAsia="Calibri" w:cs="Calibri"/>
                        <w:noProof/>
                        <w:color w:val="FF0000"/>
                      </w:rPr>
                    </w:pPr>
                    <w:r w:rsidRPr="005D2C83">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A326" w14:textId="1F0926B0" w:rsidR="00E140D0" w:rsidRPr="00061CBE" w:rsidRDefault="005D2C83" w:rsidP="00E140D0">
    <w:pPr>
      <w:pStyle w:val="Header"/>
      <w:keepNext w:val="0"/>
      <w:rPr>
        <w:rFonts w:asciiTheme="minorHAnsi" w:eastAsiaTheme="minorHAnsi" w:hAnsiTheme="minorHAnsi" w:cstheme="minorHAnsi"/>
        <w:bCs/>
        <w:i w:val="0"/>
        <w:color w:val="808080"/>
      </w:rPr>
    </w:pPr>
    <w:r>
      <w:rPr>
        <w:rFonts w:asciiTheme="minorHAnsi" w:eastAsiaTheme="minorHAnsi" w:hAnsiTheme="minorHAnsi" w:cstheme="minorHAnsi"/>
        <w:bCs/>
        <w:noProof/>
        <w:color w:val="808080"/>
      </w:rPr>
      <mc:AlternateContent>
        <mc:Choice Requires="wps">
          <w:drawing>
            <wp:anchor distT="0" distB="0" distL="0" distR="0" simplePos="0" relativeHeight="251658242" behindDoc="0" locked="0" layoutInCell="1" allowOverlap="1" wp14:anchorId="3D1DF5CB" wp14:editId="11A73F31">
              <wp:simplePos x="914400" y="914400"/>
              <wp:positionH relativeFrom="page">
                <wp:align>center</wp:align>
              </wp:positionH>
              <wp:positionV relativeFrom="page">
                <wp:align>top</wp:align>
              </wp:positionV>
              <wp:extent cx="551815" cy="376555"/>
              <wp:effectExtent l="0" t="0" r="635" b="4445"/>
              <wp:wrapNone/>
              <wp:docPr id="21303864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50A9D3" w14:textId="688FD09A" w:rsidR="005D2C83" w:rsidRPr="005D2C83" w:rsidRDefault="005D2C83" w:rsidP="005D2C83">
                          <w:pPr>
                            <w:rPr>
                              <w:rFonts w:eastAsia="Calibri" w:cs="Calibri"/>
                              <w:noProof/>
                              <w:color w:val="FF0000"/>
                            </w:rPr>
                          </w:pPr>
                          <w:r w:rsidRPr="005D2C83">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1DF5C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2350A9D3" w14:textId="688FD09A" w:rsidR="005D2C83" w:rsidRPr="005D2C83" w:rsidRDefault="005D2C83" w:rsidP="005D2C83">
                    <w:pPr>
                      <w:rPr>
                        <w:rFonts w:eastAsia="Calibri" w:cs="Calibri"/>
                        <w:noProof/>
                        <w:color w:val="FF0000"/>
                      </w:rPr>
                    </w:pPr>
                    <w:r w:rsidRPr="005D2C83">
                      <w:rPr>
                        <w:rFonts w:eastAsia="Calibri" w:cs="Calibri"/>
                        <w:noProof/>
                        <w:color w:val="FF0000"/>
                      </w:rPr>
                      <w:t>OFFICIAL</w:t>
                    </w:r>
                  </w:p>
                </w:txbxContent>
              </v:textbox>
              <w10:wrap anchorx="page" anchory="page"/>
            </v:shape>
          </w:pict>
        </mc:Fallback>
      </mc:AlternateContent>
    </w:r>
    <w:r w:rsidR="00E140D0" w:rsidRPr="00061CBE">
      <w:rPr>
        <w:rFonts w:asciiTheme="minorHAnsi" w:eastAsiaTheme="minorHAnsi" w:hAnsiTheme="minorHAnsi" w:cstheme="minorHAnsi"/>
        <w:bCs/>
        <w:color w:val="808080"/>
      </w:rPr>
      <w:t xml:space="preserve">Public Summary Document – </w:t>
    </w:r>
    <w:r w:rsidR="00E140D0">
      <w:rPr>
        <w:rFonts w:asciiTheme="minorHAnsi" w:eastAsiaTheme="minorHAnsi" w:hAnsiTheme="minorHAnsi" w:cstheme="minorHAnsi"/>
        <w:bCs/>
        <w:i w:val="0"/>
        <w:color w:val="808080"/>
      </w:rPr>
      <w:t>May</w:t>
    </w:r>
    <w:r w:rsidR="00E140D0" w:rsidRPr="00061CBE">
      <w:rPr>
        <w:rFonts w:asciiTheme="minorHAnsi" w:eastAsiaTheme="minorHAnsi" w:hAnsiTheme="minorHAnsi" w:cstheme="minorHAnsi"/>
        <w:bCs/>
        <w:color w:val="808080"/>
      </w:rPr>
      <w:t xml:space="preserve"> </w:t>
    </w:r>
    <w:r w:rsidR="00E140D0">
      <w:rPr>
        <w:rFonts w:asciiTheme="minorHAnsi" w:eastAsiaTheme="minorHAnsi" w:hAnsiTheme="minorHAnsi" w:cstheme="minorHAnsi"/>
        <w:bCs/>
        <w:i w:val="0"/>
        <w:color w:val="808080"/>
      </w:rPr>
      <w:t>2025</w:t>
    </w:r>
    <w:r w:rsidR="00E140D0" w:rsidRPr="00061CBE">
      <w:rPr>
        <w:rFonts w:asciiTheme="minorHAnsi" w:eastAsiaTheme="minorHAnsi" w:hAnsiTheme="minorHAnsi" w:cstheme="minorHAnsi"/>
        <w:bCs/>
        <w:color w:val="808080"/>
      </w:rPr>
      <w:t xml:space="preserve"> 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B9BD" w14:textId="6E485066" w:rsidR="00EA4DFF" w:rsidRDefault="005D2C83">
    <w:pPr>
      <w:pStyle w:val="Header"/>
    </w:pPr>
    <w:r>
      <w:rPr>
        <w:noProof/>
      </w:rPr>
      <mc:AlternateContent>
        <mc:Choice Requires="wps">
          <w:drawing>
            <wp:anchor distT="0" distB="0" distL="0" distR="0" simplePos="0" relativeHeight="251658240" behindDoc="0" locked="0" layoutInCell="1" allowOverlap="1" wp14:anchorId="67415A3B" wp14:editId="68F611FC">
              <wp:simplePos x="635" y="635"/>
              <wp:positionH relativeFrom="page">
                <wp:align>center</wp:align>
              </wp:positionH>
              <wp:positionV relativeFrom="page">
                <wp:align>top</wp:align>
              </wp:positionV>
              <wp:extent cx="551815" cy="376555"/>
              <wp:effectExtent l="0" t="0" r="635" b="4445"/>
              <wp:wrapNone/>
              <wp:docPr id="12823802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759C87" w14:textId="0702AB62" w:rsidR="005D2C83" w:rsidRPr="005D2C83" w:rsidRDefault="005D2C83" w:rsidP="005D2C83">
                          <w:pPr>
                            <w:rPr>
                              <w:rFonts w:eastAsia="Calibri" w:cs="Calibri"/>
                              <w:noProof/>
                              <w:color w:val="FF0000"/>
                            </w:rPr>
                          </w:pPr>
                          <w:r w:rsidRPr="005D2C83">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15A3B"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C759C87" w14:textId="0702AB62" w:rsidR="005D2C83" w:rsidRPr="005D2C83" w:rsidRDefault="005D2C83" w:rsidP="005D2C83">
                    <w:pPr>
                      <w:rPr>
                        <w:rFonts w:eastAsia="Calibri" w:cs="Calibri"/>
                        <w:noProof/>
                        <w:color w:val="FF0000"/>
                      </w:rPr>
                    </w:pPr>
                    <w:r w:rsidRPr="005D2C83">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F06744"/>
    <w:multiLevelType w:val="multilevel"/>
    <w:tmpl w:val="14CADCC2"/>
    <w:lvl w:ilvl="0">
      <w:start w:val="1"/>
      <w:numFmt w:val="decimal"/>
      <w:lvlText w:val="%1"/>
      <w:lvlJc w:val="left"/>
      <w:pPr>
        <w:ind w:left="720" w:hanging="720"/>
      </w:pPr>
      <w:rPr>
        <w:rFonts w:hint="default"/>
        <w:b/>
      </w:rPr>
    </w:lvl>
    <w:lvl w:ilvl="1">
      <w:numFmt w:val="bullet"/>
      <w:lvlText w:val="•"/>
      <w:lvlJc w:val="left"/>
      <w:pPr>
        <w:ind w:left="360" w:hanging="360"/>
      </w:pPr>
      <w:rPr>
        <w:rFonts w:ascii="Calibri" w:eastAsia="Calibri" w:hAnsi="Calibri" w:cs="Calibri"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3C4615"/>
    <w:multiLevelType w:val="hybridMultilevel"/>
    <w:tmpl w:val="B2C4A6D8"/>
    <w:lvl w:ilvl="0" w:tplc="399A3B2E">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0346AD7"/>
    <w:multiLevelType w:val="hybridMultilevel"/>
    <w:tmpl w:val="FC805B5C"/>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40BD2"/>
    <w:multiLevelType w:val="hybridMultilevel"/>
    <w:tmpl w:val="E65008A0"/>
    <w:lvl w:ilvl="0" w:tplc="6CD6CE04">
      <w:numFmt w:val="bullet"/>
      <w:lvlText w:val="•"/>
      <w:lvlJc w:val="left"/>
      <w:pPr>
        <w:ind w:left="1080" w:hanging="720"/>
      </w:pPr>
      <w:rPr>
        <w:rFonts w:ascii="Arial Narrow" w:eastAsia="Calibri" w:hAnsi="Arial Narrow" w:cs="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93C63B6"/>
    <w:multiLevelType w:val="multilevel"/>
    <w:tmpl w:val="26F6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D5B0A"/>
    <w:multiLevelType w:val="hybridMultilevel"/>
    <w:tmpl w:val="BC7453CA"/>
    <w:lvl w:ilvl="0" w:tplc="DB4A37F4">
      <w:start w:val="1"/>
      <w:numFmt w:val="bullet"/>
      <w:lvlText w:val=""/>
      <w:lvlJc w:val="left"/>
      <w:pPr>
        <w:ind w:left="1080" w:hanging="360"/>
      </w:pPr>
      <w:rPr>
        <w:rFonts w:ascii="Symbol" w:hAnsi="Symbol"/>
      </w:rPr>
    </w:lvl>
    <w:lvl w:ilvl="1" w:tplc="EE62D3E4">
      <w:start w:val="1"/>
      <w:numFmt w:val="bullet"/>
      <w:lvlText w:val=""/>
      <w:lvlJc w:val="left"/>
      <w:pPr>
        <w:ind w:left="1080" w:hanging="360"/>
      </w:pPr>
      <w:rPr>
        <w:rFonts w:ascii="Symbol" w:hAnsi="Symbol"/>
      </w:rPr>
    </w:lvl>
    <w:lvl w:ilvl="2" w:tplc="5A2840E8">
      <w:start w:val="1"/>
      <w:numFmt w:val="bullet"/>
      <w:lvlText w:val=""/>
      <w:lvlJc w:val="left"/>
      <w:pPr>
        <w:ind w:left="1080" w:hanging="360"/>
      </w:pPr>
      <w:rPr>
        <w:rFonts w:ascii="Symbol" w:hAnsi="Symbol"/>
      </w:rPr>
    </w:lvl>
    <w:lvl w:ilvl="3" w:tplc="5F50DEE8">
      <w:start w:val="1"/>
      <w:numFmt w:val="bullet"/>
      <w:lvlText w:val=""/>
      <w:lvlJc w:val="left"/>
      <w:pPr>
        <w:ind w:left="1080" w:hanging="360"/>
      </w:pPr>
      <w:rPr>
        <w:rFonts w:ascii="Symbol" w:hAnsi="Symbol"/>
      </w:rPr>
    </w:lvl>
    <w:lvl w:ilvl="4" w:tplc="20388ABA">
      <w:start w:val="1"/>
      <w:numFmt w:val="bullet"/>
      <w:lvlText w:val=""/>
      <w:lvlJc w:val="left"/>
      <w:pPr>
        <w:ind w:left="1080" w:hanging="360"/>
      </w:pPr>
      <w:rPr>
        <w:rFonts w:ascii="Symbol" w:hAnsi="Symbol"/>
      </w:rPr>
    </w:lvl>
    <w:lvl w:ilvl="5" w:tplc="788E5502">
      <w:start w:val="1"/>
      <w:numFmt w:val="bullet"/>
      <w:lvlText w:val=""/>
      <w:lvlJc w:val="left"/>
      <w:pPr>
        <w:ind w:left="1080" w:hanging="360"/>
      </w:pPr>
      <w:rPr>
        <w:rFonts w:ascii="Symbol" w:hAnsi="Symbol"/>
      </w:rPr>
    </w:lvl>
    <w:lvl w:ilvl="6" w:tplc="8438FD12">
      <w:start w:val="1"/>
      <w:numFmt w:val="bullet"/>
      <w:lvlText w:val=""/>
      <w:lvlJc w:val="left"/>
      <w:pPr>
        <w:ind w:left="1080" w:hanging="360"/>
      </w:pPr>
      <w:rPr>
        <w:rFonts w:ascii="Symbol" w:hAnsi="Symbol"/>
      </w:rPr>
    </w:lvl>
    <w:lvl w:ilvl="7" w:tplc="46742444">
      <w:start w:val="1"/>
      <w:numFmt w:val="bullet"/>
      <w:lvlText w:val=""/>
      <w:lvlJc w:val="left"/>
      <w:pPr>
        <w:ind w:left="1080" w:hanging="360"/>
      </w:pPr>
      <w:rPr>
        <w:rFonts w:ascii="Symbol" w:hAnsi="Symbol"/>
      </w:rPr>
    </w:lvl>
    <w:lvl w:ilvl="8" w:tplc="C610D07A">
      <w:start w:val="1"/>
      <w:numFmt w:val="bullet"/>
      <w:lvlText w:val=""/>
      <w:lvlJc w:val="left"/>
      <w:pPr>
        <w:ind w:left="1080" w:hanging="360"/>
      </w:pPr>
      <w:rPr>
        <w:rFonts w:ascii="Symbol" w:hAnsi="Symbol"/>
      </w:rPr>
    </w:lvl>
  </w:abstractNum>
  <w:abstractNum w:abstractNumId="11" w15:restartNumberingAfterBreak="0">
    <w:nsid w:val="784D033C"/>
    <w:multiLevelType w:val="multilevel"/>
    <w:tmpl w:val="350C6D9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94419B"/>
    <w:multiLevelType w:val="hybridMultilevel"/>
    <w:tmpl w:val="41A4B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11"/>
  </w:num>
  <w:num w:numId="2" w16cid:durableId="917793048">
    <w:abstractNumId w:val="6"/>
  </w:num>
  <w:num w:numId="3" w16cid:durableId="263461728">
    <w:abstractNumId w:val="0"/>
  </w:num>
  <w:num w:numId="4" w16cid:durableId="1863592879">
    <w:abstractNumId w:val="1"/>
  </w:num>
  <w:num w:numId="5" w16cid:durableId="139346788">
    <w:abstractNumId w:val="12"/>
  </w:num>
  <w:num w:numId="6" w16cid:durableId="1533883230">
    <w:abstractNumId w:val="5"/>
  </w:num>
  <w:num w:numId="7" w16cid:durableId="220360847">
    <w:abstractNumId w:val="8"/>
  </w:num>
  <w:num w:numId="8" w16cid:durableId="268196418">
    <w:abstractNumId w:val="4"/>
  </w:num>
  <w:num w:numId="9" w16cid:durableId="1048839230">
    <w:abstractNumId w:val="11"/>
  </w:num>
  <w:num w:numId="10" w16cid:durableId="1878816462">
    <w:abstractNumId w:val="2"/>
  </w:num>
  <w:num w:numId="11" w16cid:durableId="1998996749">
    <w:abstractNumId w:val="9"/>
  </w:num>
  <w:num w:numId="12" w16cid:durableId="1947349301">
    <w:abstractNumId w:val="14"/>
  </w:num>
  <w:num w:numId="13" w16cid:durableId="1995452520">
    <w:abstractNumId w:val="7"/>
  </w:num>
  <w:num w:numId="14" w16cid:durableId="325548056">
    <w:abstractNumId w:val="13"/>
  </w:num>
  <w:num w:numId="15" w16cid:durableId="1166632844">
    <w:abstractNumId w:val="3"/>
  </w:num>
  <w:num w:numId="16" w16cid:durableId="1894463515">
    <w:abstractNumId w:val="11"/>
  </w:num>
  <w:num w:numId="17" w16cid:durableId="1879589636">
    <w:abstractNumId w:val="11"/>
  </w:num>
  <w:num w:numId="18" w16cid:durableId="1157381434">
    <w:abstractNumId w:val="11"/>
  </w:num>
  <w:num w:numId="19" w16cid:durableId="974875217">
    <w:abstractNumId w:val="11"/>
  </w:num>
  <w:num w:numId="20" w16cid:durableId="1110126120">
    <w:abstractNumId w:val="11"/>
  </w:num>
  <w:num w:numId="21" w16cid:durableId="874344753">
    <w:abstractNumId w:val="11"/>
  </w:num>
  <w:num w:numId="22" w16cid:durableId="239222103">
    <w:abstractNumId w:val="11"/>
  </w:num>
  <w:num w:numId="23" w16cid:durableId="853037550">
    <w:abstractNumId w:val="10"/>
  </w:num>
  <w:num w:numId="24" w16cid:durableId="132088486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876"/>
    <w:rsid w:val="00002C2D"/>
    <w:rsid w:val="00003499"/>
    <w:rsid w:val="00003855"/>
    <w:rsid w:val="000039B7"/>
    <w:rsid w:val="0000418B"/>
    <w:rsid w:val="00004AEC"/>
    <w:rsid w:val="00004FF5"/>
    <w:rsid w:val="00005277"/>
    <w:rsid w:val="000056B9"/>
    <w:rsid w:val="0000570A"/>
    <w:rsid w:val="00005A4C"/>
    <w:rsid w:val="00005ACD"/>
    <w:rsid w:val="0000639A"/>
    <w:rsid w:val="00006FDB"/>
    <w:rsid w:val="000079C7"/>
    <w:rsid w:val="00007CC5"/>
    <w:rsid w:val="00010362"/>
    <w:rsid w:val="000112F8"/>
    <w:rsid w:val="0001178E"/>
    <w:rsid w:val="00011E7F"/>
    <w:rsid w:val="00011E8E"/>
    <w:rsid w:val="000130B4"/>
    <w:rsid w:val="00013247"/>
    <w:rsid w:val="00014B24"/>
    <w:rsid w:val="00015119"/>
    <w:rsid w:val="0001516D"/>
    <w:rsid w:val="000154E4"/>
    <w:rsid w:val="00015886"/>
    <w:rsid w:val="00015CF5"/>
    <w:rsid w:val="000162EF"/>
    <w:rsid w:val="00016B72"/>
    <w:rsid w:val="00017063"/>
    <w:rsid w:val="00017456"/>
    <w:rsid w:val="00017872"/>
    <w:rsid w:val="00017B6F"/>
    <w:rsid w:val="000207C9"/>
    <w:rsid w:val="00020D4F"/>
    <w:rsid w:val="00020EDE"/>
    <w:rsid w:val="00020F13"/>
    <w:rsid w:val="000214DC"/>
    <w:rsid w:val="00021E42"/>
    <w:rsid w:val="00022252"/>
    <w:rsid w:val="0002225F"/>
    <w:rsid w:val="00023763"/>
    <w:rsid w:val="00023A76"/>
    <w:rsid w:val="00023B2B"/>
    <w:rsid w:val="000243B6"/>
    <w:rsid w:val="00024DE8"/>
    <w:rsid w:val="00024EB5"/>
    <w:rsid w:val="00025BCE"/>
    <w:rsid w:val="00026619"/>
    <w:rsid w:val="0002683F"/>
    <w:rsid w:val="00026C78"/>
    <w:rsid w:val="000274B8"/>
    <w:rsid w:val="00030B9B"/>
    <w:rsid w:val="00030DA4"/>
    <w:rsid w:val="00031270"/>
    <w:rsid w:val="00031346"/>
    <w:rsid w:val="00033139"/>
    <w:rsid w:val="000332F7"/>
    <w:rsid w:val="000335FD"/>
    <w:rsid w:val="00033863"/>
    <w:rsid w:val="000339F6"/>
    <w:rsid w:val="00034134"/>
    <w:rsid w:val="00035495"/>
    <w:rsid w:val="00035DC0"/>
    <w:rsid w:val="0003627C"/>
    <w:rsid w:val="00036829"/>
    <w:rsid w:val="00036EE4"/>
    <w:rsid w:val="00040895"/>
    <w:rsid w:val="000410A0"/>
    <w:rsid w:val="00041C38"/>
    <w:rsid w:val="00042907"/>
    <w:rsid w:val="00042E59"/>
    <w:rsid w:val="000435EE"/>
    <w:rsid w:val="00043C37"/>
    <w:rsid w:val="00044531"/>
    <w:rsid w:val="00045017"/>
    <w:rsid w:val="00045A2B"/>
    <w:rsid w:val="00046807"/>
    <w:rsid w:val="0004698F"/>
    <w:rsid w:val="00046D64"/>
    <w:rsid w:val="000508C2"/>
    <w:rsid w:val="00050EE7"/>
    <w:rsid w:val="00051E87"/>
    <w:rsid w:val="000539D0"/>
    <w:rsid w:val="0005445B"/>
    <w:rsid w:val="00054621"/>
    <w:rsid w:val="000546D7"/>
    <w:rsid w:val="00054A8D"/>
    <w:rsid w:val="00054F4A"/>
    <w:rsid w:val="00056ECF"/>
    <w:rsid w:val="000573F4"/>
    <w:rsid w:val="000604DF"/>
    <w:rsid w:val="000607CA"/>
    <w:rsid w:val="000609EB"/>
    <w:rsid w:val="00060B97"/>
    <w:rsid w:val="00061289"/>
    <w:rsid w:val="000612A1"/>
    <w:rsid w:val="000613E9"/>
    <w:rsid w:val="000619A1"/>
    <w:rsid w:val="000619D5"/>
    <w:rsid w:val="00061B95"/>
    <w:rsid w:val="00062324"/>
    <w:rsid w:val="00063837"/>
    <w:rsid w:val="00064359"/>
    <w:rsid w:val="00064479"/>
    <w:rsid w:val="00065159"/>
    <w:rsid w:val="0006515A"/>
    <w:rsid w:val="000653B5"/>
    <w:rsid w:val="00065B71"/>
    <w:rsid w:val="00066360"/>
    <w:rsid w:val="00066AF8"/>
    <w:rsid w:val="00066C5D"/>
    <w:rsid w:val="000672BC"/>
    <w:rsid w:val="000672F2"/>
    <w:rsid w:val="000673C8"/>
    <w:rsid w:val="0007060C"/>
    <w:rsid w:val="0007062E"/>
    <w:rsid w:val="00071248"/>
    <w:rsid w:val="00071646"/>
    <w:rsid w:val="00071836"/>
    <w:rsid w:val="000720B9"/>
    <w:rsid w:val="00072666"/>
    <w:rsid w:val="00072B61"/>
    <w:rsid w:val="00072D84"/>
    <w:rsid w:val="00073414"/>
    <w:rsid w:val="000737F7"/>
    <w:rsid w:val="00073A83"/>
    <w:rsid w:val="00073FE6"/>
    <w:rsid w:val="00074112"/>
    <w:rsid w:val="00074A02"/>
    <w:rsid w:val="00075CE5"/>
    <w:rsid w:val="0007672F"/>
    <w:rsid w:val="00076B54"/>
    <w:rsid w:val="000774F0"/>
    <w:rsid w:val="000779C7"/>
    <w:rsid w:val="00077B79"/>
    <w:rsid w:val="00080909"/>
    <w:rsid w:val="000811AE"/>
    <w:rsid w:val="000812CA"/>
    <w:rsid w:val="0008136C"/>
    <w:rsid w:val="00081593"/>
    <w:rsid w:val="00081E63"/>
    <w:rsid w:val="0008230F"/>
    <w:rsid w:val="0008258D"/>
    <w:rsid w:val="000830CB"/>
    <w:rsid w:val="00083960"/>
    <w:rsid w:val="00083E99"/>
    <w:rsid w:val="0008429E"/>
    <w:rsid w:val="0008448F"/>
    <w:rsid w:val="00084781"/>
    <w:rsid w:val="00084FA8"/>
    <w:rsid w:val="000856C5"/>
    <w:rsid w:val="00085C31"/>
    <w:rsid w:val="000860D9"/>
    <w:rsid w:val="00086217"/>
    <w:rsid w:val="0008642D"/>
    <w:rsid w:val="00086CFD"/>
    <w:rsid w:val="00087327"/>
    <w:rsid w:val="00090026"/>
    <w:rsid w:val="000902D9"/>
    <w:rsid w:val="00090C7E"/>
    <w:rsid w:val="000911AC"/>
    <w:rsid w:val="000913F1"/>
    <w:rsid w:val="00091CF0"/>
    <w:rsid w:val="00092600"/>
    <w:rsid w:val="0009262B"/>
    <w:rsid w:val="000930E4"/>
    <w:rsid w:val="00093310"/>
    <w:rsid w:val="00093D91"/>
    <w:rsid w:val="0009445C"/>
    <w:rsid w:val="00094EFE"/>
    <w:rsid w:val="00095200"/>
    <w:rsid w:val="000957AB"/>
    <w:rsid w:val="00095FE5"/>
    <w:rsid w:val="00096284"/>
    <w:rsid w:val="00096536"/>
    <w:rsid w:val="000A05AD"/>
    <w:rsid w:val="000A12EA"/>
    <w:rsid w:val="000A1BC0"/>
    <w:rsid w:val="000A2F9E"/>
    <w:rsid w:val="000A3861"/>
    <w:rsid w:val="000A38F0"/>
    <w:rsid w:val="000A3B81"/>
    <w:rsid w:val="000A3E47"/>
    <w:rsid w:val="000A4273"/>
    <w:rsid w:val="000A4730"/>
    <w:rsid w:val="000A47F5"/>
    <w:rsid w:val="000A4837"/>
    <w:rsid w:val="000A522B"/>
    <w:rsid w:val="000A6039"/>
    <w:rsid w:val="000A61D4"/>
    <w:rsid w:val="000A69CE"/>
    <w:rsid w:val="000A6E38"/>
    <w:rsid w:val="000A7453"/>
    <w:rsid w:val="000A7D08"/>
    <w:rsid w:val="000B007F"/>
    <w:rsid w:val="000B0121"/>
    <w:rsid w:val="000B0670"/>
    <w:rsid w:val="000B0E75"/>
    <w:rsid w:val="000B10C5"/>
    <w:rsid w:val="000B2DCB"/>
    <w:rsid w:val="000B366F"/>
    <w:rsid w:val="000B3813"/>
    <w:rsid w:val="000B5CE0"/>
    <w:rsid w:val="000B6CAC"/>
    <w:rsid w:val="000B7612"/>
    <w:rsid w:val="000B78AE"/>
    <w:rsid w:val="000B792E"/>
    <w:rsid w:val="000C0578"/>
    <w:rsid w:val="000C0B3F"/>
    <w:rsid w:val="000C1792"/>
    <w:rsid w:val="000C1A81"/>
    <w:rsid w:val="000C23B0"/>
    <w:rsid w:val="000C2F42"/>
    <w:rsid w:val="000C30CD"/>
    <w:rsid w:val="000C3DF9"/>
    <w:rsid w:val="000C4C03"/>
    <w:rsid w:val="000C4C8D"/>
    <w:rsid w:val="000C4CF2"/>
    <w:rsid w:val="000C5592"/>
    <w:rsid w:val="000C5C97"/>
    <w:rsid w:val="000C5CE6"/>
    <w:rsid w:val="000C5CFC"/>
    <w:rsid w:val="000C64DE"/>
    <w:rsid w:val="000C6713"/>
    <w:rsid w:val="000C6939"/>
    <w:rsid w:val="000C7543"/>
    <w:rsid w:val="000C7A1B"/>
    <w:rsid w:val="000D07D2"/>
    <w:rsid w:val="000D15C7"/>
    <w:rsid w:val="000D1BFC"/>
    <w:rsid w:val="000D1D5D"/>
    <w:rsid w:val="000D281A"/>
    <w:rsid w:val="000D2848"/>
    <w:rsid w:val="000D2AB7"/>
    <w:rsid w:val="000D326A"/>
    <w:rsid w:val="000D32BF"/>
    <w:rsid w:val="000D3501"/>
    <w:rsid w:val="000D36A5"/>
    <w:rsid w:val="000D3AE6"/>
    <w:rsid w:val="000D408D"/>
    <w:rsid w:val="000D49CD"/>
    <w:rsid w:val="000D4AB4"/>
    <w:rsid w:val="000D4D63"/>
    <w:rsid w:val="000D51FB"/>
    <w:rsid w:val="000D5662"/>
    <w:rsid w:val="000D5AC9"/>
    <w:rsid w:val="000D7279"/>
    <w:rsid w:val="000D7EBA"/>
    <w:rsid w:val="000E0640"/>
    <w:rsid w:val="000E1147"/>
    <w:rsid w:val="000E135D"/>
    <w:rsid w:val="000E368C"/>
    <w:rsid w:val="000E3D2A"/>
    <w:rsid w:val="000E3E5F"/>
    <w:rsid w:val="000E65C2"/>
    <w:rsid w:val="000E7E82"/>
    <w:rsid w:val="000E7EFF"/>
    <w:rsid w:val="000F00BA"/>
    <w:rsid w:val="000F1712"/>
    <w:rsid w:val="000F316A"/>
    <w:rsid w:val="000F3C74"/>
    <w:rsid w:val="000F4059"/>
    <w:rsid w:val="000F4BB8"/>
    <w:rsid w:val="000F4E81"/>
    <w:rsid w:val="000F4FA9"/>
    <w:rsid w:val="000F53D2"/>
    <w:rsid w:val="000F53FB"/>
    <w:rsid w:val="000F7127"/>
    <w:rsid w:val="000F75CE"/>
    <w:rsid w:val="000F7B54"/>
    <w:rsid w:val="001000B3"/>
    <w:rsid w:val="00100E02"/>
    <w:rsid w:val="00100F8A"/>
    <w:rsid w:val="00102046"/>
    <w:rsid w:val="00102E89"/>
    <w:rsid w:val="0010323F"/>
    <w:rsid w:val="00103953"/>
    <w:rsid w:val="0010452E"/>
    <w:rsid w:val="00104ED3"/>
    <w:rsid w:val="00105257"/>
    <w:rsid w:val="00105966"/>
    <w:rsid w:val="00105AE2"/>
    <w:rsid w:val="001060C6"/>
    <w:rsid w:val="001063F7"/>
    <w:rsid w:val="001066E4"/>
    <w:rsid w:val="00106B80"/>
    <w:rsid w:val="00107379"/>
    <w:rsid w:val="00107B16"/>
    <w:rsid w:val="0011032E"/>
    <w:rsid w:val="00110893"/>
    <w:rsid w:val="00110B27"/>
    <w:rsid w:val="00111037"/>
    <w:rsid w:val="00111A01"/>
    <w:rsid w:val="00111F38"/>
    <w:rsid w:val="00112A1F"/>
    <w:rsid w:val="00112A4F"/>
    <w:rsid w:val="0011348B"/>
    <w:rsid w:val="001134AA"/>
    <w:rsid w:val="00113B61"/>
    <w:rsid w:val="001146FF"/>
    <w:rsid w:val="00114A61"/>
    <w:rsid w:val="00114B5A"/>
    <w:rsid w:val="00114E09"/>
    <w:rsid w:val="00114F91"/>
    <w:rsid w:val="0011555E"/>
    <w:rsid w:val="0011583D"/>
    <w:rsid w:val="00115982"/>
    <w:rsid w:val="00116C53"/>
    <w:rsid w:val="00116F25"/>
    <w:rsid w:val="001173E2"/>
    <w:rsid w:val="00117B58"/>
    <w:rsid w:val="00120153"/>
    <w:rsid w:val="00120D84"/>
    <w:rsid w:val="00121799"/>
    <w:rsid w:val="001222FC"/>
    <w:rsid w:val="0012300F"/>
    <w:rsid w:val="00123191"/>
    <w:rsid w:val="00123538"/>
    <w:rsid w:val="00123902"/>
    <w:rsid w:val="00124765"/>
    <w:rsid w:val="00124A51"/>
    <w:rsid w:val="00125B1F"/>
    <w:rsid w:val="00125E74"/>
    <w:rsid w:val="00126621"/>
    <w:rsid w:val="00126B1D"/>
    <w:rsid w:val="001301BF"/>
    <w:rsid w:val="001301E9"/>
    <w:rsid w:val="00130C42"/>
    <w:rsid w:val="0013177F"/>
    <w:rsid w:val="00131D82"/>
    <w:rsid w:val="00132B22"/>
    <w:rsid w:val="00133499"/>
    <w:rsid w:val="001334F6"/>
    <w:rsid w:val="0013395C"/>
    <w:rsid w:val="00133D36"/>
    <w:rsid w:val="001346CE"/>
    <w:rsid w:val="001356D5"/>
    <w:rsid w:val="00135FB0"/>
    <w:rsid w:val="00136B50"/>
    <w:rsid w:val="00137645"/>
    <w:rsid w:val="00137C6B"/>
    <w:rsid w:val="00137CD3"/>
    <w:rsid w:val="0014015A"/>
    <w:rsid w:val="00140274"/>
    <w:rsid w:val="00140C4A"/>
    <w:rsid w:val="00140E99"/>
    <w:rsid w:val="001418FF"/>
    <w:rsid w:val="001424D9"/>
    <w:rsid w:val="001435A3"/>
    <w:rsid w:val="001435FE"/>
    <w:rsid w:val="00143BC1"/>
    <w:rsid w:val="00143F67"/>
    <w:rsid w:val="00144089"/>
    <w:rsid w:val="00144490"/>
    <w:rsid w:val="001451B1"/>
    <w:rsid w:val="00145234"/>
    <w:rsid w:val="00145540"/>
    <w:rsid w:val="001456B0"/>
    <w:rsid w:val="0014597A"/>
    <w:rsid w:val="00145A99"/>
    <w:rsid w:val="001460C7"/>
    <w:rsid w:val="001463EE"/>
    <w:rsid w:val="00146412"/>
    <w:rsid w:val="00146808"/>
    <w:rsid w:val="001475E5"/>
    <w:rsid w:val="00150C9E"/>
    <w:rsid w:val="00151A0C"/>
    <w:rsid w:val="001542B1"/>
    <w:rsid w:val="001543A4"/>
    <w:rsid w:val="001545BA"/>
    <w:rsid w:val="001547AB"/>
    <w:rsid w:val="0015554B"/>
    <w:rsid w:val="00155A5D"/>
    <w:rsid w:val="00155AE1"/>
    <w:rsid w:val="00156F8F"/>
    <w:rsid w:val="00157053"/>
    <w:rsid w:val="00157130"/>
    <w:rsid w:val="001576B1"/>
    <w:rsid w:val="00157B51"/>
    <w:rsid w:val="0016047B"/>
    <w:rsid w:val="00160585"/>
    <w:rsid w:val="00160A4C"/>
    <w:rsid w:val="001614B7"/>
    <w:rsid w:val="0016164C"/>
    <w:rsid w:val="00162913"/>
    <w:rsid w:val="00163EFF"/>
    <w:rsid w:val="00163F66"/>
    <w:rsid w:val="0016478E"/>
    <w:rsid w:val="00165B54"/>
    <w:rsid w:val="00165DB8"/>
    <w:rsid w:val="00165EC4"/>
    <w:rsid w:val="0016609F"/>
    <w:rsid w:val="0016617C"/>
    <w:rsid w:val="001661FB"/>
    <w:rsid w:val="001666BC"/>
    <w:rsid w:val="001671A0"/>
    <w:rsid w:val="0016767F"/>
    <w:rsid w:val="00167B47"/>
    <w:rsid w:val="00170A4F"/>
    <w:rsid w:val="00171694"/>
    <w:rsid w:val="00171A04"/>
    <w:rsid w:val="00172146"/>
    <w:rsid w:val="001734E0"/>
    <w:rsid w:val="00173565"/>
    <w:rsid w:val="00173874"/>
    <w:rsid w:val="00173B07"/>
    <w:rsid w:val="00173EBF"/>
    <w:rsid w:val="00173F3E"/>
    <w:rsid w:val="001742E0"/>
    <w:rsid w:val="00174AA7"/>
    <w:rsid w:val="001750C9"/>
    <w:rsid w:val="001751FA"/>
    <w:rsid w:val="001753D2"/>
    <w:rsid w:val="001771A2"/>
    <w:rsid w:val="00180067"/>
    <w:rsid w:val="00181392"/>
    <w:rsid w:val="00181C10"/>
    <w:rsid w:val="00181D9C"/>
    <w:rsid w:val="00181FAF"/>
    <w:rsid w:val="0018225E"/>
    <w:rsid w:val="001837FF"/>
    <w:rsid w:val="00184B0E"/>
    <w:rsid w:val="00184DB9"/>
    <w:rsid w:val="001857BD"/>
    <w:rsid w:val="001860C1"/>
    <w:rsid w:val="001869BF"/>
    <w:rsid w:val="0018752F"/>
    <w:rsid w:val="0018766A"/>
    <w:rsid w:val="00192514"/>
    <w:rsid w:val="0019257A"/>
    <w:rsid w:val="00193451"/>
    <w:rsid w:val="00193838"/>
    <w:rsid w:val="0019396D"/>
    <w:rsid w:val="00193DC9"/>
    <w:rsid w:val="00194791"/>
    <w:rsid w:val="00194AD8"/>
    <w:rsid w:val="00194D1D"/>
    <w:rsid w:val="00194ED3"/>
    <w:rsid w:val="00195222"/>
    <w:rsid w:val="0019532E"/>
    <w:rsid w:val="00195452"/>
    <w:rsid w:val="0019648A"/>
    <w:rsid w:val="00196A77"/>
    <w:rsid w:val="00196C05"/>
    <w:rsid w:val="001975D8"/>
    <w:rsid w:val="00197EE6"/>
    <w:rsid w:val="001A0B43"/>
    <w:rsid w:val="001A0C81"/>
    <w:rsid w:val="001A1369"/>
    <w:rsid w:val="001A178E"/>
    <w:rsid w:val="001A2DB3"/>
    <w:rsid w:val="001A2FEA"/>
    <w:rsid w:val="001A43A7"/>
    <w:rsid w:val="001A43FA"/>
    <w:rsid w:val="001A47C5"/>
    <w:rsid w:val="001A59FB"/>
    <w:rsid w:val="001A5E9E"/>
    <w:rsid w:val="001A60DA"/>
    <w:rsid w:val="001A62E6"/>
    <w:rsid w:val="001A6354"/>
    <w:rsid w:val="001A6366"/>
    <w:rsid w:val="001A645F"/>
    <w:rsid w:val="001A6686"/>
    <w:rsid w:val="001A7610"/>
    <w:rsid w:val="001A783E"/>
    <w:rsid w:val="001A7920"/>
    <w:rsid w:val="001A7AE8"/>
    <w:rsid w:val="001B105C"/>
    <w:rsid w:val="001B1A2C"/>
    <w:rsid w:val="001B204E"/>
    <w:rsid w:val="001B2372"/>
    <w:rsid w:val="001B25CF"/>
    <w:rsid w:val="001B3443"/>
    <w:rsid w:val="001B3BA6"/>
    <w:rsid w:val="001B4D20"/>
    <w:rsid w:val="001B62B7"/>
    <w:rsid w:val="001B70EF"/>
    <w:rsid w:val="001B7A73"/>
    <w:rsid w:val="001B7C62"/>
    <w:rsid w:val="001B7F84"/>
    <w:rsid w:val="001C0DDF"/>
    <w:rsid w:val="001C251D"/>
    <w:rsid w:val="001C2A9B"/>
    <w:rsid w:val="001C33BD"/>
    <w:rsid w:val="001C34E7"/>
    <w:rsid w:val="001C37B9"/>
    <w:rsid w:val="001C3DD6"/>
    <w:rsid w:val="001C4299"/>
    <w:rsid w:val="001C4874"/>
    <w:rsid w:val="001C491F"/>
    <w:rsid w:val="001C49AE"/>
    <w:rsid w:val="001C4ACE"/>
    <w:rsid w:val="001C4AF0"/>
    <w:rsid w:val="001C57B4"/>
    <w:rsid w:val="001C5F94"/>
    <w:rsid w:val="001C6668"/>
    <w:rsid w:val="001C6CB5"/>
    <w:rsid w:val="001C6E66"/>
    <w:rsid w:val="001C73CF"/>
    <w:rsid w:val="001D05EB"/>
    <w:rsid w:val="001D07B9"/>
    <w:rsid w:val="001D1100"/>
    <w:rsid w:val="001D1391"/>
    <w:rsid w:val="001D1429"/>
    <w:rsid w:val="001D25D7"/>
    <w:rsid w:val="001D30AE"/>
    <w:rsid w:val="001D328D"/>
    <w:rsid w:val="001D375B"/>
    <w:rsid w:val="001D3A79"/>
    <w:rsid w:val="001D3C1A"/>
    <w:rsid w:val="001D420A"/>
    <w:rsid w:val="001D42A3"/>
    <w:rsid w:val="001D4BE6"/>
    <w:rsid w:val="001D50B2"/>
    <w:rsid w:val="001D543C"/>
    <w:rsid w:val="001D5967"/>
    <w:rsid w:val="001D645E"/>
    <w:rsid w:val="001D71F4"/>
    <w:rsid w:val="001D7645"/>
    <w:rsid w:val="001D787B"/>
    <w:rsid w:val="001D792F"/>
    <w:rsid w:val="001E1252"/>
    <w:rsid w:val="001E150B"/>
    <w:rsid w:val="001E1E86"/>
    <w:rsid w:val="001E238E"/>
    <w:rsid w:val="001E2483"/>
    <w:rsid w:val="001E2A1E"/>
    <w:rsid w:val="001E2B1E"/>
    <w:rsid w:val="001E2C69"/>
    <w:rsid w:val="001E2CFF"/>
    <w:rsid w:val="001E2F24"/>
    <w:rsid w:val="001E30D4"/>
    <w:rsid w:val="001E34DF"/>
    <w:rsid w:val="001E356C"/>
    <w:rsid w:val="001E3CD7"/>
    <w:rsid w:val="001E3D5C"/>
    <w:rsid w:val="001E41CC"/>
    <w:rsid w:val="001E52EB"/>
    <w:rsid w:val="001E5F11"/>
    <w:rsid w:val="001E61D2"/>
    <w:rsid w:val="001E68C8"/>
    <w:rsid w:val="001E72B2"/>
    <w:rsid w:val="001E740C"/>
    <w:rsid w:val="001E78CC"/>
    <w:rsid w:val="001F0B4A"/>
    <w:rsid w:val="001F0B6C"/>
    <w:rsid w:val="001F1235"/>
    <w:rsid w:val="001F13E8"/>
    <w:rsid w:val="001F1CB3"/>
    <w:rsid w:val="001F3006"/>
    <w:rsid w:val="001F34F9"/>
    <w:rsid w:val="001F38B5"/>
    <w:rsid w:val="001F3F12"/>
    <w:rsid w:val="001F3FFE"/>
    <w:rsid w:val="001F4081"/>
    <w:rsid w:val="001F4406"/>
    <w:rsid w:val="001F4499"/>
    <w:rsid w:val="001F5DBF"/>
    <w:rsid w:val="001F6D06"/>
    <w:rsid w:val="001F7361"/>
    <w:rsid w:val="001F74F4"/>
    <w:rsid w:val="001F79DD"/>
    <w:rsid w:val="001F7DA7"/>
    <w:rsid w:val="00200516"/>
    <w:rsid w:val="002006E8"/>
    <w:rsid w:val="002007F4"/>
    <w:rsid w:val="00200CC1"/>
    <w:rsid w:val="00200F37"/>
    <w:rsid w:val="002011B0"/>
    <w:rsid w:val="002016E5"/>
    <w:rsid w:val="00201C16"/>
    <w:rsid w:val="00201EED"/>
    <w:rsid w:val="00202055"/>
    <w:rsid w:val="002023C2"/>
    <w:rsid w:val="00203181"/>
    <w:rsid w:val="00203783"/>
    <w:rsid w:val="0020385F"/>
    <w:rsid w:val="00203EF1"/>
    <w:rsid w:val="00204142"/>
    <w:rsid w:val="0020466F"/>
    <w:rsid w:val="00204806"/>
    <w:rsid w:val="00204AFC"/>
    <w:rsid w:val="00204B91"/>
    <w:rsid w:val="002059DB"/>
    <w:rsid w:val="002068A0"/>
    <w:rsid w:val="00207021"/>
    <w:rsid w:val="0020732F"/>
    <w:rsid w:val="00207D00"/>
    <w:rsid w:val="002105C1"/>
    <w:rsid w:val="00210852"/>
    <w:rsid w:val="00211324"/>
    <w:rsid w:val="002116FD"/>
    <w:rsid w:val="0021171E"/>
    <w:rsid w:val="002118A9"/>
    <w:rsid w:val="002119E3"/>
    <w:rsid w:val="00211D06"/>
    <w:rsid w:val="00212124"/>
    <w:rsid w:val="00213EF5"/>
    <w:rsid w:val="00214724"/>
    <w:rsid w:val="00214F44"/>
    <w:rsid w:val="00215991"/>
    <w:rsid w:val="00215F33"/>
    <w:rsid w:val="00216241"/>
    <w:rsid w:val="00216BF5"/>
    <w:rsid w:val="00217FCF"/>
    <w:rsid w:val="00221361"/>
    <w:rsid w:val="002214E3"/>
    <w:rsid w:val="00221C37"/>
    <w:rsid w:val="002222CC"/>
    <w:rsid w:val="0022281B"/>
    <w:rsid w:val="00223685"/>
    <w:rsid w:val="00223B49"/>
    <w:rsid w:val="00223D5A"/>
    <w:rsid w:val="0022418E"/>
    <w:rsid w:val="00224473"/>
    <w:rsid w:val="00224DCE"/>
    <w:rsid w:val="00224DD4"/>
    <w:rsid w:val="002252DF"/>
    <w:rsid w:val="00227805"/>
    <w:rsid w:val="002278A0"/>
    <w:rsid w:val="00227C35"/>
    <w:rsid w:val="0023069D"/>
    <w:rsid w:val="0023082F"/>
    <w:rsid w:val="00230925"/>
    <w:rsid w:val="002309CC"/>
    <w:rsid w:val="002314E5"/>
    <w:rsid w:val="00231BA9"/>
    <w:rsid w:val="0023209F"/>
    <w:rsid w:val="00233524"/>
    <w:rsid w:val="00233C01"/>
    <w:rsid w:val="00233D22"/>
    <w:rsid w:val="00233D65"/>
    <w:rsid w:val="0023413C"/>
    <w:rsid w:val="002346F0"/>
    <w:rsid w:val="002347C6"/>
    <w:rsid w:val="00234FC8"/>
    <w:rsid w:val="002350FA"/>
    <w:rsid w:val="00236214"/>
    <w:rsid w:val="0023629D"/>
    <w:rsid w:val="00236ACF"/>
    <w:rsid w:val="00237255"/>
    <w:rsid w:val="00237727"/>
    <w:rsid w:val="00237B3B"/>
    <w:rsid w:val="00240A23"/>
    <w:rsid w:val="002415BB"/>
    <w:rsid w:val="00242434"/>
    <w:rsid w:val="002424AF"/>
    <w:rsid w:val="002439DC"/>
    <w:rsid w:val="002441D2"/>
    <w:rsid w:val="0024489C"/>
    <w:rsid w:val="00244DC8"/>
    <w:rsid w:val="002458BA"/>
    <w:rsid w:val="00245CE9"/>
    <w:rsid w:val="0024636C"/>
    <w:rsid w:val="002471F3"/>
    <w:rsid w:val="0024764F"/>
    <w:rsid w:val="00247925"/>
    <w:rsid w:val="00250707"/>
    <w:rsid w:val="0025098E"/>
    <w:rsid w:val="00250E33"/>
    <w:rsid w:val="00251006"/>
    <w:rsid w:val="00251999"/>
    <w:rsid w:val="00252006"/>
    <w:rsid w:val="0025206E"/>
    <w:rsid w:val="002524D5"/>
    <w:rsid w:val="00252803"/>
    <w:rsid w:val="00252AFB"/>
    <w:rsid w:val="00252E71"/>
    <w:rsid w:val="00253834"/>
    <w:rsid w:val="00253B1D"/>
    <w:rsid w:val="00254952"/>
    <w:rsid w:val="00254DCF"/>
    <w:rsid w:val="0025534B"/>
    <w:rsid w:val="002553E6"/>
    <w:rsid w:val="00255AC5"/>
    <w:rsid w:val="00255B1F"/>
    <w:rsid w:val="00255BB7"/>
    <w:rsid w:val="0025602D"/>
    <w:rsid w:val="00256D1E"/>
    <w:rsid w:val="00256F65"/>
    <w:rsid w:val="00257161"/>
    <w:rsid w:val="00257541"/>
    <w:rsid w:val="00257642"/>
    <w:rsid w:val="00257A39"/>
    <w:rsid w:val="00257AC4"/>
    <w:rsid w:val="00257BBE"/>
    <w:rsid w:val="002605A0"/>
    <w:rsid w:val="0026060F"/>
    <w:rsid w:val="00260E47"/>
    <w:rsid w:val="00260F16"/>
    <w:rsid w:val="00261EEF"/>
    <w:rsid w:val="00262A1A"/>
    <w:rsid w:val="00262A87"/>
    <w:rsid w:val="00264D26"/>
    <w:rsid w:val="00265047"/>
    <w:rsid w:val="0026576E"/>
    <w:rsid w:val="0026676A"/>
    <w:rsid w:val="00267642"/>
    <w:rsid w:val="00267834"/>
    <w:rsid w:val="00267AEA"/>
    <w:rsid w:val="00267DB8"/>
    <w:rsid w:val="00267E12"/>
    <w:rsid w:val="002700E6"/>
    <w:rsid w:val="002707CF"/>
    <w:rsid w:val="00272010"/>
    <w:rsid w:val="0027270F"/>
    <w:rsid w:val="0027294B"/>
    <w:rsid w:val="00273240"/>
    <w:rsid w:val="00273487"/>
    <w:rsid w:val="00273674"/>
    <w:rsid w:val="00273698"/>
    <w:rsid w:val="00273EB4"/>
    <w:rsid w:val="00273FF3"/>
    <w:rsid w:val="00274270"/>
    <w:rsid w:val="00274682"/>
    <w:rsid w:val="002748D3"/>
    <w:rsid w:val="00275158"/>
    <w:rsid w:val="00275C5A"/>
    <w:rsid w:val="00275FB0"/>
    <w:rsid w:val="00276975"/>
    <w:rsid w:val="00277700"/>
    <w:rsid w:val="00277DCB"/>
    <w:rsid w:val="00277F18"/>
    <w:rsid w:val="00277F65"/>
    <w:rsid w:val="00280C42"/>
    <w:rsid w:val="00281014"/>
    <w:rsid w:val="0028322C"/>
    <w:rsid w:val="00283CB0"/>
    <w:rsid w:val="00283CD3"/>
    <w:rsid w:val="002853C0"/>
    <w:rsid w:val="002859F9"/>
    <w:rsid w:val="00285AD4"/>
    <w:rsid w:val="00285BCE"/>
    <w:rsid w:val="00286282"/>
    <w:rsid w:val="0028665D"/>
    <w:rsid w:val="002872AE"/>
    <w:rsid w:val="00287C01"/>
    <w:rsid w:val="00287E71"/>
    <w:rsid w:val="00290170"/>
    <w:rsid w:val="00291D4F"/>
    <w:rsid w:val="00293389"/>
    <w:rsid w:val="0029365E"/>
    <w:rsid w:val="00293D23"/>
    <w:rsid w:val="00294107"/>
    <w:rsid w:val="0029425A"/>
    <w:rsid w:val="00295BF5"/>
    <w:rsid w:val="002974CA"/>
    <w:rsid w:val="002977D9"/>
    <w:rsid w:val="00297838"/>
    <w:rsid w:val="002979C6"/>
    <w:rsid w:val="00297AE5"/>
    <w:rsid w:val="002A0452"/>
    <w:rsid w:val="002A1132"/>
    <w:rsid w:val="002A14AB"/>
    <w:rsid w:val="002A2AD2"/>
    <w:rsid w:val="002A2ADE"/>
    <w:rsid w:val="002A2F50"/>
    <w:rsid w:val="002A2F72"/>
    <w:rsid w:val="002A484A"/>
    <w:rsid w:val="002A56F8"/>
    <w:rsid w:val="002A5EA9"/>
    <w:rsid w:val="002A7943"/>
    <w:rsid w:val="002B0329"/>
    <w:rsid w:val="002B05A1"/>
    <w:rsid w:val="002B09A4"/>
    <w:rsid w:val="002B1C1F"/>
    <w:rsid w:val="002B2384"/>
    <w:rsid w:val="002B2AAA"/>
    <w:rsid w:val="002B3C8B"/>
    <w:rsid w:val="002B432F"/>
    <w:rsid w:val="002B467E"/>
    <w:rsid w:val="002B5BA4"/>
    <w:rsid w:val="002B5ED6"/>
    <w:rsid w:val="002B62B3"/>
    <w:rsid w:val="002B6754"/>
    <w:rsid w:val="002B67D7"/>
    <w:rsid w:val="002B6851"/>
    <w:rsid w:val="002B68BF"/>
    <w:rsid w:val="002B6CCE"/>
    <w:rsid w:val="002B79C7"/>
    <w:rsid w:val="002B7A78"/>
    <w:rsid w:val="002C06D4"/>
    <w:rsid w:val="002C188D"/>
    <w:rsid w:val="002C1F2B"/>
    <w:rsid w:val="002C2510"/>
    <w:rsid w:val="002C2775"/>
    <w:rsid w:val="002C27C1"/>
    <w:rsid w:val="002C2B79"/>
    <w:rsid w:val="002C330D"/>
    <w:rsid w:val="002C3618"/>
    <w:rsid w:val="002C36E3"/>
    <w:rsid w:val="002C39B1"/>
    <w:rsid w:val="002C39C1"/>
    <w:rsid w:val="002C3BDB"/>
    <w:rsid w:val="002C3D6D"/>
    <w:rsid w:val="002C42A3"/>
    <w:rsid w:val="002C5099"/>
    <w:rsid w:val="002C5889"/>
    <w:rsid w:val="002C71CE"/>
    <w:rsid w:val="002D00D1"/>
    <w:rsid w:val="002D08F8"/>
    <w:rsid w:val="002D264D"/>
    <w:rsid w:val="002D26B0"/>
    <w:rsid w:val="002D2A06"/>
    <w:rsid w:val="002D32FB"/>
    <w:rsid w:val="002D3911"/>
    <w:rsid w:val="002D5070"/>
    <w:rsid w:val="002D577C"/>
    <w:rsid w:val="002D62FE"/>
    <w:rsid w:val="002D6F1C"/>
    <w:rsid w:val="002D7242"/>
    <w:rsid w:val="002D7545"/>
    <w:rsid w:val="002D7832"/>
    <w:rsid w:val="002D7BD6"/>
    <w:rsid w:val="002D7DC2"/>
    <w:rsid w:val="002E09FE"/>
    <w:rsid w:val="002E0FE8"/>
    <w:rsid w:val="002E1071"/>
    <w:rsid w:val="002E15B9"/>
    <w:rsid w:val="002E193A"/>
    <w:rsid w:val="002E2158"/>
    <w:rsid w:val="002E219E"/>
    <w:rsid w:val="002E2B25"/>
    <w:rsid w:val="002E2EFC"/>
    <w:rsid w:val="002E4182"/>
    <w:rsid w:val="002E4D82"/>
    <w:rsid w:val="002E4F02"/>
    <w:rsid w:val="002E64FB"/>
    <w:rsid w:val="002E7722"/>
    <w:rsid w:val="002F07BA"/>
    <w:rsid w:val="002F0DA9"/>
    <w:rsid w:val="002F1014"/>
    <w:rsid w:val="002F1847"/>
    <w:rsid w:val="002F1D58"/>
    <w:rsid w:val="002F1E3B"/>
    <w:rsid w:val="002F1FDC"/>
    <w:rsid w:val="002F20B2"/>
    <w:rsid w:val="002F28B1"/>
    <w:rsid w:val="002F3247"/>
    <w:rsid w:val="002F3265"/>
    <w:rsid w:val="002F3345"/>
    <w:rsid w:val="002F43A2"/>
    <w:rsid w:val="002F6035"/>
    <w:rsid w:val="002F643C"/>
    <w:rsid w:val="002F71C0"/>
    <w:rsid w:val="002F74B0"/>
    <w:rsid w:val="002F74F1"/>
    <w:rsid w:val="002F7736"/>
    <w:rsid w:val="00301017"/>
    <w:rsid w:val="0030124D"/>
    <w:rsid w:val="0030155F"/>
    <w:rsid w:val="00302580"/>
    <w:rsid w:val="00303680"/>
    <w:rsid w:val="00303B3E"/>
    <w:rsid w:val="003040D9"/>
    <w:rsid w:val="00304DF0"/>
    <w:rsid w:val="0030547A"/>
    <w:rsid w:val="00305754"/>
    <w:rsid w:val="0030587B"/>
    <w:rsid w:val="00305DF4"/>
    <w:rsid w:val="003067CC"/>
    <w:rsid w:val="00306D98"/>
    <w:rsid w:val="0030786C"/>
    <w:rsid w:val="00307D74"/>
    <w:rsid w:val="0031031A"/>
    <w:rsid w:val="00310981"/>
    <w:rsid w:val="00310FF4"/>
    <w:rsid w:val="00311D9B"/>
    <w:rsid w:val="003124D9"/>
    <w:rsid w:val="00312594"/>
    <w:rsid w:val="003134A6"/>
    <w:rsid w:val="00313D5C"/>
    <w:rsid w:val="00313E09"/>
    <w:rsid w:val="0031515C"/>
    <w:rsid w:val="00315498"/>
    <w:rsid w:val="00316474"/>
    <w:rsid w:val="00316E2D"/>
    <w:rsid w:val="00317902"/>
    <w:rsid w:val="00322107"/>
    <w:rsid w:val="00322355"/>
    <w:rsid w:val="00322846"/>
    <w:rsid w:val="00322BED"/>
    <w:rsid w:val="00322E18"/>
    <w:rsid w:val="003234F4"/>
    <w:rsid w:val="00325D85"/>
    <w:rsid w:val="00326645"/>
    <w:rsid w:val="00326649"/>
    <w:rsid w:val="00326B3F"/>
    <w:rsid w:val="00326DA7"/>
    <w:rsid w:val="003270E4"/>
    <w:rsid w:val="00327822"/>
    <w:rsid w:val="00327F86"/>
    <w:rsid w:val="00330DAA"/>
    <w:rsid w:val="00330F5C"/>
    <w:rsid w:val="0033114A"/>
    <w:rsid w:val="00331623"/>
    <w:rsid w:val="003319D4"/>
    <w:rsid w:val="003323BD"/>
    <w:rsid w:val="003325D8"/>
    <w:rsid w:val="00332E41"/>
    <w:rsid w:val="00333E89"/>
    <w:rsid w:val="0033500D"/>
    <w:rsid w:val="00335A6E"/>
    <w:rsid w:val="00336307"/>
    <w:rsid w:val="003366C9"/>
    <w:rsid w:val="003371B0"/>
    <w:rsid w:val="003371C1"/>
    <w:rsid w:val="003402FB"/>
    <w:rsid w:val="0034072B"/>
    <w:rsid w:val="00340DF1"/>
    <w:rsid w:val="00340FBD"/>
    <w:rsid w:val="003418A6"/>
    <w:rsid w:val="00343AFF"/>
    <w:rsid w:val="00343F24"/>
    <w:rsid w:val="00344B28"/>
    <w:rsid w:val="00345701"/>
    <w:rsid w:val="00346E6D"/>
    <w:rsid w:val="0034730F"/>
    <w:rsid w:val="003479AE"/>
    <w:rsid w:val="0035052A"/>
    <w:rsid w:val="003517F9"/>
    <w:rsid w:val="00351BA9"/>
    <w:rsid w:val="0035270E"/>
    <w:rsid w:val="003536EE"/>
    <w:rsid w:val="00353EE6"/>
    <w:rsid w:val="00354351"/>
    <w:rsid w:val="003549F7"/>
    <w:rsid w:val="00354F64"/>
    <w:rsid w:val="00355338"/>
    <w:rsid w:val="00355B11"/>
    <w:rsid w:val="0035620E"/>
    <w:rsid w:val="003567D3"/>
    <w:rsid w:val="0035680D"/>
    <w:rsid w:val="00356CC6"/>
    <w:rsid w:val="003575BE"/>
    <w:rsid w:val="00360345"/>
    <w:rsid w:val="0036093E"/>
    <w:rsid w:val="00360A59"/>
    <w:rsid w:val="00360F2A"/>
    <w:rsid w:val="00361033"/>
    <w:rsid w:val="003610D5"/>
    <w:rsid w:val="00361810"/>
    <w:rsid w:val="00361A05"/>
    <w:rsid w:val="003624C4"/>
    <w:rsid w:val="00362993"/>
    <w:rsid w:val="00363B00"/>
    <w:rsid w:val="0036401C"/>
    <w:rsid w:val="003650D0"/>
    <w:rsid w:val="003654AC"/>
    <w:rsid w:val="003656D6"/>
    <w:rsid w:val="003669E6"/>
    <w:rsid w:val="00367283"/>
    <w:rsid w:val="003678E9"/>
    <w:rsid w:val="00367D1A"/>
    <w:rsid w:val="003700BF"/>
    <w:rsid w:val="003710CF"/>
    <w:rsid w:val="0037134F"/>
    <w:rsid w:val="00371E8F"/>
    <w:rsid w:val="0037297D"/>
    <w:rsid w:val="0037358A"/>
    <w:rsid w:val="003750F6"/>
    <w:rsid w:val="00375256"/>
    <w:rsid w:val="003760FC"/>
    <w:rsid w:val="00377E37"/>
    <w:rsid w:val="003806FF"/>
    <w:rsid w:val="00380E53"/>
    <w:rsid w:val="00381303"/>
    <w:rsid w:val="00381732"/>
    <w:rsid w:val="00382946"/>
    <w:rsid w:val="003830E1"/>
    <w:rsid w:val="0038365C"/>
    <w:rsid w:val="0038369B"/>
    <w:rsid w:val="0038388B"/>
    <w:rsid w:val="00383B78"/>
    <w:rsid w:val="00385A9D"/>
    <w:rsid w:val="003870E5"/>
    <w:rsid w:val="00387121"/>
    <w:rsid w:val="00387AEC"/>
    <w:rsid w:val="00390114"/>
    <w:rsid w:val="003902B1"/>
    <w:rsid w:val="00390396"/>
    <w:rsid w:val="0039100A"/>
    <w:rsid w:val="00391484"/>
    <w:rsid w:val="0039179C"/>
    <w:rsid w:val="00392EB6"/>
    <w:rsid w:val="0039380F"/>
    <w:rsid w:val="00393B28"/>
    <w:rsid w:val="00394D45"/>
    <w:rsid w:val="003950E6"/>
    <w:rsid w:val="0039547F"/>
    <w:rsid w:val="003955A4"/>
    <w:rsid w:val="0039574C"/>
    <w:rsid w:val="00395926"/>
    <w:rsid w:val="00395D2A"/>
    <w:rsid w:val="00395DB7"/>
    <w:rsid w:val="003962DF"/>
    <w:rsid w:val="00396688"/>
    <w:rsid w:val="00396896"/>
    <w:rsid w:val="00396FD0"/>
    <w:rsid w:val="003971D9"/>
    <w:rsid w:val="00397946"/>
    <w:rsid w:val="00397A7E"/>
    <w:rsid w:val="003A0CFC"/>
    <w:rsid w:val="003A1646"/>
    <w:rsid w:val="003A1A7A"/>
    <w:rsid w:val="003A1C3D"/>
    <w:rsid w:val="003A2392"/>
    <w:rsid w:val="003A2831"/>
    <w:rsid w:val="003A3259"/>
    <w:rsid w:val="003A3CB6"/>
    <w:rsid w:val="003A3ED1"/>
    <w:rsid w:val="003A44DB"/>
    <w:rsid w:val="003A4C14"/>
    <w:rsid w:val="003A61F1"/>
    <w:rsid w:val="003A6AB3"/>
    <w:rsid w:val="003A73EB"/>
    <w:rsid w:val="003A7E9D"/>
    <w:rsid w:val="003B3050"/>
    <w:rsid w:val="003B30D9"/>
    <w:rsid w:val="003B3971"/>
    <w:rsid w:val="003B55D1"/>
    <w:rsid w:val="003B5B61"/>
    <w:rsid w:val="003B668D"/>
    <w:rsid w:val="003B67AB"/>
    <w:rsid w:val="003C064E"/>
    <w:rsid w:val="003C06E6"/>
    <w:rsid w:val="003C0B75"/>
    <w:rsid w:val="003C15A9"/>
    <w:rsid w:val="003C1654"/>
    <w:rsid w:val="003C2652"/>
    <w:rsid w:val="003C2C27"/>
    <w:rsid w:val="003C2E1F"/>
    <w:rsid w:val="003C43B7"/>
    <w:rsid w:val="003C47A8"/>
    <w:rsid w:val="003C4ADB"/>
    <w:rsid w:val="003C4B8B"/>
    <w:rsid w:val="003C5542"/>
    <w:rsid w:val="003C624E"/>
    <w:rsid w:val="003C6305"/>
    <w:rsid w:val="003C651D"/>
    <w:rsid w:val="003C6ED7"/>
    <w:rsid w:val="003C7C15"/>
    <w:rsid w:val="003C7D19"/>
    <w:rsid w:val="003C7D2F"/>
    <w:rsid w:val="003D081B"/>
    <w:rsid w:val="003D0C5A"/>
    <w:rsid w:val="003D125C"/>
    <w:rsid w:val="003D1828"/>
    <w:rsid w:val="003D18EF"/>
    <w:rsid w:val="003D1DE4"/>
    <w:rsid w:val="003D1E9A"/>
    <w:rsid w:val="003D2422"/>
    <w:rsid w:val="003D31C1"/>
    <w:rsid w:val="003D368C"/>
    <w:rsid w:val="003D39A1"/>
    <w:rsid w:val="003D3FBF"/>
    <w:rsid w:val="003D42B1"/>
    <w:rsid w:val="003D47E8"/>
    <w:rsid w:val="003D4A30"/>
    <w:rsid w:val="003D5E80"/>
    <w:rsid w:val="003D6315"/>
    <w:rsid w:val="003D64E1"/>
    <w:rsid w:val="003D6DBE"/>
    <w:rsid w:val="003D7452"/>
    <w:rsid w:val="003D7618"/>
    <w:rsid w:val="003D79BB"/>
    <w:rsid w:val="003D7C98"/>
    <w:rsid w:val="003D7D1B"/>
    <w:rsid w:val="003D7D9D"/>
    <w:rsid w:val="003D7E09"/>
    <w:rsid w:val="003E0523"/>
    <w:rsid w:val="003E0543"/>
    <w:rsid w:val="003E05BD"/>
    <w:rsid w:val="003E150E"/>
    <w:rsid w:val="003E1D3C"/>
    <w:rsid w:val="003E23B2"/>
    <w:rsid w:val="003E3670"/>
    <w:rsid w:val="003E36BE"/>
    <w:rsid w:val="003E3818"/>
    <w:rsid w:val="003E38B0"/>
    <w:rsid w:val="003E3B8C"/>
    <w:rsid w:val="003E41E4"/>
    <w:rsid w:val="003E4869"/>
    <w:rsid w:val="003E5603"/>
    <w:rsid w:val="003E6C27"/>
    <w:rsid w:val="003E749E"/>
    <w:rsid w:val="003E7BE9"/>
    <w:rsid w:val="003F328C"/>
    <w:rsid w:val="003F3B72"/>
    <w:rsid w:val="003F4156"/>
    <w:rsid w:val="003F5966"/>
    <w:rsid w:val="003F5ADF"/>
    <w:rsid w:val="003F6A7C"/>
    <w:rsid w:val="00400B29"/>
    <w:rsid w:val="00401167"/>
    <w:rsid w:val="004018CF"/>
    <w:rsid w:val="00402134"/>
    <w:rsid w:val="00402250"/>
    <w:rsid w:val="00402554"/>
    <w:rsid w:val="00402812"/>
    <w:rsid w:val="00402F30"/>
    <w:rsid w:val="004033BD"/>
    <w:rsid w:val="0040386C"/>
    <w:rsid w:val="004039DB"/>
    <w:rsid w:val="00404D6C"/>
    <w:rsid w:val="00404F6D"/>
    <w:rsid w:val="00405000"/>
    <w:rsid w:val="0040504B"/>
    <w:rsid w:val="0040585B"/>
    <w:rsid w:val="004059F4"/>
    <w:rsid w:val="00407EDF"/>
    <w:rsid w:val="00407FE5"/>
    <w:rsid w:val="004101B0"/>
    <w:rsid w:val="00410326"/>
    <w:rsid w:val="00410708"/>
    <w:rsid w:val="00410EC7"/>
    <w:rsid w:val="00411B39"/>
    <w:rsid w:val="00411D3E"/>
    <w:rsid w:val="004127A7"/>
    <w:rsid w:val="00413500"/>
    <w:rsid w:val="00413A1E"/>
    <w:rsid w:val="00413A7F"/>
    <w:rsid w:val="004141CE"/>
    <w:rsid w:val="00414476"/>
    <w:rsid w:val="00414C2E"/>
    <w:rsid w:val="004151CF"/>
    <w:rsid w:val="00416364"/>
    <w:rsid w:val="004169AF"/>
    <w:rsid w:val="0041756C"/>
    <w:rsid w:val="0042006F"/>
    <w:rsid w:val="004201F5"/>
    <w:rsid w:val="0042047F"/>
    <w:rsid w:val="00420684"/>
    <w:rsid w:val="00420AA6"/>
    <w:rsid w:val="00420B9F"/>
    <w:rsid w:val="00420C72"/>
    <w:rsid w:val="0042104F"/>
    <w:rsid w:val="004213DE"/>
    <w:rsid w:val="0042192C"/>
    <w:rsid w:val="00421A46"/>
    <w:rsid w:val="00421C50"/>
    <w:rsid w:val="00422260"/>
    <w:rsid w:val="004222FB"/>
    <w:rsid w:val="00422689"/>
    <w:rsid w:val="0042413F"/>
    <w:rsid w:val="00424395"/>
    <w:rsid w:val="00425BED"/>
    <w:rsid w:val="00425CE5"/>
    <w:rsid w:val="0042604B"/>
    <w:rsid w:val="00426820"/>
    <w:rsid w:val="004270AD"/>
    <w:rsid w:val="004274DE"/>
    <w:rsid w:val="004275DC"/>
    <w:rsid w:val="00427ED0"/>
    <w:rsid w:val="004303C1"/>
    <w:rsid w:val="0043140B"/>
    <w:rsid w:val="004319F8"/>
    <w:rsid w:val="00431E55"/>
    <w:rsid w:val="00431E99"/>
    <w:rsid w:val="0043212B"/>
    <w:rsid w:val="004321F6"/>
    <w:rsid w:val="00433044"/>
    <w:rsid w:val="004330F6"/>
    <w:rsid w:val="00433764"/>
    <w:rsid w:val="00433B63"/>
    <w:rsid w:val="00433C09"/>
    <w:rsid w:val="00434088"/>
    <w:rsid w:val="00434C59"/>
    <w:rsid w:val="004355DB"/>
    <w:rsid w:val="004358CF"/>
    <w:rsid w:val="00436752"/>
    <w:rsid w:val="004375B9"/>
    <w:rsid w:val="004376B3"/>
    <w:rsid w:val="00437A4D"/>
    <w:rsid w:val="00437CC6"/>
    <w:rsid w:val="00437EAD"/>
    <w:rsid w:val="0044004F"/>
    <w:rsid w:val="004403EA"/>
    <w:rsid w:val="00440567"/>
    <w:rsid w:val="0044096E"/>
    <w:rsid w:val="00441873"/>
    <w:rsid w:val="00441984"/>
    <w:rsid w:val="0044225B"/>
    <w:rsid w:val="004422EE"/>
    <w:rsid w:val="004428D0"/>
    <w:rsid w:val="00442994"/>
    <w:rsid w:val="00442FAB"/>
    <w:rsid w:val="00443431"/>
    <w:rsid w:val="00444017"/>
    <w:rsid w:val="00444185"/>
    <w:rsid w:val="004443A7"/>
    <w:rsid w:val="0044442C"/>
    <w:rsid w:val="00444D53"/>
    <w:rsid w:val="0044567C"/>
    <w:rsid w:val="00445941"/>
    <w:rsid w:val="004464EB"/>
    <w:rsid w:val="00447D26"/>
    <w:rsid w:val="00447DFC"/>
    <w:rsid w:val="00450E7C"/>
    <w:rsid w:val="00453593"/>
    <w:rsid w:val="004536CC"/>
    <w:rsid w:val="00454873"/>
    <w:rsid w:val="00454F72"/>
    <w:rsid w:val="00455D45"/>
    <w:rsid w:val="00456356"/>
    <w:rsid w:val="004568BB"/>
    <w:rsid w:val="00460985"/>
    <w:rsid w:val="00460D82"/>
    <w:rsid w:val="00460DDA"/>
    <w:rsid w:val="0046106C"/>
    <w:rsid w:val="00462083"/>
    <w:rsid w:val="0046225F"/>
    <w:rsid w:val="00463667"/>
    <w:rsid w:val="00463F07"/>
    <w:rsid w:val="00464595"/>
    <w:rsid w:val="004647AA"/>
    <w:rsid w:val="00464933"/>
    <w:rsid w:val="00464D67"/>
    <w:rsid w:val="0046510E"/>
    <w:rsid w:val="004658B5"/>
    <w:rsid w:val="00465EB3"/>
    <w:rsid w:val="00466376"/>
    <w:rsid w:val="00466B62"/>
    <w:rsid w:val="004672A3"/>
    <w:rsid w:val="00467798"/>
    <w:rsid w:val="00467E8D"/>
    <w:rsid w:val="00471260"/>
    <w:rsid w:val="00471EA5"/>
    <w:rsid w:val="00472A79"/>
    <w:rsid w:val="00473AA4"/>
    <w:rsid w:val="00473E0D"/>
    <w:rsid w:val="00473F19"/>
    <w:rsid w:val="00475A35"/>
    <w:rsid w:val="00475E22"/>
    <w:rsid w:val="00476049"/>
    <w:rsid w:val="00476FC0"/>
    <w:rsid w:val="00477245"/>
    <w:rsid w:val="0048038A"/>
    <w:rsid w:val="00480612"/>
    <w:rsid w:val="0048088E"/>
    <w:rsid w:val="00480F2B"/>
    <w:rsid w:val="00480F38"/>
    <w:rsid w:val="00481920"/>
    <w:rsid w:val="0048195C"/>
    <w:rsid w:val="004819A9"/>
    <w:rsid w:val="0048211E"/>
    <w:rsid w:val="004822C1"/>
    <w:rsid w:val="00482720"/>
    <w:rsid w:val="00483405"/>
    <w:rsid w:val="0048343E"/>
    <w:rsid w:val="004835E7"/>
    <w:rsid w:val="00483855"/>
    <w:rsid w:val="00484924"/>
    <w:rsid w:val="00484C43"/>
    <w:rsid w:val="00484DE4"/>
    <w:rsid w:val="00484F23"/>
    <w:rsid w:val="004859E1"/>
    <w:rsid w:val="004867E2"/>
    <w:rsid w:val="00487730"/>
    <w:rsid w:val="00487DC6"/>
    <w:rsid w:val="00487F42"/>
    <w:rsid w:val="00490426"/>
    <w:rsid w:val="004905B1"/>
    <w:rsid w:val="00490B17"/>
    <w:rsid w:val="00491B3A"/>
    <w:rsid w:val="00491C32"/>
    <w:rsid w:val="0049235E"/>
    <w:rsid w:val="00492392"/>
    <w:rsid w:val="00492704"/>
    <w:rsid w:val="00492CFD"/>
    <w:rsid w:val="00494207"/>
    <w:rsid w:val="004942F7"/>
    <w:rsid w:val="00494986"/>
    <w:rsid w:val="004949F4"/>
    <w:rsid w:val="00494DD5"/>
    <w:rsid w:val="00495068"/>
    <w:rsid w:val="0049570D"/>
    <w:rsid w:val="00495F5C"/>
    <w:rsid w:val="004962D2"/>
    <w:rsid w:val="004972C4"/>
    <w:rsid w:val="00497C35"/>
    <w:rsid w:val="00497CB3"/>
    <w:rsid w:val="004A066A"/>
    <w:rsid w:val="004A0AF1"/>
    <w:rsid w:val="004A0DA1"/>
    <w:rsid w:val="004A13D6"/>
    <w:rsid w:val="004A17ED"/>
    <w:rsid w:val="004A25D0"/>
    <w:rsid w:val="004A2CAD"/>
    <w:rsid w:val="004A52E9"/>
    <w:rsid w:val="004A56C4"/>
    <w:rsid w:val="004A6040"/>
    <w:rsid w:val="004A6597"/>
    <w:rsid w:val="004A6CFB"/>
    <w:rsid w:val="004A725F"/>
    <w:rsid w:val="004A780A"/>
    <w:rsid w:val="004A7848"/>
    <w:rsid w:val="004A793B"/>
    <w:rsid w:val="004B09F8"/>
    <w:rsid w:val="004B0FA0"/>
    <w:rsid w:val="004B1834"/>
    <w:rsid w:val="004B198A"/>
    <w:rsid w:val="004B1CB4"/>
    <w:rsid w:val="004B27AD"/>
    <w:rsid w:val="004B2C5D"/>
    <w:rsid w:val="004B2F18"/>
    <w:rsid w:val="004B358A"/>
    <w:rsid w:val="004B3DDB"/>
    <w:rsid w:val="004B44FD"/>
    <w:rsid w:val="004B4AB2"/>
    <w:rsid w:val="004B4B26"/>
    <w:rsid w:val="004B4BA3"/>
    <w:rsid w:val="004B4FA6"/>
    <w:rsid w:val="004B5CA6"/>
    <w:rsid w:val="004B5CFC"/>
    <w:rsid w:val="004B6F79"/>
    <w:rsid w:val="004B7157"/>
    <w:rsid w:val="004B774D"/>
    <w:rsid w:val="004B7D48"/>
    <w:rsid w:val="004C0582"/>
    <w:rsid w:val="004C1665"/>
    <w:rsid w:val="004C2AC2"/>
    <w:rsid w:val="004C3605"/>
    <w:rsid w:val="004C3B02"/>
    <w:rsid w:val="004C3EAA"/>
    <w:rsid w:val="004C4943"/>
    <w:rsid w:val="004C4AED"/>
    <w:rsid w:val="004C5EF0"/>
    <w:rsid w:val="004C6818"/>
    <w:rsid w:val="004C76E5"/>
    <w:rsid w:val="004C7A1A"/>
    <w:rsid w:val="004D01D2"/>
    <w:rsid w:val="004D0313"/>
    <w:rsid w:val="004D0A0F"/>
    <w:rsid w:val="004D0A1D"/>
    <w:rsid w:val="004D0C27"/>
    <w:rsid w:val="004D132C"/>
    <w:rsid w:val="004D2C2D"/>
    <w:rsid w:val="004D2D4E"/>
    <w:rsid w:val="004D401E"/>
    <w:rsid w:val="004D4577"/>
    <w:rsid w:val="004D476C"/>
    <w:rsid w:val="004D54E3"/>
    <w:rsid w:val="004D62B0"/>
    <w:rsid w:val="004D69B5"/>
    <w:rsid w:val="004D7227"/>
    <w:rsid w:val="004D745D"/>
    <w:rsid w:val="004D778B"/>
    <w:rsid w:val="004D7B5E"/>
    <w:rsid w:val="004E0D5B"/>
    <w:rsid w:val="004E0E7F"/>
    <w:rsid w:val="004E0EB8"/>
    <w:rsid w:val="004E0ECF"/>
    <w:rsid w:val="004E12F7"/>
    <w:rsid w:val="004E18E9"/>
    <w:rsid w:val="004E255C"/>
    <w:rsid w:val="004E2ADC"/>
    <w:rsid w:val="004E374F"/>
    <w:rsid w:val="004E3AD2"/>
    <w:rsid w:val="004E3E0B"/>
    <w:rsid w:val="004E43B2"/>
    <w:rsid w:val="004E4AEC"/>
    <w:rsid w:val="004E5225"/>
    <w:rsid w:val="004E5445"/>
    <w:rsid w:val="004E5809"/>
    <w:rsid w:val="004E62B0"/>
    <w:rsid w:val="004E6711"/>
    <w:rsid w:val="004E6AD6"/>
    <w:rsid w:val="004F0527"/>
    <w:rsid w:val="004F0CC2"/>
    <w:rsid w:val="004F1018"/>
    <w:rsid w:val="004F1D02"/>
    <w:rsid w:val="004F2679"/>
    <w:rsid w:val="004F2F21"/>
    <w:rsid w:val="004F3DE5"/>
    <w:rsid w:val="004F408F"/>
    <w:rsid w:val="004F4808"/>
    <w:rsid w:val="004F548B"/>
    <w:rsid w:val="004F5ACB"/>
    <w:rsid w:val="004F6469"/>
    <w:rsid w:val="004F6913"/>
    <w:rsid w:val="004F6C73"/>
    <w:rsid w:val="004F6EFE"/>
    <w:rsid w:val="004F734B"/>
    <w:rsid w:val="004F74B9"/>
    <w:rsid w:val="004F7865"/>
    <w:rsid w:val="004F7E04"/>
    <w:rsid w:val="00500506"/>
    <w:rsid w:val="00500DDA"/>
    <w:rsid w:val="005010D3"/>
    <w:rsid w:val="0050174E"/>
    <w:rsid w:val="00501854"/>
    <w:rsid w:val="005018E1"/>
    <w:rsid w:val="00501B97"/>
    <w:rsid w:val="0050219B"/>
    <w:rsid w:val="00503534"/>
    <w:rsid w:val="00503D3F"/>
    <w:rsid w:val="00503F17"/>
    <w:rsid w:val="00503F3A"/>
    <w:rsid w:val="005053B5"/>
    <w:rsid w:val="00505EE3"/>
    <w:rsid w:val="00506213"/>
    <w:rsid w:val="005063B5"/>
    <w:rsid w:val="005065CF"/>
    <w:rsid w:val="005065FF"/>
    <w:rsid w:val="00506928"/>
    <w:rsid w:val="00506E95"/>
    <w:rsid w:val="00506FCD"/>
    <w:rsid w:val="0050732C"/>
    <w:rsid w:val="005077EF"/>
    <w:rsid w:val="00511AD5"/>
    <w:rsid w:val="00511DC7"/>
    <w:rsid w:val="00512B0C"/>
    <w:rsid w:val="005142C5"/>
    <w:rsid w:val="00514CA6"/>
    <w:rsid w:val="0051501B"/>
    <w:rsid w:val="005152B5"/>
    <w:rsid w:val="00515825"/>
    <w:rsid w:val="00515886"/>
    <w:rsid w:val="00516E7D"/>
    <w:rsid w:val="005172EB"/>
    <w:rsid w:val="00517CF7"/>
    <w:rsid w:val="005203D2"/>
    <w:rsid w:val="00520DF7"/>
    <w:rsid w:val="005211CD"/>
    <w:rsid w:val="0052123C"/>
    <w:rsid w:val="00521319"/>
    <w:rsid w:val="0052157A"/>
    <w:rsid w:val="00521DB1"/>
    <w:rsid w:val="005229C4"/>
    <w:rsid w:val="00522BC8"/>
    <w:rsid w:val="00523A7C"/>
    <w:rsid w:val="00523C28"/>
    <w:rsid w:val="00525D1C"/>
    <w:rsid w:val="0052641F"/>
    <w:rsid w:val="00526922"/>
    <w:rsid w:val="0052702D"/>
    <w:rsid w:val="00527035"/>
    <w:rsid w:val="00531288"/>
    <w:rsid w:val="0053176B"/>
    <w:rsid w:val="0053245C"/>
    <w:rsid w:val="00532501"/>
    <w:rsid w:val="005336E3"/>
    <w:rsid w:val="00533CAB"/>
    <w:rsid w:val="005341B3"/>
    <w:rsid w:val="005360D9"/>
    <w:rsid w:val="00536634"/>
    <w:rsid w:val="00536F42"/>
    <w:rsid w:val="00536FEB"/>
    <w:rsid w:val="00537182"/>
    <w:rsid w:val="0054070E"/>
    <w:rsid w:val="00540A6A"/>
    <w:rsid w:val="005414ED"/>
    <w:rsid w:val="00541DCB"/>
    <w:rsid w:val="00541EDD"/>
    <w:rsid w:val="00542743"/>
    <w:rsid w:val="00542C2D"/>
    <w:rsid w:val="00543416"/>
    <w:rsid w:val="00543E7A"/>
    <w:rsid w:val="00544363"/>
    <w:rsid w:val="005451BD"/>
    <w:rsid w:val="00545335"/>
    <w:rsid w:val="00545B98"/>
    <w:rsid w:val="00546762"/>
    <w:rsid w:val="00546FA1"/>
    <w:rsid w:val="005478BD"/>
    <w:rsid w:val="005479E3"/>
    <w:rsid w:val="005517CA"/>
    <w:rsid w:val="00551985"/>
    <w:rsid w:val="0055223E"/>
    <w:rsid w:val="00552BD3"/>
    <w:rsid w:val="0055322B"/>
    <w:rsid w:val="005532A0"/>
    <w:rsid w:val="005549C4"/>
    <w:rsid w:val="00554C02"/>
    <w:rsid w:val="00554C90"/>
    <w:rsid w:val="00554D8A"/>
    <w:rsid w:val="00555109"/>
    <w:rsid w:val="005555D2"/>
    <w:rsid w:val="00556284"/>
    <w:rsid w:val="00556B04"/>
    <w:rsid w:val="00556B35"/>
    <w:rsid w:val="00556DD6"/>
    <w:rsid w:val="0055741A"/>
    <w:rsid w:val="00560142"/>
    <w:rsid w:val="005611B7"/>
    <w:rsid w:val="005618D4"/>
    <w:rsid w:val="00561E52"/>
    <w:rsid w:val="00562635"/>
    <w:rsid w:val="00563247"/>
    <w:rsid w:val="0056395D"/>
    <w:rsid w:val="00564867"/>
    <w:rsid w:val="00565A1C"/>
    <w:rsid w:val="00565C79"/>
    <w:rsid w:val="00565DF0"/>
    <w:rsid w:val="00566038"/>
    <w:rsid w:val="00566072"/>
    <w:rsid w:val="0056696F"/>
    <w:rsid w:val="00567E34"/>
    <w:rsid w:val="005703E1"/>
    <w:rsid w:val="00570F17"/>
    <w:rsid w:val="00572269"/>
    <w:rsid w:val="0057244A"/>
    <w:rsid w:val="00572F26"/>
    <w:rsid w:val="0057359B"/>
    <w:rsid w:val="0057487B"/>
    <w:rsid w:val="005750C5"/>
    <w:rsid w:val="005752DE"/>
    <w:rsid w:val="00575417"/>
    <w:rsid w:val="00575D60"/>
    <w:rsid w:val="00575D8D"/>
    <w:rsid w:val="00576972"/>
    <w:rsid w:val="00577248"/>
    <w:rsid w:val="00577FA8"/>
    <w:rsid w:val="00581436"/>
    <w:rsid w:val="005814B6"/>
    <w:rsid w:val="0058281C"/>
    <w:rsid w:val="00582AD2"/>
    <w:rsid w:val="00583699"/>
    <w:rsid w:val="0058423D"/>
    <w:rsid w:val="0058552D"/>
    <w:rsid w:val="00585CDD"/>
    <w:rsid w:val="00585D11"/>
    <w:rsid w:val="0058610B"/>
    <w:rsid w:val="00586637"/>
    <w:rsid w:val="00586755"/>
    <w:rsid w:val="00586AB7"/>
    <w:rsid w:val="00587058"/>
    <w:rsid w:val="005874DB"/>
    <w:rsid w:val="005902BD"/>
    <w:rsid w:val="005903EF"/>
    <w:rsid w:val="00590638"/>
    <w:rsid w:val="0059177D"/>
    <w:rsid w:val="00591957"/>
    <w:rsid w:val="00591FA5"/>
    <w:rsid w:val="00593039"/>
    <w:rsid w:val="00593648"/>
    <w:rsid w:val="00593F38"/>
    <w:rsid w:val="00595AC9"/>
    <w:rsid w:val="00595C7B"/>
    <w:rsid w:val="00596311"/>
    <w:rsid w:val="0059680B"/>
    <w:rsid w:val="00597746"/>
    <w:rsid w:val="00597BF9"/>
    <w:rsid w:val="005A0C11"/>
    <w:rsid w:val="005A12FF"/>
    <w:rsid w:val="005A3082"/>
    <w:rsid w:val="005A309A"/>
    <w:rsid w:val="005A373D"/>
    <w:rsid w:val="005A385F"/>
    <w:rsid w:val="005A3DB3"/>
    <w:rsid w:val="005A4B9E"/>
    <w:rsid w:val="005A4EE7"/>
    <w:rsid w:val="005A50B8"/>
    <w:rsid w:val="005A55AE"/>
    <w:rsid w:val="005A6F42"/>
    <w:rsid w:val="005A7AE8"/>
    <w:rsid w:val="005B0B58"/>
    <w:rsid w:val="005B0B81"/>
    <w:rsid w:val="005B0E5A"/>
    <w:rsid w:val="005B22C7"/>
    <w:rsid w:val="005B3312"/>
    <w:rsid w:val="005B4C03"/>
    <w:rsid w:val="005B4E53"/>
    <w:rsid w:val="005B5857"/>
    <w:rsid w:val="005B58EB"/>
    <w:rsid w:val="005B5C03"/>
    <w:rsid w:val="005B63E0"/>
    <w:rsid w:val="005B65F5"/>
    <w:rsid w:val="005C0B13"/>
    <w:rsid w:val="005C0CF7"/>
    <w:rsid w:val="005C0ED6"/>
    <w:rsid w:val="005C19C4"/>
    <w:rsid w:val="005C1B83"/>
    <w:rsid w:val="005C2164"/>
    <w:rsid w:val="005C25FF"/>
    <w:rsid w:val="005C2A46"/>
    <w:rsid w:val="005C2D55"/>
    <w:rsid w:val="005C346B"/>
    <w:rsid w:val="005C3A66"/>
    <w:rsid w:val="005C48A9"/>
    <w:rsid w:val="005C4928"/>
    <w:rsid w:val="005C4B9A"/>
    <w:rsid w:val="005C548E"/>
    <w:rsid w:val="005C5ABC"/>
    <w:rsid w:val="005C5AEF"/>
    <w:rsid w:val="005C63C7"/>
    <w:rsid w:val="005C6658"/>
    <w:rsid w:val="005C7457"/>
    <w:rsid w:val="005D044D"/>
    <w:rsid w:val="005D045E"/>
    <w:rsid w:val="005D0820"/>
    <w:rsid w:val="005D0ABD"/>
    <w:rsid w:val="005D11B0"/>
    <w:rsid w:val="005D18AD"/>
    <w:rsid w:val="005D21ED"/>
    <w:rsid w:val="005D239A"/>
    <w:rsid w:val="005D26B4"/>
    <w:rsid w:val="005D272B"/>
    <w:rsid w:val="005D2C83"/>
    <w:rsid w:val="005D2ED5"/>
    <w:rsid w:val="005D3953"/>
    <w:rsid w:val="005D3C7A"/>
    <w:rsid w:val="005D40E1"/>
    <w:rsid w:val="005D41F3"/>
    <w:rsid w:val="005D566B"/>
    <w:rsid w:val="005D5A35"/>
    <w:rsid w:val="005D62E2"/>
    <w:rsid w:val="005D6E8A"/>
    <w:rsid w:val="005D783F"/>
    <w:rsid w:val="005E053D"/>
    <w:rsid w:val="005E114B"/>
    <w:rsid w:val="005E1995"/>
    <w:rsid w:val="005E26C7"/>
    <w:rsid w:val="005E2A18"/>
    <w:rsid w:val="005E336F"/>
    <w:rsid w:val="005E3C51"/>
    <w:rsid w:val="005E3F0C"/>
    <w:rsid w:val="005E44D0"/>
    <w:rsid w:val="005E45EF"/>
    <w:rsid w:val="005E5F58"/>
    <w:rsid w:val="005E62C2"/>
    <w:rsid w:val="005E6CBC"/>
    <w:rsid w:val="005E72FF"/>
    <w:rsid w:val="005E73C0"/>
    <w:rsid w:val="005E7861"/>
    <w:rsid w:val="005F07ED"/>
    <w:rsid w:val="005F080A"/>
    <w:rsid w:val="005F0AF0"/>
    <w:rsid w:val="005F0D45"/>
    <w:rsid w:val="005F2706"/>
    <w:rsid w:val="005F2BBA"/>
    <w:rsid w:val="005F2F27"/>
    <w:rsid w:val="005F3E4E"/>
    <w:rsid w:val="005F43AA"/>
    <w:rsid w:val="005F44F9"/>
    <w:rsid w:val="005F4F27"/>
    <w:rsid w:val="005F6097"/>
    <w:rsid w:val="005F6738"/>
    <w:rsid w:val="005F6A8E"/>
    <w:rsid w:val="005F6A8F"/>
    <w:rsid w:val="005F6BB7"/>
    <w:rsid w:val="005F7588"/>
    <w:rsid w:val="006005A7"/>
    <w:rsid w:val="0060140F"/>
    <w:rsid w:val="006028D3"/>
    <w:rsid w:val="00602AD6"/>
    <w:rsid w:val="00603DB9"/>
    <w:rsid w:val="00605181"/>
    <w:rsid w:val="00605CDA"/>
    <w:rsid w:val="00606B9A"/>
    <w:rsid w:val="00606DC3"/>
    <w:rsid w:val="00606FBA"/>
    <w:rsid w:val="00607637"/>
    <w:rsid w:val="00607669"/>
    <w:rsid w:val="006076F4"/>
    <w:rsid w:val="00607AFD"/>
    <w:rsid w:val="0061035D"/>
    <w:rsid w:val="0061123C"/>
    <w:rsid w:val="00611B12"/>
    <w:rsid w:val="006122C5"/>
    <w:rsid w:val="0061232F"/>
    <w:rsid w:val="006124B2"/>
    <w:rsid w:val="006128B4"/>
    <w:rsid w:val="00612C8A"/>
    <w:rsid w:val="00612D5E"/>
    <w:rsid w:val="00612F97"/>
    <w:rsid w:val="00612FF1"/>
    <w:rsid w:val="0061345D"/>
    <w:rsid w:val="006146B4"/>
    <w:rsid w:val="00614D39"/>
    <w:rsid w:val="0061549B"/>
    <w:rsid w:val="006165DC"/>
    <w:rsid w:val="00616802"/>
    <w:rsid w:val="00617E12"/>
    <w:rsid w:val="00620C25"/>
    <w:rsid w:val="00621477"/>
    <w:rsid w:val="00621ADA"/>
    <w:rsid w:val="00622CF5"/>
    <w:rsid w:val="00622FF0"/>
    <w:rsid w:val="0062315A"/>
    <w:rsid w:val="00623491"/>
    <w:rsid w:val="00623F7B"/>
    <w:rsid w:val="006243B5"/>
    <w:rsid w:val="006245BE"/>
    <w:rsid w:val="00624AB2"/>
    <w:rsid w:val="00624BD4"/>
    <w:rsid w:val="00625CD8"/>
    <w:rsid w:val="0063082E"/>
    <w:rsid w:val="0063158F"/>
    <w:rsid w:val="00631D6B"/>
    <w:rsid w:val="00632183"/>
    <w:rsid w:val="006321AD"/>
    <w:rsid w:val="00632829"/>
    <w:rsid w:val="00632E3B"/>
    <w:rsid w:val="006330A1"/>
    <w:rsid w:val="0063479F"/>
    <w:rsid w:val="00634D76"/>
    <w:rsid w:val="006353F0"/>
    <w:rsid w:val="006357B5"/>
    <w:rsid w:val="00635898"/>
    <w:rsid w:val="006364A1"/>
    <w:rsid w:val="0063678E"/>
    <w:rsid w:val="0063734D"/>
    <w:rsid w:val="006379B1"/>
    <w:rsid w:val="00637BFD"/>
    <w:rsid w:val="00637C5C"/>
    <w:rsid w:val="00640258"/>
    <w:rsid w:val="00640665"/>
    <w:rsid w:val="00640916"/>
    <w:rsid w:val="00640C01"/>
    <w:rsid w:val="00641C4E"/>
    <w:rsid w:val="00641FB3"/>
    <w:rsid w:val="00643FF3"/>
    <w:rsid w:val="0064434C"/>
    <w:rsid w:val="00644440"/>
    <w:rsid w:val="00644D63"/>
    <w:rsid w:val="00644D94"/>
    <w:rsid w:val="00645583"/>
    <w:rsid w:val="006458F5"/>
    <w:rsid w:val="00645CF7"/>
    <w:rsid w:val="006466E0"/>
    <w:rsid w:val="006471CC"/>
    <w:rsid w:val="006472FE"/>
    <w:rsid w:val="006478D3"/>
    <w:rsid w:val="00647A29"/>
    <w:rsid w:val="0065030B"/>
    <w:rsid w:val="00650313"/>
    <w:rsid w:val="0065079F"/>
    <w:rsid w:val="00651247"/>
    <w:rsid w:val="00651F0D"/>
    <w:rsid w:val="00652A28"/>
    <w:rsid w:val="00652A7D"/>
    <w:rsid w:val="0065379F"/>
    <w:rsid w:val="006538B8"/>
    <w:rsid w:val="00654855"/>
    <w:rsid w:val="00654A3A"/>
    <w:rsid w:val="00655037"/>
    <w:rsid w:val="006552EC"/>
    <w:rsid w:val="00655772"/>
    <w:rsid w:val="00656188"/>
    <w:rsid w:val="0065715A"/>
    <w:rsid w:val="006572E5"/>
    <w:rsid w:val="006577D2"/>
    <w:rsid w:val="00660C79"/>
    <w:rsid w:val="006610F1"/>
    <w:rsid w:val="006612EE"/>
    <w:rsid w:val="00661C6B"/>
    <w:rsid w:val="00662D3E"/>
    <w:rsid w:val="0066301B"/>
    <w:rsid w:val="00663FFC"/>
    <w:rsid w:val="00665A7A"/>
    <w:rsid w:val="00666F3F"/>
    <w:rsid w:val="00667461"/>
    <w:rsid w:val="00667BE3"/>
    <w:rsid w:val="00670582"/>
    <w:rsid w:val="00670FA2"/>
    <w:rsid w:val="00671004"/>
    <w:rsid w:val="00671035"/>
    <w:rsid w:val="006725E6"/>
    <w:rsid w:val="00672646"/>
    <w:rsid w:val="00673F63"/>
    <w:rsid w:val="00674130"/>
    <w:rsid w:val="00674725"/>
    <w:rsid w:val="0067475D"/>
    <w:rsid w:val="00674971"/>
    <w:rsid w:val="00674E42"/>
    <w:rsid w:val="00674FDC"/>
    <w:rsid w:val="0067575C"/>
    <w:rsid w:val="00675A39"/>
    <w:rsid w:val="00676220"/>
    <w:rsid w:val="00676310"/>
    <w:rsid w:val="00676563"/>
    <w:rsid w:val="006767F1"/>
    <w:rsid w:val="0067692E"/>
    <w:rsid w:val="00677275"/>
    <w:rsid w:val="006777E0"/>
    <w:rsid w:val="006777EE"/>
    <w:rsid w:val="0068093F"/>
    <w:rsid w:val="00680AEE"/>
    <w:rsid w:val="006813F8"/>
    <w:rsid w:val="00681795"/>
    <w:rsid w:val="00681F08"/>
    <w:rsid w:val="00682112"/>
    <w:rsid w:val="00682BA6"/>
    <w:rsid w:val="0068302A"/>
    <w:rsid w:val="006830A2"/>
    <w:rsid w:val="006831DC"/>
    <w:rsid w:val="0068400B"/>
    <w:rsid w:val="006849C6"/>
    <w:rsid w:val="00685AAF"/>
    <w:rsid w:val="00686294"/>
    <w:rsid w:val="00686957"/>
    <w:rsid w:val="006872BA"/>
    <w:rsid w:val="0069043E"/>
    <w:rsid w:val="00690795"/>
    <w:rsid w:val="00691320"/>
    <w:rsid w:val="00691648"/>
    <w:rsid w:val="006917D7"/>
    <w:rsid w:val="00694275"/>
    <w:rsid w:val="0069434C"/>
    <w:rsid w:val="00694F44"/>
    <w:rsid w:val="006952EA"/>
    <w:rsid w:val="006965A6"/>
    <w:rsid w:val="0069683A"/>
    <w:rsid w:val="00696EF9"/>
    <w:rsid w:val="00696F51"/>
    <w:rsid w:val="006974F9"/>
    <w:rsid w:val="006979A5"/>
    <w:rsid w:val="00697C4E"/>
    <w:rsid w:val="006A016F"/>
    <w:rsid w:val="006A0752"/>
    <w:rsid w:val="006A0DF7"/>
    <w:rsid w:val="006A23E1"/>
    <w:rsid w:val="006A25D5"/>
    <w:rsid w:val="006A262B"/>
    <w:rsid w:val="006A2FD6"/>
    <w:rsid w:val="006A3E52"/>
    <w:rsid w:val="006A4321"/>
    <w:rsid w:val="006A43D9"/>
    <w:rsid w:val="006A5484"/>
    <w:rsid w:val="006A61AC"/>
    <w:rsid w:val="006A6B99"/>
    <w:rsid w:val="006A6D33"/>
    <w:rsid w:val="006A733C"/>
    <w:rsid w:val="006A7BF6"/>
    <w:rsid w:val="006A7CDE"/>
    <w:rsid w:val="006A7E5F"/>
    <w:rsid w:val="006B261B"/>
    <w:rsid w:val="006B2C4D"/>
    <w:rsid w:val="006B2C90"/>
    <w:rsid w:val="006B34DA"/>
    <w:rsid w:val="006B3540"/>
    <w:rsid w:val="006B35CD"/>
    <w:rsid w:val="006B35E6"/>
    <w:rsid w:val="006B3E7B"/>
    <w:rsid w:val="006B465A"/>
    <w:rsid w:val="006B675A"/>
    <w:rsid w:val="006B682B"/>
    <w:rsid w:val="006B6DD0"/>
    <w:rsid w:val="006B762D"/>
    <w:rsid w:val="006B784D"/>
    <w:rsid w:val="006B7C1B"/>
    <w:rsid w:val="006B7E4E"/>
    <w:rsid w:val="006C00D8"/>
    <w:rsid w:val="006C0399"/>
    <w:rsid w:val="006C0AB0"/>
    <w:rsid w:val="006C10BC"/>
    <w:rsid w:val="006C1FAF"/>
    <w:rsid w:val="006C2A8E"/>
    <w:rsid w:val="006C2EC7"/>
    <w:rsid w:val="006C3255"/>
    <w:rsid w:val="006C395B"/>
    <w:rsid w:val="006C3F26"/>
    <w:rsid w:val="006C571B"/>
    <w:rsid w:val="006C58EF"/>
    <w:rsid w:val="006C5E09"/>
    <w:rsid w:val="006C6880"/>
    <w:rsid w:val="006C6AC3"/>
    <w:rsid w:val="006C7386"/>
    <w:rsid w:val="006D03CD"/>
    <w:rsid w:val="006D0D17"/>
    <w:rsid w:val="006D16CE"/>
    <w:rsid w:val="006D20A0"/>
    <w:rsid w:val="006D3C7D"/>
    <w:rsid w:val="006D4659"/>
    <w:rsid w:val="006D5675"/>
    <w:rsid w:val="006D5A60"/>
    <w:rsid w:val="006D5D5F"/>
    <w:rsid w:val="006D668D"/>
    <w:rsid w:val="006D68FB"/>
    <w:rsid w:val="006D6AAB"/>
    <w:rsid w:val="006D6C1C"/>
    <w:rsid w:val="006D7624"/>
    <w:rsid w:val="006E0E0B"/>
    <w:rsid w:val="006E1042"/>
    <w:rsid w:val="006E1403"/>
    <w:rsid w:val="006E1539"/>
    <w:rsid w:val="006E15D8"/>
    <w:rsid w:val="006E1940"/>
    <w:rsid w:val="006E1CCE"/>
    <w:rsid w:val="006E2868"/>
    <w:rsid w:val="006E2D57"/>
    <w:rsid w:val="006E300B"/>
    <w:rsid w:val="006E4276"/>
    <w:rsid w:val="006E6AF7"/>
    <w:rsid w:val="006F0DC5"/>
    <w:rsid w:val="006F2005"/>
    <w:rsid w:val="006F2233"/>
    <w:rsid w:val="006F306C"/>
    <w:rsid w:val="006F3531"/>
    <w:rsid w:val="006F5B80"/>
    <w:rsid w:val="006F63A5"/>
    <w:rsid w:val="006F6F1D"/>
    <w:rsid w:val="006F775C"/>
    <w:rsid w:val="006F7E76"/>
    <w:rsid w:val="007001DA"/>
    <w:rsid w:val="007004E0"/>
    <w:rsid w:val="0070050A"/>
    <w:rsid w:val="007005A0"/>
    <w:rsid w:val="0070133B"/>
    <w:rsid w:val="0070142B"/>
    <w:rsid w:val="0070276E"/>
    <w:rsid w:val="00702A75"/>
    <w:rsid w:val="00702CEE"/>
    <w:rsid w:val="00702F8F"/>
    <w:rsid w:val="00703029"/>
    <w:rsid w:val="007030D8"/>
    <w:rsid w:val="007032A0"/>
    <w:rsid w:val="0070341F"/>
    <w:rsid w:val="007042A5"/>
    <w:rsid w:val="00705CB3"/>
    <w:rsid w:val="0070662E"/>
    <w:rsid w:val="007066DC"/>
    <w:rsid w:val="007066E4"/>
    <w:rsid w:val="00706F92"/>
    <w:rsid w:val="0070794D"/>
    <w:rsid w:val="00707953"/>
    <w:rsid w:val="007079FC"/>
    <w:rsid w:val="00710360"/>
    <w:rsid w:val="00710C76"/>
    <w:rsid w:val="00711A36"/>
    <w:rsid w:val="00711F28"/>
    <w:rsid w:val="007125D3"/>
    <w:rsid w:val="00712DB6"/>
    <w:rsid w:val="00714C26"/>
    <w:rsid w:val="00714CFA"/>
    <w:rsid w:val="00714F3D"/>
    <w:rsid w:val="0071529C"/>
    <w:rsid w:val="00716B98"/>
    <w:rsid w:val="007170DA"/>
    <w:rsid w:val="007172AD"/>
    <w:rsid w:val="00717546"/>
    <w:rsid w:val="00720801"/>
    <w:rsid w:val="00720A2C"/>
    <w:rsid w:val="00721FDD"/>
    <w:rsid w:val="0072201B"/>
    <w:rsid w:val="00722644"/>
    <w:rsid w:val="00722B1B"/>
    <w:rsid w:val="00723271"/>
    <w:rsid w:val="00723739"/>
    <w:rsid w:val="0072416F"/>
    <w:rsid w:val="00724429"/>
    <w:rsid w:val="00725C71"/>
    <w:rsid w:val="00725E41"/>
    <w:rsid w:val="00725E63"/>
    <w:rsid w:val="00725E7A"/>
    <w:rsid w:val="00726595"/>
    <w:rsid w:val="00727B03"/>
    <w:rsid w:val="00727C94"/>
    <w:rsid w:val="007303FF"/>
    <w:rsid w:val="0073044F"/>
    <w:rsid w:val="00731708"/>
    <w:rsid w:val="00731B0A"/>
    <w:rsid w:val="00731EAE"/>
    <w:rsid w:val="00731FF7"/>
    <w:rsid w:val="00732D45"/>
    <w:rsid w:val="00733073"/>
    <w:rsid w:val="00733D43"/>
    <w:rsid w:val="00734376"/>
    <w:rsid w:val="00735033"/>
    <w:rsid w:val="00735328"/>
    <w:rsid w:val="00735C4F"/>
    <w:rsid w:val="00735EC0"/>
    <w:rsid w:val="0073685B"/>
    <w:rsid w:val="00737D87"/>
    <w:rsid w:val="0074001A"/>
    <w:rsid w:val="0074161C"/>
    <w:rsid w:val="00741F19"/>
    <w:rsid w:val="00742184"/>
    <w:rsid w:val="007422BF"/>
    <w:rsid w:val="0074246F"/>
    <w:rsid w:val="00743278"/>
    <w:rsid w:val="007442B9"/>
    <w:rsid w:val="007445B0"/>
    <w:rsid w:val="007449BF"/>
    <w:rsid w:val="00744B92"/>
    <w:rsid w:val="00745060"/>
    <w:rsid w:val="00745820"/>
    <w:rsid w:val="007463FE"/>
    <w:rsid w:val="007464E3"/>
    <w:rsid w:val="00746BC0"/>
    <w:rsid w:val="00750172"/>
    <w:rsid w:val="00750ACD"/>
    <w:rsid w:val="007510B4"/>
    <w:rsid w:val="00751872"/>
    <w:rsid w:val="00751884"/>
    <w:rsid w:val="00752142"/>
    <w:rsid w:val="007523F9"/>
    <w:rsid w:val="0075357E"/>
    <w:rsid w:val="00753B29"/>
    <w:rsid w:val="00753D12"/>
    <w:rsid w:val="00754826"/>
    <w:rsid w:val="007550D2"/>
    <w:rsid w:val="007556EA"/>
    <w:rsid w:val="00755CDE"/>
    <w:rsid w:val="007565D2"/>
    <w:rsid w:val="00757150"/>
    <w:rsid w:val="007572F5"/>
    <w:rsid w:val="007573E8"/>
    <w:rsid w:val="00757400"/>
    <w:rsid w:val="00760C4E"/>
    <w:rsid w:val="00760F9E"/>
    <w:rsid w:val="007616E6"/>
    <w:rsid w:val="00762152"/>
    <w:rsid w:val="007627BE"/>
    <w:rsid w:val="00763823"/>
    <w:rsid w:val="0076490A"/>
    <w:rsid w:val="00764F03"/>
    <w:rsid w:val="00765B1A"/>
    <w:rsid w:val="00765CE9"/>
    <w:rsid w:val="00765DC1"/>
    <w:rsid w:val="00765DF7"/>
    <w:rsid w:val="00766141"/>
    <w:rsid w:val="007661F4"/>
    <w:rsid w:val="00767025"/>
    <w:rsid w:val="00767245"/>
    <w:rsid w:val="0077048D"/>
    <w:rsid w:val="00770E92"/>
    <w:rsid w:val="007713E2"/>
    <w:rsid w:val="00771E12"/>
    <w:rsid w:val="0077298E"/>
    <w:rsid w:val="00772AFE"/>
    <w:rsid w:val="00773037"/>
    <w:rsid w:val="007731CC"/>
    <w:rsid w:val="00773359"/>
    <w:rsid w:val="00773536"/>
    <w:rsid w:val="00774D28"/>
    <w:rsid w:val="00774DED"/>
    <w:rsid w:val="00775C6C"/>
    <w:rsid w:val="007766BF"/>
    <w:rsid w:val="00776A29"/>
    <w:rsid w:val="0077724A"/>
    <w:rsid w:val="00777335"/>
    <w:rsid w:val="0077734F"/>
    <w:rsid w:val="00777481"/>
    <w:rsid w:val="0077794A"/>
    <w:rsid w:val="00777A8A"/>
    <w:rsid w:val="007821EB"/>
    <w:rsid w:val="007831A6"/>
    <w:rsid w:val="00783481"/>
    <w:rsid w:val="00783B34"/>
    <w:rsid w:val="007843F2"/>
    <w:rsid w:val="007846FA"/>
    <w:rsid w:val="00784E14"/>
    <w:rsid w:val="00785596"/>
    <w:rsid w:val="00785610"/>
    <w:rsid w:val="00785A9F"/>
    <w:rsid w:val="0078602E"/>
    <w:rsid w:val="00786831"/>
    <w:rsid w:val="00786C5F"/>
    <w:rsid w:val="00786D67"/>
    <w:rsid w:val="007870D1"/>
    <w:rsid w:val="00791076"/>
    <w:rsid w:val="00791A00"/>
    <w:rsid w:val="00791B8E"/>
    <w:rsid w:val="00791CB9"/>
    <w:rsid w:val="00791E54"/>
    <w:rsid w:val="007922B3"/>
    <w:rsid w:val="007925DF"/>
    <w:rsid w:val="00793BA0"/>
    <w:rsid w:val="00794E4A"/>
    <w:rsid w:val="007953E3"/>
    <w:rsid w:val="00795E6E"/>
    <w:rsid w:val="007963FC"/>
    <w:rsid w:val="007964C8"/>
    <w:rsid w:val="00797101"/>
    <w:rsid w:val="00797789"/>
    <w:rsid w:val="00797881"/>
    <w:rsid w:val="007978C4"/>
    <w:rsid w:val="00797F25"/>
    <w:rsid w:val="007A08AA"/>
    <w:rsid w:val="007A0A12"/>
    <w:rsid w:val="007A122D"/>
    <w:rsid w:val="007A132D"/>
    <w:rsid w:val="007A1345"/>
    <w:rsid w:val="007A213A"/>
    <w:rsid w:val="007A2276"/>
    <w:rsid w:val="007A2DDB"/>
    <w:rsid w:val="007A31A3"/>
    <w:rsid w:val="007A41DE"/>
    <w:rsid w:val="007A4544"/>
    <w:rsid w:val="007A475D"/>
    <w:rsid w:val="007A51C5"/>
    <w:rsid w:val="007A53DE"/>
    <w:rsid w:val="007A5A89"/>
    <w:rsid w:val="007A66DF"/>
    <w:rsid w:val="007A6720"/>
    <w:rsid w:val="007A70BA"/>
    <w:rsid w:val="007B0D68"/>
    <w:rsid w:val="007B10E4"/>
    <w:rsid w:val="007B204B"/>
    <w:rsid w:val="007B251D"/>
    <w:rsid w:val="007B2AA2"/>
    <w:rsid w:val="007B2B98"/>
    <w:rsid w:val="007B2C36"/>
    <w:rsid w:val="007B3533"/>
    <w:rsid w:val="007B3C63"/>
    <w:rsid w:val="007B3D30"/>
    <w:rsid w:val="007B4ED8"/>
    <w:rsid w:val="007B4F58"/>
    <w:rsid w:val="007B528D"/>
    <w:rsid w:val="007B61CC"/>
    <w:rsid w:val="007B63CA"/>
    <w:rsid w:val="007B65EA"/>
    <w:rsid w:val="007B69A6"/>
    <w:rsid w:val="007B77D1"/>
    <w:rsid w:val="007C021F"/>
    <w:rsid w:val="007C07C7"/>
    <w:rsid w:val="007C0A05"/>
    <w:rsid w:val="007C0B50"/>
    <w:rsid w:val="007C0FA5"/>
    <w:rsid w:val="007C0FF6"/>
    <w:rsid w:val="007C1485"/>
    <w:rsid w:val="007C18E7"/>
    <w:rsid w:val="007C1C62"/>
    <w:rsid w:val="007C1CD9"/>
    <w:rsid w:val="007C25C4"/>
    <w:rsid w:val="007C2A0F"/>
    <w:rsid w:val="007C2C8D"/>
    <w:rsid w:val="007C32EF"/>
    <w:rsid w:val="007C361D"/>
    <w:rsid w:val="007C3A4D"/>
    <w:rsid w:val="007C3FF0"/>
    <w:rsid w:val="007C4B84"/>
    <w:rsid w:val="007C5328"/>
    <w:rsid w:val="007C560B"/>
    <w:rsid w:val="007C59D5"/>
    <w:rsid w:val="007C696C"/>
    <w:rsid w:val="007C70FF"/>
    <w:rsid w:val="007C764C"/>
    <w:rsid w:val="007C765F"/>
    <w:rsid w:val="007C7C25"/>
    <w:rsid w:val="007C7CC8"/>
    <w:rsid w:val="007D004F"/>
    <w:rsid w:val="007D035F"/>
    <w:rsid w:val="007D06B2"/>
    <w:rsid w:val="007D0ABB"/>
    <w:rsid w:val="007D0B38"/>
    <w:rsid w:val="007D10C3"/>
    <w:rsid w:val="007D2240"/>
    <w:rsid w:val="007D3D63"/>
    <w:rsid w:val="007D4CF8"/>
    <w:rsid w:val="007D5440"/>
    <w:rsid w:val="007D5CAD"/>
    <w:rsid w:val="007D63FC"/>
    <w:rsid w:val="007D649B"/>
    <w:rsid w:val="007D6735"/>
    <w:rsid w:val="007D69EB"/>
    <w:rsid w:val="007D6B1F"/>
    <w:rsid w:val="007D73C7"/>
    <w:rsid w:val="007D7869"/>
    <w:rsid w:val="007E00CD"/>
    <w:rsid w:val="007E0336"/>
    <w:rsid w:val="007E092E"/>
    <w:rsid w:val="007E128F"/>
    <w:rsid w:val="007E17A0"/>
    <w:rsid w:val="007E18D5"/>
    <w:rsid w:val="007E1CF8"/>
    <w:rsid w:val="007E1FEE"/>
    <w:rsid w:val="007E2969"/>
    <w:rsid w:val="007E3268"/>
    <w:rsid w:val="007E3DA8"/>
    <w:rsid w:val="007E47B3"/>
    <w:rsid w:val="007E4BC4"/>
    <w:rsid w:val="007E5010"/>
    <w:rsid w:val="007E656E"/>
    <w:rsid w:val="007E7432"/>
    <w:rsid w:val="007F022E"/>
    <w:rsid w:val="007F084F"/>
    <w:rsid w:val="007F0BDC"/>
    <w:rsid w:val="007F1017"/>
    <w:rsid w:val="007F10F2"/>
    <w:rsid w:val="007F1797"/>
    <w:rsid w:val="007F1892"/>
    <w:rsid w:val="007F1CCC"/>
    <w:rsid w:val="007F27BF"/>
    <w:rsid w:val="007F2C50"/>
    <w:rsid w:val="007F3252"/>
    <w:rsid w:val="007F35A2"/>
    <w:rsid w:val="007F412D"/>
    <w:rsid w:val="007F4A3F"/>
    <w:rsid w:val="007F4A61"/>
    <w:rsid w:val="007F5255"/>
    <w:rsid w:val="007F56CC"/>
    <w:rsid w:val="007F61C2"/>
    <w:rsid w:val="007F673B"/>
    <w:rsid w:val="007F6AE6"/>
    <w:rsid w:val="007F78D6"/>
    <w:rsid w:val="007F79E1"/>
    <w:rsid w:val="007F7AEE"/>
    <w:rsid w:val="0080043C"/>
    <w:rsid w:val="00800A9E"/>
    <w:rsid w:val="00801405"/>
    <w:rsid w:val="00801EC2"/>
    <w:rsid w:val="00802678"/>
    <w:rsid w:val="008026E8"/>
    <w:rsid w:val="008028CD"/>
    <w:rsid w:val="00804587"/>
    <w:rsid w:val="00805109"/>
    <w:rsid w:val="00805142"/>
    <w:rsid w:val="0080566B"/>
    <w:rsid w:val="00805FCE"/>
    <w:rsid w:val="00807A8B"/>
    <w:rsid w:val="00807C7D"/>
    <w:rsid w:val="00811383"/>
    <w:rsid w:val="008118FC"/>
    <w:rsid w:val="00812149"/>
    <w:rsid w:val="008123B4"/>
    <w:rsid w:val="00812CAC"/>
    <w:rsid w:val="00813212"/>
    <w:rsid w:val="00813430"/>
    <w:rsid w:val="008138B9"/>
    <w:rsid w:val="00814247"/>
    <w:rsid w:val="00814A2C"/>
    <w:rsid w:val="00814BD7"/>
    <w:rsid w:val="00815AA5"/>
    <w:rsid w:val="008161E6"/>
    <w:rsid w:val="0081620D"/>
    <w:rsid w:val="00816361"/>
    <w:rsid w:val="00816593"/>
    <w:rsid w:val="008166EF"/>
    <w:rsid w:val="00816FEF"/>
    <w:rsid w:val="00817223"/>
    <w:rsid w:val="00817245"/>
    <w:rsid w:val="0081782D"/>
    <w:rsid w:val="00817BF2"/>
    <w:rsid w:val="00820246"/>
    <w:rsid w:val="008208C9"/>
    <w:rsid w:val="00820A8C"/>
    <w:rsid w:val="008214BC"/>
    <w:rsid w:val="008215FB"/>
    <w:rsid w:val="008220CC"/>
    <w:rsid w:val="00823174"/>
    <w:rsid w:val="0082491C"/>
    <w:rsid w:val="00824EB6"/>
    <w:rsid w:val="00825034"/>
    <w:rsid w:val="00825653"/>
    <w:rsid w:val="00825751"/>
    <w:rsid w:val="008264EB"/>
    <w:rsid w:val="008268CE"/>
    <w:rsid w:val="008276DB"/>
    <w:rsid w:val="00827A83"/>
    <w:rsid w:val="00827C23"/>
    <w:rsid w:val="008301E2"/>
    <w:rsid w:val="008308DC"/>
    <w:rsid w:val="00830B9F"/>
    <w:rsid w:val="00831704"/>
    <w:rsid w:val="00831DA4"/>
    <w:rsid w:val="00832329"/>
    <w:rsid w:val="00832612"/>
    <w:rsid w:val="00832A4A"/>
    <w:rsid w:val="008332B8"/>
    <w:rsid w:val="00833B05"/>
    <w:rsid w:val="008340AE"/>
    <w:rsid w:val="00834368"/>
    <w:rsid w:val="00835712"/>
    <w:rsid w:val="008362B4"/>
    <w:rsid w:val="0083710E"/>
    <w:rsid w:val="00840101"/>
    <w:rsid w:val="00840B02"/>
    <w:rsid w:val="00840C83"/>
    <w:rsid w:val="00840CA2"/>
    <w:rsid w:val="008411F6"/>
    <w:rsid w:val="008427C7"/>
    <w:rsid w:val="008432AA"/>
    <w:rsid w:val="0084374F"/>
    <w:rsid w:val="00843978"/>
    <w:rsid w:val="00843B2B"/>
    <w:rsid w:val="00843B4A"/>
    <w:rsid w:val="00843E15"/>
    <w:rsid w:val="00844A22"/>
    <w:rsid w:val="008455D5"/>
    <w:rsid w:val="00846347"/>
    <w:rsid w:val="00846726"/>
    <w:rsid w:val="00846861"/>
    <w:rsid w:val="00847656"/>
    <w:rsid w:val="00847703"/>
    <w:rsid w:val="00847DF5"/>
    <w:rsid w:val="00851352"/>
    <w:rsid w:val="00851FC6"/>
    <w:rsid w:val="00852205"/>
    <w:rsid w:val="0085309D"/>
    <w:rsid w:val="0085317B"/>
    <w:rsid w:val="0085337B"/>
    <w:rsid w:val="00853B1D"/>
    <w:rsid w:val="00853EE6"/>
    <w:rsid w:val="00854BCB"/>
    <w:rsid w:val="00854E92"/>
    <w:rsid w:val="00855B02"/>
    <w:rsid w:val="00855CAB"/>
    <w:rsid w:val="00856088"/>
    <w:rsid w:val="00856897"/>
    <w:rsid w:val="00856E9A"/>
    <w:rsid w:val="00856FFA"/>
    <w:rsid w:val="0086004F"/>
    <w:rsid w:val="008601EB"/>
    <w:rsid w:val="0086075D"/>
    <w:rsid w:val="008607C3"/>
    <w:rsid w:val="00861634"/>
    <w:rsid w:val="00862502"/>
    <w:rsid w:val="00862CC1"/>
    <w:rsid w:val="008642A7"/>
    <w:rsid w:val="00864B65"/>
    <w:rsid w:val="008656EB"/>
    <w:rsid w:val="00865E39"/>
    <w:rsid w:val="008660D4"/>
    <w:rsid w:val="0086661E"/>
    <w:rsid w:val="00866902"/>
    <w:rsid w:val="008673B1"/>
    <w:rsid w:val="00867AF3"/>
    <w:rsid w:val="00867B36"/>
    <w:rsid w:val="00867DB7"/>
    <w:rsid w:val="0087084C"/>
    <w:rsid w:val="00870E35"/>
    <w:rsid w:val="00871580"/>
    <w:rsid w:val="00871638"/>
    <w:rsid w:val="0087178D"/>
    <w:rsid w:val="00871FA9"/>
    <w:rsid w:val="00872148"/>
    <w:rsid w:val="00872276"/>
    <w:rsid w:val="00872852"/>
    <w:rsid w:val="008728E9"/>
    <w:rsid w:val="00873191"/>
    <w:rsid w:val="008736E2"/>
    <w:rsid w:val="0087375B"/>
    <w:rsid w:val="00875ADE"/>
    <w:rsid w:val="008768F5"/>
    <w:rsid w:val="00880235"/>
    <w:rsid w:val="00880C66"/>
    <w:rsid w:val="00880D7B"/>
    <w:rsid w:val="008811B9"/>
    <w:rsid w:val="00881462"/>
    <w:rsid w:val="00881A03"/>
    <w:rsid w:val="00881B6D"/>
    <w:rsid w:val="00881B86"/>
    <w:rsid w:val="00881FAD"/>
    <w:rsid w:val="00882874"/>
    <w:rsid w:val="008828C9"/>
    <w:rsid w:val="00882E3C"/>
    <w:rsid w:val="0088308A"/>
    <w:rsid w:val="008832CC"/>
    <w:rsid w:val="00883787"/>
    <w:rsid w:val="008842F8"/>
    <w:rsid w:val="008850FD"/>
    <w:rsid w:val="008855E4"/>
    <w:rsid w:val="00886174"/>
    <w:rsid w:val="008865B6"/>
    <w:rsid w:val="00886B5D"/>
    <w:rsid w:val="00886CD2"/>
    <w:rsid w:val="0088777B"/>
    <w:rsid w:val="008877D4"/>
    <w:rsid w:val="00887924"/>
    <w:rsid w:val="00891E6F"/>
    <w:rsid w:val="008921D7"/>
    <w:rsid w:val="008923B7"/>
    <w:rsid w:val="0089275D"/>
    <w:rsid w:val="00892A36"/>
    <w:rsid w:val="00892B5D"/>
    <w:rsid w:val="00893239"/>
    <w:rsid w:val="00893A62"/>
    <w:rsid w:val="0089420E"/>
    <w:rsid w:val="00894489"/>
    <w:rsid w:val="00894CD6"/>
    <w:rsid w:val="00895937"/>
    <w:rsid w:val="00895E64"/>
    <w:rsid w:val="008963A5"/>
    <w:rsid w:val="00896D5D"/>
    <w:rsid w:val="00896E34"/>
    <w:rsid w:val="00897D18"/>
    <w:rsid w:val="008A014E"/>
    <w:rsid w:val="008A0404"/>
    <w:rsid w:val="008A2791"/>
    <w:rsid w:val="008A3158"/>
    <w:rsid w:val="008A3363"/>
    <w:rsid w:val="008A3371"/>
    <w:rsid w:val="008A36EC"/>
    <w:rsid w:val="008A3C3E"/>
    <w:rsid w:val="008A3C64"/>
    <w:rsid w:val="008A3EB6"/>
    <w:rsid w:val="008A46E3"/>
    <w:rsid w:val="008A4BB3"/>
    <w:rsid w:val="008A4C2D"/>
    <w:rsid w:val="008A585E"/>
    <w:rsid w:val="008A769C"/>
    <w:rsid w:val="008A79DE"/>
    <w:rsid w:val="008B01CA"/>
    <w:rsid w:val="008B1757"/>
    <w:rsid w:val="008B1C33"/>
    <w:rsid w:val="008B234F"/>
    <w:rsid w:val="008B3FC1"/>
    <w:rsid w:val="008B4B6F"/>
    <w:rsid w:val="008B5501"/>
    <w:rsid w:val="008B56B2"/>
    <w:rsid w:val="008B66D7"/>
    <w:rsid w:val="008B6CFB"/>
    <w:rsid w:val="008B6D03"/>
    <w:rsid w:val="008B6EA5"/>
    <w:rsid w:val="008B738B"/>
    <w:rsid w:val="008B7904"/>
    <w:rsid w:val="008B7992"/>
    <w:rsid w:val="008B7D7E"/>
    <w:rsid w:val="008C0CDB"/>
    <w:rsid w:val="008C1AB0"/>
    <w:rsid w:val="008C2157"/>
    <w:rsid w:val="008C2F64"/>
    <w:rsid w:val="008C333C"/>
    <w:rsid w:val="008C4211"/>
    <w:rsid w:val="008C4CA1"/>
    <w:rsid w:val="008C5610"/>
    <w:rsid w:val="008C5739"/>
    <w:rsid w:val="008C588C"/>
    <w:rsid w:val="008C5ECA"/>
    <w:rsid w:val="008C66B3"/>
    <w:rsid w:val="008C68B0"/>
    <w:rsid w:val="008C6971"/>
    <w:rsid w:val="008C69BB"/>
    <w:rsid w:val="008C7282"/>
    <w:rsid w:val="008C767B"/>
    <w:rsid w:val="008C79A3"/>
    <w:rsid w:val="008C7ECB"/>
    <w:rsid w:val="008D0052"/>
    <w:rsid w:val="008D065C"/>
    <w:rsid w:val="008D1419"/>
    <w:rsid w:val="008D18BC"/>
    <w:rsid w:val="008D35B8"/>
    <w:rsid w:val="008D3B86"/>
    <w:rsid w:val="008D3BDF"/>
    <w:rsid w:val="008D3F31"/>
    <w:rsid w:val="008D43FD"/>
    <w:rsid w:val="008D4755"/>
    <w:rsid w:val="008D4C3D"/>
    <w:rsid w:val="008D636C"/>
    <w:rsid w:val="008D69C0"/>
    <w:rsid w:val="008D6C11"/>
    <w:rsid w:val="008D743C"/>
    <w:rsid w:val="008D77C3"/>
    <w:rsid w:val="008D788B"/>
    <w:rsid w:val="008E0124"/>
    <w:rsid w:val="008E025C"/>
    <w:rsid w:val="008E0D3C"/>
    <w:rsid w:val="008E0DCD"/>
    <w:rsid w:val="008E1B9E"/>
    <w:rsid w:val="008E1E26"/>
    <w:rsid w:val="008E20A5"/>
    <w:rsid w:val="008E3885"/>
    <w:rsid w:val="008E433E"/>
    <w:rsid w:val="008E4D74"/>
    <w:rsid w:val="008E55AB"/>
    <w:rsid w:val="008E5AD3"/>
    <w:rsid w:val="008E6032"/>
    <w:rsid w:val="008E605F"/>
    <w:rsid w:val="008E6588"/>
    <w:rsid w:val="008E6625"/>
    <w:rsid w:val="008E6737"/>
    <w:rsid w:val="008F03D0"/>
    <w:rsid w:val="008F0E9F"/>
    <w:rsid w:val="008F120A"/>
    <w:rsid w:val="008F178A"/>
    <w:rsid w:val="008F1DEB"/>
    <w:rsid w:val="008F27E0"/>
    <w:rsid w:val="008F32EA"/>
    <w:rsid w:val="008F48EB"/>
    <w:rsid w:val="008F4BC5"/>
    <w:rsid w:val="008F4BCF"/>
    <w:rsid w:val="008F4F0B"/>
    <w:rsid w:val="008F5823"/>
    <w:rsid w:val="008F5C36"/>
    <w:rsid w:val="008F5D8C"/>
    <w:rsid w:val="008F6116"/>
    <w:rsid w:val="008F6A96"/>
    <w:rsid w:val="008F6E50"/>
    <w:rsid w:val="008F706A"/>
    <w:rsid w:val="008F7BAA"/>
    <w:rsid w:val="00900244"/>
    <w:rsid w:val="00900D03"/>
    <w:rsid w:val="00901513"/>
    <w:rsid w:val="009019B5"/>
    <w:rsid w:val="00901C23"/>
    <w:rsid w:val="00903478"/>
    <w:rsid w:val="00903D5A"/>
    <w:rsid w:val="009042F0"/>
    <w:rsid w:val="009045A1"/>
    <w:rsid w:val="009046C4"/>
    <w:rsid w:val="00904A3B"/>
    <w:rsid w:val="009050F3"/>
    <w:rsid w:val="00905AFC"/>
    <w:rsid w:val="0090617F"/>
    <w:rsid w:val="009062A5"/>
    <w:rsid w:val="0090758D"/>
    <w:rsid w:val="00907699"/>
    <w:rsid w:val="00907884"/>
    <w:rsid w:val="009101B8"/>
    <w:rsid w:val="00910AFF"/>
    <w:rsid w:val="00910FA7"/>
    <w:rsid w:val="00911272"/>
    <w:rsid w:val="00911339"/>
    <w:rsid w:val="00912D47"/>
    <w:rsid w:val="009135D6"/>
    <w:rsid w:val="00913653"/>
    <w:rsid w:val="00913848"/>
    <w:rsid w:val="009138AC"/>
    <w:rsid w:val="009147CB"/>
    <w:rsid w:val="00914C77"/>
    <w:rsid w:val="00917A46"/>
    <w:rsid w:val="0092012F"/>
    <w:rsid w:val="009212D6"/>
    <w:rsid w:val="00921ACB"/>
    <w:rsid w:val="00921D63"/>
    <w:rsid w:val="00921EF5"/>
    <w:rsid w:val="00921FFB"/>
    <w:rsid w:val="00922485"/>
    <w:rsid w:val="009228E4"/>
    <w:rsid w:val="009229F8"/>
    <w:rsid w:val="00923121"/>
    <w:rsid w:val="0092369B"/>
    <w:rsid w:val="00923B6D"/>
    <w:rsid w:val="00923F24"/>
    <w:rsid w:val="009248C5"/>
    <w:rsid w:val="00925635"/>
    <w:rsid w:val="0092567D"/>
    <w:rsid w:val="0092602F"/>
    <w:rsid w:val="0092710B"/>
    <w:rsid w:val="0092770F"/>
    <w:rsid w:val="009279F5"/>
    <w:rsid w:val="00927A3D"/>
    <w:rsid w:val="00930341"/>
    <w:rsid w:val="009316AA"/>
    <w:rsid w:val="00931713"/>
    <w:rsid w:val="00932D4F"/>
    <w:rsid w:val="00933BDC"/>
    <w:rsid w:val="009345EE"/>
    <w:rsid w:val="00934988"/>
    <w:rsid w:val="0093552D"/>
    <w:rsid w:val="0093591F"/>
    <w:rsid w:val="00937089"/>
    <w:rsid w:val="0093752A"/>
    <w:rsid w:val="009378AA"/>
    <w:rsid w:val="00937BA9"/>
    <w:rsid w:val="00937E9A"/>
    <w:rsid w:val="00937F72"/>
    <w:rsid w:val="009400AC"/>
    <w:rsid w:val="00941117"/>
    <w:rsid w:val="009412A0"/>
    <w:rsid w:val="00941347"/>
    <w:rsid w:val="00941B1D"/>
    <w:rsid w:val="00942AAA"/>
    <w:rsid w:val="00942E02"/>
    <w:rsid w:val="00944F8A"/>
    <w:rsid w:val="00946434"/>
    <w:rsid w:val="00946CC5"/>
    <w:rsid w:val="0094736B"/>
    <w:rsid w:val="00947A98"/>
    <w:rsid w:val="009502B7"/>
    <w:rsid w:val="009510A2"/>
    <w:rsid w:val="00953257"/>
    <w:rsid w:val="009542B9"/>
    <w:rsid w:val="00954444"/>
    <w:rsid w:val="0095452E"/>
    <w:rsid w:val="0095474C"/>
    <w:rsid w:val="00954BDA"/>
    <w:rsid w:val="00954DA0"/>
    <w:rsid w:val="00954EBF"/>
    <w:rsid w:val="0095612A"/>
    <w:rsid w:val="00956777"/>
    <w:rsid w:val="00957553"/>
    <w:rsid w:val="00957A94"/>
    <w:rsid w:val="00957D92"/>
    <w:rsid w:val="009601B7"/>
    <w:rsid w:val="00960B48"/>
    <w:rsid w:val="00960EC5"/>
    <w:rsid w:val="00961F49"/>
    <w:rsid w:val="00962CB9"/>
    <w:rsid w:val="00963144"/>
    <w:rsid w:val="00963632"/>
    <w:rsid w:val="00964312"/>
    <w:rsid w:val="0096437F"/>
    <w:rsid w:val="00965B8A"/>
    <w:rsid w:val="00965DF0"/>
    <w:rsid w:val="0096635B"/>
    <w:rsid w:val="00966498"/>
    <w:rsid w:val="00966BBC"/>
    <w:rsid w:val="0097071F"/>
    <w:rsid w:val="009708A8"/>
    <w:rsid w:val="00970D01"/>
    <w:rsid w:val="00970EBF"/>
    <w:rsid w:val="0097133D"/>
    <w:rsid w:val="009717AC"/>
    <w:rsid w:val="0097221C"/>
    <w:rsid w:val="00972B5B"/>
    <w:rsid w:val="00972BA5"/>
    <w:rsid w:val="00973AF9"/>
    <w:rsid w:val="00973E20"/>
    <w:rsid w:val="00973F7C"/>
    <w:rsid w:val="009751C1"/>
    <w:rsid w:val="009773BF"/>
    <w:rsid w:val="0098021F"/>
    <w:rsid w:val="009811F1"/>
    <w:rsid w:val="009813B5"/>
    <w:rsid w:val="009817F1"/>
    <w:rsid w:val="00981DD3"/>
    <w:rsid w:val="0098262F"/>
    <w:rsid w:val="009827FD"/>
    <w:rsid w:val="009839E0"/>
    <w:rsid w:val="00983E57"/>
    <w:rsid w:val="00984885"/>
    <w:rsid w:val="00984BB3"/>
    <w:rsid w:val="00984FC4"/>
    <w:rsid w:val="00985DE2"/>
    <w:rsid w:val="0098675D"/>
    <w:rsid w:val="00987849"/>
    <w:rsid w:val="009878CC"/>
    <w:rsid w:val="00987973"/>
    <w:rsid w:val="00987BA4"/>
    <w:rsid w:val="00991AD9"/>
    <w:rsid w:val="00991C00"/>
    <w:rsid w:val="00991D39"/>
    <w:rsid w:val="009926E0"/>
    <w:rsid w:val="00992E90"/>
    <w:rsid w:val="0099451E"/>
    <w:rsid w:val="0099480F"/>
    <w:rsid w:val="00994B84"/>
    <w:rsid w:val="00994F9E"/>
    <w:rsid w:val="0099568D"/>
    <w:rsid w:val="009969A9"/>
    <w:rsid w:val="00996A20"/>
    <w:rsid w:val="00996B1A"/>
    <w:rsid w:val="00996D3B"/>
    <w:rsid w:val="0099755E"/>
    <w:rsid w:val="009A0112"/>
    <w:rsid w:val="009A0E31"/>
    <w:rsid w:val="009A11F5"/>
    <w:rsid w:val="009A1384"/>
    <w:rsid w:val="009A18F6"/>
    <w:rsid w:val="009A22D6"/>
    <w:rsid w:val="009A2DCC"/>
    <w:rsid w:val="009A345A"/>
    <w:rsid w:val="009A36DA"/>
    <w:rsid w:val="009A39AC"/>
    <w:rsid w:val="009A3E29"/>
    <w:rsid w:val="009A47FB"/>
    <w:rsid w:val="009A5ABC"/>
    <w:rsid w:val="009A7924"/>
    <w:rsid w:val="009A7F10"/>
    <w:rsid w:val="009B0100"/>
    <w:rsid w:val="009B20CA"/>
    <w:rsid w:val="009B393D"/>
    <w:rsid w:val="009B3E26"/>
    <w:rsid w:val="009B53EE"/>
    <w:rsid w:val="009B5F6D"/>
    <w:rsid w:val="009B6080"/>
    <w:rsid w:val="009B7B21"/>
    <w:rsid w:val="009B7F92"/>
    <w:rsid w:val="009C06E1"/>
    <w:rsid w:val="009C0902"/>
    <w:rsid w:val="009C0DDC"/>
    <w:rsid w:val="009C1271"/>
    <w:rsid w:val="009C1A79"/>
    <w:rsid w:val="009C2703"/>
    <w:rsid w:val="009C3706"/>
    <w:rsid w:val="009C3A3A"/>
    <w:rsid w:val="009C3AC3"/>
    <w:rsid w:val="009C3FF9"/>
    <w:rsid w:val="009C426B"/>
    <w:rsid w:val="009C47DD"/>
    <w:rsid w:val="009C5A0D"/>
    <w:rsid w:val="009C5E48"/>
    <w:rsid w:val="009C6760"/>
    <w:rsid w:val="009C6B8B"/>
    <w:rsid w:val="009C6CEA"/>
    <w:rsid w:val="009C7544"/>
    <w:rsid w:val="009C7B85"/>
    <w:rsid w:val="009C7C4F"/>
    <w:rsid w:val="009C7E90"/>
    <w:rsid w:val="009C7EE4"/>
    <w:rsid w:val="009D0038"/>
    <w:rsid w:val="009D0254"/>
    <w:rsid w:val="009D0BDD"/>
    <w:rsid w:val="009D0C11"/>
    <w:rsid w:val="009D1A64"/>
    <w:rsid w:val="009D4FAD"/>
    <w:rsid w:val="009D55EA"/>
    <w:rsid w:val="009D56DA"/>
    <w:rsid w:val="009D5B91"/>
    <w:rsid w:val="009D5F29"/>
    <w:rsid w:val="009D647A"/>
    <w:rsid w:val="009D6B57"/>
    <w:rsid w:val="009D6F6F"/>
    <w:rsid w:val="009D73EC"/>
    <w:rsid w:val="009D792E"/>
    <w:rsid w:val="009E02B7"/>
    <w:rsid w:val="009E0DFE"/>
    <w:rsid w:val="009E168C"/>
    <w:rsid w:val="009E21DF"/>
    <w:rsid w:val="009E2265"/>
    <w:rsid w:val="009E2A90"/>
    <w:rsid w:val="009E31F6"/>
    <w:rsid w:val="009E33E6"/>
    <w:rsid w:val="009E3993"/>
    <w:rsid w:val="009E3AB1"/>
    <w:rsid w:val="009E3D8E"/>
    <w:rsid w:val="009E4A12"/>
    <w:rsid w:val="009E4C07"/>
    <w:rsid w:val="009E62EC"/>
    <w:rsid w:val="009E7104"/>
    <w:rsid w:val="009E770F"/>
    <w:rsid w:val="009E777F"/>
    <w:rsid w:val="009E7886"/>
    <w:rsid w:val="009F2184"/>
    <w:rsid w:val="009F2E82"/>
    <w:rsid w:val="009F3F83"/>
    <w:rsid w:val="009F48DB"/>
    <w:rsid w:val="009F5077"/>
    <w:rsid w:val="009F6120"/>
    <w:rsid w:val="009F78EF"/>
    <w:rsid w:val="009F79E3"/>
    <w:rsid w:val="00A00D76"/>
    <w:rsid w:val="00A00E98"/>
    <w:rsid w:val="00A01184"/>
    <w:rsid w:val="00A01449"/>
    <w:rsid w:val="00A01754"/>
    <w:rsid w:val="00A01790"/>
    <w:rsid w:val="00A01E2C"/>
    <w:rsid w:val="00A022EA"/>
    <w:rsid w:val="00A02494"/>
    <w:rsid w:val="00A028E6"/>
    <w:rsid w:val="00A033CE"/>
    <w:rsid w:val="00A037C2"/>
    <w:rsid w:val="00A03909"/>
    <w:rsid w:val="00A0393F"/>
    <w:rsid w:val="00A03D43"/>
    <w:rsid w:val="00A03DA6"/>
    <w:rsid w:val="00A04380"/>
    <w:rsid w:val="00A04786"/>
    <w:rsid w:val="00A05472"/>
    <w:rsid w:val="00A05C32"/>
    <w:rsid w:val="00A06432"/>
    <w:rsid w:val="00A0653F"/>
    <w:rsid w:val="00A0673D"/>
    <w:rsid w:val="00A06CB2"/>
    <w:rsid w:val="00A07304"/>
    <w:rsid w:val="00A07E67"/>
    <w:rsid w:val="00A10810"/>
    <w:rsid w:val="00A10875"/>
    <w:rsid w:val="00A11C53"/>
    <w:rsid w:val="00A11CD0"/>
    <w:rsid w:val="00A13948"/>
    <w:rsid w:val="00A13A89"/>
    <w:rsid w:val="00A14CA6"/>
    <w:rsid w:val="00A14DDC"/>
    <w:rsid w:val="00A14FD4"/>
    <w:rsid w:val="00A1555B"/>
    <w:rsid w:val="00A155C5"/>
    <w:rsid w:val="00A15FCF"/>
    <w:rsid w:val="00A16AD8"/>
    <w:rsid w:val="00A16F80"/>
    <w:rsid w:val="00A176E5"/>
    <w:rsid w:val="00A179F8"/>
    <w:rsid w:val="00A2021E"/>
    <w:rsid w:val="00A2072D"/>
    <w:rsid w:val="00A213A3"/>
    <w:rsid w:val="00A21457"/>
    <w:rsid w:val="00A21C95"/>
    <w:rsid w:val="00A21CF3"/>
    <w:rsid w:val="00A21D58"/>
    <w:rsid w:val="00A223D5"/>
    <w:rsid w:val="00A22E44"/>
    <w:rsid w:val="00A22ECE"/>
    <w:rsid w:val="00A23133"/>
    <w:rsid w:val="00A231B5"/>
    <w:rsid w:val="00A24596"/>
    <w:rsid w:val="00A245EC"/>
    <w:rsid w:val="00A24813"/>
    <w:rsid w:val="00A25643"/>
    <w:rsid w:val="00A2582D"/>
    <w:rsid w:val="00A25D81"/>
    <w:rsid w:val="00A269F8"/>
    <w:rsid w:val="00A26CE6"/>
    <w:rsid w:val="00A26D30"/>
    <w:rsid w:val="00A27451"/>
    <w:rsid w:val="00A275B3"/>
    <w:rsid w:val="00A27AEC"/>
    <w:rsid w:val="00A31021"/>
    <w:rsid w:val="00A3195D"/>
    <w:rsid w:val="00A320DB"/>
    <w:rsid w:val="00A32806"/>
    <w:rsid w:val="00A32E82"/>
    <w:rsid w:val="00A334B1"/>
    <w:rsid w:val="00A345E4"/>
    <w:rsid w:val="00A35D16"/>
    <w:rsid w:val="00A37BCD"/>
    <w:rsid w:val="00A37DFB"/>
    <w:rsid w:val="00A37E32"/>
    <w:rsid w:val="00A40B4F"/>
    <w:rsid w:val="00A40EA3"/>
    <w:rsid w:val="00A41319"/>
    <w:rsid w:val="00A41689"/>
    <w:rsid w:val="00A41C2B"/>
    <w:rsid w:val="00A42592"/>
    <w:rsid w:val="00A439C6"/>
    <w:rsid w:val="00A43C59"/>
    <w:rsid w:val="00A43EFA"/>
    <w:rsid w:val="00A443B5"/>
    <w:rsid w:val="00A445D7"/>
    <w:rsid w:val="00A456B9"/>
    <w:rsid w:val="00A50ECD"/>
    <w:rsid w:val="00A518F3"/>
    <w:rsid w:val="00A5269D"/>
    <w:rsid w:val="00A52729"/>
    <w:rsid w:val="00A52878"/>
    <w:rsid w:val="00A532A4"/>
    <w:rsid w:val="00A5336C"/>
    <w:rsid w:val="00A533A8"/>
    <w:rsid w:val="00A53675"/>
    <w:rsid w:val="00A5388E"/>
    <w:rsid w:val="00A53FCA"/>
    <w:rsid w:val="00A54079"/>
    <w:rsid w:val="00A54572"/>
    <w:rsid w:val="00A551B4"/>
    <w:rsid w:val="00A551E5"/>
    <w:rsid w:val="00A55B8A"/>
    <w:rsid w:val="00A564D7"/>
    <w:rsid w:val="00A568B8"/>
    <w:rsid w:val="00A56B6A"/>
    <w:rsid w:val="00A56C27"/>
    <w:rsid w:val="00A56E21"/>
    <w:rsid w:val="00A5755D"/>
    <w:rsid w:val="00A578DC"/>
    <w:rsid w:val="00A57C96"/>
    <w:rsid w:val="00A616D3"/>
    <w:rsid w:val="00A62465"/>
    <w:rsid w:val="00A640E2"/>
    <w:rsid w:val="00A6473D"/>
    <w:rsid w:val="00A64D65"/>
    <w:rsid w:val="00A64F01"/>
    <w:rsid w:val="00A65385"/>
    <w:rsid w:val="00A656EB"/>
    <w:rsid w:val="00A65E8B"/>
    <w:rsid w:val="00A66497"/>
    <w:rsid w:val="00A66B1F"/>
    <w:rsid w:val="00A6725B"/>
    <w:rsid w:val="00A67931"/>
    <w:rsid w:val="00A67C7E"/>
    <w:rsid w:val="00A67FBF"/>
    <w:rsid w:val="00A70605"/>
    <w:rsid w:val="00A70D12"/>
    <w:rsid w:val="00A7112E"/>
    <w:rsid w:val="00A725C9"/>
    <w:rsid w:val="00A72716"/>
    <w:rsid w:val="00A72B6B"/>
    <w:rsid w:val="00A72FEA"/>
    <w:rsid w:val="00A73134"/>
    <w:rsid w:val="00A7365A"/>
    <w:rsid w:val="00A74999"/>
    <w:rsid w:val="00A74BFE"/>
    <w:rsid w:val="00A74E66"/>
    <w:rsid w:val="00A75990"/>
    <w:rsid w:val="00A75C0F"/>
    <w:rsid w:val="00A76001"/>
    <w:rsid w:val="00A76170"/>
    <w:rsid w:val="00A76F07"/>
    <w:rsid w:val="00A77530"/>
    <w:rsid w:val="00A7761C"/>
    <w:rsid w:val="00A7764E"/>
    <w:rsid w:val="00A777B2"/>
    <w:rsid w:val="00A77BAE"/>
    <w:rsid w:val="00A801BA"/>
    <w:rsid w:val="00A8025C"/>
    <w:rsid w:val="00A80497"/>
    <w:rsid w:val="00A80508"/>
    <w:rsid w:val="00A81559"/>
    <w:rsid w:val="00A8158F"/>
    <w:rsid w:val="00A825D4"/>
    <w:rsid w:val="00A828F6"/>
    <w:rsid w:val="00A82AA8"/>
    <w:rsid w:val="00A82B73"/>
    <w:rsid w:val="00A8318C"/>
    <w:rsid w:val="00A83C92"/>
    <w:rsid w:val="00A841E7"/>
    <w:rsid w:val="00A84732"/>
    <w:rsid w:val="00A84AC1"/>
    <w:rsid w:val="00A85743"/>
    <w:rsid w:val="00A8576D"/>
    <w:rsid w:val="00A85CB0"/>
    <w:rsid w:val="00A860E6"/>
    <w:rsid w:val="00A86DA4"/>
    <w:rsid w:val="00A86E8B"/>
    <w:rsid w:val="00A86EF9"/>
    <w:rsid w:val="00A87164"/>
    <w:rsid w:val="00A871A9"/>
    <w:rsid w:val="00A91176"/>
    <w:rsid w:val="00A911EA"/>
    <w:rsid w:val="00A918BE"/>
    <w:rsid w:val="00A920CF"/>
    <w:rsid w:val="00A92725"/>
    <w:rsid w:val="00A93054"/>
    <w:rsid w:val="00A93072"/>
    <w:rsid w:val="00A93146"/>
    <w:rsid w:val="00A9364F"/>
    <w:rsid w:val="00A938BD"/>
    <w:rsid w:val="00A93953"/>
    <w:rsid w:val="00A93A32"/>
    <w:rsid w:val="00A942F3"/>
    <w:rsid w:val="00A94BF1"/>
    <w:rsid w:val="00A94F5C"/>
    <w:rsid w:val="00A95456"/>
    <w:rsid w:val="00A9595F"/>
    <w:rsid w:val="00A959D8"/>
    <w:rsid w:val="00A95EBD"/>
    <w:rsid w:val="00A964A6"/>
    <w:rsid w:val="00A964F9"/>
    <w:rsid w:val="00A965F2"/>
    <w:rsid w:val="00A974EC"/>
    <w:rsid w:val="00A979F7"/>
    <w:rsid w:val="00AA0174"/>
    <w:rsid w:val="00AA06F1"/>
    <w:rsid w:val="00AA113D"/>
    <w:rsid w:val="00AA1A63"/>
    <w:rsid w:val="00AA2E23"/>
    <w:rsid w:val="00AA3DBA"/>
    <w:rsid w:val="00AA3E32"/>
    <w:rsid w:val="00AA4546"/>
    <w:rsid w:val="00AA4C5A"/>
    <w:rsid w:val="00AA5AE2"/>
    <w:rsid w:val="00AA5F29"/>
    <w:rsid w:val="00AA5FCE"/>
    <w:rsid w:val="00AA690B"/>
    <w:rsid w:val="00AA6BD5"/>
    <w:rsid w:val="00AA6BD8"/>
    <w:rsid w:val="00AA6C7D"/>
    <w:rsid w:val="00AA76F4"/>
    <w:rsid w:val="00AA7D1B"/>
    <w:rsid w:val="00AA7FD6"/>
    <w:rsid w:val="00AB042A"/>
    <w:rsid w:val="00AB081C"/>
    <w:rsid w:val="00AB11AD"/>
    <w:rsid w:val="00AB19EF"/>
    <w:rsid w:val="00AB1E55"/>
    <w:rsid w:val="00AB1E7E"/>
    <w:rsid w:val="00AB2495"/>
    <w:rsid w:val="00AB2D34"/>
    <w:rsid w:val="00AB3430"/>
    <w:rsid w:val="00AB37B9"/>
    <w:rsid w:val="00AB3852"/>
    <w:rsid w:val="00AB3A8F"/>
    <w:rsid w:val="00AB3DC7"/>
    <w:rsid w:val="00AB4400"/>
    <w:rsid w:val="00AB4AD1"/>
    <w:rsid w:val="00AB50E9"/>
    <w:rsid w:val="00AB52F9"/>
    <w:rsid w:val="00AB5307"/>
    <w:rsid w:val="00AB57A6"/>
    <w:rsid w:val="00AB5A1C"/>
    <w:rsid w:val="00AB5E07"/>
    <w:rsid w:val="00AB5FD9"/>
    <w:rsid w:val="00AB7CFA"/>
    <w:rsid w:val="00AC02D0"/>
    <w:rsid w:val="00AC0B29"/>
    <w:rsid w:val="00AC0D70"/>
    <w:rsid w:val="00AC14AE"/>
    <w:rsid w:val="00AC1D83"/>
    <w:rsid w:val="00AC24D6"/>
    <w:rsid w:val="00AC30A5"/>
    <w:rsid w:val="00AC4BC4"/>
    <w:rsid w:val="00AC4EE0"/>
    <w:rsid w:val="00AC58DD"/>
    <w:rsid w:val="00AC5B25"/>
    <w:rsid w:val="00AC5B42"/>
    <w:rsid w:val="00AC5B48"/>
    <w:rsid w:val="00AC5B94"/>
    <w:rsid w:val="00AC63F4"/>
    <w:rsid w:val="00AC661D"/>
    <w:rsid w:val="00AC6F47"/>
    <w:rsid w:val="00AC713B"/>
    <w:rsid w:val="00AC72E5"/>
    <w:rsid w:val="00AC7482"/>
    <w:rsid w:val="00AC7953"/>
    <w:rsid w:val="00AD1450"/>
    <w:rsid w:val="00AD15E8"/>
    <w:rsid w:val="00AD22F7"/>
    <w:rsid w:val="00AD2779"/>
    <w:rsid w:val="00AD2C53"/>
    <w:rsid w:val="00AD356D"/>
    <w:rsid w:val="00AD3FB0"/>
    <w:rsid w:val="00AD4F2A"/>
    <w:rsid w:val="00AD5108"/>
    <w:rsid w:val="00AD55EE"/>
    <w:rsid w:val="00AD5E6A"/>
    <w:rsid w:val="00AD6502"/>
    <w:rsid w:val="00AD6C90"/>
    <w:rsid w:val="00AD6D73"/>
    <w:rsid w:val="00AD6DC8"/>
    <w:rsid w:val="00AE00DA"/>
    <w:rsid w:val="00AE032F"/>
    <w:rsid w:val="00AE0695"/>
    <w:rsid w:val="00AE1264"/>
    <w:rsid w:val="00AE1ABC"/>
    <w:rsid w:val="00AE1E9D"/>
    <w:rsid w:val="00AE2962"/>
    <w:rsid w:val="00AE2AD9"/>
    <w:rsid w:val="00AE2F1D"/>
    <w:rsid w:val="00AE3D85"/>
    <w:rsid w:val="00AE3E7E"/>
    <w:rsid w:val="00AE3EDA"/>
    <w:rsid w:val="00AE404B"/>
    <w:rsid w:val="00AE51FC"/>
    <w:rsid w:val="00AE5A96"/>
    <w:rsid w:val="00AE756E"/>
    <w:rsid w:val="00AE7E53"/>
    <w:rsid w:val="00AF129C"/>
    <w:rsid w:val="00AF1315"/>
    <w:rsid w:val="00AF19BF"/>
    <w:rsid w:val="00AF25D6"/>
    <w:rsid w:val="00AF2DC3"/>
    <w:rsid w:val="00AF46EC"/>
    <w:rsid w:val="00AF4ADA"/>
    <w:rsid w:val="00AF5C16"/>
    <w:rsid w:val="00AF65D4"/>
    <w:rsid w:val="00AF6F5E"/>
    <w:rsid w:val="00AF73AF"/>
    <w:rsid w:val="00AF7840"/>
    <w:rsid w:val="00B0051F"/>
    <w:rsid w:val="00B0319E"/>
    <w:rsid w:val="00B033E5"/>
    <w:rsid w:val="00B0351D"/>
    <w:rsid w:val="00B03A63"/>
    <w:rsid w:val="00B03F42"/>
    <w:rsid w:val="00B05489"/>
    <w:rsid w:val="00B05723"/>
    <w:rsid w:val="00B06235"/>
    <w:rsid w:val="00B06DDF"/>
    <w:rsid w:val="00B103E9"/>
    <w:rsid w:val="00B10658"/>
    <w:rsid w:val="00B12577"/>
    <w:rsid w:val="00B129A4"/>
    <w:rsid w:val="00B13173"/>
    <w:rsid w:val="00B13856"/>
    <w:rsid w:val="00B13DB4"/>
    <w:rsid w:val="00B142CF"/>
    <w:rsid w:val="00B14F1D"/>
    <w:rsid w:val="00B15061"/>
    <w:rsid w:val="00B15270"/>
    <w:rsid w:val="00B169A1"/>
    <w:rsid w:val="00B16A5C"/>
    <w:rsid w:val="00B16B35"/>
    <w:rsid w:val="00B177C9"/>
    <w:rsid w:val="00B17961"/>
    <w:rsid w:val="00B17FE4"/>
    <w:rsid w:val="00B201A4"/>
    <w:rsid w:val="00B201D1"/>
    <w:rsid w:val="00B213A6"/>
    <w:rsid w:val="00B2141E"/>
    <w:rsid w:val="00B21630"/>
    <w:rsid w:val="00B22C97"/>
    <w:rsid w:val="00B235B0"/>
    <w:rsid w:val="00B2466F"/>
    <w:rsid w:val="00B24DF6"/>
    <w:rsid w:val="00B25101"/>
    <w:rsid w:val="00B25757"/>
    <w:rsid w:val="00B257A7"/>
    <w:rsid w:val="00B25CA1"/>
    <w:rsid w:val="00B25DA4"/>
    <w:rsid w:val="00B265CD"/>
    <w:rsid w:val="00B26845"/>
    <w:rsid w:val="00B2766C"/>
    <w:rsid w:val="00B27A61"/>
    <w:rsid w:val="00B31C5F"/>
    <w:rsid w:val="00B31DB7"/>
    <w:rsid w:val="00B321D4"/>
    <w:rsid w:val="00B32471"/>
    <w:rsid w:val="00B32530"/>
    <w:rsid w:val="00B3364E"/>
    <w:rsid w:val="00B3373E"/>
    <w:rsid w:val="00B33D0A"/>
    <w:rsid w:val="00B34FE2"/>
    <w:rsid w:val="00B35166"/>
    <w:rsid w:val="00B352BE"/>
    <w:rsid w:val="00B357D8"/>
    <w:rsid w:val="00B35EDE"/>
    <w:rsid w:val="00B360F4"/>
    <w:rsid w:val="00B3642F"/>
    <w:rsid w:val="00B36A00"/>
    <w:rsid w:val="00B3718E"/>
    <w:rsid w:val="00B3792B"/>
    <w:rsid w:val="00B379EC"/>
    <w:rsid w:val="00B37AB1"/>
    <w:rsid w:val="00B37AEF"/>
    <w:rsid w:val="00B37BFC"/>
    <w:rsid w:val="00B40358"/>
    <w:rsid w:val="00B41614"/>
    <w:rsid w:val="00B419F7"/>
    <w:rsid w:val="00B41A9F"/>
    <w:rsid w:val="00B41D61"/>
    <w:rsid w:val="00B41EC6"/>
    <w:rsid w:val="00B42851"/>
    <w:rsid w:val="00B42F80"/>
    <w:rsid w:val="00B435CB"/>
    <w:rsid w:val="00B4368D"/>
    <w:rsid w:val="00B436F6"/>
    <w:rsid w:val="00B43D6C"/>
    <w:rsid w:val="00B43EAA"/>
    <w:rsid w:val="00B44989"/>
    <w:rsid w:val="00B45A1F"/>
    <w:rsid w:val="00B465EC"/>
    <w:rsid w:val="00B46977"/>
    <w:rsid w:val="00B47797"/>
    <w:rsid w:val="00B47AF1"/>
    <w:rsid w:val="00B505C8"/>
    <w:rsid w:val="00B50DB8"/>
    <w:rsid w:val="00B50FB1"/>
    <w:rsid w:val="00B515AA"/>
    <w:rsid w:val="00B52CBA"/>
    <w:rsid w:val="00B5310A"/>
    <w:rsid w:val="00B53281"/>
    <w:rsid w:val="00B53654"/>
    <w:rsid w:val="00B53905"/>
    <w:rsid w:val="00B5390F"/>
    <w:rsid w:val="00B546DB"/>
    <w:rsid w:val="00B547D5"/>
    <w:rsid w:val="00B54B5B"/>
    <w:rsid w:val="00B5562E"/>
    <w:rsid w:val="00B55862"/>
    <w:rsid w:val="00B55B1D"/>
    <w:rsid w:val="00B55BBD"/>
    <w:rsid w:val="00B55D65"/>
    <w:rsid w:val="00B55E26"/>
    <w:rsid w:val="00B560A2"/>
    <w:rsid w:val="00B56305"/>
    <w:rsid w:val="00B57000"/>
    <w:rsid w:val="00B60939"/>
    <w:rsid w:val="00B60AFD"/>
    <w:rsid w:val="00B60D45"/>
    <w:rsid w:val="00B62715"/>
    <w:rsid w:val="00B62A5B"/>
    <w:rsid w:val="00B62D50"/>
    <w:rsid w:val="00B63178"/>
    <w:rsid w:val="00B632C8"/>
    <w:rsid w:val="00B63964"/>
    <w:rsid w:val="00B6444A"/>
    <w:rsid w:val="00B64E6B"/>
    <w:rsid w:val="00B65051"/>
    <w:rsid w:val="00B65343"/>
    <w:rsid w:val="00B65611"/>
    <w:rsid w:val="00B66873"/>
    <w:rsid w:val="00B67234"/>
    <w:rsid w:val="00B67506"/>
    <w:rsid w:val="00B676EB"/>
    <w:rsid w:val="00B67D84"/>
    <w:rsid w:val="00B70E8E"/>
    <w:rsid w:val="00B70F02"/>
    <w:rsid w:val="00B70FE1"/>
    <w:rsid w:val="00B72E68"/>
    <w:rsid w:val="00B730E0"/>
    <w:rsid w:val="00B752F5"/>
    <w:rsid w:val="00B754FF"/>
    <w:rsid w:val="00B758F1"/>
    <w:rsid w:val="00B76C92"/>
    <w:rsid w:val="00B776F6"/>
    <w:rsid w:val="00B77DB1"/>
    <w:rsid w:val="00B77FE0"/>
    <w:rsid w:val="00B80EFD"/>
    <w:rsid w:val="00B81753"/>
    <w:rsid w:val="00B818A4"/>
    <w:rsid w:val="00B81C61"/>
    <w:rsid w:val="00B823B9"/>
    <w:rsid w:val="00B8271A"/>
    <w:rsid w:val="00B833C6"/>
    <w:rsid w:val="00B83739"/>
    <w:rsid w:val="00B8388B"/>
    <w:rsid w:val="00B84117"/>
    <w:rsid w:val="00B8431B"/>
    <w:rsid w:val="00B844B3"/>
    <w:rsid w:val="00B845F6"/>
    <w:rsid w:val="00B847A6"/>
    <w:rsid w:val="00B84D70"/>
    <w:rsid w:val="00B858F0"/>
    <w:rsid w:val="00B85AA2"/>
    <w:rsid w:val="00B8649C"/>
    <w:rsid w:val="00B8695D"/>
    <w:rsid w:val="00B86B33"/>
    <w:rsid w:val="00B87F0A"/>
    <w:rsid w:val="00B90AD0"/>
    <w:rsid w:val="00B914D5"/>
    <w:rsid w:val="00B91709"/>
    <w:rsid w:val="00B91AF1"/>
    <w:rsid w:val="00B91B91"/>
    <w:rsid w:val="00B92ADA"/>
    <w:rsid w:val="00B92D0B"/>
    <w:rsid w:val="00B92DBE"/>
    <w:rsid w:val="00B92ED1"/>
    <w:rsid w:val="00B94945"/>
    <w:rsid w:val="00B94DD6"/>
    <w:rsid w:val="00B95557"/>
    <w:rsid w:val="00B9591E"/>
    <w:rsid w:val="00B959E7"/>
    <w:rsid w:val="00B960D6"/>
    <w:rsid w:val="00B964FD"/>
    <w:rsid w:val="00B9730E"/>
    <w:rsid w:val="00BA0FBF"/>
    <w:rsid w:val="00BA19B4"/>
    <w:rsid w:val="00BA1DD8"/>
    <w:rsid w:val="00BA2A8D"/>
    <w:rsid w:val="00BA2AC3"/>
    <w:rsid w:val="00BA2D13"/>
    <w:rsid w:val="00BA322D"/>
    <w:rsid w:val="00BA527A"/>
    <w:rsid w:val="00BA5356"/>
    <w:rsid w:val="00BA5B42"/>
    <w:rsid w:val="00BA63FA"/>
    <w:rsid w:val="00BA6A85"/>
    <w:rsid w:val="00BA78FF"/>
    <w:rsid w:val="00BA7AF9"/>
    <w:rsid w:val="00BB00B3"/>
    <w:rsid w:val="00BB01F6"/>
    <w:rsid w:val="00BB08C8"/>
    <w:rsid w:val="00BB08E3"/>
    <w:rsid w:val="00BB09CE"/>
    <w:rsid w:val="00BB0BDD"/>
    <w:rsid w:val="00BB0DC1"/>
    <w:rsid w:val="00BB0FAF"/>
    <w:rsid w:val="00BB13E6"/>
    <w:rsid w:val="00BB176C"/>
    <w:rsid w:val="00BB1867"/>
    <w:rsid w:val="00BB1E2D"/>
    <w:rsid w:val="00BB1E6C"/>
    <w:rsid w:val="00BB2A73"/>
    <w:rsid w:val="00BB3A45"/>
    <w:rsid w:val="00BB3E13"/>
    <w:rsid w:val="00BB4A4D"/>
    <w:rsid w:val="00BB4ACC"/>
    <w:rsid w:val="00BB5529"/>
    <w:rsid w:val="00BB59F8"/>
    <w:rsid w:val="00BB5E02"/>
    <w:rsid w:val="00BB676B"/>
    <w:rsid w:val="00BB6A02"/>
    <w:rsid w:val="00BB6B7F"/>
    <w:rsid w:val="00BB703E"/>
    <w:rsid w:val="00BB732D"/>
    <w:rsid w:val="00BB7405"/>
    <w:rsid w:val="00BC007C"/>
    <w:rsid w:val="00BC150D"/>
    <w:rsid w:val="00BC1BF0"/>
    <w:rsid w:val="00BC23B7"/>
    <w:rsid w:val="00BC2E58"/>
    <w:rsid w:val="00BC33CD"/>
    <w:rsid w:val="00BC3429"/>
    <w:rsid w:val="00BC355C"/>
    <w:rsid w:val="00BC3631"/>
    <w:rsid w:val="00BC3E81"/>
    <w:rsid w:val="00BC4847"/>
    <w:rsid w:val="00BC591F"/>
    <w:rsid w:val="00BC59BF"/>
    <w:rsid w:val="00BC65F8"/>
    <w:rsid w:val="00BC7830"/>
    <w:rsid w:val="00BC7D6D"/>
    <w:rsid w:val="00BD2108"/>
    <w:rsid w:val="00BD2392"/>
    <w:rsid w:val="00BD352D"/>
    <w:rsid w:val="00BD3711"/>
    <w:rsid w:val="00BD546C"/>
    <w:rsid w:val="00BD5A5B"/>
    <w:rsid w:val="00BD60DC"/>
    <w:rsid w:val="00BD68A3"/>
    <w:rsid w:val="00BD6938"/>
    <w:rsid w:val="00BD69EA"/>
    <w:rsid w:val="00BD6C9A"/>
    <w:rsid w:val="00BD6CF3"/>
    <w:rsid w:val="00BD7F72"/>
    <w:rsid w:val="00BE0DE7"/>
    <w:rsid w:val="00BE0ECA"/>
    <w:rsid w:val="00BE11BE"/>
    <w:rsid w:val="00BE12FB"/>
    <w:rsid w:val="00BE1543"/>
    <w:rsid w:val="00BE1552"/>
    <w:rsid w:val="00BE191D"/>
    <w:rsid w:val="00BE1C69"/>
    <w:rsid w:val="00BE1D2B"/>
    <w:rsid w:val="00BE2180"/>
    <w:rsid w:val="00BE21F2"/>
    <w:rsid w:val="00BE409A"/>
    <w:rsid w:val="00BE4275"/>
    <w:rsid w:val="00BE47F8"/>
    <w:rsid w:val="00BE4F0C"/>
    <w:rsid w:val="00BE5155"/>
    <w:rsid w:val="00BE5E08"/>
    <w:rsid w:val="00BE6347"/>
    <w:rsid w:val="00BE689F"/>
    <w:rsid w:val="00BE7602"/>
    <w:rsid w:val="00BE7AB6"/>
    <w:rsid w:val="00BF06AE"/>
    <w:rsid w:val="00BF0F95"/>
    <w:rsid w:val="00BF2433"/>
    <w:rsid w:val="00BF24C1"/>
    <w:rsid w:val="00BF2E6E"/>
    <w:rsid w:val="00BF2EC6"/>
    <w:rsid w:val="00BF3579"/>
    <w:rsid w:val="00BF40FB"/>
    <w:rsid w:val="00BF437E"/>
    <w:rsid w:val="00BF46DE"/>
    <w:rsid w:val="00BF5681"/>
    <w:rsid w:val="00BF59EC"/>
    <w:rsid w:val="00BF5C77"/>
    <w:rsid w:val="00BF5D38"/>
    <w:rsid w:val="00BF6185"/>
    <w:rsid w:val="00BF61C9"/>
    <w:rsid w:val="00BF642D"/>
    <w:rsid w:val="00BF6C94"/>
    <w:rsid w:val="00BF6DB2"/>
    <w:rsid w:val="00BF7E84"/>
    <w:rsid w:val="00C00275"/>
    <w:rsid w:val="00C00424"/>
    <w:rsid w:val="00C0042C"/>
    <w:rsid w:val="00C00BB0"/>
    <w:rsid w:val="00C00CFE"/>
    <w:rsid w:val="00C017A0"/>
    <w:rsid w:val="00C0361E"/>
    <w:rsid w:val="00C045B3"/>
    <w:rsid w:val="00C04762"/>
    <w:rsid w:val="00C04A3C"/>
    <w:rsid w:val="00C04DA0"/>
    <w:rsid w:val="00C05D06"/>
    <w:rsid w:val="00C06B36"/>
    <w:rsid w:val="00C1179F"/>
    <w:rsid w:val="00C11CDD"/>
    <w:rsid w:val="00C127B9"/>
    <w:rsid w:val="00C128FA"/>
    <w:rsid w:val="00C12C14"/>
    <w:rsid w:val="00C13E3D"/>
    <w:rsid w:val="00C13EFF"/>
    <w:rsid w:val="00C14992"/>
    <w:rsid w:val="00C14DCC"/>
    <w:rsid w:val="00C15F04"/>
    <w:rsid w:val="00C1603A"/>
    <w:rsid w:val="00C169F5"/>
    <w:rsid w:val="00C179B3"/>
    <w:rsid w:val="00C17E3F"/>
    <w:rsid w:val="00C200AA"/>
    <w:rsid w:val="00C203A4"/>
    <w:rsid w:val="00C20800"/>
    <w:rsid w:val="00C20871"/>
    <w:rsid w:val="00C21274"/>
    <w:rsid w:val="00C217C4"/>
    <w:rsid w:val="00C21A00"/>
    <w:rsid w:val="00C227D5"/>
    <w:rsid w:val="00C23357"/>
    <w:rsid w:val="00C237ED"/>
    <w:rsid w:val="00C24632"/>
    <w:rsid w:val="00C2468A"/>
    <w:rsid w:val="00C24A50"/>
    <w:rsid w:val="00C25418"/>
    <w:rsid w:val="00C257A7"/>
    <w:rsid w:val="00C25D9C"/>
    <w:rsid w:val="00C260F6"/>
    <w:rsid w:val="00C2659D"/>
    <w:rsid w:val="00C26E00"/>
    <w:rsid w:val="00C2778B"/>
    <w:rsid w:val="00C27A75"/>
    <w:rsid w:val="00C30158"/>
    <w:rsid w:val="00C309EC"/>
    <w:rsid w:val="00C3146B"/>
    <w:rsid w:val="00C31649"/>
    <w:rsid w:val="00C32368"/>
    <w:rsid w:val="00C32811"/>
    <w:rsid w:val="00C32C04"/>
    <w:rsid w:val="00C33426"/>
    <w:rsid w:val="00C335BF"/>
    <w:rsid w:val="00C33801"/>
    <w:rsid w:val="00C33CC8"/>
    <w:rsid w:val="00C3434C"/>
    <w:rsid w:val="00C34808"/>
    <w:rsid w:val="00C36527"/>
    <w:rsid w:val="00C36A43"/>
    <w:rsid w:val="00C36E79"/>
    <w:rsid w:val="00C36F83"/>
    <w:rsid w:val="00C40385"/>
    <w:rsid w:val="00C41768"/>
    <w:rsid w:val="00C41F6F"/>
    <w:rsid w:val="00C43202"/>
    <w:rsid w:val="00C4496E"/>
    <w:rsid w:val="00C44AC1"/>
    <w:rsid w:val="00C44EB3"/>
    <w:rsid w:val="00C4529E"/>
    <w:rsid w:val="00C4535D"/>
    <w:rsid w:val="00C45B01"/>
    <w:rsid w:val="00C475AA"/>
    <w:rsid w:val="00C510C7"/>
    <w:rsid w:val="00C51906"/>
    <w:rsid w:val="00C527C7"/>
    <w:rsid w:val="00C53C98"/>
    <w:rsid w:val="00C53F02"/>
    <w:rsid w:val="00C53F1B"/>
    <w:rsid w:val="00C55528"/>
    <w:rsid w:val="00C55597"/>
    <w:rsid w:val="00C56C81"/>
    <w:rsid w:val="00C56DEE"/>
    <w:rsid w:val="00C56FCF"/>
    <w:rsid w:val="00C5722B"/>
    <w:rsid w:val="00C572F6"/>
    <w:rsid w:val="00C57774"/>
    <w:rsid w:val="00C57B6C"/>
    <w:rsid w:val="00C6069D"/>
    <w:rsid w:val="00C61A59"/>
    <w:rsid w:val="00C61FC5"/>
    <w:rsid w:val="00C6256C"/>
    <w:rsid w:val="00C628A6"/>
    <w:rsid w:val="00C633A4"/>
    <w:rsid w:val="00C633D7"/>
    <w:rsid w:val="00C639B1"/>
    <w:rsid w:val="00C64344"/>
    <w:rsid w:val="00C64F37"/>
    <w:rsid w:val="00C65108"/>
    <w:rsid w:val="00C6512E"/>
    <w:rsid w:val="00C65576"/>
    <w:rsid w:val="00C65E27"/>
    <w:rsid w:val="00C65E7D"/>
    <w:rsid w:val="00C660BB"/>
    <w:rsid w:val="00C66165"/>
    <w:rsid w:val="00C66374"/>
    <w:rsid w:val="00C663DF"/>
    <w:rsid w:val="00C674A9"/>
    <w:rsid w:val="00C6750F"/>
    <w:rsid w:val="00C67BC9"/>
    <w:rsid w:val="00C67ED7"/>
    <w:rsid w:val="00C701A1"/>
    <w:rsid w:val="00C7060A"/>
    <w:rsid w:val="00C70A42"/>
    <w:rsid w:val="00C7151A"/>
    <w:rsid w:val="00C717E3"/>
    <w:rsid w:val="00C71F60"/>
    <w:rsid w:val="00C72241"/>
    <w:rsid w:val="00C74393"/>
    <w:rsid w:val="00C74E42"/>
    <w:rsid w:val="00C750C8"/>
    <w:rsid w:val="00C7560F"/>
    <w:rsid w:val="00C76959"/>
    <w:rsid w:val="00C76DA2"/>
    <w:rsid w:val="00C80317"/>
    <w:rsid w:val="00C80A0E"/>
    <w:rsid w:val="00C80A9F"/>
    <w:rsid w:val="00C8213F"/>
    <w:rsid w:val="00C8271D"/>
    <w:rsid w:val="00C82BD3"/>
    <w:rsid w:val="00C82DFA"/>
    <w:rsid w:val="00C83018"/>
    <w:rsid w:val="00C8303F"/>
    <w:rsid w:val="00C8419F"/>
    <w:rsid w:val="00C84A13"/>
    <w:rsid w:val="00C85154"/>
    <w:rsid w:val="00C8588B"/>
    <w:rsid w:val="00C85A70"/>
    <w:rsid w:val="00C8623C"/>
    <w:rsid w:val="00C8686A"/>
    <w:rsid w:val="00C8695D"/>
    <w:rsid w:val="00C87043"/>
    <w:rsid w:val="00C8797A"/>
    <w:rsid w:val="00C900B8"/>
    <w:rsid w:val="00C90197"/>
    <w:rsid w:val="00C901FE"/>
    <w:rsid w:val="00C90636"/>
    <w:rsid w:val="00C90717"/>
    <w:rsid w:val="00C90C71"/>
    <w:rsid w:val="00C91E66"/>
    <w:rsid w:val="00C91FD1"/>
    <w:rsid w:val="00C931CF"/>
    <w:rsid w:val="00C93616"/>
    <w:rsid w:val="00C938CF"/>
    <w:rsid w:val="00C93D00"/>
    <w:rsid w:val="00C94053"/>
    <w:rsid w:val="00C94146"/>
    <w:rsid w:val="00C948B0"/>
    <w:rsid w:val="00C95527"/>
    <w:rsid w:val="00C95992"/>
    <w:rsid w:val="00C95E62"/>
    <w:rsid w:val="00C9624D"/>
    <w:rsid w:val="00C9627B"/>
    <w:rsid w:val="00C969DA"/>
    <w:rsid w:val="00C9776C"/>
    <w:rsid w:val="00C97A52"/>
    <w:rsid w:val="00C97E21"/>
    <w:rsid w:val="00CA03B1"/>
    <w:rsid w:val="00CA03D9"/>
    <w:rsid w:val="00CA0515"/>
    <w:rsid w:val="00CA1E23"/>
    <w:rsid w:val="00CA28B1"/>
    <w:rsid w:val="00CA2C77"/>
    <w:rsid w:val="00CA444F"/>
    <w:rsid w:val="00CA49BC"/>
    <w:rsid w:val="00CA5123"/>
    <w:rsid w:val="00CA5245"/>
    <w:rsid w:val="00CA5C68"/>
    <w:rsid w:val="00CA67ED"/>
    <w:rsid w:val="00CA71F4"/>
    <w:rsid w:val="00CA7B09"/>
    <w:rsid w:val="00CB0FE3"/>
    <w:rsid w:val="00CB12A5"/>
    <w:rsid w:val="00CB163F"/>
    <w:rsid w:val="00CB1CAC"/>
    <w:rsid w:val="00CB2193"/>
    <w:rsid w:val="00CB2D4B"/>
    <w:rsid w:val="00CB2F2A"/>
    <w:rsid w:val="00CB4EB9"/>
    <w:rsid w:val="00CB5B1A"/>
    <w:rsid w:val="00CB688E"/>
    <w:rsid w:val="00CB6A22"/>
    <w:rsid w:val="00CB6B22"/>
    <w:rsid w:val="00CB78CC"/>
    <w:rsid w:val="00CB7AFA"/>
    <w:rsid w:val="00CB7F5F"/>
    <w:rsid w:val="00CC053A"/>
    <w:rsid w:val="00CC091E"/>
    <w:rsid w:val="00CC0A61"/>
    <w:rsid w:val="00CC1B39"/>
    <w:rsid w:val="00CC1BFA"/>
    <w:rsid w:val="00CC2E9F"/>
    <w:rsid w:val="00CC3294"/>
    <w:rsid w:val="00CC35EA"/>
    <w:rsid w:val="00CC3709"/>
    <w:rsid w:val="00CC3848"/>
    <w:rsid w:val="00CC392A"/>
    <w:rsid w:val="00CC4B0D"/>
    <w:rsid w:val="00CC4E74"/>
    <w:rsid w:val="00CC6D5E"/>
    <w:rsid w:val="00CC6ECF"/>
    <w:rsid w:val="00CC7124"/>
    <w:rsid w:val="00CC7324"/>
    <w:rsid w:val="00CC7DE1"/>
    <w:rsid w:val="00CC7ECF"/>
    <w:rsid w:val="00CC7EEB"/>
    <w:rsid w:val="00CD0200"/>
    <w:rsid w:val="00CD0A20"/>
    <w:rsid w:val="00CD1EA3"/>
    <w:rsid w:val="00CD322C"/>
    <w:rsid w:val="00CD3EDA"/>
    <w:rsid w:val="00CD3F77"/>
    <w:rsid w:val="00CD452F"/>
    <w:rsid w:val="00CD5470"/>
    <w:rsid w:val="00CD5D0A"/>
    <w:rsid w:val="00CD5ECF"/>
    <w:rsid w:val="00CD6ADC"/>
    <w:rsid w:val="00CD7193"/>
    <w:rsid w:val="00CD75E1"/>
    <w:rsid w:val="00CD77CC"/>
    <w:rsid w:val="00CD7831"/>
    <w:rsid w:val="00CE143F"/>
    <w:rsid w:val="00CE14AC"/>
    <w:rsid w:val="00CE2479"/>
    <w:rsid w:val="00CE24D5"/>
    <w:rsid w:val="00CE2950"/>
    <w:rsid w:val="00CE38C8"/>
    <w:rsid w:val="00CE3A8F"/>
    <w:rsid w:val="00CE3ED4"/>
    <w:rsid w:val="00CE4592"/>
    <w:rsid w:val="00CE4BA9"/>
    <w:rsid w:val="00CE4FB4"/>
    <w:rsid w:val="00CE515D"/>
    <w:rsid w:val="00CE524F"/>
    <w:rsid w:val="00CE5358"/>
    <w:rsid w:val="00CE58CC"/>
    <w:rsid w:val="00CE5CA6"/>
    <w:rsid w:val="00CE613A"/>
    <w:rsid w:val="00CE6274"/>
    <w:rsid w:val="00CE730F"/>
    <w:rsid w:val="00CE77B6"/>
    <w:rsid w:val="00CF23D0"/>
    <w:rsid w:val="00CF2659"/>
    <w:rsid w:val="00CF29F9"/>
    <w:rsid w:val="00CF2B8D"/>
    <w:rsid w:val="00CF2EA1"/>
    <w:rsid w:val="00CF3A1B"/>
    <w:rsid w:val="00CF456B"/>
    <w:rsid w:val="00CF53C5"/>
    <w:rsid w:val="00CF5A22"/>
    <w:rsid w:val="00CF5F14"/>
    <w:rsid w:val="00CF6123"/>
    <w:rsid w:val="00CF6947"/>
    <w:rsid w:val="00CF7D80"/>
    <w:rsid w:val="00D00643"/>
    <w:rsid w:val="00D00774"/>
    <w:rsid w:val="00D00817"/>
    <w:rsid w:val="00D01638"/>
    <w:rsid w:val="00D02092"/>
    <w:rsid w:val="00D02193"/>
    <w:rsid w:val="00D0262E"/>
    <w:rsid w:val="00D034D8"/>
    <w:rsid w:val="00D03679"/>
    <w:rsid w:val="00D03C00"/>
    <w:rsid w:val="00D03F5E"/>
    <w:rsid w:val="00D05B5D"/>
    <w:rsid w:val="00D05E3D"/>
    <w:rsid w:val="00D05FAA"/>
    <w:rsid w:val="00D06139"/>
    <w:rsid w:val="00D074A2"/>
    <w:rsid w:val="00D10099"/>
    <w:rsid w:val="00D10133"/>
    <w:rsid w:val="00D10D95"/>
    <w:rsid w:val="00D110BD"/>
    <w:rsid w:val="00D116A7"/>
    <w:rsid w:val="00D122DA"/>
    <w:rsid w:val="00D124F8"/>
    <w:rsid w:val="00D12A68"/>
    <w:rsid w:val="00D13675"/>
    <w:rsid w:val="00D141E1"/>
    <w:rsid w:val="00D15314"/>
    <w:rsid w:val="00D1586F"/>
    <w:rsid w:val="00D15B48"/>
    <w:rsid w:val="00D17D6C"/>
    <w:rsid w:val="00D20C8C"/>
    <w:rsid w:val="00D21222"/>
    <w:rsid w:val="00D2136C"/>
    <w:rsid w:val="00D2155B"/>
    <w:rsid w:val="00D21A61"/>
    <w:rsid w:val="00D21F19"/>
    <w:rsid w:val="00D221C6"/>
    <w:rsid w:val="00D22DD5"/>
    <w:rsid w:val="00D23478"/>
    <w:rsid w:val="00D23B03"/>
    <w:rsid w:val="00D23D11"/>
    <w:rsid w:val="00D240AD"/>
    <w:rsid w:val="00D244B6"/>
    <w:rsid w:val="00D248F4"/>
    <w:rsid w:val="00D259E9"/>
    <w:rsid w:val="00D26934"/>
    <w:rsid w:val="00D2754D"/>
    <w:rsid w:val="00D27B27"/>
    <w:rsid w:val="00D30D5B"/>
    <w:rsid w:val="00D32DDC"/>
    <w:rsid w:val="00D32FE5"/>
    <w:rsid w:val="00D33223"/>
    <w:rsid w:val="00D33BE9"/>
    <w:rsid w:val="00D33F93"/>
    <w:rsid w:val="00D3518A"/>
    <w:rsid w:val="00D3547A"/>
    <w:rsid w:val="00D357B3"/>
    <w:rsid w:val="00D357FF"/>
    <w:rsid w:val="00D4083F"/>
    <w:rsid w:val="00D40ACB"/>
    <w:rsid w:val="00D41708"/>
    <w:rsid w:val="00D4193E"/>
    <w:rsid w:val="00D424C7"/>
    <w:rsid w:val="00D4326D"/>
    <w:rsid w:val="00D4335A"/>
    <w:rsid w:val="00D43B2A"/>
    <w:rsid w:val="00D43BB0"/>
    <w:rsid w:val="00D43CF1"/>
    <w:rsid w:val="00D43D83"/>
    <w:rsid w:val="00D43DFA"/>
    <w:rsid w:val="00D44100"/>
    <w:rsid w:val="00D452C0"/>
    <w:rsid w:val="00D47575"/>
    <w:rsid w:val="00D5028B"/>
    <w:rsid w:val="00D5038C"/>
    <w:rsid w:val="00D509EC"/>
    <w:rsid w:val="00D50A1F"/>
    <w:rsid w:val="00D5157A"/>
    <w:rsid w:val="00D51CDD"/>
    <w:rsid w:val="00D52265"/>
    <w:rsid w:val="00D5243B"/>
    <w:rsid w:val="00D524AF"/>
    <w:rsid w:val="00D52ECB"/>
    <w:rsid w:val="00D52F98"/>
    <w:rsid w:val="00D533EC"/>
    <w:rsid w:val="00D53D74"/>
    <w:rsid w:val="00D54F61"/>
    <w:rsid w:val="00D558E0"/>
    <w:rsid w:val="00D56A95"/>
    <w:rsid w:val="00D5711C"/>
    <w:rsid w:val="00D579B1"/>
    <w:rsid w:val="00D57C85"/>
    <w:rsid w:val="00D6076E"/>
    <w:rsid w:val="00D63E6D"/>
    <w:rsid w:val="00D646CE"/>
    <w:rsid w:val="00D65796"/>
    <w:rsid w:val="00D66B7D"/>
    <w:rsid w:val="00D671EC"/>
    <w:rsid w:val="00D67339"/>
    <w:rsid w:val="00D67B52"/>
    <w:rsid w:val="00D67EEB"/>
    <w:rsid w:val="00D70061"/>
    <w:rsid w:val="00D70F16"/>
    <w:rsid w:val="00D712C0"/>
    <w:rsid w:val="00D72617"/>
    <w:rsid w:val="00D72F57"/>
    <w:rsid w:val="00D73973"/>
    <w:rsid w:val="00D742A1"/>
    <w:rsid w:val="00D749EB"/>
    <w:rsid w:val="00D76A44"/>
    <w:rsid w:val="00D76ED1"/>
    <w:rsid w:val="00D77D36"/>
    <w:rsid w:val="00D80868"/>
    <w:rsid w:val="00D815EF"/>
    <w:rsid w:val="00D81949"/>
    <w:rsid w:val="00D81F26"/>
    <w:rsid w:val="00D822E2"/>
    <w:rsid w:val="00D843F2"/>
    <w:rsid w:val="00D84A01"/>
    <w:rsid w:val="00D85282"/>
    <w:rsid w:val="00D85A4D"/>
    <w:rsid w:val="00D86231"/>
    <w:rsid w:val="00D87487"/>
    <w:rsid w:val="00D906A7"/>
    <w:rsid w:val="00D912AB"/>
    <w:rsid w:val="00D91307"/>
    <w:rsid w:val="00D9135F"/>
    <w:rsid w:val="00D91923"/>
    <w:rsid w:val="00D9287A"/>
    <w:rsid w:val="00D92D9D"/>
    <w:rsid w:val="00D931C0"/>
    <w:rsid w:val="00D935A9"/>
    <w:rsid w:val="00D93753"/>
    <w:rsid w:val="00D94FAA"/>
    <w:rsid w:val="00D96E61"/>
    <w:rsid w:val="00D97BB5"/>
    <w:rsid w:val="00D97F37"/>
    <w:rsid w:val="00DA016F"/>
    <w:rsid w:val="00DA3167"/>
    <w:rsid w:val="00DA3601"/>
    <w:rsid w:val="00DA3C8B"/>
    <w:rsid w:val="00DA4DC3"/>
    <w:rsid w:val="00DA52D2"/>
    <w:rsid w:val="00DA6F11"/>
    <w:rsid w:val="00DA71F4"/>
    <w:rsid w:val="00DA7230"/>
    <w:rsid w:val="00DA73C5"/>
    <w:rsid w:val="00DA74E7"/>
    <w:rsid w:val="00DA7766"/>
    <w:rsid w:val="00DA77A5"/>
    <w:rsid w:val="00DB010C"/>
    <w:rsid w:val="00DB0E36"/>
    <w:rsid w:val="00DB14C2"/>
    <w:rsid w:val="00DB1842"/>
    <w:rsid w:val="00DB2334"/>
    <w:rsid w:val="00DB2723"/>
    <w:rsid w:val="00DB3DBF"/>
    <w:rsid w:val="00DB42DF"/>
    <w:rsid w:val="00DB484F"/>
    <w:rsid w:val="00DB4D1F"/>
    <w:rsid w:val="00DB56C5"/>
    <w:rsid w:val="00DB6182"/>
    <w:rsid w:val="00DB62F9"/>
    <w:rsid w:val="00DB71AF"/>
    <w:rsid w:val="00DB720B"/>
    <w:rsid w:val="00DC04F6"/>
    <w:rsid w:val="00DC0690"/>
    <w:rsid w:val="00DC191C"/>
    <w:rsid w:val="00DC1AD6"/>
    <w:rsid w:val="00DC1D65"/>
    <w:rsid w:val="00DC1E41"/>
    <w:rsid w:val="00DC3C57"/>
    <w:rsid w:val="00DC4804"/>
    <w:rsid w:val="00DC5501"/>
    <w:rsid w:val="00DC5687"/>
    <w:rsid w:val="00DC593A"/>
    <w:rsid w:val="00DC5CC3"/>
    <w:rsid w:val="00DC5DE4"/>
    <w:rsid w:val="00DC6B00"/>
    <w:rsid w:val="00DC7154"/>
    <w:rsid w:val="00DC7E8A"/>
    <w:rsid w:val="00DD0C9A"/>
    <w:rsid w:val="00DD0F4A"/>
    <w:rsid w:val="00DD0F78"/>
    <w:rsid w:val="00DD0F9A"/>
    <w:rsid w:val="00DD1127"/>
    <w:rsid w:val="00DD162C"/>
    <w:rsid w:val="00DD23D4"/>
    <w:rsid w:val="00DD25A1"/>
    <w:rsid w:val="00DD2737"/>
    <w:rsid w:val="00DD273C"/>
    <w:rsid w:val="00DD29FE"/>
    <w:rsid w:val="00DD3F28"/>
    <w:rsid w:val="00DD4446"/>
    <w:rsid w:val="00DD4537"/>
    <w:rsid w:val="00DD4E15"/>
    <w:rsid w:val="00DD5F93"/>
    <w:rsid w:val="00DD61B6"/>
    <w:rsid w:val="00DD6990"/>
    <w:rsid w:val="00DE0168"/>
    <w:rsid w:val="00DE0850"/>
    <w:rsid w:val="00DE19AA"/>
    <w:rsid w:val="00DE1A67"/>
    <w:rsid w:val="00DE1BAD"/>
    <w:rsid w:val="00DE1CDE"/>
    <w:rsid w:val="00DE2304"/>
    <w:rsid w:val="00DE3138"/>
    <w:rsid w:val="00DE3299"/>
    <w:rsid w:val="00DE37F8"/>
    <w:rsid w:val="00DE4273"/>
    <w:rsid w:val="00DE4FCB"/>
    <w:rsid w:val="00DE54DB"/>
    <w:rsid w:val="00DE5D07"/>
    <w:rsid w:val="00DE64D5"/>
    <w:rsid w:val="00DE66DD"/>
    <w:rsid w:val="00DE6EF1"/>
    <w:rsid w:val="00DE6FFC"/>
    <w:rsid w:val="00DE72A7"/>
    <w:rsid w:val="00DE7832"/>
    <w:rsid w:val="00DE7B85"/>
    <w:rsid w:val="00DE7D6C"/>
    <w:rsid w:val="00DF0066"/>
    <w:rsid w:val="00DF0D77"/>
    <w:rsid w:val="00DF18FC"/>
    <w:rsid w:val="00DF2A56"/>
    <w:rsid w:val="00DF2BD2"/>
    <w:rsid w:val="00DF3662"/>
    <w:rsid w:val="00DF45F4"/>
    <w:rsid w:val="00DF534D"/>
    <w:rsid w:val="00DF560E"/>
    <w:rsid w:val="00DF5C6D"/>
    <w:rsid w:val="00DF5D2B"/>
    <w:rsid w:val="00DF6341"/>
    <w:rsid w:val="00DF6EEB"/>
    <w:rsid w:val="00E00852"/>
    <w:rsid w:val="00E00E8E"/>
    <w:rsid w:val="00E02025"/>
    <w:rsid w:val="00E0393F"/>
    <w:rsid w:val="00E0398B"/>
    <w:rsid w:val="00E044E5"/>
    <w:rsid w:val="00E045EE"/>
    <w:rsid w:val="00E052E0"/>
    <w:rsid w:val="00E05630"/>
    <w:rsid w:val="00E06B7D"/>
    <w:rsid w:val="00E06DBB"/>
    <w:rsid w:val="00E06DD7"/>
    <w:rsid w:val="00E06FC1"/>
    <w:rsid w:val="00E075C3"/>
    <w:rsid w:val="00E10149"/>
    <w:rsid w:val="00E11020"/>
    <w:rsid w:val="00E11340"/>
    <w:rsid w:val="00E122A1"/>
    <w:rsid w:val="00E12750"/>
    <w:rsid w:val="00E1284E"/>
    <w:rsid w:val="00E129F3"/>
    <w:rsid w:val="00E12AC4"/>
    <w:rsid w:val="00E140D0"/>
    <w:rsid w:val="00E14664"/>
    <w:rsid w:val="00E155B1"/>
    <w:rsid w:val="00E161A5"/>
    <w:rsid w:val="00E16372"/>
    <w:rsid w:val="00E16A63"/>
    <w:rsid w:val="00E16AD8"/>
    <w:rsid w:val="00E17FFA"/>
    <w:rsid w:val="00E20A91"/>
    <w:rsid w:val="00E20E4D"/>
    <w:rsid w:val="00E20ED6"/>
    <w:rsid w:val="00E21358"/>
    <w:rsid w:val="00E2249B"/>
    <w:rsid w:val="00E226A8"/>
    <w:rsid w:val="00E22A0D"/>
    <w:rsid w:val="00E22D7B"/>
    <w:rsid w:val="00E23303"/>
    <w:rsid w:val="00E23474"/>
    <w:rsid w:val="00E242A4"/>
    <w:rsid w:val="00E244F6"/>
    <w:rsid w:val="00E258DB"/>
    <w:rsid w:val="00E261F2"/>
    <w:rsid w:val="00E2771E"/>
    <w:rsid w:val="00E311EF"/>
    <w:rsid w:val="00E31417"/>
    <w:rsid w:val="00E318F0"/>
    <w:rsid w:val="00E32180"/>
    <w:rsid w:val="00E32AC0"/>
    <w:rsid w:val="00E32C53"/>
    <w:rsid w:val="00E33463"/>
    <w:rsid w:val="00E33D09"/>
    <w:rsid w:val="00E33EC5"/>
    <w:rsid w:val="00E34925"/>
    <w:rsid w:val="00E34948"/>
    <w:rsid w:val="00E35503"/>
    <w:rsid w:val="00E36295"/>
    <w:rsid w:val="00E37569"/>
    <w:rsid w:val="00E37AF8"/>
    <w:rsid w:val="00E37EE9"/>
    <w:rsid w:val="00E401B2"/>
    <w:rsid w:val="00E4041C"/>
    <w:rsid w:val="00E40584"/>
    <w:rsid w:val="00E41BFE"/>
    <w:rsid w:val="00E41E30"/>
    <w:rsid w:val="00E4264F"/>
    <w:rsid w:val="00E42F73"/>
    <w:rsid w:val="00E43D70"/>
    <w:rsid w:val="00E44905"/>
    <w:rsid w:val="00E4492D"/>
    <w:rsid w:val="00E44DD1"/>
    <w:rsid w:val="00E4551D"/>
    <w:rsid w:val="00E4570C"/>
    <w:rsid w:val="00E45CB2"/>
    <w:rsid w:val="00E46082"/>
    <w:rsid w:val="00E466F3"/>
    <w:rsid w:val="00E46C26"/>
    <w:rsid w:val="00E47186"/>
    <w:rsid w:val="00E475E8"/>
    <w:rsid w:val="00E47A3D"/>
    <w:rsid w:val="00E47B2C"/>
    <w:rsid w:val="00E47B86"/>
    <w:rsid w:val="00E47E7B"/>
    <w:rsid w:val="00E51560"/>
    <w:rsid w:val="00E516F5"/>
    <w:rsid w:val="00E51821"/>
    <w:rsid w:val="00E521C5"/>
    <w:rsid w:val="00E5353A"/>
    <w:rsid w:val="00E53FC8"/>
    <w:rsid w:val="00E54347"/>
    <w:rsid w:val="00E55424"/>
    <w:rsid w:val="00E5558F"/>
    <w:rsid w:val="00E55915"/>
    <w:rsid w:val="00E55BB5"/>
    <w:rsid w:val="00E56375"/>
    <w:rsid w:val="00E5662B"/>
    <w:rsid w:val="00E57D4B"/>
    <w:rsid w:val="00E60894"/>
    <w:rsid w:val="00E61097"/>
    <w:rsid w:val="00E611DF"/>
    <w:rsid w:val="00E61CF2"/>
    <w:rsid w:val="00E61EE5"/>
    <w:rsid w:val="00E62663"/>
    <w:rsid w:val="00E62B3D"/>
    <w:rsid w:val="00E63822"/>
    <w:rsid w:val="00E639EE"/>
    <w:rsid w:val="00E63CE9"/>
    <w:rsid w:val="00E645F5"/>
    <w:rsid w:val="00E64A45"/>
    <w:rsid w:val="00E64B79"/>
    <w:rsid w:val="00E64DE9"/>
    <w:rsid w:val="00E64F77"/>
    <w:rsid w:val="00E6594C"/>
    <w:rsid w:val="00E6598E"/>
    <w:rsid w:val="00E65E5D"/>
    <w:rsid w:val="00E65E79"/>
    <w:rsid w:val="00E665B5"/>
    <w:rsid w:val="00E66BA2"/>
    <w:rsid w:val="00E66E83"/>
    <w:rsid w:val="00E67416"/>
    <w:rsid w:val="00E6792C"/>
    <w:rsid w:val="00E718B6"/>
    <w:rsid w:val="00E723BA"/>
    <w:rsid w:val="00E73544"/>
    <w:rsid w:val="00E73581"/>
    <w:rsid w:val="00E7371B"/>
    <w:rsid w:val="00E766C5"/>
    <w:rsid w:val="00E7687E"/>
    <w:rsid w:val="00E76F2A"/>
    <w:rsid w:val="00E77AD1"/>
    <w:rsid w:val="00E80609"/>
    <w:rsid w:val="00E8087F"/>
    <w:rsid w:val="00E81C38"/>
    <w:rsid w:val="00E81DBB"/>
    <w:rsid w:val="00E82064"/>
    <w:rsid w:val="00E82769"/>
    <w:rsid w:val="00E82D85"/>
    <w:rsid w:val="00E833F7"/>
    <w:rsid w:val="00E836DD"/>
    <w:rsid w:val="00E83BDF"/>
    <w:rsid w:val="00E84600"/>
    <w:rsid w:val="00E8693C"/>
    <w:rsid w:val="00E86A80"/>
    <w:rsid w:val="00E86FCC"/>
    <w:rsid w:val="00E87A1D"/>
    <w:rsid w:val="00E9094A"/>
    <w:rsid w:val="00E91054"/>
    <w:rsid w:val="00E914CB"/>
    <w:rsid w:val="00E91D35"/>
    <w:rsid w:val="00E9251F"/>
    <w:rsid w:val="00E926A5"/>
    <w:rsid w:val="00E953C3"/>
    <w:rsid w:val="00E9597D"/>
    <w:rsid w:val="00E95CBD"/>
    <w:rsid w:val="00E962CC"/>
    <w:rsid w:val="00E96BF8"/>
    <w:rsid w:val="00E96F63"/>
    <w:rsid w:val="00E9724C"/>
    <w:rsid w:val="00E976FB"/>
    <w:rsid w:val="00E977EF"/>
    <w:rsid w:val="00EA10C1"/>
    <w:rsid w:val="00EA17C3"/>
    <w:rsid w:val="00EA19A2"/>
    <w:rsid w:val="00EA1EC8"/>
    <w:rsid w:val="00EA2CAA"/>
    <w:rsid w:val="00EA3864"/>
    <w:rsid w:val="00EA40C2"/>
    <w:rsid w:val="00EA4DFF"/>
    <w:rsid w:val="00EA5849"/>
    <w:rsid w:val="00EA68EA"/>
    <w:rsid w:val="00EA7640"/>
    <w:rsid w:val="00EA76E4"/>
    <w:rsid w:val="00EA772A"/>
    <w:rsid w:val="00EA7F1C"/>
    <w:rsid w:val="00EB0101"/>
    <w:rsid w:val="00EB023D"/>
    <w:rsid w:val="00EB15B6"/>
    <w:rsid w:val="00EB2080"/>
    <w:rsid w:val="00EB20B7"/>
    <w:rsid w:val="00EB2339"/>
    <w:rsid w:val="00EB305C"/>
    <w:rsid w:val="00EB32E3"/>
    <w:rsid w:val="00EB3C48"/>
    <w:rsid w:val="00EB3D06"/>
    <w:rsid w:val="00EB427D"/>
    <w:rsid w:val="00EB4916"/>
    <w:rsid w:val="00EB4BCF"/>
    <w:rsid w:val="00EB4FCB"/>
    <w:rsid w:val="00EB76AE"/>
    <w:rsid w:val="00EC00C9"/>
    <w:rsid w:val="00EC0942"/>
    <w:rsid w:val="00EC0987"/>
    <w:rsid w:val="00EC0BDB"/>
    <w:rsid w:val="00EC0C6F"/>
    <w:rsid w:val="00EC0DD9"/>
    <w:rsid w:val="00EC1A13"/>
    <w:rsid w:val="00EC1EAD"/>
    <w:rsid w:val="00EC21CD"/>
    <w:rsid w:val="00EC2649"/>
    <w:rsid w:val="00EC270F"/>
    <w:rsid w:val="00EC31ED"/>
    <w:rsid w:val="00EC384E"/>
    <w:rsid w:val="00EC414D"/>
    <w:rsid w:val="00EC42D1"/>
    <w:rsid w:val="00EC4619"/>
    <w:rsid w:val="00EC56E4"/>
    <w:rsid w:val="00EC5836"/>
    <w:rsid w:val="00EC6190"/>
    <w:rsid w:val="00EC61EE"/>
    <w:rsid w:val="00EC688C"/>
    <w:rsid w:val="00EC6F37"/>
    <w:rsid w:val="00EC731A"/>
    <w:rsid w:val="00EC7D43"/>
    <w:rsid w:val="00ED0CBB"/>
    <w:rsid w:val="00ED12E3"/>
    <w:rsid w:val="00ED12EF"/>
    <w:rsid w:val="00ED1A0F"/>
    <w:rsid w:val="00ED1AE9"/>
    <w:rsid w:val="00ED1FDA"/>
    <w:rsid w:val="00ED2288"/>
    <w:rsid w:val="00ED2343"/>
    <w:rsid w:val="00ED27A7"/>
    <w:rsid w:val="00ED3A69"/>
    <w:rsid w:val="00ED4A0F"/>
    <w:rsid w:val="00ED4B04"/>
    <w:rsid w:val="00ED53D2"/>
    <w:rsid w:val="00ED551C"/>
    <w:rsid w:val="00ED56CF"/>
    <w:rsid w:val="00ED57EA"/>
    <w:rsid w:val="00ED5BD4"/>
    <w:rsid w:val="00ED6FC2"/>
    <w:rsid w:val="00ED74BF"/>
    <w:rsid w:val="00ED7C9A"/>
    <w:rsid w:val="00EE0210"/>
    <w:rsid w:val="00EE07D3"/>
    <w:rsid w:val="00EE08EF"/>
    <w:rsid w:val="00EE0A6D"/>
    <w:rsid w:val="00EE0BAD"/>
    <w:rsid w:val="00EE10F4"/>
    <w:rsid w:val="00EE1996"/>
    <w:rsid w:val="00EE1C01"/>
    <w:rsid w:val="00EE1CC9"/>
    <w:rsid w:val="00EE1F50"/>
    <w:rsid w:val="00EE1FC3"/>
    <w:rsid w:val="00EE22AF"/>
    <w:rsid w:val="00EE2E27"/>
    <w:rsid w:val="00EE325C"/>
    <w:rsid w:val="00EE5342"/>
    <w:rsid w:val="00EE6D8E"/>
    <w:rsid w:val="00EE6EF1"/>
    <w:rsid w:val="00EE7EA0"/>
    <w:rsid w:val="00EF0171"/>
    <w:rsid w:val="00EF0894"/>
    <w:rsid w:val="00EF0A23"/>
    <w:rsid w:val="00EF1B25"/>
    <w:rsid w:val="00EF1DA0"/>
    <w:rsid w:val="00EF4021"/>
    <w:rsid w:val="00EF4747"/>
    <w:rsid w:val="00EF4BA2"/>
    <w:rsid w:val="00EF4BF8"/>
    <w:rsid w:val="00EF551A"/>
    <w:rsid w:val="00EF60DE"/>
    <w:rsid w:val="00EF6429"/>
    <w:rsid w:val="00EF6747"/>
    <w:rsid w:val="00EF6ABF"/>
    <w:rsid w:val="00F0059E"/>
    <w:rsid w:val="00F00822"/>
    <w:rsid w:val="00F00C72"/>
    <w:rsid w:val="00F01228"/>
    <w:rsid w:val="00F01B1E"/>
    <w:rsid w:val="00F01CB7"/>
    <w:rsid w:val="00F02253"/>
    <w:rsid w:val="00F029B6"/>
    <w:rsid w:val="00F02F11"/>
    <w:rsid w:val="00F03C2E"/>
    <w:rsid w:val="00F04A66"/>
    <w:rsid w:val="00F04B4B"/>
    <w:rsid w:val="00F0516C"/>
    <w:rsid w:val="00F0527A"/>
    <w:rsid w:val="00F067A2"/>
    <w:rsid w:val="00F07177"/>
    <w:rsid w:val="00F07B9E"/>
    <w:rsid w:val="00F07EEF"/>
    <w:rsid w:val="00F100E0"/>
    <w:rsid w:val="00F102B0"/>
    <w:rsid w:val="00F10346"/>
    <w:rsid w:val="00F1116F"/>
    <w:rsid w:val="00F11808"/>
    <w:rsid w:val="00F1201C"/>
    <w:rsid w:val="00F1263A"/>
    <w:rsid w:val="00F1280C"/>
    <w:rsid w:val="00F12D6A"/>
    <w:rsid w:val="00F139C5"/>
    <w:rsid w:val="00F14367"/>
    <w:rsid w:val="00F14E58"/>
    <w:rsid w:val="00F152AC"/>
    <w:rsid w:val="00F155C6"/>
    <w:rsid w:val="00F15B77"/>
    <w:rsid w:val="00F16968"/>
    <w:rsid w:val="00F16C0C"/>
    <w:rsid w:val="00F17128"/>
    <w:rsid w:val="00F20101"/>
    <w:rsid w:val="00F208CF"/>
    <w:rsid w:val="00F21236"/>
    <w:rsid w:val="00F2181B"/>
    <w:rsid w:val="00F22B0B"/>
    <w:rsid w:val="00F22BF1"/>
    <w:rsid w:val="00F230C8"/>
    <w:rsid w:val="00F239DF"/>
    <w:rsid w:val="00F24837"/>
    <w:rsid w:val="00F251DA"/>
    <w:rsid w:val="00F2536A"/>
    <w:rsid w:val="00F2575F"/>
    <w:rsid w:val="00F26AEC"/>
    <w:rsid w:val="00F270FD"/>
    <w:rsid w:val="00F27565"/>
    <w:rsid w:val="00F310D4"/>
    <w:rsid w:val="00F31D5A"/>
    <w:rsid w:val="00F31F8F"/>
    <w:rsid w:val="00F325BD"/>
    <w:rsid w:val="00F325F0"/>
    <w:rsid w:val="00F336E2"/>
    <w:rsid w:val="00F33975"/>
    <w:rsid w:val="00F33DE9"/>
    <w:rsid w:val="00F341EC"/>
    <w:rsid w:val="00F353C3"/>
    <w:rsid w:val="00F35DAA"/>
    <w:rsid w:val="00F35E6D"/>
    <w:rsid w:val="00F3619A"/>
    <w:rsid w:val="00F40AAA"/>
    <w:rsid w:val="00F40BA7"/>
    <w:rsid w:val="00F40F9D"/>
    <w:rsid w:val="00F4177B"/>
    <w:rsid w:val="00F41ACD"/>
    <w:rsid w:val="00F42BC7"/>
    <w:rsid w:val="00F431C4"/>
    <w:rsid w:val="00F4387F"/>
    <w:rsid w:val="00F43BAA"/>
    <w:rsid w:val="00F44BA2"/>
    <w:rsid w:val="00F459BB"/>
    <w:rsid w:val="00F46039"/>
    <w:rsid w:val="00F46CB6"/>
    <w:rsid w:val="00F4706D"/>
    <w:rsid w:val="00F4756D"/>
    <w:rsid w:val="00F4792F"/>
    <w:rsid w:val="00F47DE8"/>
    <w:rsid w:val="00F47F29"/>
    <w:rsid w:val="00F5146B"/>
    <w:rsid w:val="00F542C1"/>
    <w:rsid w:val="00F54751"/>
    <w:rsid w:val="00F550E3"/>
    <w:rsid w:val="00F5598C"/>
    <w:rsid w:val="00F55E73"/>
    <w:rsid w:val="00F55EDA"/>
    <w:rsid w:val="00F55FE1"/>
    <w:rsid w:val="00F56154"/>
    <w:rsid w:val="00F561D4"/>
    <w:rsid w:val="00F566DD"/>
    <w:rsid w:val="00F566FD"/>
    <w:rsid w:val="00F56C80"/>
    <w:rsid w:val="00F572E7"/>
    <w:rsid w:val="00F57965"/>
    <w:rsid w:val="00F57D76"/>
    <w:rsid w:val="00F60092"/>
    <w:rsid w:val="00F60905"/>
    <w:rsid w:val="00F61C18"/>
    <w:rsid w:val="00F61C1D"/>
    <w:rsid w:val="00F62356"/>
    <w:rsid w:val="00F62AF1"/>
    <w:rsid w:val="00F6391B"/>
    <w:rsid w:val="00F63F2B"/>
    <w:rsid w:val="00F640EC"/>
    <w:rsid w:val="00F64581"/>
    <w:rsid w:val="00F64EDF"/>
    <w:rsid w:val="00F64F61"/>
    <w:rsid w:val="00F65098"/>
    <w:rsid w:val="00F65F4B"/>
    <w:rsid w:val="00F66400"/>
    <w:rsid w:val="00F6674F"/>
    <w:rsid w:val="00F6796D"/>
    <w:rsid w:val="00F67A69"/>
    <w:rsid w:val="00F67BBF"/>
    <w:rsid w:val="00F67F90"/>
    <w:rsid w:val="00F70BFF"/>
    <w:rsid w:val="00F70C9D"/>
    <w:rsid w:val="00F70E76"/>
    <w:rsid w:val="00F72001"/>
    <w:rsid w:val="00F72126"/>
    <w:rsid w:val="00F729C6"/>
    <w:rsid w:val="00F72E63"/>
    <w:rsid w:val="00F735A7"/>
    <w:rsid w:val="00F73E08"/>
    <w:rsid w:val="00F74CD9"/>
    <w:rsid w:val="00F74E83"/>
    <w:rsid w:val="00F775DC"/>
    <w:rsid w:val="00F775DD"/>
    <w:rsid w:val="00F77D12"/>
    <w:rsid w:val="00F77DE4"/>
    <w:rsid w:val="00F8012B"/>
    <w:rsid w:val="00F80A7B"/>
    <w:rsid w:val="00F80E5D"/>
    <w:rsid w:val="00F8102C"/>
    <w:rsid w:val="00F81E78"/>
    <w:rsid w:val="00F82041"/>
    <w:rsid w:val="00F82286"/>
    <w:rsid w:val="00F82AFF"/>
    <w:rsid w:val="00F83499"/>
    <w:rsid w:val="00F8386F"/>
    <w:rsid w:val="00F83916"/>
    <w:rsid w:val="00F83B31"/>
    <w:rsid w:val="00F8436F"/>
    <w:rsid w:val="00F843FB"/>
    <w:rsid w:val="00F84B42"/>
    <w:rsid w:val="00F851CE"/>
    <w:rsid w:val="00F852B3"/>
    <w:rsid w:val="00F8531E"/>
    <w:rsid w:val="00F8593E"/>
    <w:rsid w:val="00F86B66"/>
    <w:rsid w:val="00F8722D"/>
    <w:rsid w:val="00F87767"/>
    <w:rsid w:val="00F87F19"/>
    <w:rsid w:val="00F91219"/>
    <w:rsid w:val="00F92444"/>
    <w:rsid w:val="00F93702"/>
    <w:rsid w:val="00F9393E"/>
    <w:rsid w:val="00F96FD0"/>
    <w:rsid w:val="00F9735F"/>
    <w:rsid w:val="00F976A5"/>
    <w:rsid w:val="00F97A78"/>
    <w:rsid w:val="00F97A7D"/>
    <w:rsid w:val="00FA0B20"/>
    <w:rsid w:val="00FA172D"/>
    <w:rsid w:val="00FA215B"/>
    <w:rsid w:val="00FA228A"/>
    <w:rsid w:val="00FA24E7"/>
    <w:rsid w:val="00FA2A84"/>
    <w:rsid w:val="00FA2C42"/>
    <w:rsid w:val="00FA3D3C"/>
    <w:rsid w:val="00FA4A83"/>
    <w:rsid w:val="00FA4F90"/>
    <w:rsid w:val="00FA5966"/>
    <w:rsid w:val="00FA5EE6"/>
    <w:rsid w:val="00FA695B"/>
    <w:rsid w:val="00FA7956"/>
    <w:rsid w:val="00FB04D0"/>
    <w:rsid w:val="00FB0824"/>
    <w:rsid w:val="00FB160B"/>
    <w:rsid w:val="00FB2A81"/>
    <w:rsid w:val="00FB2FCB"/>
    <w:rsid w:val="00FB302D"/>
    <w:rsid w:val="00FB463C"/>
    <w:rsid w:val="00FB4C9C"/>
    <w:rsid w:val="00FB5069"/>
    <w:rsid w:val="00FB5195"/>
    <w:rsid w:val="00FB6033"/>
    <w:rsid w:val="00FB681D"/>
    <w:rsid w:val="00FB7391"/>
    <w:rsid w:val="00FB7C55"/>
    <w:rsid w:val="00FC0792"/>
    <w:rsid w:val="00FC1074"/>
    <w:rsid w:val="00FC1405"/>
    <w:rsid w:val="00FC16AD"/>
    <w:rsid w:val="00FC1884"/>
    <w:rsid w:val="00FC24CA"/>
    <w:rsid w:val="00FC2C3B"/>
    <w:rsid w:val="00FC3107"/>
    <w:rsid w:val="00FC371D"/>
    <w:rsid w:val="00FC479C"/>
    <w:rsid w:val="00FC486B"/>
    <w:rsid w:val="00FC5F0B"/>
    <w:rsid w:val="00FC6072"/>
    <w:rsid w:val="00FC6889"/>
    <w:rsid w:val="00FC6C8C"/>
    <w:rsid w:val="00FC6D93"/>
    <w:rsid w:val="00FC713D"/>
    <w:rsid w:val="00FD0943"/>
    <w:rsid w:val="00FD0A9D"/>
    <w:rsid w:val="00FD0C9D"/>
    <w:rsid w:val="00FD1B97"/>
    <w:rsid w:val="00FD1DFA"/>
    <w:rsid w:val="00FD2100"/>
    <w:rsid w:val="00FD2E5E"/>
    <w:rsid w:val="00FD3E5F"/>
    <w:rsid w:val="00FD436C"/>
    <w:rsid w:val="00FD446D"/>
    <w:rsid w:val="00FD4720"/>
    <w:rsid w:val="00FD4AA0"/>
    <w:rsid w:val="00FD4F2C"/>
    <w:rsid w:val="00FD4FE3"/>
    <w:rsid w:val="00FD53BB"/>
    <w:rsid w:val="00FD56AD"/>
    <w:rsid w:val="00FD6394"/>
    <w:rsid w:val="00FD7565"/>
    <w:rsid w:val="00FE0E6C"/>
    <w:rsid w:val="00FE1CDC"/>
    <w:rsid w:val="00FE35EC"/>
    <w:rsid w:val="00FE37CB"/>
    <w:rsid w:val="00FE3903"/>
    <w:rsid w:val="00FE4AFA"/>
    <w:rsid w:val="00FE530E"/>
    <w:rsid w:val="00FE533F"/>
    <w:rsid w:val="00FE5503"/>
    <w:rsid w:val="00FE6A2F"/>
    <w:rsid w:val="00FE6E7B"/>
    <w:rsid w:val="00FE6FE2"/>
    <w:rsid w:val="00FE70C3"/>
    <w:rsid w:val="00FE719C"/>
    <w:rsid w:val="00FE7B4D"/>
    <w:rsid w:val="00FF006B"/>
    <w:rsid w:val="00FF0F9A"/>
    <w:rsid w:val="00FF1A8B"/>
    <w:rsid w:val="00FF1BC1"/>
    <w:rsid w:val="00FF211C"/>
    <w:rsid w:val="00FF273F"/>
    <w:rsid w:val="00FF2AD9"/>
    <w:rsid w:val="00FF359F"/>
    <w:rsid w:val="00FF3DCF"/>
    <w:rsid w:val="00FF417A"/>
    <w:rsid w:val="00FF492C"/>
    <w:rsid w:val="00FF4A21"/>
    <w:rsid w:val="00FF5AA3"/>
    <w:rsid w:val="00FF5AD8"/>
    <w:rsid w:val="00FF6988"/>
    <w:rsid w:val="00FF7833"/>
    <w:rsid w:val="00FF7C3E"/>
    <w:rsid w:val="01C85889"/>
    <w:rsid w:val="022CDAC7"/>
    <w:rsid w:val="029AB794"/>
    <w:rsid w:val="033AD20C"/>
    <w:rsid w:val="03481195"/>
    <w:rsid w:val="03521894"/>
    <w:rsid w:val="03A42309"/>
    <w:rsid w:val="03B40EC3"/>
    <w:rsid w:val="04704A0F"/>
    <w:rsid w:val="059902A3"/>
    <w:rsid w:val="05F749DA"/>
    <w:rsid w:val="062C5A5D"/>
    <w:rsid w:val="0666E7ED"/>
    <w:rsid w:val="06A7EC85"/>
    <w:rsid w:val="075B869F"/>
    <w:rsid w:val="07B95337"/>
    <w:rsid w:val="07CFF566"/>
    <w:rsid w:val="081D29F9"/>
    <w:rsid w:val="0901ED25"/>
    <w:rsid w:val="09E9C276"/>
    <w:rsid w:val="0A4BF8C4"/>
    <w:rsid w:val="0AA36C30"/>
    <w:rsid w:val="0B45F96E"/>
    <w:rsid w:val="0B5D70EC"/>
    <w:rsid w:val="0B69FDF0"/>
    <w:rsid w:val="0C4BE44C"/>
    <w:rsid w:val="0CAFF031"/>
    <w:rsid w:val="0D4A2C8A"/>
    <w:rsid w:val="0EA742AE"/>
    <w:rsid w:val="0F4CE71F"/>
    <w:rsid w:val="0F7A2EFD"/>
    <w:rsid w:val="10286D7E"/>
    <w:rsid w:val="10464EC2"/>
    <w:rsid w:val="104DEF9E"/>
    <w:rsid w:val="10EB7087"/>
    <w:rsid w:val="10F0E8DB"/>
    <w:rsid w:val="111FB1ED"/>
    <w:rsid w:val="1178E4EC"/>
    <w:rsid w:val="119B5A76"/>
    <w:rsid w:val="11CA857D"/>
    <w:rsid w:val="12080331"/>
    <w:rsid w:val="122F6A69"/>
    <w:rsid w:val="13569A9E"/>
    <w:rsid w:val="13CBAE35"/>
    <w:rsid w:val="13D79518"/>
    <w:rsid w:val="13F0EE88"/>
    <w:rsid w:val="13F4B76E"/>
    <w:rsid w:val="14A5429E"/>
    <w:rsid w:val="14F628AC"/>
    <w:rsid w:val="14F8E909"/>
    <w:rsid w:val="1531F74E"/>
    <w:rsid w:val="15EDC8C8"/>
    <w:rsid w:val="16A6A2AC"/>
    <w:rsid w:val="16BFF805"/>
    <w:rsid w:val="16C041BF"/>
    <w:rsid w:val="16CF9E8A"/>
    <w:rsid w:val="1797C14F"/>
    <w:rsid w:val="19C4E7F2"/>
    <w:rsid w:val="1B2C0ACF"/>
    <w:rsid w:val="1B627412"/>
    <w:rsid w:val="1B8A0EA2"/>
    <w:rsid w:val="1B900CE3"/>
    <w:rsid w:val="1BD8A471"/>
    <w:rsid w:val="1BF6E26C"/>
    <w:rsid w:val="1C2324B6"/>
    <w:rsid w:val="1D3D4275"/>
    <w:rsid w:val="1D6216DA"/>
    <w:rsid w:val="1D7E5501"/>
    <w:rsid w:val="1D9BF081"/>
    <w:rsid w:val="1D9F533A"/>
    <w:rsid w:val="1E9ACFB0"/>
    <w:rsid w:val="1F421ADB"/>
    <w:rsid w:val="1FBFB50E"/>
    <w:rsid w:val="1FD45D73"/>
    <w:rsid w:val="20309613"/>
    <w:rsid w:val="20427121"/>
    <w:rsid w:val="204B008C"/>
    <w:rsid w:val="2074C54C"/>
    <w:rsid w:val="2085FC49"/>
    <w:rsid w:val="20ED9EFD"/>
    <w:rsid w:val="21DA221F"/>
    <w:rsid w:val="21F3C4B0"/>
    <w:rsid w:val="2234CB33"/>
    <w:rsid w:val="2288B990"/>
    <w:rsid w:val="2293A2B4"/>
    <w:rsid w:val="22A1CD2A"/>
    <w:rsid w:val="2354B928"/>
    <w:rsid w:val="23844536"/>
    <w:rsid w:val="23F553E6"/>
    <w:rsid w:val="246D5425"/>
    <w:rsid w:val="2498DFC4"/>
    <w:rsid w:val="24AD3B65"/>
    <w:rsid w:val="24BE20C8"/>
    <w:rsid w:val="25A0E4B1"/>
    <w:rsid w:val="25F99091"/>
    <w:rsid w:val="26733576"/>
    <w:rsid w:val="26E0733F"/>
    <w:rsid w:val="26F4C52B"/>
    <w:rsid w:val="270A7E75"/>
    <w:rsid w:val="2729B331"/>
    <w:rsid w:val="2823E5C6"/>
    <w:rsid w:val="286D6505"/>
    <w:rsid w:val="28B38AB3"/>
    <w:rsid w:val="29B32DA2"/>
    <w:rsid w:val="29D3E5D0"/>
    <w:rsid w:val="2A5C552F"/>
    <w:rsid w:val="2A96C0DC"/>
    <w:rsid w:val="2ABA4CF3"/>
    <w:rsid w:val="2B0E66A7"/>
    <w:rsid w:val="2BDAC116"/>
    <w:rsid w:val="2C207DBC"/>
    <w:rsid w:val="2C4E6BCB"/>
    <w:rsid w:val="2C6DE56E"/>
    <w:rsid w:val="2D060D8D"/>
    <w:rsid w:val="2D1C9057"/>
    <w:rsid w:val="2DE7AA79"/>
    <w:rsid w:val="2EAF04EB"/>
    <w:rsid w:val="2EB8FED2"/>
    <w:rsid w:val="2F0CDCE5"/>
    <w:rsid w:val="2F3F7376"/>
    <w:rsid w:val="2FDD3DC5"/>
    <w:rsid w:val="3008137A"/>
    <w:rsid w:val="3027D71E"/>
    <w:rsid w:val="30383CED"/>
    <w:rsid w:val="310D55F8"/>
    <w:rsid w:val="31148641"/>
    <w:rsid w:val="313345B2"/>
    <w:rsid w:val="3327140F"/>
    <w:rsid w:val="33BB4FBD"/>
    <w:rsid w:val="34569FCD"/>
    <w:rsid w:val="347BA2E6"/>
    <w:rsid w:val="34CD45E1"/>
    <w:rsid w:val="34CE4D2D"/>
    <w:rsid w:val="350354D5"/>
    <w:rsid w:val="35E376B5"/>
    <w:rsid w:val="3667DB43"/>
    <w:rsid w:val="36811C17"/>
    <w:rsid w:val="36BD02E4"/>
    <w:rsid w:val="36C465BF"/>
    <w:rsid w:val="37272706"/>
    <w:rsid w:val="37804349"/>
    <w:rsid w:val="379D6846"/>
    <w:rsid w:val="380BB817"/>
    <w:rsid w:val="3838E2D4"/>
    <w:rsid w:val="384F3BA2"/>
    <w:rsid w:val="3953513B"/>
    <w:rsid w:val="39543DBB"/>
    <w:rsid w:val="39C30828"/>
    <w:rsid w:val="3B93C0D5"/>
    <w:rsid w:val="3BA9F909"/>
    <w:rsid w:val="3C4D442C"/>
    <w:rsid w:val="3C7CDD81"/>
    <w:rsid w:val="3C92BE78"/>
    <w:rsid w:val="3CA22A41"/>
    <w:rsid w:val="3DEE435C"/>
    <w:rsid w:val="3EAEA6CA"/>
    <w:rsid w:val="3ECE93CD"/>
    <w:rsid w:val="3F6A802D"/>
    <w:rsid w:val="3FA4840E"/>
    <w:rsid w:val="407D2DD5"/>
    <w:rsid w:val="4106DE78"/>
    <w:rsid w:val="416CDE14"/>
    <w:rsid w:val="41751C17"/>
    <w:rsid w:val="41820F93"/>
    <w:rsid w:val="41E2339A"/>
    <w:rsid w:val="41F768A8"/>
    <w:rsid w:val="41F9BEF0"/>
    <w:rsid w:val="4263265F"/>
    <w:rsid w:val="42A97776"/>
    <w:rsid w:val="4306C56F"/>
    <w:rsid w:val="43288504"/>
    <w:rsid w:val="43AA209C"/>
    <w:rsid w:val="43EC6809"/>
    <w:rsid w:val="43F62682"/>
    <w:rsid w:val="44CACFD0"/>
    <w:rsid w:val="455436FE"/>
    <w:rsid w:val="4596CF07"/>
    <w:rsid w:val="45A2669F"/>
    <w:rsid w:val="45EDECE2"/>
    <w:rsid w:val="460A874F"/>
    <w:rsid w:val="472AE4B6"/>
    <w:rsid w:val="474EA017"/>
    <w:rsid w:val="4817F9EC"/>
    <w:rsid w:val="487755CD"/>
    <w:rsid w:val="487D420A"/>
    <w:rsid w:val="48D9291D"/>
    <w:rsid w:val="49A80E35"/>
    <w:rsid w:val="49E5D75D"/>
    <w:rsid w:val="49F3F47F"/>
    <w:rsid w:val="4A0779BC"/>
    <w:rsid w:val="4AAF413F"/>
    <w:rsid w:val="4ABDA7E5"/>
    <w:rsid w:val="4B35325E"/>
    <w:rsid w:val="4B3F98D8"/>
    <w:rsid w:val="4BEE2239"/>
    <w:rsid w:val="4BF20BE5"/>
    <w:rsid w:val="4C359F6B"/>
    <w:rsid w:val="4C784BCC"/>
    <w:rsid w:val="4D0BF914"/>
    <w:rsid w:val="4DC41683"/>
    <w:rsid w:val="4E19F9CB"/>
    <w:rsid w:val="4E91B4D6"/>
    <w:rsid w:val="4EA11DE5"/>
    <w:rsid w:val="4EC8D6EC"/>
    <w:rsid w:val="4EF7626C"/>
    <w:rsid w:val="4F1B67F9"/>
    <w:rsid w:val="503F4FCC"/>
    <w:rsid w:val="5117D514"/>
    <w:rsid w:val="51869EEF"/>
    <w:rsid w:val="51BE08DF"/>
    <w:rsid w:val="52A0C986"/>
    <w:rsid w:val="52CFEDFC"/>
    <w:rsid w:val="534C4728"/>
    <w:rsid w:val="53C65D65"/>
    <w:rsid w:val="54861731"/>
    <w:rsid w:val="54E2A1DA"/>
    <w:rsid w:val="564C9816"/>
    <w:rsid w:val="56953613"/>
    <w:rsid w:val="56AFD092"/>
    <w:rsid w:val="56BF2472"/>
    <w:rsid w:val="575CAC90"/>
    <w:rsid w:val="57FCC188"/>
    <w:rsid w:val="58076C95"/>
    <w:rsid w:val="58E39CB7"/>
    <w:rsid w:val="58F0EBCC"/>
    <w:rsid w:val="59447A98"/>
    <w:rsid w:val="5947104B"/>
    <w:rsid w:val="5985CC9C"/>
    <w:rsid w:val="5A556A4F"/>
    <w:rsid w:val="5B46A15F"/>
    <w:rsid w:val="5BB906F8"/>
    <w:rsid w:val="5D00D0FF"/>
    <w:rsid w:val="5D58C66E"/>
    <w:rsid w:val="5DEF6376"/>
    <w:rsid w:val="5EB040CB"/>
    <w:rsid w:val="5F268F5C"/>
    <w:rsid w:val="5F4133B6"/>
    <w:rsid w:val="5F689492"/>
    <w:rsid w:val="5FB60E16"/>
    <w:rsid w:val="60F706E2"/>
    <w:rsid w:val="6244DE8B"/>
    <w:rsid w:val="627171B5"/>
    <w:rsid w:val="6347DF75"/>
    <w:rsid w:val="6436D788"/>
    <w:rsid w:val="648CEC2B"/>
    <w:rsid w:val="653FC117"/>
    <w:rsid w:val="654C4596"/>
    <w:rsid w:val="6681261F"/>
    <w:rsid w:val="670D0E44"/>
    <w:rsid w:val="6848D561"/>
    <w:rsid w:val="686DAE0E"/>
    <w:rsid w:val="6A6767E8"/>
    <w:rsid w:val="6AB8F21C"/>
    <w:rsid w:val="6B6F7DCF"/>
    <w:rsid w:val="6BFF1E87"/>
    <w:rsid w:val="6C4511B4"/>
    <w:rsid w:val="6CC852B3"/>
    <w:rsid w:val="6CF98BB1"/>
    <w:rsid w:val="6D2276CE"/>
    <w:rsid w:val="6D986C9D"/>
    <w:rsid w:val="6D9CF655"/>
    <w:rsid w:val="6DF54E99"/>
    <w:rsid w:val="6E488B11"/>
    <w:rsid w:val="6E9E06AB"/>
    <w:rsid w:val="6F3A9110"/>
    <w:rsid w:val="6FF06EBB"/>
    <w:rsid w:val="7053C1C1"/>
    <w:rsid w:val="70652A62"/>
    <w:rsid w:val="72057EF5"/>
    <w:rsid w:val="72570DB9"/>
    <w:rsid w:val="72D46FB2"/>
    <w:rsid w:val="72EC929A"/>
    <w:rsid w:val="73C2B8D6"/>
    <w:rsid w:val="73C2CABD"/>
    <w:rsid w:val="74C34DEA"/>
    <w:rsid w:val="7528BAD1"/>
    <w:rsid w:val="7568A9A8"/>
    <w:rsid w:val="758DE968"/>
    <w:rsid w:val="76974B8A"/>
    <w:rsid w:val="76C524AB"/>
    <w:rsid w:val="774608AC"/>
    <w:rsid w:val="774FCC4F"/>
    <w:rsid w:val="77CB4298"/>
    <w:rsid w:val="780F100B"/>
    <w:rsid w:val="7913407F"/>
    <w:rsid w:val="79A01614"/>
    <w:rsid w:val="7A775170"/>
    <w:rsid w:val="7AD4F78A"/>
    <w:rsid w:val="7AE2E616"/>
    <w:rsid w:val="7AF0A6ED"/>
    <w:rsid w:val="7BE841F2"/>
    <w:rsid w:val="7DA3967B"/>
    <w:rsid w:val="7E4E206D"/>
    <w:rsid w:val="7E7D93E6"/>
    <w:rsid w:val="7F093C96"/>
    <w:rsid w:val="7F2486AB"/>
    <w:rsid w:val="7F3126FB"/>
    <w:rsid w:val="7F365ACE"/>
    <w:rsid w:val="7FBF3AFC"/>
    <w:rsid w:val="7FE56E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BAA"/>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
    <w:link w:val="ListParagraphChar"/>
    <w:uiPriority w:val="34"/>
    <w:qFormat/>
    <w:rsid w:val="004C3B02"/>
    <w:pPr>
      <w:numPr>
        <w:numId w:val="8"/>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E76F2A"/>
    <w:pPr>
      <w:numPr>
        <w:ilvl w:val="1"/>
        <w:numId w:val="9"/>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E76F2A"/>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link w:val="DefaultChar"/>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53245C"/>
    <w:pPr>
      <w:keepLines/>
      <w:spacing w:after="120"/>
      <w:contextualSpacing/>
      <w:jc w:val="left"/>
    </w:pPr>
    <w:rPr>
      <w:rFonts w:ascii="Arial Narrow" w:eastAsiaTheme="majorEastAsia" w:hAnsi="Arial Narrow"/>
      <w:snapToGrid w:val="0"/>
      <w:sz w:val="18"/>
      <w:szCs w:val="22"/>
    </w:rPr>
  </w:style>
  <w:style w:type="character" w:customStyle="1" w:styleId="TableFigureFooterChar">
    <w:name w:val="Table/Figure Footer Char"/>
    <w:link w:val="TableFigureFooter"/>
    <w:rsid w:val="0053245C"/>
    <w:rPr>
      <w:rFonts w:ascii="Arial Narrow" w:eastAsiaTheme="majorEastAsia" w:hAnsi="Arial Narrow" w:cs="Arial"/>
      <w:snapToGrid w:val="0"/>
      <w:sz w:val="18"/>
      <w:szCs w:val="22"/>
    </w:rPr>
  </w:style>
  <w:style w:type="character" w:customStyle="1" w:styleId="DefaultChar">
    <w:name w:val="Default Char"/>
    <w:link w:val="Default"/>
    <w:rsid w:val="00421C50"/>
    <w:rPr>
      <w:rFonts w:ascii="Calibri" w:hAnsi="Calibri" w:cs="Calibri"/>
      <w:color w:val="000000"/>
      <w:sz w:val="24"/>
      <w:szCs w:val="24"/>
    </w:rPr>
  </w:style>
  <w:style w:type="paragraph" w:customStyle="1" w:styleId="TableorfigureAbbreviationsandSource">
    <w:name w:val="Table or figure Abbreviations and Source"/>
    <w:next w:val="Normal"/>
    <w:qFormat/>
    <w:rsid w:val="00946434"/>
    <w:pPr>
      <w:spacing w:after="240"/>
      <w:contextualSpacing/>
    </w:pPr>
    <w:rPr>
      <w:rFonts w:ascii="Calibri" w:eastAsia="Calibri" w:hAnsi="Calibri"/>
      <w:sz w:val="16"/>
      <w:szCs w:val="22"/>
      <w:lang w:eastAsia="zh-CN"/>
    </w:rPr>
  </w:style>
  <w:style w:type="character" w:styleId="UnresolvedMention">
    <w:name w:val="Unresolved Mention"/>
    <w:basedOn w:val="DefaultParagraphFont"/>
    <w:uiPriority w:val="99"/>
    <w:semiHidden/>
    <w:unhideWhenUsed/>
    <w:rsid w:val="00E20A91"/>
    <w:rPr>
      <w:color w:val="605E5C"/>
      <w:shd w:val="clear" w:color="auto" w:fill="E1DFDD"/>
    </w:rPr>
  </w:style>
  <w:style w:type="character" w:customStyle="1" w:styleId="CaptionFootnoteChar">
    <w:name w:val="Caption Footnote Char"/>
    <w:link w:val="CaptionFootnote"/>
    <w:rsid w:val="0054070E"/>
    <w:rPr>
      <w:rFonts w:asciiTheme="minorHAnsi" w:hAnsiTheme="minorHAnsi" w:cstheme="minorHAnsi"/>
      <w:kern w:val="28"/>
      <w:sz w:val="18"/>
      <w:szCs w:val="18"/>
      <w:lang w:eastAsia="en-GB"/>
    </w:rPr>
  </w:style>
  <w:style w:type="paragraph" w:customStyle="1" w:styleId="CaptionFootnote">
    <w:name w:val="Caption Footnote"/>
    <w:basedOn w:val="Normal"/>
    <w:link w:val="CaptionFootnoteChar"/>
    <w:qFormat/>
    <w:rsid w:val="0054070E"/>
    <w:pPr>
      <w:spacing w:after="240"/>
      <w:contextualSpacing/>
    </w:pPr>
    <w:rPr>
      <w:rFonts w:asciiTheme="minorHAnsi" w:hAnsiTheme="minorHAnsi" w:cstheme="minorHAnsi"/>
      <w:kern w:val="28"/>
      <w:sz w:val="18"/>
      <w:szCs w:val="18"/>
      <w:lang w:eastAsia="en-GB"/>
    </w:rPr>
  </w:style>
  <w:style w:type="paragraph" w:styleId="FootnoteText">
    <w:name w:val="footnote text"/>
    <w:basedOn w:val="Normal"/>
    <w:link w:val="FootnoteTextChar"/>
    <w:semiHidden/>
    <w:unhideWhenUsed/>
    <w:rsid w:val="00B847A6"/>
    <w:rPr>
      <w:sz w:val="20"/>
      <w:szCs w:val="20"/>
    </w:rPr>
  </w:style>
  <w:style w:type="character" w:customStyle="1" w:styleId="FootnoteTextChar">
    <w:name w:val="Footnote Text Char"/>
    <w:basedOn w:val="DefaultParagraphFont"/>
    <w:link w:val="FootnoteText"/>
    <w:semiHidden/>
    <w:rsid w:val="00B847A6"/>
    <w:rPr>
      <w:rFonts w:ascii="Calibri" w:hAnsi="Calibri" w:cs="Arial"/>
    </w:rPr>
  </w:style>
  <w:style w:type="character" w:styleId="FootnoteReference">
    <w:name w:val="footnote reference"/>
    <w:basedOn w:val="DefaultParagraphFont"/>
    <w:semiHidden/>
    <w:unhideWhenUsed/>
    <w:rsid w:val="00B847A6"/>
    <w:rPr>
      <w:vertAlign w:val="superscript"/>
    </w:rPr>
  </w:style>
  <w:style w:type="paragraph" w:styleId="EndnoteText">
    <w:name w:val="endnote text"/>
    <w:basedOn w:val="Normal"/>
    <w:link w:val="EndnoteTextChar"/>
    <w:semiHidden/>
    <w:unhideWhenUsed/>
    <w:rsid w:val="00C4496E"/>
    <w:rPr>
      <w:sz w:val="20"/>
      <w:szCs w:val="20"/>
    </w:rPr>
  </w:style>
  <w:style w:type="character" w:customStyle="1" w:styleId="EndnoteTextChar">
    <w:name w:val="Endnote Text Char"/>
    <w:basedOn w:val="DefaultParagraphFont"/>
    <w:link w:val="EndnoteText"/>
    <w:semiHidden/>
    <w:rsid w:val="00C4496E"/>
    <w:rPr>
      <w:rFonts w:ascii="Calibri" w:hAnsi="Calibri" w:cs="Arial"/>
    </w:rPr>
  </w:style>
  <w:style w:type="character" w:styleId="EndnoteReference">
    <w:name w:val="endnote reference"/>
    <w:basedOn w:val="DefaultParagraphFont"/>
    <w:semiHidden/>
    <w:unhideWhenUsed/>
    <w:rsid w:val="00C4496E"/>
    <w:rPr>
      <w:vertAlign w:val="superscript"/>
    </w:rPr>
  </w:style>
  <w:style w:type="paragraph" w:styleId="Bibliography">
    <w:name w:val="Bibliography"/>
    <w:basedOn w:val="Normal"/>
    <w:next w:val="Normal"/>
    <w:uiPriority w:val="37"/>
    <w:unhideWhenUsed/>
    <w:rsid w:val="006124B2"/>
  </w:style>
  <w:style w:type="character" w:customStyle="1" w:styleId="normaltextrun">
    <w:name w:val="normaltextrun"/>
    <w:basedOn w:val="DefaultParagraphFont"/>
    <w:rsid w:val="006831DC"/>
  </w:style>
  <w:style w:type="character" w:customStyle="1" w:styleId="eop">
    <w:name w:val="eop"/>
    <w:basedOn w:val="DefaultParagraphFont"/>
    <w:rsid w:val="0068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976">
      <w:bodyDiv w:val="1"/>
      <w:marLeft w:val="0"/>
      <w:marRight w:val="0"/>
      <w:marTop w:val="0"/>
      <w:marBottom w:val="0"/>
      <w:divBdr>
        <w:top w:val="none" w:sz="0" w:space="0" w:color="auto"/>
        <w:left w:val="none" w:sz="0" w:space="0" w:color="auto"/>
        <w:bottom w:val="none" w:sz="0" w:space="0" w:color="auto"/>
        <w:right w:val="none" w:sz="0" w:space="0" w:color="auto"/>
      </w:divBdr>
    </w:div>
    <w:div w:id="8735986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1859765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0522372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2232433">
      <w:bodyDiv w:val="1"/>
      <w:marLeft w:val="0"/>
      <w:marRight w:val="0"/>
      <w:marTop w:val="0"/>
      <w:marBottom w:val="0"/>
      <w:divBdr>
        <w:top w:val="none" w:sz="0" w:space="0" w:color="auto"/>
        <w:left w:val="none" w:sz="0" w:space="0" w:color="auto"/>
        <w:bottom w:val="none" w:sz="0" w:space="0" w:color="auto"/>
        <w:right w:val="none" w:sz="0" w:space="0" w:color="auto"/>
      </w:divBdr>
    </w:div>
    <w:div w:id="1338271124">
      <w:bodyDiv w:val="1"/>
      <w:marLeft w:val="0"/>
      <w:marRight w:val="0"/>
      <w:marTop w:val="0"/>
      <w:marBottom w:val="0"/>
      <w:divBdr>
        <w:top w:val="none" w:sz="0" w:space="0" w:color="auto"/>
        <w:left w:val="none" w:sz="0" w:space="0" w:color="auto"/>
        <w:bottom w:val="none" w:sz="0" w:space="0" w:color="auto"/>
        <w:right w:val="none" w:sz="0" w:space="0" w:color="auto"/>
      </w:divBdr>
    </w:div>
    <w:div w:id="183895941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385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edicarestatistics.humanservice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tg.org.au" TargetMode="External"/><Relationship Id="rId2" Type="http://schemas.openxmlformats.org/officeDocument/2006/relationships/hyperlink" Target="https://ranzcog.edu.au/wp-content/uploads/Contraception-Clinical-Guideline.pdf" TargetMode="External"/><Relationship Id="rId1" Type="http://schemas.openxmlformats.org/officeDocument/2006/relationships/hyperlink" Target="https://healthgov.sharepoint.com/sites/PBACSecretariat/Shared%20Documents/2025-5%20May%20PBAC%20meeting/Working%20Documents/Pre-meeting/Draft%20Commentaries/1.%20Ready%20for%20internal%20review/Therapeutic%20Goods%20Administration,%20(2016),%20&#8216;Combined%20hormonal%20contraceptives&#8217;,%20www.tga.gov.au/news/safety-alerts/combined-hormonal-contraceptives" TargetMode="External"/><Relationship Id="rId4" Type="http://schemas.openxmlformats.org/officeDocument/2006/relationships/hyperlink" Target="http://www.fsrh.org/Common/Uploaded%20files/documents/fsrh-ukmec-full-book-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32E5-00BD-4C79-B1A0-14EC5EB00C1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68017EDC-8320-4989-AC05-05D37B01DBE8}">
  <ds:schemaRefs>
    <ds:schemaRef ds:uri="http://schemas.microsoft.com/sharepoint/v3/contenttype/forms"/>
  </ds:schemaRefs>
</ds:datastoreItem>
</file>

<file path=customXml/itemProps3.xml><?xml version="1.0" encoding="utf-8"?>
<ds:datastoreItem xmlns:ds="http://schemas.openxmlformats.org/officeDocument/2006/customXml" ds:itemID="{DF2ABBAD-6959-4809-891A-A4870D273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63A47-8933-447F-AACD-21D85C4E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13257</Words>
  <Characters>75570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2025-06-02T13:11:00Z</dcterms:created>
  <dcterms:modified xsi:type="dcterms:W3CDTF">2025-08-27T03:47:00Z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ClassificationContentMarkingHeaderShapeIds">
    <vt:lpwstr>4c6f91b3,1e659a35,7efb1e05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23b1ed6e,1c1a596d,61afc2f</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2025-08-26T08:25:18Z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9141c63c-d591-41aa-beb6-a122fed42deb</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