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64C5" w14:textId="6ACE534F" w:rsidR="00433044" w:rsidRPr="00A94F57" w:rsidRDefault="00BA7D3F" w:rsidP="00A94F57">
      <w:pPr>
        <w:pStyle w:val="COMexecsummheadings"/>
      </w:pPr>
      <w:r>
        <w:t>7</w:t>
      </w:r>
      <w:r w:rsidR="00433044" w:rsidRPr="0098262F">
        <w:t>.</w:t>
      </w:r>
      <w:r>
        <w:t>02</w:t>
      </w:r>
      <w:r w:rsidR="00163F66" w:rsidRPr="0098262F">
        <w:tab/>
      </w:r>
      <w:r w:rsidR="00536CA6">
        <w:t>EMPAGLIFLOZIN</w:t>
      </w:r>
      <w:r w:rsidR="00163F66" w:rsidRPr="0098262F">
        <w:t>,</w:t>
      </w:r>
      <w:r w:rsidR="00163F66" w:rsidRPr="0098262F">
        <w:br/>
      </w:r>
      <w:r w:rsidR="00536CA6">
        <w:t>Tablet 10 mg</w:t>
      </w:r>
      <w:r w:rsidR="00163F66" w:rsidRPr="0098262F">
        <w:t>,</w:t>
      </w:r>
      <w:r w:rsidR="00163F66" w:rsidRPr="0098262F">
        <w:br/>
      </w:r>
      <w:r w:rsidR="00536CA6">
        <w:t>Jardiance</w:t>
      </w:r>
      <w:r w:rsidR="00B60939" w:rsidRPr="0098262F">
        <w:rPr>
          <w:vertAlign w:val="superscript"/>
        </w:rPr>
        <w:t>®</w:t>
      </w:r>
      <w:r w:rsidR="004A6040" w:rsidRPr="0098262F">
        <w:t>,</w:t>
      </w:r>
      <w:r w:rsidR="004A6040" w:rsidRPr="0098262F">
        <w:br/>
      </w:r>
      <w:r w:rsidR="00536CA6">
        <w:t>Boehringer Ingelheim Pty Ltd</w:t>
      </w:r>
      <w:r w:rsidR="00B60939" w:rsidRPr="0098262F">
        <w:t>.</w:t>
      </w:r>
    </w:p>
    <w:p w14:paraId="11C00795" w14:textId="3DFB6D23" w:rsidR="00B50DB8" w:rsidRPr="0098262F" w:rsidRDefault="00B50DB8" w:rsidP="004A6040">
      <w:pPr>
        <w:pStyle w:val="COMH1-numbered"/>
      </w:pPr>
      <w:bookmarkStart w:id="0" w:name="_Toc193277439"/>
      <w:r w:rsidRPr="0098262F">
        <w:t xml:space="preserve">Purpose of </w:t>
      </w:r>
      <w:r w:rsidR="00CD7193" w:rsidRPr="0098262F">
        <w:t>s</w:t>
      </w:r>
      <w:r w:rsidR="00BB3A45" w:rsidRPr="0098262F">
        <w:t>ubmission</w:t>
      </w:r>
      <w:bookmarkEnd w:id="0"/>
    </w:p>
    <w:p w14:paraId="19414AA1" w14:textId="4382F2CF" w:rsidR="002551A8" w:rsidRDefault="007170DA" w:rsidP="002551A8">
      <w:pPr>
        <w:pStyle w:val="COMexecsummnumbered"/>
      </w:pPr>
      <w:r w:rsidRPr="0098262F">
        <w:t xml:space="preserve">The </w:t>
      </w:r>
      <w:r w:rsidR="000508C2" w:rsidRPr="0098262F">
        <w:t>Standard Re-entry</w:t>
      </w:r>
      <w:r w:rsidR="003C7C15" w:rsidRPr="0098262F">
        <w:t xml:space="preserve"> </w:t>
      </w:r>
      <w:r w:rsidR="004479C8">
        <w:t>re</w:t>
      </w:r>
      <w:r w:rsidRPr="0098262F">
        <w:t xml:space="preserve">submission requested </w:t>
      </w:r>
      <w:r w:rsidR="00FC09DD" w:rsidRPr="00FC09DD">
        <w:t xml:space="preserve">an extension of the current empagliflozin Authority Required (STREAMLINED) listing </w:t>
      </w:r>
      <w:r w:rsidR="004157F6">
        <w:t xml:space="preserve">to include the </w:t>
      </w:r>
      <w:r w:rsidR="009C6822">
        <w:t>incremental population</w:t>
      </w:r>
      <w:r w:rsidR="00C92462">
        <w:t xml:space="preserve"> </w:t>
      </w:r>
      <w:r w:rsidR="00A73C1C">
        <w:t xml:space="preserve">that </w:t>
      </w:r>
      <w:r w:rsidR="00A906B3">
        <w:t xml:space="preserve">was </w:t>
      </w:r>
      <w:r w:rsidR="002551A8">
        <w:t>not recommended</w:t>
      </w:r>
      <w:r w:rsidR="009C6822">
        <w:t xml:space="preserve"> by the PBAC at the November 2023 meeting. The incremental population includes 4 distinct subgroups</w:t>
      </w:r>
      <w:r w:rsidR="008F68D9">
        <w:t xml:space="preserve"> of patients with</w:t>
      </w:r>
      <w:r w:rsidR="009C6822">
        <w:t>:</w:t>
      </w:r>
    </w:p>
    <w:p w14:paraId="7B59F7A4" w14:textId="77777777" w:rsidR="00276253" w:rsidRDefault="00583320" w:rsidP="000342F5">
      <w:pPr>
        <w:pStyle w:val="COMexecsummbulletlist"/>
        <w:ind w:hanging="357"/>
      </w:pPr>
      <w:r w:rsidRPr="00645204">
        <w:t xml:space="preserve">eGFR 20 to </w:t>
      </w:r>
      <w:r w:rsidR="007F4A6F">
        <w:t>&lt;</w:t>
      </w:r>
      <w:r w:rsidRPr="00645204">
        <w:t>25 mL/min/1.73 m</w:t>
      </w:r>
      <w:r w:rsidRPr="00AA3DC9">
        <w:rPr>
          <w:vertAlign w:val="superscript"/>
        </w:rPr>
        <w:t>2</w:t>
      </w:r>
      <w:r w:rsidRPr="00645204">
        <w:t xml:space="preserve"> regardless of UACR.</w:t>
      </w:r>
    </w:p>
    <w:p w14:paraId="1941DB84" w14:textId="1DD47A06" w:rsidR="00583320" w:rsidRPr="00645204" w:rsidRDefault="00583320" w:rsidP="000342F5">
      <w:pPr>
        <w:pStyle w:val="COMexecsummbulletlist"/>
        <w:ind w:hanging="357"/>
      </w:pPr>
      <w:r w:rsidRPr="00645204">
        <w:t xml:space="preserve">eGFR 25 to </w:t>
      </w:r>
      <w:r w:rsidR="000B7BCE">
        <w:t>&lt;</w:t>
      </w:r>
      <w:r w:rsidRPr="00645204">
        <w:t>45 mL/min/1.73 m</w:t>
      </w:r>
      <w:r w:rsidRPr="00AA3DC9">
        <w:rPr>
          <w:vertAlign w:val="superscript"/>
        </w:rPr>
        <w:t>2</w:t>
      </w:r>
      <w:r w:rsidRPr="00645204">
        <w:t xml:space="preserve"> with </w:t>
      </w:r>
      <w:r>
        <w:t>U</w:t>
      </w:r>
      <w:r w:rsidRPr="00645204">
        <w:t>ACR &lt;200 mg/g.</w:t>
      </w:r>
    </w:p>
    <w:p w14:paraId="6B8B267D" w14:textId="786AC3E2" w:rsidR="00583320" w:rsidRPr="00645204" w:rsidRDefault="00583320" w:rsidP="000342F5">
      <w:pPr>
        <w:pStyle w:val="COMexecsummbulletlist"/>
        <w:ind w:hanging="357"/>
      </w:pPr>
      <w:r w:rsidRPr="00645204">
        <w:t>eGFR 25 to 75 mL/min/1.73 m</w:t>
      </w:r>
      <w:r w:rsidRPr="00AA3DC9">
        <w:rPr>
          <w:vertAlign w:val="superscript"/>
        </w:rPr>
        <w:t>2</w:t>
      </w:r>
      <w:r w:rsidRPr="00645204">
        <w:t xml:space="preserve"> with </w:t>
      </w:r>
      <w:r>
        <w:t>U</w:t>
      </w:r>
      <w:r w:rsidRPr="00645204">
        <w:t>ACR &gt;5,000 mg/g.</w:t>
      </w:r>
    </w:p>
    <w:p w14:paraId="211B68FE" w14:textId="606AB33B" w:rsidR="00FC0E94" w:rsidRPr="00645204" w:rsidRDefault="00FC0E94" w:rsidP="000342F5">
      <w:pPr>
        <w:pStyle w:val="COMexecsummbulletlist"/>
        <w:ind w:hanging="357"/>
      </w:pPr>
      <w:r w:rsidRPr="00645204">
        <w:t xml:space="preserve">eGFR </w:t>
      </w:r>
      <w:r w:rsidR="003073F4">
        <w:t>&gt;</w:t>
      </w:r>
      <w:r w:rsidRPr="00645204">
        <w:t>75 to 90 mL/min/1.73 m</w:t>
      </w:r>
      <w:r w:rsidRPr="00AA3DC9">
        <w:rPr>
          <w:vertAlign w:val="superscript"/>
        </w:rPr>
        <w:t>2</w:t>
      </w:r>
      <w:r w:rsidRPr="00645204">
        <w:t xml:space="preserve"> with </w:t>
      </w:r>
      <w:r w:rsidR="00967B53">
        <w:t>U</w:t>
      </w:r>
      <w:r w:rsidRPr="00645204">
        <w:t>ACR ≥200 mg/g.</w:t>
      </w:r>
    </w:p>
    <w:p w14:paraId="0CA1B9AE" w14:textId="77777777" w:rsidR="00276253" w:rsidRPr="008D4A73" w:rsidRDefault="005750C5" w:rsidP="004E18E9">
      <w:pPr>
        <w:pStyle w:val="COMexecsummnumbered"/>
        <w:rPr>
          <w:color w:val="0066FF"/>
        </w:rPr>
      </w:pPr>
      <w:r w:rsidRPr="0098262F">
        <w:t xml:space="preserve">Listing was requested on the basis of a cost-effectiveness analysis versus </w:t>
      </w:r>
      <w:r w:rsidR="00AA3DC9">
        <w:t>standard care</w:t>
      </w:r>
      <w:r w:rsidRPr="0098262F">
        <w:t>.</w:t>
      </w:r>
    </w:p>
    <w:p w14:paraId="3718DE61" w14:textId="5FB6EA75" w:rsidR="008B1757" w:rsidRDefault="00696EF9" w:rsidP="003E4484">
      <w:pPr>
        <w:pStyle w:val="COMtablefigcaption"/>
        <w:keepLines/>
      </w:pPr>
      <w:r w:rsidRPr="0098262F">
        <w:t xml:space="preserve">Table </w:t>
      </w:r>
      <w:r w:rsidR="001154A7">
        <w:fldChar w:fldCharType="begin"/>
      </w:r>
      <w:r w:rsidR="001154A7">
        <w:instrText xml:space="preserve"> SEQ Table \* ARABIC </w:instrText>
      </w:r>
      <w:r w:rsidR="001154A7">
        <w:fldChar w:fldCharType="separate"/>
      </w:r>
      <w:r w:rsidR="004A7850">
        <w:rPr>
          <w:noProof/>
        </w:rPr>
        <w:t>1</w:t>
      </w:r>
      <w:r w:rsidR="001154A7">
        <w:rPr>
          <w:noProof/>
        </w:rPr>
        <w:fldChar w:fldCharType="end"/>
      </w:r>
      <w:r w:rsidRPr="0098262F">
        <w:t>:</w:t>
      </w:r>
      <w:r w:rsidR="00BC591F" w:rsidRPr="00B50F7F">
        <w:t xml:space="preserve"> </w:t>
      </w:r>
      <w:r w:rsidR="008B1757" w:rsidRPr="00B50F7F">
        <w:t xml:space="preserve">Key components of the clinical issue addressed </w:t>
      </w:r>
      <w:r w:rsidR="002812CE" w:rsidRPr="00B50F7F">
        <w:t>in</w:t>
      </w:r>
      <w:r w:rsidR="008B1757" w:rsidRPr="00B50F7F">
        <w:t xml:space="preserve"> the </w:t>
      </w:r>
      <w:r w:rsidR="001124DC">
        <w:t>re</w:t>
      </w:r>
      <w:r w:rsidR="008B1757" w:rsidRPr="00B50F7F">
        <w:t>submission</w:t>
      </w:r>
      <w:r w:rsidR="007170DA" w:rsidRPr="00B50F7F">
        <w:t xml:space="preserve"> (as stated in the </w:t>
      </w:r>
      <w:r w:rsidR="001124DC">
        <w:t>re</w:t>
      </w:r>
      <w:r w:rsidR="007170DA" w:rsidRPr="00B50F7F">
        <w:t>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43"/>
      </w:tblGrid>
      <w:tr w:rsidR="00967B53" w:rsidRPr="0098262F" w14:paraId="2B76308F" w14:textId="77777777" w:rsidTr="00991328">
        <w:tc>
          <w:tcPr>
            <w:tcW w:w="1413" w:type="dxa"/>
            <w:vAlign w:val="center"/>
          </w:tcPr>
          <w:p w14:paraId="6D932F9E" w14:textId="77777777" w:rsidR="00967B53" w:rsidRPr="0098262F" w:rsidRDefault="00967B53" w:rsidP="003E4484">
            <w:pPr>
              <w:pStyle w:val="COMTableheadingrow"/>
              <w:keepLines/>
            </w:pPr>
            <w:r w:rsidRPr="0098262F">
              <w:t>Component</w:t>
            </w:r>
          </w:p>
        </w:tc>
        <w:tc>
          <w:tcPr>
            <w:tcW w:w="7743" w:type="dxa"/>
            <w:vAlign w:val="center"/>
          </w:tcPr>
          <w:p w14:paraId="4296BA4F" w14:textId="77777777" w:rsidR="00967B53" w:rsidRPr="0098262F" w:rsidRDefault="00967B53" w:rsidP="003E4484">
            <w:pPr>
              <w:pStyle w:val="COMTableheadingrow"/>
              <w:keepLines/>
            </w:pPr>
            <w:r w:rsidRPr="0098262F">
              <w:t>Description</w:t>
            </w:r>
          </w:p>
        </w:tc>
      </w:tr>
      <w:tr w:rsidR="00967B53" w:rsidRPr="0098262F" w14:paraId="4BAB27B5" w14:textId="77777777" w:rsidTr="00991328">
        <w:tc>
          <w:tcPr>
            <w:tcW w:w="1413" w:type="dxa"/>
            <w:vAlign w:val="center"/>
          </w:tcPr>
          <w:p w14:paraId="703198D7" w14:textId="77777777" w:rsidR="00967B53" w:rsidRPr="0098262F" w:rsidRDefault="00967B53" w:rsidP="003E4484">
            <w:pPr>
              <w:pStyle w:val="COMTabletext"/>
              <w:keepLines/>
            </w:pPr>
            <w:r w:rsidRPr="0098262F">
              <w:t>Population</w:t>
            </w:r>
          </w:p>
        </w:tc>
        <w:tc>
          <w:tcPr>
            <w:tcW w:w="7743" w:type="dxa"/>
            <w:vAlign w:val="center"/>
          </w:tcPr>
          <w:p w14:paraId="7AD03314" w14:textId="77777777" w:rsidR="006C7713" w:rsidRDefault="00674C05" w:rsidP="003E4484">
            <w:pPr>
              <w:pStyle w:val="COMTabletext"/>
              <w:keepLines/>
            </w:pPr>
            <w:r>
              <w:t>CKD</w:t>
            </w:r>
            <w:r w:rsidR="0078214A">
              <w:t xml:space="preserve"> patients with</w:t>
            </w:r>
            <w:r w:rsidR="006C7713">
              <w:t>:</w:t>
            </w:r>
          </w:p>
          <w:p w14:paraId="795D0C10" w14:textId="58F6DEB7" w:rsidR="006C7713" w:rsidRDefault="006C7713" w:rsidP="00481597">
            <w:pPr>
              <w:pStyle w:val="COMTabletext"/>
              <w:keepLines/>
              <w:numPr>
                <w:ilvl w:val="0"/>
                <w:numId w:val="7"/>
              </w:numPr>
              <w:ind w:left="170" w:hanging="170"/>
            </w:pPr>
            <w:r>
              <w:t xml:space="preserve">eGFR 20 to </w:t>
            </w:r>
            <w:r w:rsidR="007F4A6F">
              <w:t>&lt;</w:t>
            </w:r>
            <w:r>
              <w:t>25 mL/min/1.73 m</w:t>
            </w:r>
            <w:r w:rsidRPr="00674C05">
              <w:rPr>
                <w:vertAlign w:val="superscript"/>
              </w:rPr>
              <w:t>2</w:t>
            </w:r>
            <w:r>
              <w:t xml:space="preserve"> regardless of UACR.</w:t>
            </w:r>
          </w:p>
          <w:p w14:paraId="07572661" w14:textId="01D89485" w:rsidR="006C7713" w:rsidRDefault="006C7713" w:rsidP="00481597">
            <w:pPr>
              <w:pStyle w:val="COMTabletext"/>
              <w:keepLines/>
              <w:numPr>
                <w:ilvl w:val="0"/>
                <w:numId w:val="7"/>
              </w:numPr>
              <w:ind w:left="170" w:hanging="170"/>
            </w:pPr>
            <w:r>
              <w:t>eGFR 25</w:t>
            </w:r>
            <w:r w:rsidR="000B7BCE">
              <w:t xml:space="preserve"> to &lt;</w:t>
            </w:r>
            <w:r>
              <w:t>45 mL/min/1.73 m</w:t>
            </w:r>
            <w:r w:rsidRPr="00B640A5">
              <w:rPr>
                <w:vertAlign w:val="superscript"/>
              </w:rPr>
              <w:t>2</w:t>
            </w:r>
            <w:r>
              <w:t xml:space="preserve"> and UACR &lt;200 mg/g.</w:t>
            </w:r>
          </w:p>
          <w:p w14:paraId="4A10BCFF" w14:textId="12BEEF7A" w:rsidR="006C7713" w:rsidRDefault="006C7713" w:rsidP="00481597">
            <w:pPr>
              <w:pStyle w:val="COMTabletext"/>
              <w:keepLines/>
              <w:numPr>
                <w:ilvl w:val="0"/>
                <w:numId w:val="7"/>
              </w:numPr>
              <w:ind w:left="170" w:hanging="170"/>
            </w:pPr>
            <w:r>
              <w:t>eGFR 25</w:t>
            </w:r>
            <w:r w:rsidR="001203FC">
              <w:t xml:space="preserve"> to </w:t>
            </w:r>
            <w:r>
              <w:t>75 mL/min/1.73 m</w:t>
            </w:r>
            <w:r w:rsidRPr="001B1280">
              <w:rPr>
                <w:vertAlign w:val="superscript"/>
              </w:rPr>
              <w:t>2</w:t>
            </w:r>
            <w:r>
              <w:t xml:space="preserve"> and UACR &gt;5,000 mg/g.</w:t>
            </w:r>
          </w:p>
          <w:p w14:paraId="39C16778" w14:textId="21839D32" w:rsidR="0078214A" w:rsidRPr="0098262F" w:rsidRDefault="001B1280" w:rsidP="00481597">
            <w:pPr>
              <w:pStyle w:val="COMTabletext"/>
              <w:keepLines/>
              <w:numPr>
                <w:ilvl w:val="0"/>
                <w:numId w:val="7"/>
              </w:numPr>
              <w:ind w:left="170" w:hanging="170"/>
            </w:pPr>
            <w:r>
              <w:t xml:space="preserve">eGFR </w:t>
            </w:r>
            <w:r w:rsidR="00B640A5">
              <w:t>&gt;</w:t>
            </w:r>
            <w:r>
              <w:t>75</w:t>
            </w:r>
            <w:r w:rsidR="001203FC">
              <w:t xml:space="preserve"> to </w:t>
            </w:r>
            <w:r>
              <w:t>90 mL/min/1.73 m</w:t>
            </w:r>
            <w:r w:rsidRPr="001B1280">
              <w:rPr>
                <w:vertAlign w:val="superscript"/>
              </w:rPr>
              <w:t>2</w:t>
            </w:r>
            <w:r>
              <w:t xml:space="preserve"> </w:t>
            </w:r>
            <w:r w:rsidR="00674C05">
              <w:t>and</w:t>
            </w:r>
            <w:r>
              <w:t xml:space="preserve"> UACR ≥200 mg/g</w:t>
            </w:r>
            <w:r w:rsidR="006C7713">
              <w:t>.</w:t>
            </w:r>
          </w:p>
        </w:tc>
      </w:tr>
      <w:tr w:rsidR="00967B53" w:rsidRPr="0098262F" w14:paraId="29F9D2DC" w14:textId="77777777" w:rsidTr="00991328">
        <w:tc>
          <w:tcPr>
            <w:tcW w:w="1413" w:type="dxa"/>
            <w:vAlign w:val="center"/>
          </w:tcPr>
          <w:p w14:paraId="001F1EAE" w14:textId="77777777" w:rsidR="00967B53" w:rsidRPr="0098262F" w:rsidRDefault="00967B53" w:rsidP="003E4484">
            <w:pPr>
              <w:pStyle w:val="COMTabletext"/>
              <w:keepLines/>
            </w:pPr>
            <w:r w:rsidRPr="0098262F">
              <w:t>Intervention</w:t>
            </w:r>
          </w:p>
        </w:tc>
        <w:tc>
          <w:tcPr>
            <w:tcW w:w="7743" w:type="dxa"/>
            <w:vAlign w:val="center"/>
          </w:tcPr>
          <w:p w14:paraId="44E8971B" w14:textId="48E81C65" w:rsidR="00967B53" w:rsidRPr="0098262F" w:rsidRDefault="00967B53" w:rsidP="003E4484">
            <w:pPr>
              <w:pStyle w:val="COMTabletext"/>
              <w:keepLines/>
            </w:pPr>
            <w:r w:rsidRPr="0005185F">
              <w:t>Empagliflozin 10</w:t>
            </w:r>
            <w:r w:rsidR="00FE6F51">
              <w:t xml:space="preserve"> </w:t>
            </w:r>
            <w:r w:rsidRPr="0005185F">
              <w:t>mg once daily</w:t>
            </w:r>
            <w:r>
              <w:t xml:space="preserve">, </w:t>
            </w:r>
            <w:r w:rsidRPr="0005185F">
              <w:t xml:space="preserve">add-on to </w:t>
            </w:r>
            <w:r>
              <w:t>standard care.</w:t>
            </w:r>
          </w:p>
        </w:tc>
      </w:tr>
      <w:tr w:rsidR="00967B53" w:rsidRPr="0098262F" w14:paraId="2DA13B20" w14:textId="77777777" w:rsidTr="00991328">
        <w:tc>
          <w:tcPr>
            <w:tcW w:w="1413" w:type="dxa"/>
            <w:vAlign w:val="center"/>
          </w:tcPr>
          <w:p w14:paraId="701B00EF" w14:textId="77777777" w:rsidR="00967B53" w:rsidRPr="0098262F" w:rsidRDefault="00967B53" w:rsidP="003E4484">
            <w:pPr>
              <w:pStyle w:val="COMTabletext"/>
              <w:keepLines/>
            </w:pPr>
            <w:r w:rsidRPr="0098262F">
              <w:t>Comparator</w:t>
            </w:r>
          </w:p>
        </w:tc>
        <w:tc>
          <w:tcPr>
            <w:tcW w:w="7743" w:type="dxa"/>
            <w:vAlign w:val="center"/>
          </w:tcPr>
          <w:p w14:paraId="56FFC7CF" w14:textId="7EDB7589" w:rsidR="00967B53" w:rsidRPr="0098262F" w:rsidRDefault="00967B53" w:rsidP="003E4484">
            <w:pPr>
              <w:pStyle w:val="COMTabletext"/>
              <w:keepLines/>
            </w:pPr>
            <w:r w:rsidRPr="004C4325">
              <w:rPr>
                <w:rFonts w:cstheme="minorHAnsi"/>
                <w:szCs w:val="18"/>
              </w:rPr>
              <w:t>Placebo</w:t>
            </w:r>
            <w:r>
              <w:rPr>
                <w:rFonts w:cstheme="minorHAnsi"/>
                <w:szCs w:val="18"/>
              </w:rPr>
              <w:t xml:space="preserve">, </w:t>
            </w:r>
            <w:r w:rsidRPr="004C4325">
              <w:rPr>
                <w:rFonts w:cstheme="minorHAnsi"/>
                <w:szCs w:val="18"/>
              </w:rPr>
              <w:t xml:space="preserve">add-on to </w:t>
            </w:r>
            <w:r>
              <w:rPr>
                <w:rFonts w:cstheme="minorHAnsi"/>
                <w:szCs w:val="18"/>
              </w:rPr>
              <w:t>standard care</w:t>
            </w:r>
            <w:r>
              <w:t xml:space="preserve">. </w:t>
            </w:r>
            <w:r>
              <w:rPr>
                <w:rFonts w:cstheme="minorHAnsi"/>
                <w:szCs w:val="18"/>
              </w:rPr>
              <w:t>Standard care</w:t>
            </w:r>
            <w:r w:rsidRPr="004C4325">
              <w:rPr>
                <w:rFonts w:cstheme="minorHAnsi"/>
                <w:szCs w:val="18"/>
              </w:rPr>
              <w:t xml:space="preserve"> includes </w:t>
            </w:r>
            <w:r>
              <w:rPr>
                <w:rFonts w:cstheme="minorHAnsi"/>
                <w:szCs w:val="18"/>
              </w:rPr>
              <w:t xml:space="preserve">treatment with an </w:t>
            </w:r>
            <w:r w:rsidRPr="004C4325">
              <w:rPr>
                <w:rFonts w:cstheme="minorHAnsi"/>
                <w:szCs w:val="18"/>
              </w:rPr>
              <w:t xml:space="preserve">ACE inhibitor </w:t>
            </w:r>
            <w:r w:rsidR="001963BF">
              <w:rPr>
                <w:rFonts w:cstheme="minorHAnsi"/>
                <w:szCs w:val="18"/>
              </w:rPr>
              <w:t>or</w:t>
            </w:r>
            <w:r w:rsidRPr="004C4325">
              <w:rPr>
                <w:rFonts w:cstheme="minorHAnsi"/>
                <w:szCs w:val="18"/>
              </w:rPr>
              <w:t xml:space="preserve"> ARB to reduce proteinuria and reduce </w:t>
            </w:r>
            <w:r>
              <w:rPr>
                <w:rFonts w:cstheme="minorHAnsi"/>
                <w:szCs w:val="18"/>
              </w:rPr>
              <w:t>cardiovascular</w:t>
            </w:r>
            <w:r w:rsidRPr="004C4325">
              <w:rPr>
                <w:rFonts w:cstheme="minorHAnsi"/>
                <w:szCs w:val="18"/>
              </w:rPr>
              <w:t xml:space="preserve"> risk.</w:t>
            </w:r>
          </w:p>
        </w:tc>
      </w:tr>
      <w:tr w:rsidR="00967B53" w:rsidRPr="0098262F" w14:paraId="31604C07" w14:textId="77777777" w:rsidTr="00991328">
        <w:tc>
          <w:tcPr>
            <w:tcW w:w="1413" w:type="dxa"/>
            <w:vAlign w:val="center"/>
          </w:tcPr>
          <w:p w14:paraId="1D65F5D2" w14:textId="77777777" w:rsidR="00967B53" w:rsidRPr="0098262F" w:rsidRDefault="00967B53" w:rsidP="003E4484">
            <w:pPr>
              <w:pStyle w:val="COMTabletext"/>
              <w:keepLines/>
            </w:pPr>
            <w:r w:rsidRPr="0098262F">
              <w:t>Outcomes</w:t>
            </w:r>
          </w:p>
        </w:tc>
        <w:tc>
          <w:tcPr>
            <w:tcW w:w="7743" w:type="dxa"/>
            <w:vAlign w:val="center"/>
          </w:tcPr>
          <w:p w14:paraId="6B943FCB" w14:textId="77777777" w:rsidR="00967B53" w:rsidRPr="0098262F" w:rsidRDefault="00967B53" w:rsidP="003E4484">
            <w:pPr>
              <w:pStyle w:val="COMTabletext"/>
              <w:keepLines/>
            </w:pPr>
            <w:r w:rsidRPr="00345AA8">
              <w:t xml:space="preserve">Composite of kidney disease progression and </w:t>
            </w:r>
            <w:r>
              <w:t>cardiovascular</w:t>
            </w:r>
            <w:r w:rsidRPr="00345AA8">
              <w:t xml:space="preserve"> death, </w:t>
            </w:r>
            <w:r w:rsidRPr="00F87B04">
              <w:t>all-cause mortality</w:t>
            </w:r>
            <w:r w:rsidRPr="00345AA8">
              <w:t xml:space="preserve">, </w:t>
            </w:r>
            <w:r>
              <w:t>hospitalisation for heart failure</w:t>
            </w:r>
            <w:r w:rsidRPr="00345AA8">
              <w:t xml:space="preserve">, </w:t>
            </w:r>
            <w:r w:rsidRPr="00DF722A">
              <w:t>all-cause hospitalisations</w:t>
            </w:r>
            <w:r w:rsidRPr="00345AA8">
              <w:t xml:space="preserve">, kidney disease progression, </w:t>
            </w:r>
            <w:r>
              <w:t>cardiovascular</w:t>
            </w:r>
            <w:r w:rsidRPr="00345AA8">
              <w:t xml:space="preserve"> death, composite of </w:t>
            </w:r>
            <w:r>
              <w:t>cardiovascular</w:t>
            </w:r>
            <w:r w:rsidRPr="00345AA8">
              <w:t xml:space="preserve"> death and ESKD, annual rate of change in eGFR, and </w:t>
            </w:r>
            <w:r>
              <w:t>EQ-5D-5L.</w:t>
            </w:r>
          </w:p>
        </w:tc>
      </w:tr>
      <w:tr w:rsidR="00967B53" w:rsidRPr="0098262F" w14:paraId="00656671" w14:textId="77777777" w:rsidTr="00991328">
        <w:tc>
          <w:tcPr>
            <w:tcW w:w="1413" w:type="dxa"/>
            <w:vAlign w:val="center"/>
          </w:tcPr>
          <w:p w14:paraId="565176FE" w14:textId="77777777" w:rsidR="00967B53" w:rsidRPr="0098262F" w:rsidRDefault="00967B53" w:rsidP="003E4484">
            <w:pPr>
              <w:pStyle w:val="COMTabletext"/>
              <w:keepLines/>
            </w:pPr>
            <w:r w:rsidRPr="0098262F">
              <w:t>Clinical claim</w:t>
            </w:r>
          </w:p>
        </w:tc>
        <w:tc>
          <w:tcPr>
            <w:tcW w:w="7743" w:type="dxa"/>
            <w:vAlign w:val="center"/>
          </w:tcPr>
          <w:p w14:paraId="0E4ECEEF" w14:textId="77777777" w:rsidR="00967B53" w:rsidRPr="0098262F" w:rsidRDefault="00967B53" w:rsidP="003E4484">
            <w:pPr>
              <w:pStyle w:val="COMTabletext"/>
              <w:keepLines/>
            </w:pPr>
            <w:r w:rsidRPr="009A6763">
              <w:t xml:space="preserve">Empagliflozin </w:t>
            </w:r>
            <w:r>
              <w:t xml:space="preserve">plus standard care </w:t>
            </w:r>
            <w:r w:rsidRPr="009A6763">
              <w:t>is superior in terms of efficacy and non-inferior in terms of safety compared to placebo</w:t>
            </w:r>
            <w:r>
              <w:t xml:space="preserve"> plus standard care.</w:t>
            </w:r>
          </w:p>
        </w:tc>
      </w:tr>
    </w:tbl>
    <w:p w14:paraId="560ED90B" w14:textId="77777777" w:rsidR="00276253" w:rsidRDefault="00967B53" w:rsidP="00967B53">
      <w:pPr>
        <w:pStyle w:val="COMTablefooter"/>
      </w:pPr>
      <w:r w:rsidRPr="0029549C">
        <w:t>Source: Table 1.2, p21 of the resubmission.</w:t>
      </w:r>
    </w:p>
    <w:p w14:paraId="527CA7F0" w14:textId="6EA1F3B2" w:rsidR="004E43B2" w:rsidRDefault="00967B53" w:rsidP="007E51D5">
      <w:pPr>
        <w:pStyle w:val="COMTablefooter"/>
      </w:pPr>
      <w:r w:rsidRPr="0029549C">
        <w:t xml:space="preserve">Abbreviations: ACE, angiotensin converting enzyme; ARB, angiotensin II receptor blocker; CKD, chronic kidney disease; eGFR, </w:t>
      </w:r>
      <w:r w:rsidRPr="0029549C">
        <w:rPr>
          <w:rFonts w:eastAsia="Cambria"/>
        </w:rPr>
        <w:t>estimated glomerular filtration rate</w:t>
      </w:r>
      <w:r w:rsidRPr="0029549C">
        <w:t xml:space="preserve">; ESKD, </w:t>
      </w:r>
      <w:r w:rsidRPr="0029549C">
        <w:rPr>
          <w:rFonts w:eastAsia="Cambria"/>
        </w:rPr>
        <w:t xml:space="preserve">end-stage kidney disease; </w:t>
      </w:r>
      <w:r>
        <w:t>U</w:t>
      </w:r>
      <w:r w:rsidRPr="0029549C">
        <w:t>ACR, urinary albumin to creatinine ratio.</w:t>
      </w:r>
    </w:p>
    <w:p w14:paraId="4D210A1E" w14:textId="77777777" w:rsidR="00850F3D" w:rsidRDefault="00850F3D" w:rsidP="00850F3D">
      <w:pPr>
        <w:pStyle w:val="COMTablefooter"/>
      </w:pPr>
      <w:r>
        <w:t>Note: The proposed expanded population is CKD patients with eGFR 20 to 90 mL/min/1.73 m</w:t>
      </w:r>
      <w:r w:rsidRPr="00AA37B7">
        <w:rPr>
          <w:vertAlign w:val="superscript"/>
        </w:rPr>
        <w:t>2</w:t>
      </w:r>
      <w:r>
        <w:t>; with patients with eGFR 45 to 90 mL/min/1.73 m</w:t>
      </w:r>
      <w:r w:rsidRPr="009265F2">
        <w:rPr>
          <w:vertAlign w:val="superscript"/>
        </w:rPr>
        <w:t>2</w:t>
      </w:r>
      <w:r>
        <w:t xml:space="preserve"> requiring a UACR ≥200 mg/g. This includes the currently listed CKD population (</w:t>
      </w:r>
      <w:r w:rsidRPr="00C23CF4">
        <w:t>eGFR 25 to 75 mL/min/1.73 m</w:t>
      </w:r>
      <w:r w:rsidRPr="004A7A4E">
        <w:rPr>
          <w:vertAlign w:val="superscript"/>
        </w:rPr>
        <w:t>2</w:t>
      </w:r>
      <w:r w:rsidRPr="00C23CF4">
        <w:t xml:space="preserve"> and UACR 200 to 5000 mg/g</w:t>
      </w:r>
      <w:r>
        <w:t>;</w:t>
      </w:r>
      <w:r w:rsidRPr="00C23CF4">
        <w:t xml:space="preserve"> referred to as the overlap population</w:t>
      </w:r>
      <w:r>
        <w:t>); and the proposed incremental population included in the table above.</w:t>
      </w:r>
    </w:p>
    <w:p w14:paraId="5FC6DB0A" w14:textId="77777777" w:rsidR="00276253" w:rsidRDefault="00011558" w:rsidP="00011558">
      <w:pPr>
        <w:pStyle w:val="COMexecsummnumbered"/>
      </w:pPr>
      <w:r>
        <w:t xml:space="preserve">Empagliflozin is currently listed on the PBS for chronic kidney disease (CKD) in patients with </w:t>
      </w:r>
      <w:r w:rsidRPr="004A60C9">
        <w:t>eGFR 25 to 75</w:t>
      </w:r>
      <w:r>
        <w:t> </w:t>
      </w:r>
      <w:r w:rsidRPr="004A60C9">
        <w:t>mL/min/1.73 m</w:t>
      </w:r>
      <w:r w:rsidRPr="00E75800">
        <w:rPr>
          <w:vertAlign w:val="superscript"/>
        </w:rPr>
        <w:t>2</w:t>
      </w:r>
      <w:r>
        <w:t xml:space="preserve"> and</w:t>
      </w:r>
      <w:r w:rsidRPr="004A60C9">
        <w:t xml:space="preserve"> UACR 200 to 5000 mg/g </w:t>
      </w:r>
      <w:r>
        <w:t xml:space="preserve">(referred to as the </w:t>
      </w:r>
      <w:r>
        <w:lastRenderedPageBreak/>
        <w:t>“cost-minimisation approach versus dapagliflozin (overlap population)”, recommended at the November 2023 PBAC meeting).</w:t>
      </w:r>
    </w:p>
    <w:p w14:paraId="6B4AB6C2" w14:textId="6C85B03C" w:rsidR="005C25FF" w:rsidRPr="0098262F" w:rsidRDefault="005C25FF" w:rsidP="004A6040">
      <w:pPr>
        <w:pStyle w:val="COMH1-numbered"/>
      </w:pPr>
      <w:bookmarkStart w:id="1" w:name="_Toc193277440"/>
      <w:r w:rsidRPr="0098262F">
        <w:t>Background</w:t>
      </w:r>
      <w:bookmarkEnd w:id="1"/>
    </w:p>
    <w:p w14:paraId="2C521D6D" w14:textId="78CF03EE" w:rsidR="005C25FF" w:rsidRPr="0098262F" w:rsidRDefault="005C25FF" w:rsidP="003D5DE7">
      <w:pPr>
        <w:pStyle w:val="COMH2-non-numbered"/>
      </w:pPr>
      <w:bookmarkStart w:id="2" w:name="_Toc22897638"/>
      <w:bookmarkStart w:id="3" w:name="_Toc193277441"/>
      <w:r w:rsidRPr="0098262F">
        <w:t>Registration status</w:t>
      </w:r>
      <w:bookmarkEnd w:id="2"/>
      <w:bookmarkEnd w:id="3"/>
    </w:p>
    <w:p w14:paraId="141DED0D" w14:textId="0F9AA637" w:rsidR="00BF2712" w:rsidRDefault="00F11536" w:rsidP="00CE6772">
      <w:pPr>
        <w:pStyle w:val="COMexecsummnumbered"/>
      </w:pPr>
      <w:r w:rsidRPr="001A255A">
        <w:t>Empagliflozin</w:t>
      </w:r>
      <w:r w:rsidR="005C25FF" w:rsidRPr="001A255A">
        <w:t xml:space="preserve"> </w:t>
      </w:r>
      <w:r w:rsidR="005C25FF" w:rsidRPr="006761C2">
        <w:t xml:space="preserve">was TGA registered </w:t>
      </w:r>
      <w:r w:rsidR="001A255A" w:rsidRPr="006761C2">
        <w:t>i</w:t>
      </w:r>
      <w:r w:rsidR="005C25FF" w:rsidRPr="006761C2">
        <w:t xml:space="preserve">n </w:t>
      </w:r>
      <w:r w:rsidR="001A255A" w:rsidRPr="006761C2">
        <w:t>February 2024</w:t>
      </w:r>
      <w:r w:rsidR="005C25FF" w:rsidRPr="006761C2">
        <w:t xml:space="preserve"> for </w:t>
      </w:r>
      <w:r w:rsidRPr="006761C2">
        <w:t>the</w:t>
      </w:r>
      <w:r w:rsidRPr="001A255A">
        <w:t xml:space="preserve"> following indication:</w:t>
      </w:r>
      <w:r w:rsidR="00CE6772">
        <w:t xml:space="preserve"> </w:t>
      </w:r>
      <w:r w:rsidR="00BF2712" w:rsidRPr="00357891">
        <w:t xml:space="preserve">to reduce the risk of kidney disease progression in adults with chronic kidney disease (CKD Stages 2 and 3A with </w:t>
      </w:r>
      <w:r w:rsidR="00BF2712">
        <w:t>U</w:t>
      </w:r>
      <w:r w:rsidR="00BF2712" w:rsidRPr="00357891">
        <w:t xml:space="preserve">ACR ≥30 mg/g, or CKD Stages 3B, 4 and 5 irrespective of </w:t>
      </w:r>
      <w:r w:rsidR="00BF2712">
        <w:t>U</w:t>
      </w:r>
      <w:r w:rsidR="00BF2712" w:rsidRPr="00357891">
        <w:t>ACR)</w:t>
      </w:r>
      <w:r w:rsidR="00BF2712">
        <w:t>.</w:t>
      </w:r>
    </w:p>
    <w:p w14:paraId="1F7DEC8B" w14:textId="6B76B9CA" w:rsidR="00EA12CE" w:rsidRDefault="00EA12CE" w:rsidP="003E56AA">
      <w:pPr>
        <w:pStyle w:val="COMexecsummnumbered"/>
        <w:keepNext/>
      </w:pPr>
      <w:r>
        <w:t>Empagliflozin is also currently TGA registered for treatment of the following</w:t>
      </w:r>
      <w:r w:rsidR="00106ACE">
        <w:t xml:space="preserve"> conditions</w:t>
      </w:r>
      <w:r>
        <w:t>:</w:t>
      </w:r>
    </w:p>
    <w:p w14:paraId="4CC24419" w14:textId="77777777" w:rsidR="00276253" w:rsidRDefault="009803AE" w:rsidP="000342F5">
      <w:pPr>
        <w:pStyle w:val="COMexecsummbulletlist"/>
        <w:ind w:hanging="357"/>
      </w:pPr>
      <w:r>
        <w:t>Type 2 diabetes mellitus (T2DM) as monotherapy or combination therapy.</w:t>
      </w:r>
    </w:p>
    <w:p w14:paraId="63F1348B" w14:textId="031EB995" w:rsidR="009803AE" w:rsidRDefault="009803AE" w:rsidP="000342F5">
      <w:pPr>
        <w:pStyle w:val="COMexecsummbulletlist"/>
        <w:ind w:hanging="357"/>
      </w:pPr>
      <w:r>
        <w:t>T2DM with established cardiovascular disease to reduce the risk of cardiovascular death, in combination with standard care.</w:t>
      </w:r>
    </w:p>
    <w:p w14:paraId="3779A8F7" w14:textId="77777777" w:rsidR="009803AE" w:rsidRDefault="009803AE" w:rsidP="000342F5">
      <w:pPr>
        <w:pStyle w:val="COMexecsummbulletlist"/>
      </w:pPr>
      <w:r>
        <w:t>Symptomatic heart failure, independent of left ventricular ejection fraction, adjunctive to standard care.</w:t>
      </w:r>
    </w:p>
    <w:p w14:paraId="3E2A6EAB" w14:textId="469C8C0C" w:rsidR="005C25FF" w:rsidRPr="00DE1704" w:rsidRDefault="005C25FF" w:rsidP="003D5DE7">
      <w:pPr>
        <w:pStyle w:val="COMH2-non-numbered"/>
      </w:pPr>
      <w:bookmarkStart w:id="4" w:name="_Toc22897639"/>
      <w:bookmarkStart w:id="5" w:name="_Toc193277442"/>
      <w:r w:rsidRPr="00DE1704">
        <w:t>Previous PBAC consideration</w:t>
      </w:r>
      <w:bookmarkEnd w:id="4"/>
      <w:bookmarkEnd w:id="5"/>
    </w:p>
    <w:p w14:paraId="2F6F4393" w14:textId="77777777" w:rsidR="00276253" w:rsidRDefault="0095342D" w:rsidP="00BE15D5">
      <w:pPr>
        <w:pStyle w:val="COMexecsummnumbered"/>
      </w:pPr>
      <w:r w:rsidRPr="00BE15D5">
        <w:t xml:space="preserve">Empagliflozin </w:t>
      </w:r>
      <w:r w:rsidR="00140CB8">
        <w:t>wa</w:t>
      </w:r>
      <w:r w:rsidRPr="00BE15D5">
        <w:t>s listed on the PBS for the following restrictions:</w:t>
      </w:r>
    </w:p>
    <w:p w14:paraId="426AF623" w14:textId="77777777" w:rsidR="00276253" w:rsidRDefault="00CD5FDB" w:rsidP="0095342D">
      <w:pPr>
        <w:pStyle w:val="COMexecsummbulletlist"/>
        <w:ind w:hanging="357"/>
        <w:rPr>
          <w:noProof/>
        </w:rPr>
      </w:pPr>
      <w:r w:rsidRPr="00DE1704">
        <w:rPr>
          <w:noProof/>
        </w:rPr>
        <w:t>T</w:t>
      </w:r>
      <w:r w:rsidR="0095342D" w:rsidRPr="00DE1704">
        <w:rPr>
          <w:noProof/>
        </w:rPr>
        <w:t>ype 2 diabetes in combination with metformin and/or a sulfonylurea, or in combination with insulin, or in combination with metformin and a gliptin.</w:t>
      </w:r>
    </w:p>
    <w:p w14:paraId="2B3F05DE" w14:textId="05E1CC65" w:rsidR="0095342D" w:rsidRPr="00DE1704" w:rsidRDefault="00CD5FDB" w:rsidP="0095342D">
      <w:pPr>
        <w:pStyle w:val="COMexecsummbulletlist"/>
        <w:ind w:hanging="357"/>
      </w:pPr>
      <w:r w:rsidRPr="00DE1704">
        <w:rPr>
          <w:noProof/>
        </w:rPr>
        <w:t>S</w:t>
      </w:r>
      <w:r w:rsidR="0095342D" w:rsidRPr="00DE1704">
        <w:rPr>
          <w:noProof/>
        </w:rPr>
        <w:t xml:space="preserve">ymptomatic </w:t>
      </w:r>
      <w:r w:rsidR="00BC71E3" w:rsidRPr="00DE1704">
        <w:rPr>
          <w:noProof/>
        </w:rPr>
        <w:t>New York Heart Association</w:t>
      </w:r>
      <w:r w:rsidR="0095342D" w:rsidRPr="00DE1704">
        <w:rPr>
          <w:noProof/>
        </w:rPr>
        <w:t xml:space="preserve"> class II, III, or IV chronic heart failure.</w:t>
      </w:r>
    </w:p>
    <w:p w14:paraId="3969754E" w14:textId="0926995C" w:rsidR="005B6A9D" w:rsidRPr="00DE1704" w:rsidRDefault="00A24B64" w:rsidP="0095342D">
      <w:pPr>
        <w:pStyle w:val="COMexecsummbulletlist"/>
        <w:ind w:hanging="357"/>
      </w:pPr>
      <w:r w:rsidRPr="00DE1704">
        <w:t xml:space="preserve">CKD with </w:t>
      </w:r>
      <w:r w:rsidR="00CA050F" w:rsidRPr="00DE1704">
        <w:t>an eGFR 25 to 75 mL/min/1.73 m</w:t>
      </w:r>
      <w:r w:rsidR="00CA050F" w:rsidRPr="00DE1704">
        <w:rPr>
          <w:vertAlign w:val="superscript"/>
        </w:rPr>
        <w:t>2</w:t>
      </w:r>
      <w:r w:rsidR="00CA050F" w:rsidRPr="00DE1704">
        <w:t xml:space="preserve">, and a </w:t>
      </w:r>
      <w:r w:rsidR="00A97BE3" w:rsidRPr="00DE1704">
        <w:t>UACR</w:t>
      </w:r>
      <w:r w:rsidR="00CA050F" w:rsidRPr="00DE1704">
        <w:t xml:space="preserve"> 200 to 5000 mg/g.</w:t>
      </w:r>
    </w:p>
    <w:p w14:paraId="2627AF9D" w14:textId="31326D50" w:rsidR="00F77036" w:rsidRPr="009B775D" w:rsidRDefault="00861BA1" w:rsidP="00F77036">
      <w:pPr>
        <w:pStyle w:val="COMexecsummnumbered"/>
      </w:pPr>
      <w:r w:rsidRPr="009B775D">
        <w:t xml:space="preserve">The PBAC considered empagliflozin for chronic kidney disease at the November 2023 meeting for the </w:t>
      </w:r>
      <w:r w:rsidR="00217D9F" w:rsidRPr="009B775D">
        <w:t>population proposed in the current resubmission</w:t>
      </w:r>
      <w:r w:rsidRPr="009B775D">
        <w:t xml:space="preserve">. </w:t>
      </w:r>
      <w:r w:rsidR="00DC4B7E">
        <w:t>At that time, t</w:t>
      </w:r>
      <w:r w:rsidRPr="009B775D">
        <w:t xml:space="preserve">he PBAC </w:t>
      </w:r>
      <w:r w:rsidR="00F579CA">
        <w:t xml:space="preserve">only </w:t>
      </w:r>
      <w:r w:rsidRPr="009B775D">
        <w:t>recommended</w:t>
      </w:r>
      <w:r w:rsidR="00F97A01" w:rsidRPr="009B775D">
        <w:t xml:space="preserve"> empagliflozin for the treatment of CKD in the same population as PBS-listed dapagliflozin (overlap population</w:t>
      </w:r>
      <w:r w:rsidR="00F77036" w:rsidRPr="009B775D">
        <w:t>)</w:t>
      </w:r>
      <w:r w:rsidR="00F97A01" w:rsidRPr="009B775D">
        <w:t xml:space="preserve">, on the basis of a cost-minimisation </w:t>
      </w:r>
      <w:r w:rsidR="00356FB3" w:rsidRPr="009B775D">
        <w:t>a</w:t>
      </w:r>
      <w:r w:rsidR="00356FB3">
        <w:t>pproach</w:t>
      </w:r>
      <w:r w:rsidR="00F97A01" w:rsidRPr="009B775D">
        <w:t xml:space="preserve"> versus dapagliflozin</w:t>
      </w:r>
      <w:r w:rsidR="00F77036" w:rsidRPr="009B775D">
        <w:t>.</w:t>
      </w:r>
    </w:p>
    <w:p w14:paraId="407C416A" w14:textId="74B0D827" w:rsidR="00276253" w:rsidRDefault="00F77036" w:rsidP="00F905B0">
      <w:pPr>
        <w:pStyle w:val="COMexecsummnumbered"/>
      </w:pPr>
      <w:r w:rsidRPr="009B775D">
        <w:t>The PBAC did not recommen</w:t>
      </w:r>
      <w:r w:rsidR="002972BF" w:rsidRPr="009B775D">
        <w:t xml:space="preserve">d listing of </w:t>
      </w:r>
      <w:r w:rsidR="00F579CA">
        <w:t>empag</w:t>
      </w:r>
      <w:r w:rsidR="00F579CA" w:rsidRPr="009B775D">
        <w:t>liflozin</w:t>
      </w:r>
      <w:r w:rsidR="002972BF" w:rsidRPr="009B775D">
        <w:t xml:space="preserve"> for the incremental population. </w:t>
      </w:r>
      <w:r w:rsidR="00224DCA" w:rsidRPr="009B775D">
        <w:fldChar w:fldCharType="begin"/>
      </w:r>
      <w:r w:rsidR="00224DCA" w:rsidRPr="009B775D">
        <w:instrText xml:space="preserve"> REF _Ref190345874 \h </w:instrText>
      </w:r>
      <w:r w:rsidR="00224DCA" w:rsidRPr="009B775D">
        <w:fldChar w:fldCharType="separate"/>
      </w:r>
      <w:r w:rsidR="004A7850" w:rsidRPr="00C43C21">
        <w:t xml:space="preserve">Table </w:t>
      </w:r>
      <w:r w:rsidR="004A7850">
        <w:rPr>
          <w:noProof/>
        </w:rPr>
        <w:t>2</w:t>
      </w:r>
      <w:r w:rsidR="00224DCA" w:rsidRPr="009B775D">
        <w:fldChar w:fldCharType="end"/>
      </w:r>
      <w:r w:rsidR="00240557">
        <w:t>,</w:t>
      </w:r>
      <w:r w:rsidR="00224DCA" w:rsidRPr="009B775D">
        <w:t xml:space="preserve"> </w:t>
      </w:r>
      <w:r w:rsidR="002972BF" w:rsidRPr="009B775D">
        <w:t xml:space="preserve">below summarises the </w:t>
      </w:r>
      <w:r w:rsidR="00F905B0" w:rsidRPr="009B775D">
        <w:t>key matters of concern from the November 2023 PBAC meeting for the incremental population.</w:t>
      </w:r>
    </w:p>
    <w:p w14:paraId="2A23A49F" w14:textId="171A1D28" w:rsidR="005C25FF" w:rsidRPr="00C43C21" w:rsidRDefault="00696EF9" w:rsidP="00826396">
      <w:pPr>
        <w:pStyle w:val="Caption"/>
        <w:keepLines/>
      </w:pPr>
      <w:bookmarkStart w:id="6" w:name="_Ref190345874"/>
      <w:r w:rsidRPr="00C43C21">
        <w:lastRenderedPageBreak/>
        <w:t xml:space="preserve">Table </w:t>
      </w:r>
      <w:r w:rsidR="001154A7">
        <w:fldChar w:fldCharType="begin"/>
      </w:r>
      <w:r w:rsidR="001154A7">
        <w:instrText xml:space="preserve"> SEQ Table \* ARABIC </w:instrText>
      </w:r>
      <w:r w:rsidR="001154A7">
        <w:fldChar w:fldCharType="separate"/>
      </w:r>
      <w:r w:rsidR="004A7850">
        <w:rPr>
          <w:noProof/>
        </w:rPr>
        <w:t>2</w:t>
      </w:r>
      <w:r w:rsidR="001154A7">
        <w:rPr>
          <w:noProof/>
        </w:rPr>
        <w:fldChar w:fldCharType="end"/>
      </w:r>
      <w:bookmarkEnd w:id="6"/>
      <w:r w:rsidRPr="00C43C21">
        <w:t>:</w:t>
      </w:r>
      <w:r w:rsidR="005C25FF" w:rsidRPr="00C43C21">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480"/>
        <w:gridCol w:w="4537"/>
      </w:tblGrid>
      <w:tr w:rsidR="002A01F6" w:rsidRPr="002A01F6" w14:paraId="6747F8E1" w14:textId="77777777" w:rsidTr="000A07BA">
        <w:trPr>
          <w:cantSplit/>
          <w:tblHeader/>
        </w:trPr>
        <w:tc>
          <w:tcPr>
            <w:tcW w:w="2484" w:type="pct"/>
            <w:vAlign w:val="center"/>
          </w:tcPr>
          <w:p w14:paraId="2B7F3F42" w14:textId="77777777" w:rsidR="002A01F6" w:rsidRPr="002A01F6" w:rsidRDefault="002A01F6" w:rsidP="00826396">
            <w:pPr>
              <w:pStyle w:val="COMTableheadingrow"/>
              <w:keepLines/>
            </w:pPr>
            <w:r w:rsidRPr="002A01F6">
              <w:t>Matter of concern</w:t>
            </w:r>
          </w:p>
        </w:tc>
        <w:tc>
          <w:tcPr>
            <w:tcW w:w="2516" w:type="pct"/>
            <w:vAlign w:val="center"/>
          </w:tcPr>
          <w:p w14:paraId="4BAA81F2" w14:textId="77777777" w:rsidR="002A01F6" w:rsidRPr="002A01F6" w:rsidRDefault="002A01F6" w:rsidP="00826396">
            <w:pPr>
              <w:pStyle w:val="COMTableheadingrow"/>
              <w:keepLines/>
            </w:pPr>
            <w:r w:rsidRPr="002A01F6">
              <w:t>How the resubmission addresses it</w:t>
            </w:r>
          </w:p>
        </w:tc>
      </w:tr>
      <w:tr w:rsidR="00D61B65" w:rsidRPr="002A01F6" w14:paraId="20631B87" w14:textId="77777777" w:rsidTr="000A07BA">
        <w:trPr>
          <w:cantSplit/>
        </w:trPr>
        <w:tc>
          <w:tcPr>
            <w:tcW w:w="5000" w:type="pct"/>
            <w:gridSpan w:val="2"/>
            <w:vAlign w:val="center"/>
          </w:tcPr>
          <w:p w14:paraId="088639C6" w14:textId="1EDA7ADF" w:rsidR="00D61B65" w:rsidRPr="002A01F6" w:rsidRDefault="00D61B65" w:rsidP="00826396">
            <w:pPr>
              <w:pStyle w:val="COMTableheadingrow"/>
              <w:keepLines/>
            </w:pPr>
            <w:r>
              <w:t>Restriction</w:t>
            </w:r>
          </w:p>
        </w:tc>
      </w:tr>
      <w:tr w:rsidR="002A01F6" w:rsidRPr="002A01F6" w14:paraId="12E6A50B" w14:textId="77777777" w:rsidTr="002A01F6">
        <w:trPr>
          <w:cantSplit/>
        </w:trPr>
        <w:tc>
          <w:tcPr>
            <w:tcW w:w="2484" w:type="pct"/>
          </w:tcPr>
          <w:p w14:paraId="27979425" w14:textId="40251761" w:rsidR="002A01F6" w:rsidRPr="002A01F6" w:rsidRDefault="00C30158" w:rsidP="00826396">
            <w:pPr>
              <w:pStyle w:val="COMTabletext"/>
              <w:keepLines/>
            </w:pPr>
            <w:r w:rsidRPr="00C30158">
              <w:t>The PBAC considered that any resubmission for empagliflozin for a broader population should reconsider which subgroups are nominated and ensure they include significantly high UACR (paras 7.16 and 7.24</w:t>
            </w:r>
            <w:r w:rsidR="00206793">
              <w:t>)</w:t>
            </w:r>
            <w:r w:rsidR="00206793" w:rsidRPr="00206793">
              <w:t>.</w:t>
            </w:r>
          </w:p>
        </w:tc>
        <w:tc>
          <w:tcPr>
            <w:tcW w:w="2516" w:type="pct"/>
            <w:vAlign w:val="center"/>
          </w:tcPr>
          <w:p w14:paraId="54BD0E7B" w14:textId="77777777" w:rsidR="002A01F6" w:rsidRDefault="00C70803" w:rsidP="00826396">
            <w:pPr>
              <w:pStyle w:val="COMTabletext"/>
              <w:keepLines/>
            </w:pPr>
            <w:r w:rsidRPr="00C70803">
              <w:t xml:space="preserve">The incremental population requested in the proposed expanded restriction is unchanged from the November 2023 submission, and includes patients with </w:t>
            </w:r>
            <w:r w:rsidR="00AB1C64">
              <w:t>moderately increased and high risk of disease progression, and patients with UACR &lt;200 mg</w:t>
            </w:r>
            <w:r w:rsidRPr="00C70803">
              <w:t>.</w:t>
            </w:r>
          </w:p>
          <w:p w14:paraId="7E033D4B" w14:textId="71800FB9" w:rsidR="007A4D8A" w:rsidRDefault="007A4D8A" w:rsidP="00826396">
            <w:pPr>
              <w:pStyle w:val="COMTabletext"/>
              <w:keepLines/>
            </w:pPr>
            <w:r>
              <w:t xml:space="preserve">The resubmission argued that </w:t>
            </w:r>
            <w:r w:rsidR="00B82353" w:rsidRPr="00E63EC5">
              <w:t>the subgroup analys</w:t>
            </w:r>
            <w:r w:rsidR="00B82353">
              <w:t>e</w:t>
            </w:r>
            <w:r w:rsidR="00B82353" w:rsidRPr="00E63EC5">
              <w:t>s by KDIGO risk categories considered by the PBAC at the November 2023 meeting w</w:t>
            </w:r>
            <w:r w:rsidR="00B82353">
              <w:t>ere</w:t>
            </w:r>
            <w:r w:rsidR="00B82353" w:rsidRPr="00E63EC5">
              <w:t xml:space="preserve"> not powered for the composite endpoint</w:t>
            </w:r>
            <w:r w:rsidR="00732FA3">
              <w:t>,</w:t>
            </w:r>
            <w:r w:rsidR="00B82353">
              <w:t xml:space="preserve"> </w:t>
            </w:r>
            <w:r w:rsidR="00B82353" w:rsidRPr="00E63EC5">
              <w:t>had small sample sizes</w:t>
            </w:r>
            <w:r w:rsidR="00732FA3">
              <w:t xml:space="preserve">, and </w:t>
            </w:r>
            <w:r w:rsidR="003732CF">
              <w:t>were</w:t>
            </w:r>
            <w:r w:rsidR="003A3569">
              <w:t xml:space="preserve"> not</w:t>
            </w:r>
            <w:r w:rsidR="00732FA3">
              <w:t xml:space="preserve"> </w:t>
            </w:r>
            <w:r w:rsidR="003A3569">
              <w:t xml:space="preserve">reliable </w:t>
            </w:r>
            <w:r w:rsidR="00906A66">
              <w:t>evidence of differences in efficacy between risk categories</w:t>
            </w:r>
            <w:r w:rsidR="00CF09F3">
              <w:t xml:space="preserve">. </w:t>
            </w:r>
            <w:r w:rsidR="00B0773D">
              <w:t xml:space="preserve">It also </w:t>
            </w:r>
            <w:r w:rsidR="00CF09F3">
              <w:t xml:space="preserve">argued that </w:t>
            </w:r>
            <w:r w:rsidR="00B0773D" w:rsidRPr="00B0773D">
              <w:t>moderate to high KDIGO risk category subgroups</w:t>
            </w:r>
            <w:r w:rsidR="00B0773D">
              <w:t xml:space="preserve"> </w:t>
            </w:r>
            <w:r w:rsidR="00B0773D" w:rsidRPr="00B0773D">
              <w:t xml:space="preserve">experienced slower disease </w:t>
            </w:r>
            <w:proofErr w:type="gramStart"/>
            <w:r w:rsidR="00B0773D" w:rsidRPr="00B0773D">
              <w:t>progression, and</w:t>
            </w:r>
            <w:proofErr w:type="gramEnd"/>
            <w:r w:rsidR="00B0773D" w:rsidRPr="00B0773D">
              <w:t xml:space="preserve"> </w:t>
            </w:r>
            <w:r w:rsidR="003F6949" w:rsidRPr="00B0773D">
              <w:t>given the short EMPA-KIDNEY trial duration and follow up</w:t>
            </w:r>
            <w:r w:rsidR="003F6949">
              <w:t>,</w:t>
            </w:r>
            <w:r w:rsidR="003F6949" w:rsidRPr="00B0773D">
              <w:t xml:space="preserve"> </w:t>
            </w:r>
            <w:r w:rsidR="00B0773D" w:rsidRPr="00B0773D">
              <w:t xml:space="preserve">it was unlikely that </w:t>
            </w:r>
            <w:r w:rsidR="00054FE8">
              <w:t xml:space="preserve">the </w:t>
            </w:r>
            <w:r w:rsidR="00B0773D" w:rsidRPr="00B0773D">
              <w:t xml:space="preserve">primary composite </w:t>
            </w:r>
            <w:r w:rsidR="003732CF">
              <w:t>outcome</w:t>
            </w:r>
            <w:r w:rsidR="00B0773D" w:rsidRPr="00B0773D">
              <w:t xml:space="preserve"> would capture </w:t>
            </w:r>
            <w:r w:rsidR="00C64D95">
              <w:t>the</w:t>
            </w:r>
            <w:r w:rsidR="00B0773D" w:rsidRPr="00B0773D">
              <w:t xml:space="preserve"> </w:t>
            </w:r>
            <w:r w:rsidR="003F6949">
              <w:t>long-term</w:t>
            </w:r>
            <w:r w:rsidR="00054FE8">
              <w:t xml:space="preserve"> </w:t>
            </w:r>
            <w:r w:rsidR="00B0773D" w:rsidRPr="00B0773D">
              <w:t>benefits of empagliflozin</w:t>
            </w:r>
            <w:r w:rsidR="00C64D95">
              <w:t>.</w:t>
            </w:r>
            <w:r w:rsidR="00AE3B80">
              <w:t xml:space="preserve"> Therefore, </w:t>
            </w:r>
            <w:r w:rsidR="00F3554C">
              <w:t>it was a</w:t>
            </w:r>
            <w:r w:rsidR="002071F3">
              <w:t>r</w:t>
            </w:r>
            <w:r w:rsidR="00F3554C">
              <w:t xml:space="preserve">gued that </w:t>
            </w:r>
            <w:r w:rsidR="00AE3B80">
              <w:t xml:space="preserve">the </w:t>
            </w:r>
            <w:r w:rsidR="000A6D63">
              <w:t xml:space="preserve">results </w:t>
            </w:r>
            <w:r w:rsidR="001F0949">
              <w:t xml:space="preserve">for </w:t>
            </w:r>
            <w:r w:rsidR="003F6949">
              <w:t>the</w:t>
            </w:r>
            <w:r w:rsidR="000A6D63">
              <w:t xml:space="preserve"> incremental population </w:t>
            </w:r>
            <w:r w:rsidR="003D5DC6">
              <w:t>as a whole, should be preferred.</w:t>
            </w:r>
          </w:p>
          <w:p w14:paraId="7D1B144C" w14:textId="2EE1141E" w:rsidR="00EC7091" w:rsidRPr="002A01F6" w:rsidRDefault="00EC7091" w:rsidP="00826396">
            <w:pPr>
              <w:pStyle w:val="COMTabletext"/>
              <w:keepLines/>
            </w:pPr>
            <w:r>
              <w:t xml:space="preserve">The resubmission noted </w:t>
            </w:r>
            <w:r w:rsidR="0093477D">
              <w:t xml:space="preserve">that </w:t>
            </w:r>
            <w:r>
              <w:t>Australian and international clinical guidelines recommend</w:t>
            </w:r>
            <w:r w:rsidR="0093477D">
              <w:t xml:space="preserve"> the use </w:t>
            </w:r>
            <w:r w:rsidR="002071F3">
              <w:t xml:space="preserve">of </w:t>
            </w:r>
            <w:r w:rsidR="0093477D">
              <w:t xml:space="preserve">SGLT2 inhibitors across a broad range of </w:t>
            </w:r>
            <w:r w:rsidR="006B4D6F">
              <w:t xml:space="preserve">risk of </w:t>
            </w:r>
            <w:r w:rsidR="002F1A3A">
              <w:t>CKD</w:t>
            </w:r>
            <w:r w:rsidR="006B4D6F">
              <w:t xml:space="preserve"> progression, and </w:t>
            </w:r>
            <w:r w:rsidR="002F1A3A">
              <w:t xml:space="preserve">this was consistent with </w:t>
            </w:r>
            <w:r w:rsidR="006B4D6F">
              <w:t xml:space="preserve">expert opinion </w:t>
            </w:r>
            <w:r w:rsidR="004D462F">
              <w:t xml:space="preserve">presented in the submission </w:t>
            </w:r>
            <w:r w:rsidR="006B4D6F">
              <w:t>supporting the use of SGLT2 inhibitors in early CKD</w:t>
            </w:r>
            <w:r w:rsidR="00D03841">
              <w:t>.</w:t>
            </w:r>
          </w:p>
        </w:tc>
      </w:tr>
      <w:tr w:rsidR="00D61B65" w:rsidRPr="002A01F6" w14:paraId="6462F18E" w14:textId="77777777" w:rsidTr="00D61B65">
        <w:trPr>
          <w:cantSplit/>
        </w:trPr>
        <w:tc>
          <w:tcPr>
            <w:tcW w:w="5000" w:type="pct"/>
            <w:gridSpan w:val="2"/>
            <w:vAlign w:val="center"/>
          </w:tcPr>
          <w:p w14:paraId="41DD5DC4" w14:textId="2B94D8FC" w:rsidR="00D61B65" w:rsidRPr="002A01F6" w:rsidRDefault="00D61B65" w:rsidP="00826396">
            <w:pPr>
              <w:pStyle w:val="COMTabletext"/>
              <w:keepNext w:val="0"/>
            </w:pPr>
            <w:r w:rsidRPr="00CF172B">
              <w:rPr>
                <w:b/>
                <w:bCs w:val="0"/>
              </w:rPr>
              <w:t>Clinical evaluation</w:t>
            </w:r>
          </w:p>
        </w:tc>
      </w:tr>
      <w:tr w:rsidR="009D7050" w:rsidRPr="002A01F6" w14:paraId="20907E1E" w14:textId="77777777" w:rsidTr="002A01F6">
        <w:trPr>
          <w:cantSplit/>
        </w:trPr>
        <w:tc>
          <w:tcPr>
            <w:tcW w:w="2484" w:type="pct"/>
          </w:tcPr>
          <w:p w14:paraId="782082DD" w14:textId="77777777" w:rsidR="000B583A" w:rsidRDefault="009D7050" w:rsidP="00826396">
            <w:pPr>
              <w:pStyle w:val="COMTabletext"/>
              <w:keepNext w:val="0"/>
            </w:pPr>
            <w:r>
              <w:t>T</w:t>
            </w:r>
            <w:r w:rsidRPr="008928ED">
              <w:t>he PBAC did not consider the submission adequately demonstrated a benefit in the incremental population</w:t>
            </w:r>
            <w:r>
              <w:t xml:space="preserve"> (para 7.21).</w:t>
            </w:r>
          </w:p>
          <w:p w14:paraId="6A318F74" w14:textId="1232BA92" w:rsidR="009D7050" w:rsidRDefault="009D7050" w:rsidP="00826396">
            <w:pPr>
              <w:pStyle w:val="COMTabletext"/>
              <w:keepNext w:val="0"/>
            </w:pPr>
            <w:r>
              <w:t>T</w:t>
            </w:r>
            <w:r w:rsidRPr="00413C15">
              <w:t>he PBAC considered</w:t>
            </w:r>
            <w:r w:rsidR="008E56B7">
              <w:t xml:space="preserve"> the empagliflozin resulted in little or no </w:t>
            </w:r>
            <w:r w:rsidR="005453AF">
              <w:t>improvement</w:t>
            </w:r>
            <w:r w:rsidR="008E56B7">
              <w:t xml:space="preserve"> in patients categorised as low, moderate and high risk</w:t>
            </w:r>
            <w:r w:rsidR="00D5316F">
              <w:t xml:space="preserve"> (KDIGO staging</w:t>
            </w:r>
            <w:r w:rsidR="005453AF">
              <w:t>)</w:t>
            </w:r>
            <w:r w:rsidR="00C968B8">
              <w:t xml:space="preserve">, or </w:t>
            </w:r>
            <w:r w:rsidR="002A1571" w:rsidRPr="002A1571">
              <w:t>with UACR &lt;200mg/g at baseline</w:t>
            </w:r>
            <w:r>
              <w:t xml:space="preserve"> (para </w:t>
            </w:r>
            <w:r w:rsidR="00875FEE">
              <w:t xml:space="preserve">7.16 and </w:t>
            </w:r>
            <w:r>
              <w:t>7.20)</w:t>
            </w:r>
            <w:r w:rsidRPr="00413C15">
              <w:t>.</w:t>
            </w:r>
          </w:p>
        </w:tc>
        <w:tc>
          <w:tcPr>
            <w:tcW w:w="2516" w:type="pct"/>
            <w:vAlign w:val="center"/>
          </w:tcPr>
          <w:p w14:paraId="5F6A8BBF" w14:textId="54A6339E" w:rsidR="009D7050" w:rsidRDefault="009D7050" w:rsidP="00826396">
            <w:pPr>
              <w:pStyle w:val="COMTabletext"/>
              <w:keepNext w:val="0"/>
            </w:pPr>
            <w:r w:rsidRPr="00CA2B53">
              <w:t xml:space="preserve">The clinical evidence presented in the resubmission was largely unchanged, </w:t>
            </w:r>
            <w:r w:rsidR="00FA70DB">
              <w:t>an</w:t>
            </w:r>
            <w:r w:rsidR="0072119A">
              <w:t>d</w:t>
            </w:r>
            <w:r w:rsidR="00FA70DB" w:rsidRPr="00FA70DB">
              <w:t xml:space="preserve"> </w:t>
            </w:r>
            <w:r w:rsidR="0072119A">
              <w:t>additional</w:t>
            </w:r>
            <w:r w:rsidR="00FA70DB" w:rsidRPr="00FA70DB">
              <w:t xml:space="preserve"> analyses based on disaggregated risk groups within the incremental subgroup</w:t>
            </w:r>
            <w:r w:rsidR="0072119A">
              <w:t xml:space="preserve"> were not presented</w:t>
            </w:r>
            <w:r w:rsidR="00FA70DB" w:rsidRPr="00FA70DB">
              <w:t>.</w:t>
            </w:r>
          </w:p>
          <w:p w14:paraId="0A5957F8" w14:textId="24B234CA" w:rsidR="0052322A" w:rsidRPr="00CA2B53" w:rsidRDefault="0052322A" w:rsidP="00826396">
            <w:pPr>
              <w:pStyle w:val="COMTabletext"/>
              <w:keepNext w:val="0"/>
            </w:pPr>
            <w:r>
              <w:t xml:space="preserve">The resubmission presented additional </w:t>
            </w:r>
            <w:r w:rsidRPr="00C911F6">
              <w:rPr>
                <w:i/>
                <w:iCs/>
              </w:rPr>
              <w:t>post hoc</w:t>
            </w:r>
            <w:r>
              <w:t xml:space="preserve"> </w:t>
            </w:r>
            <w:r w:rsidR="00C911F6">
              <w:t xml:space="preserve">subgroup </w:t>
            </w:r>
            <w:r>
              <w:t xml:space="preserve">analyses of the ITT population by baseline UACR (&lt;200 mg/g; ≥200 mg/g) and </w:t>
            </w:r>
            <w:r w:rsidRPr="00C911F6">
              <w:rPr>
                <w:i/>
                <w:iCs/>
              </w:rPr>
              <w:t>post hoc</w:t>
            </w:r>
            <w:r>
              <w:t xml:space="preserve"> analyses of </w:t>
            </w:r>
            <w:r w:rsidR="00C911F6">
              <w:t>the incremental population used to inform the economic model.</w:t>
            </w:r>
          </w:p>
        </w:tc>
      </w:tr>
      <w:tr w:rsidR="009D7050" w:rsidRPr="002A01F6" w14:paraId="0865775D" w14:textId="77777777" w:rsidTr="00D61B65">
        <w:trPr>
          <w:cantSplit/>
        </w:trPr>
        <w:tc>
          <w:tcPr>
            <w:tcW w:w="5000" w:type="pct"/>
            <w:gridSpan w:val="2"/>
          </w:tcPr>
          <w:p w14:paraId="17ADFA3B" w14:textId="02B99E9A" w:rsidR="009D7050" w:rsidRPr="002A01F6" w:rsidRDefault="009D7050" w:rsidP="00826396">
            <w:pPr>
              <w:pStyle w:val="COMTabletext"/>
              <w:keepNext w:val="0"/>
            </w:pPr>
            <w:r w:rsidRPr="00CF172B">
              <w:rPr>
                <w:b/>
                <w:bCs w:val="0"/>
              </w:rPr>
              <w:t>Economic evaluation</w:t>
            </w:r>
          </w:p>
        </w:tc>
      </w:tr>
      <w:tr w:rsidR="009D7050" w:rsidRPr="002A01F6" w14:paraId="2B969512" w14:textId="77777777" w:rsidTr="002A01F6">
        <w:trPr>
          <w:cantSplit/>
        </w:trPr>
        <w:tc>
          <w:tcPr>
            <w:tcW w:w="2484" w:type="pct"/>
          </w:tcPr>
          <w:p w14:paraId="463B7090" w14:textId="79591734" w:rsidR="009D7050" w:rsidRDefault="00F06919" w:rsidP="00826396">
            <w:pPr>
              <w:pStyle w:val="COMTabletext"/>
              <w:keepNext w:val="0"/>
            </w:pPr>
            <w:r>
              <w:t>The PBAC did not find the economic model informative to support a listing for the incremental population</w:t>
            </w:r>
            <w:r w:rsidR="00A9478E">
              <w:t xml:space="preserve"> and noted a number of issues</w:t>
            </w:r>
            <w:r w:rsidR="006A7A14">
              <w:t>, including treatment effects</w:t>
            </w:r>
            <w:r w:rsidR="0090111B">
              <w:t xml:space="preserve"> and transition probabilities </w:t>
            </w:r>
            <w:r w:rsidR="00CD7AF4">
              <w:t>that were not</w:t>
            </w:r>
            <w:r w:rsidR="0090111B">
              <w:t xml:space="preserve"> representative of the incremental population,</w:t>
            </w:r>
            <w:r w:rsidR="00951183">
              <w:t xml:space="preserve"> the inclusion of </w:t>
            </w:r>
            <w:r w:rsidR="00583A3F">
              <w:t>a large proportion of patients with diabetes (50.5%) and heart failure (12.5%), as well as patients outside of the proposed restriction (10.2%),</w:t>
            </w:r>
            <w:r w:rsidR="0090111B">
              <w:t xml:space="preserve"> </w:t>
            </w:r>
            <w:r w:rsidR="003006CF">
              <w:t xml:space="preserve">changes in eGFR and UACR </w:t>
            </w:r>
            <w:r w:rsidR="00CD7AF4">
              <w:t xml:space="preserve">that </w:t>
            </w:r>
            <w:r w:rsidR="003006CF">
              <w:t xml:space="preserve">did not account for within-patient variation and collinearity, extrapolated treatment effects </w:t>
            </w:r>
            <w:r w:rsidR="00CD7AF4">
              <w:t xml:space="preserve">that </w:t>
            </w:r>
            <w:r w:rsidR="003006CF">
              <w:t>did not account for the natural history of CKD</w:t>
            </w:r>
            <w:r w:rsidR="00CD7AF4">
              <w:t xml:space="preserve">, unsupported assumptions about discontinuation of </w:t>
            </w:r>
            <w:proofErr w:type="spellStart"/>
            <w:r w:rsidR="00CD7AF4">
              <w:t>ACEi</w:t>
            </w:r>
            <w:proofErr w:type="spellEnd"/>
            <w:r w:rsidR="00CD7AF4">
              <w:t xml:space="preserve">/ARB treatment, </w:t>
            </w:r>
            <w:r w:rsidR="0023791E">
              <w:t xml:space="preserve">and </w:t>
            </w:r>
            <w:r w:rsidR="00CD7AF4">
              <w:t>largely uninformative sensitivity analyses</w:t>
            </w:r>
            <w:r w:rsidR="004464A1">
              <w:t xml:space="preserve"> (para 6.69, 6.82, 7.22)</w:t>
            </w:r>
            <w:r>
              <w:t>.</w:t>
            </w:r>
          </w:p>
        </w:tc>
        <w:tc>
          <w:tcPr>
            <w:tcW w:w="2516" w:type="pct"/>
            <w:vAlign w:val="center"/>
          </w:tcPr>
          <w:p w14:paraId="715A2DA9" w14:textId="5805AE7A" w:rsidR="009D7050" w:rsidRPr="002A01F6" w:rsidRDefault="009327DA" w:rsidP="00826396">
            <w:pPr>
              <w:pStyle w:val="COMTabletext"/>
              <w:keepNext w:val="0"/>
            </w:pPr>
            <w:r w:rsidRPr="009327DA">
              <w:t>The resubmission acknowledged PBAC’s concerns</w:t>
            </w:r>
            <w:r w:rsidR="00AA1104">
              <w:t xml:space="preserve"> with the economic model used in the November 2023 submission, and completely revised the economic evaluation, based on the model structure </w:t>
            </w:r>
            <w:r w:rsidR="00853407">
              <w:t>used in the July 2021 dapagliflozin submission.</w:t>
            </w:r>
          </w:p>
        </w:tc>
      </w:tr>
      <w:tr w:rsidR="009D7050" w:rsidRPr="002A01F6" w14:paraId="228F2BA8" w14:textId="77777777" w:rsidTr="00D61B65">
        <w:trPr>
          <w:cantSplit/>
        </w:trPr>
        <w:tc>
          <w:tcPr>
            <w:tcW w:w="5000" w:type="pct"/>
            <w:gridSpan w:val="2"/>
            <w:vAlign w:val="center"/>
          </w:tcPr>
          <w:p w14:paraId="35FC13C5" w14:textId="64AA06AB" w:rsidR="009D7050" w:rsidRPr="002A01F6" w:rsidRDefault="009D7050" w:rsidP="000A07BA">
            <w:pPr>
              <w:pStyle w:val="COMTabletext"/>
              <w:rPr>
                <w:snapToGrid w:val="0"/>
              </w:rPr>
            </w:pPr>
            <w:r w:rsidRPr="00FE15A0">
              <w:rPr>
                <w:rFonts w:cs="Times New Roman"/>
                <w:b/>
                <w:snapToGrid w:val="0"/>
                <w:szCs w:val="22"/>
                <w:lang w:val="en-GB"/>
              </w:rPr>
              <w:lastRenderedPageBreak/>
              <w:t>Utilisation and financial impact of listing</w:t>
            </w:r>
          </w:p>
        </w:tc>
      </w:tr>
      <w:tr w:rsidR="009D7050" w:rsidRPr="002A01F6" w14:paraId="7F544ADE" w14:textId="77777777" w:rsidTr="002A01F6">
        <w:trPr>
          <w:cantSplit/>
        </w:trPr>
        <w:tc>
          <w:tcPr>
            <w:tcW w:w="2484" w:type="pct"/>
          </w:tcPr>
          <w:p w14:paraId="06B3F191" w14:textId="6A356B72" w:rsidR="009D7050" w:rsidRPr="002A01F6" w:rsidRDefault="0023791E" w:rsidP="00826396">
            <w:pPr>
              <w:pStyle w:val="COMTabletext"/>
              <w:keepNext w:val="0"/>
              <w:rPr>
                <w:snapToGrid w:val="0"/>
              </w:rPr>
            </w:pPr>
            <w:r w:rsidRPr="0023791E">
              <w:rPr>
                <w:snapToGrid w:val="0"/>
              </w:rPr>
              <w:t>The PBAC noted DUSC’s advice that the financial estimates are highly sensitive to the projected size of the incremental population as it consists of a broad range of sub</w:t>
            </w:r>
            <w:r w:rsidR="000D0511">
              <w:rPr>
                <w:snapToGrid w:val="0"/>
              </w:rPr>
              <w:t>-</w:t>
            </w:r>
            <w:r w:rsidRPr="0023791E">
              <w:rPr>
                <w:snapToGrid w:val="0"/>
              </w:rPr>
              <w:t>populations. The PBAC further noted DUSC’s consideration that the treatment uptake rate for the incremental group was likely underestimated as no other subsidised targeted treatment was available for this group</w:t>
            </w:r>
            <w:r w:rsidR="00C20166">
              <w:rPr>
                <w:snapToGrid w:val="0"/>
              </w:rPr>
              <w:t xml:space="preserve"> (para </w:t>
            </w:r>
            <w:r w:rsidR="009728EC">
              <w:rPr>
                <w:snapToGrid w:val="0"/>
              </w:rPr>
              <w:t>7.23)</w:t>
            </w:r>
            <w:r w:rsidRPr="0023791E">
              <w:rPr>
                <w:snapToGrid w:val="0"/>
              </w:rPr>
              <w:t>.</w:t>
            </w:r>
          </w:p>
        </w:tc>
        <w:tc>
          <w:tcPr>
            <w:tcW w:w="2516" w:type="pct"/>
          </w:tcPr>
          <w:p w14:paraId="30E3D0CD" w14:textId="77777777" w:rsidR="009D7050" w:rsidRDefault="00E96F78" w:rsidP="00826396">
            <w:pPr>
              <w:pStyle w:val="COMTabletext"/>
              <w:keepNext w:val="0"/>
              <w:rPr>
                <w:snapToGrid w:val="0"/>
              </w:rPr>
            </w:pPr>
            <w:r>
              <w:rPr>
                <w:snapToGrid w:val="0"/>
              </w:rPr>
              <w:t>Details on the projected size of</w:t>
            </w:r>
            <w:r w:rsidR="00352A34">
              <w:rPr>
                <w:snapToGrid w:val="0"/>
              </w:rPr>
              <w:t xml:space="preserve"> the incremental population sub-populations were not provided in the resubmission.</w:t>
            </w:r>
          </w:p>
          <w:p w14:paraId="5999776D" w14:textId="77777777" w:rsidR="00257526" w:rsidRDefault="00257526" w:rsidP="00826396">
            <w:pPr>
              <w:pStyle w:val="COMTabletext"/>
              <w:keepNext w:val="0"/>
              <w:rPr>
                <w:snapToGrid w:val="0"/>
              </w:rPr>
            </w:pPr>
          </w:p>
          <w:p w14:paraId="4047033E" w14:textId="34E53E72" w:rsidR="00352A34" w:rsidRPr="002A01F6" w:rsidRDefault="00257526" w:rsidP="00826396">
            <w:pPr>
              <w:pStyle w:val="COMTabletext"/>
              <w:keepNext w:val="0"/>
              <w:rPr>
                <w:snapToGrid w:val="0"/>
              </w:rPr>
            </w:pPr>
            <w:r>
              <w:rPr>
                <w:snapToGrid w:val="0"/>
              </w:rPr>
              <w:t>The resubmission assumed higher uptake rates for empagliflozin in the incremental population.</w:t>
            </w:r>
          </w:p>
        </w:tc>
      </w:tr>
      <w:tr w:rsidR="003445C3" w:rsidRPr="002A01F6" w14:paraId="3A1DF035" w14:textId="77777777" w:rsidTr="002A01F6">
        <w:trPr>
          <w:cantSplit/>
        </w:trPr>
        <w:tc>
          <w:tcPr>
            <w:tcW w:w="2484" w:type="pct"/>
          </w:tcPr>
          <w:p w14:paraId="78A93471" w14:textId="77777777" w:rsidR="00A42BC8" w:rsidRDefault="003445C3" w:rsidP="00826396">
            <w:pPr>
              <w:pStyle w:val="COMTabletext"/>
              <w:keepNext w:val="0"/>
              <w:rPr>
                <w:snapToGrid w:val="0"/>
              </w:rPr>
            </w:pPr>
            <w:r>
              <w:rPr>
                <w:snapToGrid w:val="0"/>
              </w:rPr>
              <w:t>DUSC noted a number of uncertainties</w:t>
            </w:r>
            <w:r w:rsidR="009728EC">
              <w:rPr>
                <w:snapToGrid w:val="0"/>
              </w:rPr>
              <w:t xml:space="preserve"> with the financial estimates</w:t>
            </w:r>
            <w:r>
              <w:rPr>
                <w:snapToGrid w:val="0"/>
              </w:rPr>
              <w:t>, including</w:t>
            </w:r>
            <w:r w:rsidR="00A42BC8">
              <w:rPr>
                <w:snapToGrid w:val="0"/>
              </w:rPr>
              <w:t>:</w:t>
            </w:r>
          </w:p>
          <w:p w14:paraId="6284063B" w14:textId="39B08738" w:rsidR="00A42BC8" w:rsidRDefault="00A42BC8" w:rsidP="00481597">
            <w:pPr>
              <w:pStyle w:val="COMTabletext"/>
              <w:keepNext w:val="0"/>
              <w:numPr>
                <w:ilvl w:val="0"/>
                <w:numId w:val="10"/>
              </w:numPr>
              <w:ind w:left="113" w:hanging="113"/>
              <w:rPr>
                <w:snapToGrid w:val="0"/>
              </w:rPr>
            </w:pPr>
            <w:r>
              <w:rPr>
                <w:snapToGrid w:val="0"/>
              </w:rPr>
              <w:t>U</w:t>
            </w:r>
            <w:r w:rsidR="00BB18CF">
              <w:rPr>
                <w:snapToGrid w:val="0"/>
              </w:rPr>
              <w:t>ncertainty in the Australian prevalence of CKD</w:t>
            </w:r>
            <w:r>
              <w:rPr>
                <w:snapToGrid w:val="0"/>
              </w:rPr>
              <w:t>.</w:t>
            </w:r>
          </w:p>
          <w:p w14:paraId="3429C13D" w14:textId="2C959251" w:rsidR="00A42BC8" w:rsidRDefault="00A42BC8" w:rsidP="00481597">
            <w:pPr>
              <w:pStyle w:val="COMTabletext"/>
              <w:keepNext w:val="0"/>
              <w:numPr>
                <w:ilvl w:val="0"/>
                <w:numId w:val="10"/>
              </w:numPr>
              <w:ind w:left="113" w:hanging="113"/>
              <w:rPr>
                <w:snapToGrid w:val="0"/>
              </w:rPr>
            </w:pPr>
            <w:r>
              <w:rPr>
                <w:snapToGrid w:val="0"/>
              </w:rPr>
              <w:t>T</w:t>
            </w:r>
            <w:r w:rsidR="003445C3">
              <w:rPr>
                <w:snapToGrid w:val="0"/>
              </w:rPr>
              <w:t xml:space="preserve">he </w:t>
            </w:r>
            <w:r w:rsidR="004E14EC">
              <w:rPr>
                <w:snapToGrid w:val="0"/>
              </w:rPr>
              <w:t xml:space="preserve">potential </w:t>
            </w:r>
            <w:r w:rsidR="008E5CA9">
              <w:rPr>
                <w:snapToGrid w:val="0"/>
              </w:rPr>
              <w:t>overestimate</w:t>
            </w:r>
            <w:r w:rsidR="004E14EC">
              <w:rPr>
                <w:snapToGrid w:val="0"/>
              </w:rPr>
              <w:t xml:space="preserve"> of the proportion of patients </w:t>
            </w:r>
            <w:r w:rsidR="008E5CA9">
              <w:rPr>
                <w:snapToGrid w:val="0"/>
              </w:rPr>
              <w:t>eligible for empagliflozin (without diabetes)</w:t>
            </w:r>
            <w:r>
              <w:rPr>
                <w:snapToGrid w:val="0"/>
              </w:rPr>
              <w:t>.</w:t>
            </w:r>
          </w:p>
          <w:p w14:paraId="0D8FBD26" w14:textId="5E5811E0" w:rsidR="005D5B9C" w:rsidRDefault="00A42BC8" w:rsidP="00481597">
            <w:pPr>
              <w:pStyle w:val="COMTabletext"/>
              <w:keepNext w:val="0"/>
              <w:numPr>
                <w:ilvl w:val="0"/>
                <w:numId w:val="10"/>
              </w:numPr>
              <w:ind w:left="113" w:hanging="113"/>
              <w:rPr>
                <w:snapToGrid w:val="0"/>
              </w:rPr>
            </w:pPr>
            <w:r>
              <w:rPr>
                <w:snapToGrid w:val="0"/>
              </w:rPr>
              <w:t>T</w:t>
            </w:r>
            <w:r w:rsidR="00BB18CF">
              <w:rPr>
                <w:snapToGrid w:val="0"/>
              </w:rPr>
              <w:t>he</w:t>
            </w:r>
            <w:r w:rsidR="0020218B">
              <w:rPr>
                <w:snapToGrid w:val="0"/>
              </w:rPr>
              <w:t xml:space="preserve"> overestimate of the proportion of patients diagnosed with CKD</w:t>
            </w:r>
            <w:r w:rsidR="005D5B9C">
              <w:rPr>
                <w:snapToGrid w:val="0"/>
              </w:rPr>
              <w:t>.</w:t>
            </w:r>
          </w:p>
          <w:p w14:paraId="509F44F8" w14:textId="47FF7EFB" w:rsidR="005D5B9C" w:rsidRDefault="005D5B9C" w:rsidP="00481597">
            <w:pPr>
              <w:pStyle w:val="COMTabletext"/>
              <w:keepNext w:val="0"/>
              <w:numPr>
                <w:ilvl w:val="0"/>
                <w:numId w:val="10"/>
              </w:numPr>
              <w:ind w:left="113" w:hanging="113"/>
              <w:rPr>
                <w:snapToGrid w:val="0"/>
              </w:rPr>
            </w:pPr>
            <w:r>
              <w:rPr>
                <w:snapToGrid w:val="0"/>
              </w:rPr>
              <w:t>U</w:t>
            </w:r>
            <w:r w:rsidR="0020218B">
              <w:rPr>
                <w:snapToGrid w:val="0"/>
              </w:rPr>
              <w:t xml:space="preserve">ncertainty in estimates of the size of the incremental population from the National Health Measures Survey </w:t>
            </w:r>
            <w:r w:rsidR="006A78F9">
              <w:rPr>
                <w:snapToGrid w:val="0"/>
              </w:rPr>
              <w:t xml:space="preserve">(NHMS) </w:t>
            </w:r>
            <w:r w:rsidR="0020218B">
              <w:rPr>
                <w:snapToGrid w:val="0"/>
              </w:rPr>
              <w:t>dataset</w:t>
            </w:r>
          </w:p>
          <w:p w14:paraId="6C57361C" w14:textId="069842CD" w:rsidR="003445C3" w:rsidRPr="0023791E" w:rsidRDefault="005D5B9C" w:rsidP="00481597">
            <w:pPr>
              <w:pStyle w:val="COMTabletext"/>
              <w:keepNext w:val="0"/>
              <w:numPr>
                <w:ilvl w:val="0"/>
                <w:numId w:val="10"/>
              </w:numPr>
              <w:ind w:left="113" w:hanging="113"/>
              <w:rPr>
                <w:snapToGrid w:val="0"/>
              </w:rPr>
            </w:pPr>
            <w:r>
              <w:rPr>
                <w:snapToGrid w:val="0"/>
              </w:rPr>
              <w:t>T</w:t>
            </w:r>
            <w:r w:rsidR="00A30ED1">
              <w:rPr>
                <w:snapToGrid w:val="0"/>
              </w:rPr>
              <w:t>he underestimate of the upta</w:t>
            </w:r>
            <w:r w:rsidR="000962DC">
              <w:rPr>
                <w:snapToGrid w:val="0"/>
              </w:rPr>
              <w:t>ke rates in the incremental population (para 6.94).</w:t>
            </w:r>
          </w:p>
        </w:tc>
        <w:tc>
          <w:tcPr>
            <w:tcW w:w="2516" w:type="pct"/>
          </w:tcPr>
          <w:p w14:paraId="4FE32CE3" w14:textId="4076583B" w:rsidR="00A42BC8" w:rsidRDefault="00070CF7" w:rsidP="00826396">
            <w:pPr>
              <w:pStyle w:val="COMTabletext"/>
              <w:keepNext w:val="0"/>
              <w:rPr>
                <w:snapToGrid w:val="0"/>
              </w:rPr>
            </w:pPr>
            <w:r>
              <w:rPr>
                <w:snapToGrid w:val="0"/>
              </w:rPr>
              <w:t xml:space="preserve">In the revised financial implications </w:t>
            </w:r>
            <w:r w:rsidR="001D3C8C">
              <w:rPr>
                <w:snapToGrid w:val="0"/>
              </w:rPr>
              <w:t>presented in</w:t>
            </w:r>
            <w:r>
              <w:rPr>
                <w:snapToGrid w:val="0"/>
              </w:rPr>
              <w:t xml:space="preserve"> the resubmission:</w:t>
            </w:r>
          </w:p>
          <w:p w14:paraId="032C61D0" w14:textId="77777777" w:rsidR="00A42BC8" w:rsidRDefault="00A42BC8" w:rsidP="00481597">
            <w:pPr>
              <w:pStyle w:val="COMTabletext"/>
              <w:keepNext w:val="0"/>
              <w:numPr>
                <w:ilvl w:val="0"/>
                <w:numId w:val="10"/>
              </w:numPr>
              <w:ind w:left="113" w:hanging="113"/>
              <w:rPr>
                <w:snapToGrid w:val="0"/>
              </w:rPr>
            </w:pPr>
            <w:r>
              <w:rPr>
                <w:snapToGrid w:val="0"/>
              </w:rPr>
              <w:t>The estimated prevalence of CKD is unchanged.</w:t>
            </w:r>
          </w:p>
          <w:p w14:paraId="445D1DF6" w14:textId="76BF3E61" w:rsidR="00793561" w:rsidRDefault="00A42BC8" w:rsidP="00481597">
            <w:pPr>
              <w:pStyle w:val="COMTabletext"/>
              <w:keepNext w:val="0"/>
              <w:numPr>
                <w:ilvl w:val="0"/>
                <w:numId w:val="10"/>
              </w:numPr>
              <w:ind w:left="113" w:hanging="113"/>
              <w:rPr>
                <w:snapToGrid w:val="0"/>
              </w:rPr>
            </w:pPr>
            <w:r>
              <w:rPr>
                <w:snapToGrid w:val="0"/>
              </w:rPr>
              <w:t xml:space="preserve">The </w:t>
            </w:r>
            <w:r w:rsidR="00C3338C">
              <w:rPr>
                <w:snapToGrid w:val="0"/>
              </w:rPr>
              <w:t>proportion of patients eligible for empagliflozin without diabetes has been revised</w:t>
            </w:r>
            <w:r w:rsidR="005705A9">
              <w:rPr>
                <w:snapToGrid w:val="0"/>
              </w:rPr>
              <w:t>.</w:t>
            </w:r>
          </w:p>
          <w:p w14:paraId="26919DAE" w14:textId="77777777" w:rsidR="00A42BC8" w:rsidRDefault="00C36ABB" w:rsidP="00481597">
            <w:pPr>
              <w:pStyle w:val="COMTabletext"/>
              <w:keepNext w:val="0"/>
              <w:numPr>
                <w:ilvl w:val="0"/>
                <w:numId w:val="10"/>
              </w:numPr>
              <w:ind w:left="113" w:hanging="113"/>
              <w:rPr>
                <w:snapToGrid w:val="0"/>
              </w:rPr>
            </w:pPr>
            <w:r>
              <w:rPr>
                <w:snapToGrid w:val="0"/>
              </w:rPr>
              <w:t xml:space="preserve">The proportions of patients diagnosed with CKD </w:t>
            </w:r>
            <w:r w:rsidR="0011575B">
              <w:rPr>
                <w:snapToGrid w:val="0"/>
              </w:rPr>
              <w:t>over time have</w:t>
            </w:r>
            <w:r>
              <w:rPr>
                <w:snapToGrid w:val="0"/>
              </w:rPr>
              <w:t xml:space="preserve"> been increased.</w:t>
            </w:r>
          </w:p>
          <w:p w14:paraId="0D0CF530" w14:textId="62369D48" w:rsidR="0011575B" w:rsidRDefault="0011575B" w:rsidP="00481597">
            <w:pPr>
              <w:pStyle w:val="COMTabletext"/>
              <w:keepNext w:val="0"/>
              <w:numPr>
                <w:ilvl w:val="0"/>
                <w:numId w:val="10"/>
              </w:numPr>
              <w:ind w:left="113" w:hanging="113"/>
              <w:rPr>
                <w:snapToGrid w:val="0"/>
              </w:rPr>
            </w:pPr>
            <w:r>
              <w:rPr>
                <w:snapToGrid w:val="0"/>
              </w:rPr>
              <w:t xml:space="preserve">The size of the incremental population has been revised, based on </w:t>
            </w:r>
            <w:r w:rsidR="002C5E54">
              <w:rPr>
                <w:snapToGrid w:val="0"/>
              </w:rPr>
              <w:t xml:space="preserve">the </w:t>
            </w:r>
            <w:r>
              <w:rPr>
                <w:snapToGrid w:val="0"/>
              </w:rPr>
              <w:t xml:space="preserve">average </w:t>
            </w:r>
            <w:r w:rsidR="00514FA8">
              <w:rPr>
                <w:snapToGrid w:val="0"/>
              </w:rPr>
              <w:t xml:space="preserve">of </w:t>
            </w:r>
            <w:r>
              <w:rPr>
                <w:snapToGrid w:val="0"/>
              </w:rPr>
              <w:t xml:space="preserve">the NHMS </w:t>
            </w:r>
            <w:r w:rsidR="002C5E54">
              <w:rPr>
                <w:snapToGrid w:val="0"/>
              </w:rPr>
              <w:t>estimate</w:t>
            </w:r>
            <w:r>
              <w:rPr>
                <w:snapToGrid w:val="0"/>
              </w:rPr>
              <w:t xml:space="preserve"> and results of an Australian retrospective cohort analysis (</w:t>
            </w:r>
            <w:proofErr w:type="spellStart"/>
            <w:r>
              <w:rPr>
                <w:snapToGrid w:val="0"/>
              </w:rPr>
              <w:t>Neuen</w:t>
            </w:r>
            <w:proofErr w:type="spellEnd"/>
            <w:r>
              <w:rPr>
                <w:snapToGrid w:val="0"/>
              </w:rPr>
              <w:t xml:space="preserve"> 2023).</w:t>
            </w:r>
          </w:p>
          <w:p w14:paraId="68C3C9B4" w14:textId="7CD7AC9C" w:rsidR="0011575B" w:rsidRPr="002A01F6" w:rsidRDefault="000D0511" w:rsidP="00481597">
            <w:pPr>
              <w:pStyle w:val="COMTabletext"/>
              <w:keepNext w:val="0"/>
              <w:numPr>
                <w:ilvl w:val="0"/>
                <w:numId w:val="10"/>
              </w:numPr>
              <w:ind w:left="113" w:hanging="113"/>
              <w:rPr>
                <w:snapToGrid w:val="0"/>
              </w:rPr>
            </w:pPr>
            <w:r>
              <w:rPr>
                <w:snapToGrid w:val="0"/>
              </w:rPr>
              <w:t>Higher u</w:t>
            </w:r>
            <w:r w:rsidR="00205509">
              <w:rPr>
                <w:snapToGrid w:val="0"/>
              </w:rPr>
              <w:t xml:space="preserve">ptake rates </w:t>
            </w:r>
            <w:r>
              <w:rPr>
                <w:snapToGrid w:val="0"/>
              </w:rPr>
              <w:t xml:space="preserve">are assumed </w:t>
            </w:r>
            <w:r w:rsidR="00205509">
              <w:rPr>
                <w:snapToGrid w:val="0"/>
              </w:rPr>
              <w:t>in the resubmission.</w:t>
            </w:r>
          </w:p>
        </w:tc>
      </w:tr>
    </w:tbl>
    <w:p w14:paraId="451D7156" w14:textId="06D8A9FD" w:rsidR="005C25FF" w:rsidRPr="00806793" w:rsidRDefault="005C25FF" w:rsidP="00826396">
      <w:pPr>
        <w:pStyle w:val="COMTablefooter"/>
      </w:pPr>
      <w:r w:rsidRPr="002A01F6">
        <w:t xml:space="preserve">Source: </w:t>
      </w:r>
      <w:r w:rsidR="00206793">
        <w:t>Empagliflozin Public Summary Document, November 2023 PBAC meeting</w:t>
      </w:r>
      <w:r w:rsidR="00205509">
        <w:t xml:space="preserve">; </w:t>
      </w:r>
      <w:r w:rsidR="00205509" w:rsidRPr="00806793">
        <w:t>Sections 1 to 4 of the resubmission</w:t>
      </w:r>
      <w:r w:rsidRPr="00806793">
        <w:t>.</w:t>
      </w:r>
    </w:p>
    <w:p w14:paraId="36A2CEAE" w14:textId="2D3FB773" w:rsidR="00130BC3" w:rsidRDefault="00693D4B" w:rsidP="00826396">
      <w:pPr>
        <w:pStyle w:val="COMTablefooter"/>
      </w:pPr>
      <w:r w:rsidRPr="00806793">
        <w:t xml:space="preserve">Abbreviations: </w:t>
      </w:r>
      <w:proofErr w:type="spellStart"/>
      <w:r w:rsidR="008A2672" w:rsidRPr="00806793">
        <w:t>ACEi</w:t>
      </w:r>
      <w:proofErr w:type="spellEnd"/>
      <w:r w:rsidR="008A2672" w:rsidRPr="00806793">
        <w:t xml:space="preserve">, angiotensin-converting enzyme inhibitors; ARB, angiotensin II receptor blocker; </w:t>
      </w:r>
      <w:r w:rsidRPr="00806793">
        <w:t xml:space="preserve">CKD, chronic kidney disease; </w:t>
      </w:r>
      <w:r w:rsidR="00806793" w:rsidRPr="00806793">
        <w:t xml:space="preserve">eGFR, estimated glomerular filtration rate; </w:t>
      </w:r>
      <w:r w:rsidR="00C001E2" w:rsidRPr="00806793">
        <w:t xml:space="preserve">KDIGO, Kidney Disease: Improving Global Outcomes; PBAC, Pharmaceutical Benefits Advisory Committee; </w:t>
      </w:r>
      <w:r w:rsidRPr="00806793">
        <w:t>PSD, Public Summary Document</w:t>
      </w:r>
      <w:r w:rsidR="00C001E2" w:rsidRPr="00806793">
        <w:t>; UACR, urine albumin-creatinine ratio</w:t>
      </w:r>
      <w:r w:rsidR="00806793" w:rsidRPr="00806793">
        <w:t>.</w:t>
      </w:r>
    </w:p>
    <w:p w14:paraId="2D5BECD6" w14:textId="77777777" w:rsidR="00D228FC" w:rsidRPr="00C33D30" w:rsidRDefault="00D228FC" w:rsidP="005A076D">
      <w:pPr>
        <w:spacing w:before="120" w:after="120"/>
        <w:rPr>
          <w:rFonts w:asciiTheme="minorHAnsi" w:hAnsiTheme="minorHAnsi"/>
          <w:i/>
        </w:rPr>
      </w:pPr>
      <w:bookmarkStart w:id="7" w:name="_Hlk76375324"/>
      <w:r w:rsidRPr="00C33D30">
        <w:rPr>
          <w:rFonts w:asciiTheme="minorHAnsi" w:hAnsiTheme="minorHAnsi"/>
          <w:i/>
        </w:rPr>
        <w:t>For more detail on PBAC’s view, see section 7 PBAC outcome.</w:t>
      </w:r>
    </w:p>
    <w:p w14:paraId="00DA4BFC" w14:textId="3A237061" w:rsidR="00456BDF" w:rsidRDefault="00B50DB8" w:rsidP="00130BC3">
      <w:pPr>
        <w:pStyle w:val="COMH1-numbered"/>
      </w:pPr>
      <w:bookmarkStart w:id="8" w:name="_Toc107902078"/>
      <w:bookmarkStart w:id="9" w:name="_Toc193277443"/>
      <w:bookmarkEnd w:id="7"/>
      <w:bookmarkEnd w:id="8"/>
      <w:r w:rsidRPr="0098262F">
        <w:t>Requested listing</w:t>
      </w:r>
      <w:bookmarkEnd w:id="9"/>
    </w:p>
    <w:p w14:paraId="28B58E41" w14:textId="0518DE87" w:rsidR="005C12BF" w:rsidRPr="005C12BF" w:rsidRDefault="005C12BF" w:rsidP="00592EE4">
      <w:pPr>
        <w:pStyle w:val="COMexecsummnumbered"/>
      </w:pPr>
      <w:r w:rsidRPr="00592EE4">
        <w:t>Suggestions and additions proposed by the Secretariat are added in italics.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8"/>
        <w:gridCol w:w="3336"/>
        <w:gridCol w:w="927"/>
        <w:gridCol w:w="812"/>
        <w:gridCol w:w="811"/>
        <w:gridCol w:w="812"/>
        <w:gridCol w:w="1824"/>
        <w:gridCol w:w="7"/>
      </w:tblGrid>
      <w:tr w:rsidR="00377AA0" w:rsidRPr="00377AA0" w14:paraId="4548EEB6" w14:textId="77777777" w:rsidTr="00C11725">
        <w:trPr>
          <w:cantSplit/>
          <w:trHeight w:val="20"/>
        </w:trPr>
        <w:tc>
          <w:tcPr>
            <w:tcW w:w="3824" w:type="dxa"/>
            <w:gridSpan w:val="2"/>
            <w:vAlign w:val="center"/>
          </w:tcPr>
          <w:p w14:paraId="252A1D2E" w14:textId="77777777" w:rsidR="00377AA0" w:rsidRPr="00377AA0" w:rsidRDefault="00377AA0" w:rsidP="00C11725">
            <w:pPr>
              <w:keepLines/>
              <w:rPr>
                <w:rFonts w:ascii="Arial Narrow" w:hAnsi="Arial Narrow"/>
                <w:b/>
                <w:bCs/>
                <w:iCs/>
                <w:sz w:val="20"/>
                <w:szCs w:val="20"/>
              </w:rPr>
            </w:pPr>
            <w:r w:rsidRPr="00377AA0">
              <w:rPr>
                <w:rFonts w:ascii="Arial Narrow" w:hAnsi="Arial Narrow"/>
                <w:b/>
                <w:bCs/>
                <w:iCs/>
                <w:sz w:val="20"/>
                <w:szCs w:val="20"/>
              </w:rPr>
              <w:t>MEDICINAL PRODUCT</w:t>
            </w:r>
          </w:p>
          <w:p w14:paraId="5BAE3BDC" w14:textId="77777777" w:rsidR="00377AA0" w:rsidRPr="00377AA0" w:rsidRDefault="00377AA0" w:rsidP="00C11725">
            <w:pPr>
              <w:keepLines/>
              <w:rPr>
                <w:rFonts w:ascii="Arial Narrow" w:hAnsi="Arial Narrow"/>
                <w:b/>
                <w:iCs/>
                <w:sz w:val="20"/>
                <w:szCs w:val="20"/>
              </w:rPr>
            </w:pPr>
            <w:r w:rsidRPr="00377AA0">
              <w:rPr>
                <w:rFonts w:ascii="Arial Narrow" w:hAnsi="Arial Narrow"/>
                <w:b/>
                <w:bCs/>
                <w:iCs/>
                <w:sz w:val="20"/>
                <w:szCs w:val="20"/>
              </w:rPr>
              <w:t>medicinal product pack</w:t>
            </w:r>
          </w:p>
        </w:tc>
        <w:tc>
          <w:tcPr>
            <w:tcW w:w="927" w:type="dxa"/>
            <w:vAlign w:val="center"/>
          </w:tcPr>
          <w:p w14:paraId="463B5212" w14:textId="77777777" w:rsidR="00377AA0" w:rsidRPr="00377AA0" w:rsidRDefault="00377AA0" w:rsidP="00C11725">
            <w:pPr>
              <w:keepLines/>
              <w:jc w:val="center"/>
              <w:rPr>
                <w:rFonts w:ascii="Arial Narrow" w:hAnsi="Arial Narrow"/>
                <w:b/>
                <w:iCs/>
                <w:sz w:val="20"/>
                <w:szCs w:val="20"/>
              </w:rPr>
            </w:pPr>
            <w:r w:rsidRPr="00377AA0">
              <w:rPr>
                <w:rFonts w:ascii="Arial Narrow" w:hAnsi="Arial Narrow"/>
                <w:b/>
                <w:iCs/>
                <w:sz w:val="20"/>
                <w:szCs w:val="20"/>
              </w:rPr>
              <w:t>PBS item code</w:t>
            </w:r>
          </w:p>
        </w:tc>
        <w:tc>
          <w:tcPr>
            <w:tcW w:w="812" w:type="dxa"/>
            <w:vAlign w:val="center"/>
          </w:tcPr>
          <w:p w14:paraId="6CC84CA3" w14:textId="77777777" w:rsidR="00377AA0" w:rsidRPr="00377AA0" w:rsidRDefault="00377AA0" w:rsidP="00C11725">
            <w:pPr>
              <w:keepLines/>
              <w:jc w:val="center"/>
              <w:rPr>
                <w:rFonts w:ascii="Arial Narrow" w:hAnsi="Arial Narrow"/>
                <w:b/>
                <w:iCs/>
                <w:sz w:val="20"/>
                <w:szCs w:val="20"/>
              </w:rPr>
            </w:pPr>
            <w:r w:rsidRPr="00377AA0">
              <w:rPr>
                <w:rFonts w:ascii="Arial Narrow" w:hAnsi="Arial Narrow"/>
                <w:b/>
                <w:iCs/>
                <w:sz w:val="20"/>
                <w:szCs w:val="20"/>
              </w:rPr>
              <w:t>Max. qty packs</w:t>
            </w:r>
          </w:p>
        </w:tc>
        <w:tc>
          <w:tcPr>
            <w:tcW w:w="811" w:type="dxa"/>
            <w:vAlign w:val="center"/>
          </w:tcPr>
          <w:p w14:paraId="5B30E9B9" w14:textId="77777777" w:rsidR="00377AA0" w:rsidRPr="00377AA0" w:rsidRDefault="00377AA0" w:rsidP="00C11725">
            <w:pPr>
              <w:keepLines/>
              <w:jc w:val="center"/>
              <w:rPr>
                <w:rFonts w:ascii="Arial Narrow" w:hAnsi="Arial Narrow"/>
                <w:b/>
                <w:iCs/>
                <w:sz w:val="20"/>
                <w:szCs w:val="20"/>
              </w:rPr>
            </w:pPr>
            <w:r w:rsidRPr="00377AA0">
              <w:rPr>
                <w:rFonts w:ascii="Arial Narrow" w:hAnsi="Arial Narrow"/>
                <w:b/>
                <w:iCs/>
                <w:sz w:val="20"/>
                <w:szCs w:val="20"/>
              </w:rPr>
              <w:t>Max. qty units</w:t>
            </w:r>
          </w:p>
        </w:tc>
        <w:tc>
          <w:tcPr>
            <w:tcW w:w="812" w:type="dxa"/>
            <w:vAlign w:val="center"/>
          </w:tcPr>
          <w:p w14:paraId="7E83363F" w14:textId="77777777" w:rsidR="00377AA0" w:rsidRPr="00377AA0" w:rsidRDefault="00377AA0" w:rsidP="00C11725">
            <w:pPr>
              <w:keepLines/>
              <w:jc w:val="center"/>
              <w:rPr>
                <w:rFonts w:ascii="Arial Narrow" w:hAnsi="Arial Narrow"/>
                <w:b/>
                <w:bCs/>
                <w:sz w:val="20"/>
                <w:szCs w:val="20"/>
              </w:rPr>
            </w:pPr>
            <w:r w:rsidRPr="00377AA0">
              <w:rPr>
                <w:rFonts w:ascii="Arial Narrow" w:hAnsi="Arial Narrow"/>
                <w:b/>
                <w:bCs/>
                <w:sz w:val="20"/>
                <w:szCs w:val="20"/>
              </w:rPr>
              <w:t>№.of</w:t>
            </w:r>
          </w:p>
          <w:p w14:paraId="0AC4F923" w14:textId="77777777" w:rsidR="00377AA0" w:rsidRPr="00377AA0" w:rsidRDefault="00377AA0" w:rsidP="00C11725">
            <w:pPr>
              <w:keepLines/>
              <w:jc w:val="center"/>
              <w:rPr>
                <w:rFonts w:ascii="Arial Narrow" w:hAnsi="Arial Narrow"/>
                <w:b/>
                <w:bCs/>
                <w:sz w:val="20"/>
                <w:szCs w:val="20"/>
              </w:rPr>
            </w:pPr>
            <w:proofErr w:type="spellStart"/>
            <w:r w:rsidRPr="00377AA0">
              <w:rPr>
                <w:rFonts w:ascii="Arial Narrow" w:hAnsi="Arial Narrow"/>
                <w:b/>
                <w:bCs/>
                <w:sz w:val="20"/>
                <w:szCs w:val="20"/>
              </w:rPr>
              <w:t>Rpts</w:t>
            </w:r>
            <w:proofErr w:type="spellEnd"/>
          </w:p>
        </w:tc>
        <w:tc>
          <w:tcPr>
            <w:tcW w:w="1831" w:type="dxa"/>
            <w:gridSpan w:val="2"/>
            <w:vAlign w:val="center"/>
          </w:tcPr>
          <w:p w14:paraId="41967D12" w14:textId="77777777" w:rsidR="00377AA0" w:rsidRPr="00377AA0" w:rsidRDefault="00377AA0" w:rsidP="00C11725">
            <w:pPr>
              <w:keepLines/>
              <w:rPr>
                <w:rFonts w:ascii="Arial Narrow" w:hAnsi="Arial Narrow"/>
                <w:b/>
                <w:iCs/>
                <w:sz w:val="20"/>
                <w:szCs w:val="20"/>
                <w:lang w:val="fr-FR"/>
              </w:rPr>
            </w:pPr>
            <w:r w:rsidRPr="00377AA0">
              <w:rPr>
                <w:rFonts w:ascii="Arial Narrow" w:hAnsi="Arial Narrow"/>
                <w:b/>
                <w:iCs/>
                <w:sz w:val="20"/>
                <w:szCs w:val="20"/>
              </w:rPr>
              <w:t>Available brands</w:t>
            </w:r>
          </w:p>
        </w:tc>
      </w:tr>
      <w:tr w:rsidR="00377AA0" w:rsidRPr="00377AA0" w14:paraId="3B2A02C4" w14:textId="77777777" w:rsidTr="00C11725">
        <w:trPr>
          <w:cantSplit/>
          <w:trHeight w:val="20"/>
        </w:trPr>
        <w:tc>
          <w:tcPr>
            <w:tcW w:w="9017" w:type="dxa"/>
            <w:gridSpan w:val="8"/>
            <w:vAlign w:val="center"/>
          </w:tcPr>
          <w:p w14:paraId="19FA876C" w14:textId="77777777" w:rsidR="00377AA0" w:rsidRPr="00377AA0" w:rsidRDefault="00377AA0" w:rsidP="00C11725">
            <w:pPr>
              <w:keepLines/>
              <w:rPr>
                <w:rFonts w:ascii="Arial Narrow" w:hAnsi="Arial Narrow"/>
                <w:iCs/>
                <w:sz w:val="20"/>
                <w:szCs w:val="20"/>
              </w:rPr>
            </w:pPr>
            <w:r w:rsidRPr="00377AA0">
              <w:rPr>
                <w:rFonts w:ascii="Arial Narrow" w:hAnsi="Arial Narrow"/>
                <w:iCs/>
                <w:sz w:val="20"/>
                <w:szCs w:val="20"/>
              </w:rPr>
              <w:t>EMPAGLIFLOZIN</w:t>
            </w:r>
          </w:p>
        </w:tc>
      </w:tr>
      <w:tr w:rsidR="00377AA0" w:rsidRPr="00377AA0" w14:paraId="09F0A6BB" w14:textId="77777777" w:rsidTr="00C11725">
        <w:trPr>
          <w:cantSplit/>
          <w:trHeight w:val="20"/>
        </w:trPr>
        <w:tc>
          <w:tcPr>
            <w:tcW w:w="3824" w:type="dxa"/>
            <w:gridSpan w:val="2"/>
            <w:vAlign w:val="center"/>
          </w:tcPr>
          <w:p w14:paraId="55B8EC73" w14:textId="77777777" w:rsidR="00377AA0" w:rsidRPr="00377AA0" w:rsidRDefault="00377AA0" w:rsidP="00C11725">
            <w:pPr>
              <w:keepLines/>
              <w:rPr>
                <w:rFonts w:ascii="Arial Narrow" w:hAnsi="Arial Narrow"/>
                <w:iCs/>
                <w:sz w:val="20"/>
                <w:szCs w:val="20"/>
              </w:rPr>
            </w:pPr>
            <w:r w:rsidRPr="00377AA0">
              <w:rPr>
                <w:rFonts w:ascii="Arial Narrow" w:hAnsi="Arial Narrow"/>
                <w:iCs/>
                <w:sz w:val="20"/>
                <w:szCs w:val="20"/>
              </w:rPr>
              <w:t xml:space="preserve">empagliflozin 10 mg tablet, 30 </w:t>
            </w:r>
          </w:p>
        </w:tc>
        <w:tc>
          <w:tcPr>
            <w:tcW w:w="927" w:type="dxa"/>
            <w:vAlign w:val="center"/>
          </w:tcPr>
          <w:p w14:paraId="3253CA0D" w14:textId="77777777" w:rsidR="00377AA0" w:rsidRPr="00377AA0" w:rsidRDefault="00377AA0" w:rsidP="00C11725">
            <w:pPr>
              <w:keepLines/>
              <w:jc w:val="center"/>
              <w:rPr>
                <w:rFonts w:ascii="Arial Narrow" w:hAnsi="Arial Narrow"/>
                <w:iCs/>
                <w:sz w:val="20"/>
                <w:szCs w:val="20"/>
              </w:rPr>
            </w:pPr>
            <w:r w:rsidRPr="00377AA0">
              <w:rPr>
                <w:rFonts w:ascii="Arial Narrow" w:hAnsi="Arial Narrow"/>
                <w:iCs/>
                <w:sz w:val="20"/>
                <w:szCs w:val="20"/>
              </w:rPr>
              <w:t>14092Q</w:t>
            </w:r>
          </w:p>
        </w:tc>
        <w:tc>
          <w:tcPr>
            <w:tcW w:w="812" w:type="dxa"/>
            <w:vAlign w:val="center"/>
          </w:tcPr>
          <w:p w14:paraId="537B1922" w14:textId="77777777" w:rsidR="00377AA0" w:rsidRPr="00377AA0" w:rsidRDefault="00377AA0" w:rsidP="00C11725">
            <w:pPr>
              <w:keepLines/>
              <w:jc w:val="center"/>
              <w:rPr>
                <w:rFonts w:ascii="Arial Narrow" w:hAnsi="Arial Narrow"/>
                <w:iCs/>
                <w:sz w:val="20"/>
                <w:szCs w:val="20"/>
              </w:rPr>
            </w:pPr>
            <w:r w:rsidRPr="00377AA0">
              <w:rPr>
                <w:rFonts w:ascii="Arial Narrow" w:hAnsi="Arial Narrow"/>
                <w:iCs/>
                <w:sz w:val="20"/>
                <w:szCs w:val="20"/>
              </w:rPr>
              <w:t>1</w:t>
            </w:r>
          </w:p>
        </w:tc>
        <w:tc>
          <w:tcPr>
            <w:tcW w:w="811" w:type="dxa"/>
            <w:vAlign w:val="center"/>
          </w:tcPr>
          <w:p w14:paraId="348000F9" w14:textId="77777777" w:rsidR="00377AA0" w:rsidRPr="00377AA0" w:rsidRDefault="00377AA0" w:rsidP="00C11725">
            <w:pPr>
              <w:keepLines/>
              <w:jc w:val="center"/>
              <w:rPr>
                <w:rFonts w:ascii="Arial Narrow" w:hAnsi="Arial Narrow"/>
                <w:iCs/>
                <w:sz w:val="20"/>
                <w:szCs w:val="20"/>
              </w:rPr>
            </w:pPr>
            <w:r w:rsidRPr="00377AA0">
              <w:rPr>
                <w:rFonts w:ascii="Arial Narrow" w:hAnsi="Arial Narrow"/>
                <w:iCs/>
                <w:sz w:val="20"/>
                <w:szCs w:val="20"/>
              </w:rPr>
              <w:t>30</w:t>
            </w:r>
          </w:p>
        </w:tc>
        <w:tc>
          <w:tcPr>
            <w:tcW w:w="812" w:type="dxa"/>
            <w:vAlign w:val="center"/>
          </w:tcPr>
          <w:p w14:paraId="2DB21F35" w14:textId="77777777" w:rsidR="00377AA0" w:rsidRPr="00377AA0" w:rsidRDefault="00377AA0" w:rsidP="00C11725">
            <w:pPr>
              <w:keepLines/>
              <w:jc w:val="center"/>
              <w:rPr>
                <w:rFonts w:ascii="Arial Narrow" w:hAnsi="Arial Narrow"/>
                <w:iCs/>
                <w:sz w:val="20"/>
                <w:szCs w:val="20"/>
              </w:rPr>
            </w:pPr>
            <w:r w:rsidRPr="00377AA0">
              <w:rPr>
                <w:rFonts w:ascii="Arial Narrow" w:hAnsi="Arial Narrow"/>
                <w:iCs/>
                <w:sz w:val="20"/>
                <w:szCs w:val="20"/>
              </w:rPr>
              <w:t>5</w:t>
            </w:r>
          </w:p>
        </w:tc>
        <w:tc>
          <w:tcPr>
            <w:tcW w:w="1831" w:type="dxa"/>
            <w:gridSpan w:val="2"/>
            <w:vAlign w:val="center"/>
          </w:tcPr>
          <w:p w14:paraId="25640A6C" w14:textId="77777777" w:rsidR="00377AA0" w:rsidRPr="00377AA0" w:rsidRDefault="00377AA0" w:rsidP="00C11725">
            <w:pPr>
              <w:keepLines/>
              <w:rPr>
                <w:rFonts w:ascii="Arial Narrow" w:hAnsi="Arial Narrow"/>
                <w:iCs/>
                <w:sz w:val="20"/>
                <w:szCs w:val="20"/>
              </w:rPr>
            </w:pPr>
            <w:r w:rsidRPr="00377AA0">
              <w:rPr>
                <w:rFonts w:ascii="Arial Narrow" w:hAnsi="Arial Narrow"/>
                <w:iCs/>
                <w:sz w:val="20"/>
                <w:szCs w:val="20"/>
              </w:rPr>
              <w:t>Jardiance</w:t>
            </w:r>
          </w:p>
        </w:tc>
      </w:tr>
      <w:tr w:rsidR="00377AA0" w:rsidRPr="00377AA0" w14:paraId="5850E822" w14:textId="77777777" w:rsidTr="00C11725">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70391113" w14:textId="77777777" w:rsidR="00377AA0" w:rsidRPr="00377AA0" w:rsidRDefault="00377AA0" w:rsidP="00C11725">
            <w:pPr>
              <w:rPr>
                <w:rFonts w:ascii="Arial Narrow" w:hAnsi="Arial Narrow"/>
                <w:iCs/>
                <w:sz w:val="20"/>
                <w:szCs w:val="20"/>
              </w:rPr>
            </w:pPr>
          </w:p>
        </w:tc>
      </w:tr>
      <w:tr w:rsidR="00377AA0" w:rsidRPr="00377AA0" w14:paraId="4616B2AE" w14:textId="77777777" w:rsidTr="00C11725">
        <w:tblPrEx>
          <w:tblCellMar>
            <w:top w:w="15" w:type="dxa"/>
            <w:bottom w:w="15" w:type="dxa"/>
          </w:tblCellMar>
          <w:tblLook w:val="04A0" w:firstRow="1" w:lastRow="0" w:firstColumn="1" w:lastColumn="0" w:noHBand="0" w:noVBand="1"/>
        </w:tblPrEx>
        <w:trPr>
          <w:trHeight w:val="20"/>
        </w:trPr>
        <w:tc>
          <w:tcPr>
            <w:tcW w:w="9017" w:type="dxa"/>
            <w:gridSpan w:val="8"/>
            <w:tcBorders>
              <w:top w:val="single" w:sz="4" w:space="0" w:color="auto"/>
              <w:left w:val="single" w:sz="4" w:space="0" w:color="auto"/>
              <w:right w:val="single" w:sz="4" w:space="0" w:color="auto"/>
            </w:tcBorders>
            <w:vAlign w:val="center"/>
          </w:tcPr>
          <w:p w14:paraId="32E63F49" w14:textId="423DC51D" w:rsidR="00377AA0" w:rsidRPr="00377AA0" w:rsidRDefault="00377AA0" w:rsidP="00C11725">
            <w:pPr>
              <w:keepLines/>
              <w:rPr>
                <w:rFonts w:ascii="Arial Narrow" w:hAnsi="Arial Narrow"/>
                <w:b/>
                <w:iCs/>
                <w:sz w:val="20"/>
                <w:szCs w:val="20"/>
              </w:rPr>
            </w:pPr>
            <w:r w:rsidRPr="00377AA0">
              <w:rPr>
                <w:rFonts w:ascii="Arial Narrow" w:hAnsi="Arial Narrow"/>
                <w:b/>
                <w:iCs/>
                <w:sz w:val="20"/>
                <w:szCs w:val="20"/>
              </w:rPr>
              <w:t xml:space="preserve">Restriction Summary / Treatment of Concept </w:t>
            </w:r>
          </w:p>
        </w:tc>
      </w:tr>
      <w:tr w:rsidR="00B10C48" w:rsidRPr="00377AA0" w14:paraId="090CBCCC" w14:textId="77777777" w:rsidTr="00B10C48">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7"/>
            <w:tcBorders>
              <w:top w:val="single" w:sz="4" w:space="0" w:color="auto"/>
              <w:left w:val="single" w:sz="4" w:space="0" w:color="auto"/>
              <w:bottom w:val="single" w:sz="4" w:space="0" w:color="auto"/>
              <w:right w:val="single" w:sz="4" w:space="0" w:color="auto"/>
            </w:tcBorders>
            <w:vAlign w:val="center"/>
          </w:tcPr>
          <w:p w14:paraId="54CAF458" w14:textId="77777777" w:rsidR="00B10C48" w:rsidRPr="00377AA0" w:rsidRDefault="00B10C48" w:rsidP="00C11725">
            <w:pPr>
              <w:keepLines/>
              <w:rPr>
                <w:rFonts w:ascii="Arial Narrow" w:hAnsi="Arial Narrow"/>
                <w:iCs/>
                <w:sz w:val="20"/>
                <w:szCs w:val="20"/>
              </w:rPr>
            </w:pPr>
            <w:r w:rsidRPr="00377AA0">
              <w:rPr>
                <w:rFonts w:ascii="Arial Narrow" w:hAnsi="Arial Narrow"/>
                <w:b/>
                <w:iCs/>
                <w:sz w:val="20"/>
                <w:szCs w:val="20"/>
              </w:rPr>
              <w:t>Category / Program:</w:t>
            </w:r>
            <w:r w:rsidRPr="00377AA0">
              <w:rPr>
                <w:rFonts w:ascii="Arial Narrow" w:hAnsi="Arial Narrow"/>
                <w:iCs/>
                <w:color w:val="FF0000"/>
                <w:sz w:val="20"/>
                <w:szCs w:val="20"/>
              </w:rPr>
              <w:t xml:space="preserve"> </w:t>
            </w:r>
            <w:r w:rsidRPr="00377AA0">
              <w:rPr>
                <w:rFonts w:ascii="Arial Narrow" w:eastAsia="Calibri" w:hAnsi="Arial Narrow"/>
                <w:iCs/>
                <w:sz w:val="20"/>
                <w:szCs w:val="20"/>
              </w:rPr>
              <w:fldChar w:fldCharType="begin">
                <w:ffData>
                  <w:name w:val="Check1"/>
                  <w:enabled/>
                  <w:calcOnExit w:val="0"/>
                  <w:checkBox>
                    <w:sizeAuto/>
                    <w:default w:val="1"/>
                  </w:checkBox>
                </w:ffData>
              </w:fldChar>
            </w:r>
            <w:r w:rsidRPr="00377AA0">
              <w:rPr>
                <w:rFonts w:ascii="Arial Narrow" w:eastAsia="Calibri" w:hAnsi="Arial Narrow"/>
                <w:iCs/>
                <w:sz w:val="20"/>
                <w:szCs w:val="20"/>
              </w:rPr>
              <w:instrText xml:space="preserve"> FORMCHECKBOX </w:instrText>
            </w:r>
            <w:r w:rsidRPr="00377AA0">
              <w:rPr>
                <w:rFonts w:ascii="Arial Narrow" w:eastAsia="Calibri" w:hAnsi="Arial Narrow"/>
                <w:iCs/>
                <w:sz w:val="20"/>
                <w:szCs w:val="20"/>
              </w:rPr>
            </w:r>
            <w:r w:rsidRPr="00377AA0">
              <w:rPr>
                <w:rFonts w:ascii="Arial Narrow" w:eastAsia="Calibri" w:hAnsi="Arial Narrow"/>
                <w:iCs/>
                <w:sz w:val="20"/>
                <w:szCs w:val="20"/>
              </w:rPr>
              <w:fldChar w:fldCharType="separate"/>
            </w:r>
            <w:r w:rsidRPr="00377AA0">
              <w:rPr>
                <w:rFonts w:ascii="Arial Narrow" w:eastAsia="Calibri" w:hAnsi="Arial Narrow"/>
                <w:iCs/>
                <w:sz w:val="20"/>
                <w:szCs w:val="20"/>
              </w:rPr>
              <w:fldChar w:fldCharType="end"/>
            </w:r>
            <w:r w:rsidRPr="00377AA0">
              <w:rPr>
                <w:rFonts w:ascii="Arial Narrow" w:eastAsia="Calibri" w:hAnsi="Arial Narrow"/>
                <w:iCs/>
                <w:sz w:val="20"/>
                <w:szCs w:val="20"/>
              </w:rPr>
              <w:t xml:space="preserve"> GENERAL - General Schedule (Code GE) </w:t>
            </w:r>
          </w:p>
        </w:tc>
      </w:tr>
      <w:tr w:rsidR="00B10C48" w:rsidRPr="00377AA0" w14:paraId="74720132" w14:textId="77777777" w:rsidTr="00B10C48">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7"/>
            <w:tcBorders>
              <w:top w:val="single" w:sz="4" w:space="0" w:color="auto"/>
              <w:left w:val="single" w:sz="4" w:space="0" w:color="auto"/>
              <w:bottom w:val="single" w:sz="4" w:space="0" w:color="auto"/>
              <w:right w:val="single" w:sz="4" w:space="0" w:color="auto"/>
            </w:tcBorders>
            <w:vAlign w:val="center"/>
          </w:tcPr>
          <w:p w14:paraId="2C8E9189" w14:textId="77777777" w:rsidR="00B10C48" w:rsidRPr="00377AA0" w:rsidRDefault="00B10C48" w:rsidP="00C11725">
            <w:pPr>
              <w:keepLines/>
              <w:rPr>
                <w:rFonts w:ascii="Arial Narrow" w:hAnsi="Arial Narrow"/>
                <w:b/>
                <w:iCs/>
                <w:sz w:val="20"/>
                <w:szCs w:val="20"/>
              </w:rPr>
            </w:pPr>
            <w:r w:rsidRPr="00377AA0">
              <w:rPr>
                <w:rFonts w:ascii="Arial Narrow" w:hAnsi="Arial Narrow"/>
                <w:b/>
                <w:iCs/>
                <w:sz w:val="20"/>
                <w:szCs w:val="20"/>
              </w:rPr>
              <w:t xml:space="preserve">Prescriber type: </w:t>
            </w:r>
            <w:r w:rsidRPr="00377AA0">
              <w:rPr>
                <w:rFonts w:ascii="Arial Narrow" w:hAnsi="Arial Narrow"/>
                <w:iCs/>
                <w:sz w:val="20"/>
                <w:szCs w:val="20"/>
              </w:rPr>
              <w:fldChar w:fldCharType="begin">
                <w:ffData>
                  <w:name w:val=""/>
                  <w:enabled/>
                  <w:calcOnExit w:val="0"/>
                  <w:checkBox>
                    <w:sizeAuto/>
                    <w:default w:val="1"/>
                  </w:checkBox>
                </w:ffData>
              </w:fldChar>
            </w:r>
            <w:r w:rsidRPr="00377AA0">
              <w:rPr>
                <w:rFonts w:ascii="Arial Narrow" w:hAnsi="Arial Narrow"/>
                <w:iCs/>
                <w:sz w:val="20"/>
                <w:szCs w:val="20"/>
              </w:rPr>
              <w:instrText xml:space="preserve"> FORMCHECKBOX </w:instrText>
            </w:r>
            <w:r w:rsidRPr="00377AA0">
              <w:rPr>
                <w:rFonts w:ascii="Arial Narrow" w:hAnsi="Arial Narrow"/>
                <w:iCs/>
                <w:sz w:val="20"/>
                <w:szCs w:val="20"/>
              </w:rPr>
            </w:r>
            <w:r w:rsidRPr="00377AA0">
              <w:rPr>
                <w:rFonts w:ascii="Arial Narrow" w:hAnsi="Arial Narrow"/>
                <w:iCs/>
                <w:sz w:val="20"/>
                <w:szCs w:val="20"/>
              </w:rPr>
              <w:fldChar w:fldCharType="separate"/>
            </w:r>
            <w:r w:rsidRPr="00377AA0">
              <w:rPr>
                <w:rFonts w:ascii="Arial Narrow" w:hAnsi="Arial Narrow"/>
                <w:iCs/>
                <w:sz w:val="20"/>
                <w:szCs w:val="20"/>
              </w:rPr>
              <w:fldChar w:fldCharType="end"/>
            </w:r>
            <w:r w:rsidRPr="00377AA0">
              <w:rPr>
                <w:rFonts w:ascii="Arial Narrow" w:hAnsi="Arial Narrow"/>
                <w:iCs/>
                <w:sz w:val="20"/>
                <w:szCs w:val="20"/>
              </w:rPr>
              <w:t xml:space="preserve">Medical Practitioners </w:t>
            </w:r>
            <w:r w:rsidRPr="00377AA0">
              <w:rPr>
                <w:rFonts w:ascii="Arial Narrow" w:hAnsi="Arial Narrow"/>
                <w:iCs/>
                <w:sz w:val="20"/>
                <w:szCs w:val="20"/>
              </w:rPr>
              <w:fldChar w:fldCharType="begin">
                <w:ffData>
                  <w:name w:val="Check3"/>
                  <w:enabled/>
                  <w:calcOnExit w:val="0"/>
                  <w:checkBox>
                    <w:sizeAuto/>
                    <w:default w:val="1"/>
                  </w:checkBox>
                </w:ffData>
              </w:fldChar>
            </w:r>
            <w:r w:rsidRPr="00377AA0">
              <w:rPr>
                <w:rFonts w:ascii="Arial Narrow" w:hAnsi="Arial Narrow"/>
                <w:iCs/>
                <w:sz w:val="20"/>
                <w:szCs w:val="20"/>
              </w:rPr>
              <w:instrText xml:space="preserve"> FORMCHECKBOX </w:instrText>
            </w:r>
            <w:r w:rsidRPr="00377AA0">
              <w:rPr>
                <w:rFonts w:ascii="Arial Narrow" w:hAnsi="Arial Narrow"/>
                <w:iCs/>
                <w:sz w:val="20"/>
                <w:szCs w:val="20"/>
              </w:rPr>
            </w:r>
            <w:r w:rsidRPr="00377AA0">
              <w:rPr>
                <w:rFonts w:ascii="Arial Narrow" w:hAnsi="Arial Narrow"/>
                <w:iCs/>
                <w:sz w:val="20"/>
                <w:szCs w:val="20"/>
              </w:rPr>
              <w:fldChar w:fldCharType="separate"/>
            </w:r>
            <w:r w:rsidRPr="00377AA0">
              <w:rPr>
                <w:rFonts w:ascii="Arial Narrow" w:hAnsi="Arial Narrow"/>
                <w:iCs/>
                <w:sz w:val="20"/>
                <w:szCs w:val="20"/>
              </w:rPr>
              <w:fldChar w:fldCharType="end"/>
            </w:r>
            <w:r w:rsidRPr="00377AA0">
              <w:rPr>
                <w:rFonts w:ascii="Arial Narrow" w:hAnsi="Arial Narrow"/>
                <w:iCs/>
                <w:sz w:val="20"/>
                <w:szCs w:val="20"/>
              </w:rPr>
              <w:t xml:space="preserve">Nurse practitioners </w:t>
            </w:r>
          </w:p>
        </w:tc>
      </w:tr>
      <w:tr w:rsidR="00B10C48" w:rsidRPr="00377AA0" w14:paraId="440C3039" w14:textId="77777777" w:rsidTr="00B10C48">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7"/>
            <w:tcBorders>
              <w:top w:val="single" w:sz="4" w:space="0" w:color="auto"/>
              <w:left w:val="single" w:sz="4" w:space="0" w:color="auto"/>
              <w:bottom w:val="single" w:sz="4" w:space="0" w:color="auto"/>
              <w:right w:val="single" w:sz="4" w:space="0" w:color="auto"/>
            </w:tcBorders>
            <w:vAlign w:val="center"/>
          </w:tcPr>
          <w:p w14:paraId="4F532701" w14:textId="77777777" w:rsidR="00B10C48" w:rsidRPr="00377AA0" w:rsidRDefault="00B10C48" w:rsidP="00C11725">
            <w:pPr>
              <w:keepLines/>
              <w:rPr>
                <w:rFonts w:ascii="Arial Narrow" w:eastAsia="Calibri" w:hAnsi="Arial Narrow"/>
                <w:iCs/>
                <w:color w:val="FF0000"/>
                <w:sz w:val="20"/>
                <w:szCs w:val="20"/>
              </w:rPr>
            </w:pPr>
            <w:r w:rsidRPr="00377AA0">
              <w:rPr>
                <w:rFonts w:ascii="Arial Narrow" w:hAnsi="Arial Narrow"/>
                <w:b/>
                <w:iCs/>
                <w:sz w:val="20"/>
                <w:szCs w:val="20"/>
              </w:rPr>
              <w:t xml:space="preserve">Restriction type: </w:t>
            </w:r>
            <w:r w:rsidRPr="00377AA0">
              <w:rPr>
                <w:rFonts w:ascii="Arial Narrow" w:eastAsia="Calibri" w:hAnsi="Arial Narrow"/>
                <w:iCs/>
                <w:sz w:val="20"/>
                <w:szCs w:val="20"/>
              </w:rPr>
              <w:fldChar w:fldCharType="begin">
                <w:ffData>
                  <w:name w:val=""/>
                  <w:enabled/>
                  <w:calcOnExit w:val="0"/>
                  <w:checkBox>
                    <w:sizeAuto/>
                    <w:default w:val="1"/>
                  </w:checkBox>
                </w:ffData>
              </w:fldChar>
            </w:r>
            <w:r w:rsidRPr="00377AA0">
              <w:rPr>
                <w:rFonts w:ascii="Arial Narrow" w:eastAsia="Calibri" w:hAnsi="Arial Narrow"/>
                <w:iCs/>
                <w:sz w:val="20"/>
                <w:szCs w:val="20"/>
              </w:rPr>
              <w:instrText xml:space="preserve"> FORMCHECKBOX </w:instrText>
            </w:r>
            <w:r w:rsidRPr="00377AA0">
              <w:rPr>
                <w:rFonts w:ascii="Arial Narrow" w:eastAsia="Calibri" w:hAnsi="Arial Narrow"/>
                <w:iCs/>
                <w:sz w:val="20"/>
                <w:szCs w:val="20"/>
              </w:rPr>
            </w:r>
            <w:r w:rsidRPr="00377AA0">
              <w:rPr>
                <w:rFonts w:ascii="Arial Narrow" w:eastAsia="Calibri" w:hAnsi="Arial Narrow"/>
                <w:iCs/>
                <w:sz w:val="20"/>
                <w:szCs w:val="20"/>
              </w:rPr>
              <w:fldChar w:fldCharType="separate"/>
            </w:r>
            <w:r w:rsidRPr="00377AA0">
              <w:rPr>
                <w:rFonts w:ascii="Arial Narrow" w:eastAsia="Calibri" w:hAnsi="Arial Narrow"/>
                <w:iCs/>
                <w:sz w:val="20"/>
                <w:szCs w:val="20"/>
              </w:rPr>
              <w:fldChar w:fldCharType="end"/>
            </w:r>
            <w:r w:rsidRPr="00377AA0">
              <w:rPr>
                <w:rFonts w:ascii="Arial Narrow" w:eastAsia="Calibri" w:hAnsi="Arial Narrow"/>
                <w:iCs/>
                <w:sz w:val="20"/>
                <w:szCs w:val="20"/>
              </w:rPr>
              <w:t xml:space="preserve">Authority Required (Streamlined) [new/existing code] </w:t>
            </w:r>
          </w:p>
        </w:tc>
      </w:tr>
      <w:tr w:rsidR="00B10C48" w:rsidRPr="00377AA0" w14:paraId="5075A6E0" w14:textId="77777777" w:rsidTr="00B10C48">
        <w:tblPrEx>
          <w:tblCellMar>
            <w:top w:w="15" w:type="dxa"/>
            <w:bottom w:w="15" w:type="dxa"/>
          </w:tblCellMar>
          <w:tblLook w:val="04A0" w:firstRow="1" w:lastRow="0" w:firstColumn="1" w:lastColumn="0" w:noHBand="0" w:noVBand="1"/>
        </w:tblPrEx>
        <w:trPr>
          <w:gridAfter w:val="1"/>
          <w:wAfter w:w="7" w:type="dxa"/>
          <w:trHeight w:val="20"/>
        </w:trPr>
        <w:tc>
          <w:tcPr>
            <w:tcW w:w="488" w:type="dxa"/>
            <w:vMerge w:val="restart"/>
            <w:tcBorders>
              <w:left w:val="single" w:sz="4" w:space="0" w:color="auto"/>
              <w:right w:val="single" w:sz="4" w:space="0" w:color="auto"/>
            </w:tcBorders>
            <w:textDirection w:val="btLr"/>
            <w:vAlign w:val="center"/>
          </w:tcPr>
          <w:p w14:paraId="22A2D2E6" w14:textId="56BFB9DB" w:rsidR="00B10C48" w:rsidRPr="00377AA0" w:rsidRDefault="00B10C48" w:rsidP="00C11725">
            <w:pPr>
              <w:jc w:val="center"/>
              <w:rPr>
                <w:rFonts w:ascii="Arial Narrow" w:hAnsi="Arial Narrow"/>
                <w:iCs/>
                <w:sz w:val="20"/>
                <w:szCs w:val="20"/>
              </w:rPr>
            </w:pPr>
          </w:p>
        </w:tc>
        <w:tc>
          <w:tcPr>
            <w:tcW w:w="8522" w:type="dxa"/>
            <w:gridSpan w:val="6"/>
            <w:vAlign w:val="center"/>
          </w:tcPr>
          <w:p w14:paraId="14FFB134" w14:textId="77777777" w:rsidR="00B10C48" w:rsidRPr="00377AA0" w:rsidRDefault="00B10C48" w:rsidP="00C11725">
            <w:pPr>
              <w:rPr>
                <w:rFonts w:ascii="Arial Narrow" w:hAnsi="Arial Narrow"/>
                <w:b/>
                <w:bCs/>
                <w:iCs/>
                <w:color w:val="333333"/>
                <w:sz w:val="20"/>
                <w:szCs w:val="20"/>
              </w:rPr>
            </w:pPr>
            <w:r w:rsidRPr="00377AA0">
              <w:rPr>
                <w:rFonts w:ascii="Arial Narrow" w:hAnsi="Arial Narrow"/>
                <w:b/>
                <w:bCs/>
                <w:iCs/>
                <w:color w:val="333333"/>
                <w:sz w:val="20"/>
                <w:szCs w:val="20"/>
              </w:rPr>
              <w:t>Administrative Advice:</w:t>
            </w:r>
          </w:p>
          <w:p w14:paraId="303DDDE0" w14:textId="77777777" w:rsidR="00B10C48" w:rsidRPr="00377AA0" w:rsidRDefault="00B10C48" w:rsidP="00C11725">
            <w:pPr>
              <w:rPr>
                <w:rFonts w:ascii="Arial Narrow" w:hAnsi="Arial Narrow"/>
                <w:color w:val="333333"/>
                <w:sz w:val="20"/>
                <w:szCs w:val="20"/>
              </w:rPr>
            </w:pPr>
            <w:r w:rsidRPr="00377AA0">
              <w:rPr>
                <w:rFonts w:ascii="Arial Narrow" w:hAnsi="Arial Narrow"/>
                <w:b/>
                <w:bCs/>
                <w:color w:val="333333"/>
                <w:sz w:val="20"/>
                <w:szCs w:val="20"/>
              </w:rPr>
              <w:t>Continuing Therapy Only:</w:t>
            </w:r>
            <w:r w:rsidRPr="00377AA0">
              <w:rPr>
                <w:rFonts w:ascii="Arial Narrow" w:hAnsi="Arial Narrow"/>
                <w:color w:val="333333"/>
                <w:sz w:val="20"/>
                <w:szCs w:val="20"/>
              </w:rPr>
              <w:t xml:space="preserve"> 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B10C48" w:rsidRPr="00377AA0" w14:paraId="5A78D0EB" w14:textId="77777777" w:rsidTr="00B10C48">
        <w:tblPrEx>
          <w:tblCellMar>
            <w:top w:w="15" w:type="dxa"/>
            <w:bottom w:w="15" w:type="dxa"/>
          </w:tblCellMar>
          <w:tblLook w:val="04A0" w:firstRow="1" w:lastRow="0" w:firstColumn="1" w:lastColumn="0" w:noHBand="0" w:noVBand="1"/>
        </w:tblPrEx>
        <w:trPr>
          <w:gridAfter w:val="1"/>
          <w:wAfter w:w="7" w:type="dxa"/>
          <w:trHeight w:val="20"/>
        </w:trPr>
        <w:tc>
          <w:tcPr>
            <w:tcW w:w="488" w:type="dxa"/>
            <w:vMerge/>
          </w:tcPr>
          <w:p w14:paraId="4C8FCAAC" w14:textId="77777777" w:rsidR="00B10C48" w:rsidRPr="00377AA0" w:rsidRDefault="00B10C48" w:rsidP="00C11725">
            <w:pPr>
              <w:rPr>
                <w:rFonts w:ascii="Arial Narrow" w:hAnsi="Arial Narrow"/>
                <w:iCs/>
                <w:sz w:val="20"/>
                <w:szCs w:val="20"/>
              </w:rPr>
            </w:pPr>
          </w:p>
        </w:tc>
        <w:tc>
          <w:tcPr>
            <w:tcW w:w="8522" w:type="dxa"/>
            <w:gridSpan w:val="6"/>
            <w:vAlign w:val="center"/>
          </w:tcPr>
          <w:p w14:paraId="2F89F495" w14:textId="77777777" w:rsidR="00B10C48" w:rsidRPr="00377AA0" w:rsidRDefault="00B10C48" w:rsidP="00C11725">
            <w:pPr>
              <w:rPr>
                <w:rFonts w:ascii="Arial Narrow" w:hAnsi="Arial Narrow"/>
                <w:i/>
                <w:color w:val="333333"/>
                <w:sz w:val="20"/>
                <w:szCs w:val="20"/>
              </w:rPr>
            </w:pPr>
            <w:r w:rsidRPr="00377AA0">
              <w:rPr>
                <w:rFonts w:ascii="Arial Narrow" w:hAnsi="Arial Narrow"/>
                <w:b/>
                <w:bCs/>
                <w:i/>
                <w:color w:val="333333"/>
                <w:sz w:val="20"/>
                <w:szCs w:val="20"/>
              </w:rPr>
              <w:t xml:space="preserve">Administrative Advice: </w:t>
            </w:r>
            <w:r w:rsidRPr="00377AA0">
              <w:rPr>
                <w:rFonts w:ascii="Arial Narrow" w:hAnsi="Arial Narrow"/>
                <w:i/>
                <w:color w:val="333333"/>
                <w:sz w:val="20"/>
                <w:szCs w:val="20"/>
              </w:rPr>
              <w:t>No increase in the maximum quantity or number of units may be authorised.</w:t>
            </w:r>
          </w:p>
        </w:tc>
      </w:tr>
      <w:tr w:rsidR="00B10C48" w:rsidRPr="00377AA0" w14:paraId="37A6BB00" w14:textId="77777777" w:rsidTr="00B10C48">
        <w:tblPrEx>
          <w:tblCellMar>
            <w:top w:w="15" w:type="dxa"/>
            <w:bottom w:w="15" w:type="dxa"/>
          </w:tblCellMar>
          <w:tblLook w:val="04A0" w:firstRow="1" w:lastRow="0" w:firstColumn="1" w:lastColumn="0" w:noHBand="0" w:noVBand="1"/>
        </w:tblPrEx>
        <w:trPr>
          <w:gridAfter w:val="1"/>
          <w:wAfter w:w="7" w:type="dxa"/>
          <w:trHeight w:val="20"/>
        </w:trPr>
        <w:tc>
          <w:tcPr>
            <w:tcW w:w="488" w:type="dxa"/>
            <w:vMerge/>
          </w:tcPr>
          <w:p w14:paraId="67F3AA93" w14:textId="77777777" w:rsidR="00B10C48" w:rsidRPr="00377AA0" w:rsidRDefault="00B10C48" w:rsidP="00C11725">
            <w:pPr>
              <w:rPr>
                <w:rFonts w:ascii="Arial Narrow" w:hAnsi="Arial Narrow"/>
                <w:iCs/>
                <w:sz w:val="20"/>
                <w:szCs w:val="20"/>
              </w:rPr>
            </w:pPr>
          </w:p>
        </w:tc>
        <w:tc>
          <w:tcPr>
            <w:tcW w:w="8522" w:type="dxa"/>
            <w:gridSpan w:val="6"/>
            <w:vAlign w:val="center"/>
          </w:tcPr>
          <w:p w14:paraId="7FCEB29A" w14:textId="77777777" w:rsidR="00B10C48" w:rsidRPr="00377AA0" w:rsidRDefault="00B10C48" w:rsidP="00C11725">
            <w:pPr>
              <w:rPr>
                <w:rFonts w:ascii="Arial Narrow" w:hAnsi="Arial Narrow"/>
                <w:i/>
                <w:color w:val="333333"/>
                <w:sz w:val="20"/>
                <w:szCs w:val="20"/>
              </w:rPr>
            </w:pPr>
            <w:r w:rsidRPr="00377AA0">
              <w:rPr>
                <w:rFonts w:ascii="Arial Narrow" w:hAnsi="Arial Narrow"/>
                <w:b/>
                <w:bCs/>
                <w:i/>
                <w:color w:val="333333"/>
                <w:sz w:val="20"/>
                <w:szCs w:val="20"/>
              </w:rPr>
              <w:t xml:space="preserve">Administrative Advice: </w:t>
            </w:r>
            <w:r w:rsidRPr="00377AA0">
              <w:rPr>
                <w:rFonts w:ascii="Arial Narrow" w:hAnsi="Arial Narrow"/>
                <w:i/>
                <w:color w:val="333333"/>
                <w:sz w:val="20"/>
                <w:szCs w:val="20"/>
              </w:rPr>
              <w:t>No increase in the maximum number of repeats may be authorised.</w:t>
            </w:r>
          </w:p>
        </w:tc>
      </w:tr>
      <w:tr w:rsidR="00B10C48" w:rsidRPr="00377AA0" w14:paraId="160FE3B8"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tcPr>
          <w:p w14:paraId="26F1672D" w14:textId="77777777" w:rsidR="00B10C48" w:rsidRPr="00377AA0" w:rsidRDefault="00B10C48" w:rsidP="00C11725">
            <w:pPr>
              <w:keepLines/>
              <w:rPr>
                <w:rFonts w:ascii="Arial Narrow" w:hAnsi="Arial Narrow"/>
                <w:sz w:val="20"/>
                <w:szCs w:val="20"/>
              </w:rPr>
            </w:pPr>
            <w:r w:rsidRPr="00377AA0">
              <w:rPr>
                <w:rFonts w:ascii="Arial Narrow" w:hAnsi="Arial Narrow"/>
                <w:b/>
                <w:bCs/>
                <w:sz w:val="20"/>
                <w:szCs w:val="20"/>
              </w:rPr>
              <w:t xml:space="preserve">Episodicity: </w:t>
            </w:r>
            <w:r w:rsidRPr="00377AA0">
              <w:rPr>
                <w:rFonts w:ascii="Arial Narrow" w:hAnsi="Arial Narrow"/>
                <w:sz w:val="20"/>
                <w:szCs w:val="20"/>
              </w:rPr>
              <w:t>Chronic</w:t>
            </w:r>
          </w:p>
        </w:tc>
      </w:tr>
      <w:tr w:rsidR="00B10C48" w:rsidRPr="00377AA0" w14:paraId="3E573673" w14:textId="77777777" w:rsidTr="00B10C48">
        <w:tblPrEx>
          <w:tblCellMar>
            <w:top w:w="15" w:type="dxa"/>
            <w:bottom w:w="15" w:type="dxa"/>
          </w:tblCellMar>
          <w:tblLook w:val="04A0" w:firstRow="1" w:lastRow="0" w:firstColumn="1" w:lastColumn="0" w:noHBand="0" w:noVBand="1"/>
        </w:tblPrEx>
        <w:trPr>
          <w:gridAfter w:val="1"/>
          <w:wAfter w:w="7" w:type="dxa"/>
          <w:cantSplit/>
          <w:trHeight w:val="35"/>
        </w:trPr>
        <w:tc>
          <w:tcPr>
            <w:tcW w:w="9010" w:type="dxa"/>
            <w:gridSpan w:val="7"/>
            <w:vAlign w:val="center"/>
          </w:tcPr>
          <w:p w14:paraId="600BC37B" w14:textId="77777777" w:rsidR="00B10C48" w:rsidRPr="00377AA0" w:rsidRDefault="00B10C48" w:rsidP="00C11725">
            <w:pPr>
              <w:keepLines/>
              <w:rPr>
                <w:rFonts w:ascii="Arial Narrow" w:hAnsi="Arial Narrow"/>
                <w:b/>
                <w:bCs/>
                <w:iCs/>
                <w:sz w:val="20"/>
                <w:szCs w:val="20"/>
              </w:rPr>
            </w:pPr>
            <w:r w:rsidRPr="00377AA0">
              <w:rPr>
                <w:rFonts w:ascii="Arial Narrow" w:hAnsi="Arial Narrow"/>
                <w:b/>
                <w:bCs/>
                <w:iCs/>
                <w:sz w:val="20"/>
                <w:szCs w:val="20"/>
              </w:rPr>
              <w:t xml:space="preserve">Severity: </w:t>
            </w:r>
            <w:r w:rsidRPr="00377AA0">
              <w:rPr>
                <w:rFonts w:ascii="Arial Narrow" w:hAnsi="Arial Narrow"/>
                <w:bCs/>
                <w:iCs/>
                <w:sz w:val="20"/>
                <w:szCs w:val="20"/>
              </w:rPr>
              <w:t>n/a</w:t>
            </w:r>
          </w:p>
        </w:tc>
      </w:tr>
      <w:tr w:rsidR="00B10C48" w:rsidRPr="00377AA0" w14:paraId="532B6743"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tcPr>
          <w:p w14:paraId="0DA6CDA2" w14:textId="77777777" w:rsidR="00B10C48" w:rsidRPr="00377AA0" w:rsidRDefault="00B10C48" w:rsidP="00C11725">
            <w:pPr>
              <w:keepLines/>
              <w:rPr>
                <w:rFonts w:ascii="Arial Narrow" w:hAnsi="Arial Narrow"/>
                <w:b/>
                <w:bCs/>
                <w:iCs/>
                <w:color w:val="333333"/>
                <w:sz w:val="20"/>
                <w:szCs w:val="20"/>
              </w:rPr>
            </w:pPr>
            <w:r w:rsidRPr="00377AA0">
              <w:rPr>
                <w:rFonts w:ascii="Arial Narrow" w:hAnsi="Arial Narrow"/>
                <w:b/>
                <w:bCs/>
                <w:iCs/>
                <w:color w:val="333333"/>
                <w:sz w:val="20"/>
                <w:szCs w:val="20"/>
              </w:rPr>
              <w:t xml:space="preserve">Condition: </w:t>
            </w:r>
            <w:r w:rsidRPr="00377AA0">
              <w:rPr>
                <w:rFonts w:ascii="Arial Narrow" w:hAnsi="Arial Narrow"/>
                <w:bCs/>
                <w:iCs/>
                <w:color w:val="333333"/>
                <w:sz w:val="20"/>
                <w:szCs w:val="20"/>
              </w:rPr>
              <w:t>Kidney disease</w:t>
            </w:r>
          </w:p>
        </w:tc>
      </w:tr>
      <w:tr w:rsidR="00B10C48" w:rsidRPr="00377AA0" w14:paraId="535DAB98"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hideMark/>
          </w:tcPr>
          <w:p w14:paraId="0C7A856F" w14:textId="77777777" w:rsidR="00B10C48" w:rsidRPr="00377AA0" w:rsidRDefault="00B10C48" w:rsidP="00C11725">
            <w:pPr>
              <w:keepLines/>
              <w:rPr>
                <w:rFonts w:ascii="Arial Narrow" w:hAnsi="Arial Narrow"/>
                <w:iCs/>
                <w:color w:val="333333"/>
                <w:sz w:val="20"/>
                <w:szCs w:val="20"/>
              </w:rPr>
            </w:pPr>
            <w:r w:rsidRPr="00377AA0">
              <w:rPr>
                <w:rFonts w:ascii="Arial Narrow" w:hAnsi="Arial Narrow"/>
                <w:b/>
                <w:bCs/>
                <w:iCs/>
                <w:color w:val="333333"/>
                <w:sz w:val="20"/>
                <w:szCs w:val="20"/>
              </w:rPr>
              <w:lastRenderedPageBreak/>
              <w:t>Indication:</w:t>
            </w:r>
            <w:r w:rsidRPr="00377AA0">
              <w:rPr>
                <w:rFonts w:ascii="Arial Narrow" w:hAnsi="Arial Narrow"/>
                <w:iCs/>
                <w:color w:val="333333"/>
                <w:sz w:val="20"/>
                <w:szCs w:val="20"/>
              </w:rPr>
              <w:t xml:space="preserve"> Chronic kidney disease</w:t>
            </w:r>
          </w:p>
        </w:tc>
      </w:tr>
      <w:tr w:rsidR="00B10C48" w:rsidRPr="00377AA0" w14:paraId="0B5CB296"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hideMark/>
          </w:tcPr>
          <w:p w14:paraId="740F55D5" w14:textId="77777777" w:rsidR="00B10C48" w:rsidRPr="00377AA0" w:rsidRDefault="00B10C48" w:rsidP="00C11725">
            <w:pPr>
              <w:rPr>
                <w:rFonts w:ascii="Arial Narrow" w:hAnsi="Arial Narrow"/>
                <w:iCs/>
                <w:sz w:val="20"/>
                <w:szCs w:val="20"/>
              </w:rPr>
            </w:pPr>
            <w:r w:rsidRPr="00377AA0">
              <w:rPr>
                <w:rFonts w:ascii="Arial Narrow" w:hAnsi="Arial Narrow"/>
                <w:b/>
                <w:bCs/>
                <w:iCs/>
                <w:color w:val="333333"/>
                <w:sz w:val="20"/>
                <w:szCs w:val="20"/>
              </w:rPr>
              <w:t xml:space="preserve">Treatment </w:t>
            </w:r>
            <w:r w:rsidRPr="00377AA0">
              <w:rPr>
                <w:rFonts w:ascii="Arial Narrow" w:hAnsi="Arial Narrow"/>
                <w:b/>
                <w:bCs/>
                <w:iCs/>
                <w:sz w:val="20"/>
                <w:szCs w:val="20"/>
              </w:rPr>
              <w:t>Phase:</w:t>
            </w:r>
            <w:r w:rsidRPr="00377AA0">
              <w:rPr>
                <w:rFonts w:ascii="Arial Narrow" w:hAnsi="Arial Narrow"/>
                <w:iCs/>
                <w:sz w:val="20"/>
                <w:szCs w:val="20"/>
              </w:rPr>
              <w:t xml:space="preserve"> n/a</w:t>
            </w:r>
          </w:p>
        </w:tc>
      </w:tr>
      <w:tr w:rsidR="00B10C48" w:rsidRPr="00377AA0" w14:paraId="24B8EA32"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hideMark/>
          </w:tcPr>
          <w:p w14:paraId="16891A0C" w14:textId="3DD342B9" w:rsidR="00B10C48" w:rsidRPr="00377AA0" w:rsidRDefault="00B10C48" w:rsidP="00C11725">
            <w:pPr>
              <w:rPr>
                <w:rFonts w:ascii="Arial Narrow" w:hAnsi="Arial Narrow"/>
                <w:iCs/>
                <w:sz w:val="20"/>
                <w:szCs w:val="20"/>
              </w:rPr>
            </w:pPr>
            <w:r w:rsidRPr="00377AA0">
              <w:rPr>
                <w:rFonts w:ascii="Arial Narrow" w:hAnsi="Arial Narrow"/>
                <w:b/>
                <w:bCs/>
                <w:iCs/>
                <w:color w:val="333333"/>
                <w:sz w:val="20"/>
                <w:szCs w:val="20"/>
              </w:rPr>
              <w:t>Clinical criteria:</w:t>
            </w:r>
          </w:p>
        </w:tc>
      </w:tr>
      <w:tr w:rsidR="00B10C48" w:rsidRPr="00377AA0" w14:paraId="15B3301A"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tcPr>
          <w:p w14:paraId="62313B0C" w14:textId="77777777" w:rsidR="00B10C48" w:rsidRPr="00377AA0" w:rsidRDefault="00B10C48" w:rsidP="00C11725">
            <w:pPr>
              <w:rPr>
                <w:rFonts w:ascii="Arial Narrow" w:hAnsi="Arial Narrow"/>
                <w:sz w:val="20"/>
                <w:szCs w:val="20"/>
              </w:rPr>
            </w:pPr>
            <w:r w:rsidRPr="00377AA0">
              <w:rPr>
                <w:rFonts w:ascii="Arial Narrow" w:hAnsi="Arial Narrow"/>
                <w:sz w:val="20"/>
                <w:szCs w:val="20"/>
              </w:rPr>
              <w:t>Patient must have a diagnosis of chronic kidney disease, defined as abnormalities of at least one of: (</w:t>
            </w:r>
            <w:proofErr w:type="spellStart"/>
            <w:r w:rsidRPr="00377AA0">
              <w:rPr>
                <w:rFonts w:ascii="Arial Narrow" w:hAnsi="Arial Narrow"/>
                <w:sz w:val="20"/>
                <w:szCs w:val="20"/>
              </w:rPr>
              <w:t>i</w:t>
            </w:r>
            <w:proofErr w:type="spellEnd"/>
            <w:r w:rsidRPr="00377AA0">
              <w:rPr>
                <w:rFonts w:ascii="Arial Narrow" w:hAnsi="Arial Narrow"/>
                <w:sz w:val="20"/>
                <w:szCs w:val="20"/>
              </w:rPr>
              <w:t>) kidney structure, (ii) kidney function, present for at least 3 months, prior to initiating treatment with this drug</w:t>
            </w:r>
          </w:p>
        </w:tc>
      </w:tr>
      <w:tr w:rsidR="00B10C48" w:rsidRPr="00377AA0" w14:paraId="2849F664"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tcPr>
          <w:p w14:paraId="0AE257AB" w14:textId="77777777" w:rsidR="00B10C48" w:rsidRPr="00377AA0" w:rsidRDefault="00B10C48" w:rsidP="00C11725">
            <w:pPr>
              <w:rPr>
                <w:rFonts w:ascii="Arial Narrow" w:hAnsi="Arial Narrow"/>
                <w:iCs/>
                <w:sz w:val="20"/>
                <w:szCs w:val="20"/>
              </w:rPr>
            </w:pPr>
            <w:r w:rsidRPr="00377AA0">
              <w:rPr>
                <w:rFonts w:ascii="Arial Narrow" w:hAnsi="Arial Narrow"/>
                <w:b/>
                <w:bCs/>
                <w:iCs/>
                <w:color w:val="333333"/>
                <w:sz w:val="20"/>
                <w:szCs w:val="20"/>
              </w:rPr>
              <w:t>AND</w:t>
            </w:r>
          </w:p>
        </w:tc>
      </w:tr>
      <w:tr w:rsidR="00B10C48" w:rsidRPr="00377AA0" w14:paraId="0D2201AE"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tcPr>
          <w:p w14:paraId="5AC9DCA1" w14:textId="77777777" w:rsidR="00B10C48" w:rsidRPr="00377AA0" w:rsidRDefault="00B10C48" w:rsidP="00C11725">
            <w:pPr>
              <w:rPr>
                <w:rFonts w:ascii="Arial Narrow" w:hAnsi="Arial Narrow"/>
                <w:iCs/>
                <w:sz w:val="20"/>
                <w:szCs w:val="20"/>
              </w:rPr>
            </w:pPr>
            <w:r w:rsidRPr="00377AA0">
              <w:rPr>
                <w:rFonts w:ascii="Arial Narrow" w:hAnsi="Arial Narrow"/>
                <w:b/>
                <w:bCs/>
                <w:iCs/>
                <w:color w:val="333333"/>
                <w:sz w:val="20"/>
                <w:szCs w:val="20"/>
              </w:rPr>
              <w:t>Clinical criteria:</w:t>
            </w:r>
          </w:p>
        </w:tc>
      </w:tr>
      <w:tr w:rsidR="00B10C48" w:rsidRPr="00377AA0" w14:paraId="0ED2B567"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hideMark/>
          </w:tcPr>
          <w:p w14:paraId="638F62EB" w14:textId="77777777" w:rsidR="00B10C48" w:rsidRPr="00377AA0" w:rsidRDefault="00B10C48" w:rsidP="00C11725">
            <w:pPr>
              <w:rPr>
                <w:rFonts w:ascii="Arial Narrow" w:hAnsi="Arial Narrow"/>
                <w:sz w:val="20"/>
                <w:szCs w:val="20"/>
              </w:rPr>
            </w:pPr>
            <w:r w:rsidRPr="00377AA0">
              <w:rPr>
                <w:rFonts w:ascii="Arial Narrow" w:hAnsi="Arial Narrow"/>
                <w:sz w:val="20"/>
                <w:szCs w:val="20"/>
              </w:rPr>
              <w:t>Patient must have an estimated glomerular filtration rate of between 20 to 90 mL/min/1.73 m2 inclusive prior to initiating treatment with this drug</w:t>
            </w:r>
          </w:p>
        </w:tc>
      </w:tr>
      <w:tr w:rsidR="00B10C48" w:rsidRPr="00377AA0" w14:paraId="1C195F3C"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hideMark/>
          </w:tcPr>
          <w:p w14:paraId="62561967" w14:textId="77777777" w:rsidR="00B10C48" w:rsidRPr="00377AA0" w:rsidRDefault="00B10C48" w:rsidP="00C11725">
            <w:pPr>
              <w:rPr>
                <w:rFonts w:ascii="Arial Narrow" w:hAnsi="Arial Narrow"/>
                <w:iCs/>
                <w:color w:val="333333"/>
                <w:sz w:val="20"/>
                <w:szCs w:val="20"/>
              </w:rPr>
            </w:pPr>
            <w:r w:rsidRPr="00377AA0">
              <w:rPr>
                <w:rFonts w:ascii="Arial Narrow" w:hAnsi="Arial Narrow"/>
                <w:b/>
                <w:bCs/>
                <w:iCs/>
                <w:color w:val="333333"/>
                <w:sz w:val="20"/>
                <w:szCs w:val="20"/>
              </w:rPr>
              <w:t>AND</w:t>
            </w:r>
          </w:p>
        </w:tc>
      </w:tr>
      <w:tr w:rsidR="00B10C48" w:rsidRPr="00377AA0" w14:paraId="2795B587"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hideMark/>
          </w:tcPr>
          <w:p w14:paraId="5727A946" w14:textId="77777777" w:rsidR="00B10C48" w:rsidRPr="00377AA0" w:rsidRDefault="00B10C48" w:rsidP="00C11725">
            <w:pPr>
              <w:rPr>
                <w:rFonts w:ascii="Arial Narrow" w:hAnsi="Arial Narrow"/>
                <w:iCs/>
                <w:color w:val="333333"/>
                <w:sz w:val="20"/>
                <w:szCs w:val="20"/>
              </w:rPr>
            </w:pPr>
            <w:r w:rsidRPr="00377AA0">
              <w:rPr>
                <w:rFonts w:ascii="Arial Narrow" w:hAnsi="Arial Narrow"/>
                <w:b/>
                <w:bCs/>
                <w:iCs/>
                <w:color w:val="333333"/>
                <w:sz w:val="20"/>
                <w:szCs w:val="20"/>
              </w:rPr>
              <w:t>Clinical criteria:</w:t>
            </w:r>
          </w:p>
        </w:tc>
      </w:tr>
      <w:tr w:rsidR="00B10C48" w:rsidRPr="00377AA0" w14:paraId="573A9EB3"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hideMark/>
          </w:tcPr>
          <w:p w14:paraId="021E15E5" w14:textId="77777777" w:rsidR="00B10C48" w:rsidRPr="00377AA0" w:rsidRDefault="00B10C48" w:rsidP="00C11725">
            <w:pPr>
              <w:rPr>
                <w:rFonts w:ascii="Arial Narrow" w:hAnsi="Arial Narrow"/>
                <w:sz w:val="20"/>
                <w:szCs w:val="20"/>
              </w:rPr>
            </w:pPr>
            <w:r w:rsidRPr="00377AA0">
              <w:rPr>
                <w:rFonts w:ascii="Arial Narrow" w:hAnsi="Arial Narrow"/>
                <w:sz w:val="20"/>
                <w:szCs w:val="20"/>
              </w:rPr>
              <w:t>Patient must have a urinary albumin to creatinine ratio of at least 200 mg/g (22.6mg/mmol) if the patient has an estimated glomerular filtration rate of between 45 to 90 mL/min/1.73 m</w:t>
            </w:r>
            <w:r w:rsidRPr="00377AA0">
              <w:rPr>
                <w:rFonts w:ascii="Arial Narrow" w:hAnsi="Arial Narrow"/>
                <w:sz w:val="20"/>
                <w:szCs w:val="20"/>
                <w:vertAlign w:val="superscript"/>
              </w:rPr>
              <w:t xml:space="preserve">2 </w:t>
            </w:r>
            <w:r w:rsidRPr="00377AA0">
              <w:rPr>
                <w:rFonts w:ascii="Arial Narrow" w:hAnsi="Arial Narrow"/>
                <w:sz w:val="20"/>
                <w:szCs w:val="20"/>
              </w:rPr>
              <w:t>inclusive prior to initiating treatment with this drug</w:t>
            </w:r>
          </w:p>
        </w:tc>
      </w:tr>
      <w:tr w:rsidR="00B10C48" w:rsidRPr="00377AA0" w14:paraId="3C6A6575"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hideMark/>
          </w:tcPr>
          <w:p w14:paraId="01307E50" w14:textId="77777777" w:rsidR="00B10C48" w:rsidRPr="00377AA0" w:rsidRDefault="00B10C48" w:rsidP="00C11725">
            <w:pPr>
              <w:rPr>
                <w:rFonts w:ascii="Arial Narrow" w:hAnsi="Arial Narrow"/>
                <w:iCs/>
                <w:color w:val="333333"/>
                <w:sz w:val="20"/>
                <w:szCs w:val="20"/>
              </w:rPr>
            </w:pPr>
            <w:r w:rsidRPr="00377AA0">
              <w:rPr>
                <w:rFonts w:ascii="Arial Narrow" w:hAnsi="Arial Narrow"/>
                <w:b/>
                <w:bCs/>
                <w:iCs/>
                <w:color w:val="333333"/>
                <w:sz w:val="20"/>
                <w:szCs w:val="20"/>
              </w:rPr>
              <w:t>AND</w:t>
            </w:r>
          </w:p>
        </w:tc>
      </w:tr>
      <w:tr w:rsidR="00B10C48" w:rsidRPr="00377AA0" w14:paraId="6E5BBA46"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hideMark/>
          </w:tcPr>
          <w:p w14:paraId="4B2F3D9E" w14:textId="77777777" w:rsidR="00B10C48" w:rsidRPr="00377AA0" w:rsidRDefault="00B10C48" w:rsidP="00C11725">
            <w:pPr>
              <w:rPr>
                <w:rFonts w:ascii="Arial Narrow" w:hAnsi="Arial Narrow"/>
                <w:iCs/>
                <w:color w:val="333333"/>
                <w:sz w:val="20"/>
                <w:szCs w:val="20"/>
              </w:rPr>
            </w:pPr>
            <w:r w:rsidRPr="00377AA0">
              <w:rPr>
                <w:rFonts w:ascii="Arial Narrow" w:hAnsi="Arial Narrow"/>
                <w:b/>
                <w:bCs/>
                <w:iCs/>
                <w:color w:val="333333"/>
                <w:sz w:val="20"/>
                <w:szCs w:val="20"/>
              </w:rPr>
              <w:t>Clinical criteria:</w:t>
            </w:r>
          </w:p>
        </w:tc>
      </w:tr>
      <w:tr w:rsidR="00B10C48" w:rsidRPr="00377AA0" w14:paraId="77E04FF6"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hideMark/>
          </w:tcPr>
          <w:p w14:paraId="144D631F" w14:textId="77777777" w:rsidR="00B10C48" w:rsidRPr="00377AA0" w:rsidRDefault="00B10C48" w:rsidP="00C11725">
            <w:pPr>
              <w:rPr>
                <w:rFonts w:ascii="Arial Narrow" w:hAnsi="Arial Narrow"/>
                <w:sz w:val="20"/>
                <w:szCs w:val="20"/>
              </w:rPr>
            </w:pPr>
            <w:r w:rsidRPr="00377AA0">
              <w:rPr>
                <w:rFonts w:ascii="Arial Narrow" w:hAnsi="Arial Narrow"/>
                <w:sz w:val="20"/>
                <w:szCs w:val="20"/>
              </w:rPr>
              <w:t>Patient must discontinue treatment with this drug prior to initiating renal replacement therapy, defined as dialysis or kidney transplant</w:t>
            </w:r>
          </w:p>
        </w:tc>
      </w:tr>
      <w:tr w:rsidR="00B10C48" w:rsidRPr="00377AA0" w14:paraId="0A8942D9"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hideMark/>
          </w:tcPr>
          <w:p w14:paraId="09A7EF05" w14:textId="77777777" w:rsidR="00B10C48" w:rsidRPr="00377AA0" w:rsidRDefault="00B10C48" w:rsidP="00C11725">
            <w:pPr>
              <w:keepNext/>
              <w:rPr>
                <w:rFonts w:ascii="Arial Narrow" w:hAnsi="Arial Narrow"/>
                <w:iCs/>
                <w:color w:val="333333"/>
                <w:sz w:val="20"/>
                <w:szCs w:val="20"/>
              </w:rPr>
            </w:pPr>
            <w:r w:rsidRPr="00377AA0">
              <w:rPr>
                <w:rFonts w:ascii="Arial Narrow" w:hAnsi="Arial Narrow"/>
                <w:b/>
                <w:bCs/>
                <w:iCs/>
                <w:color w:val="333333"/>
                <w:sz w:val="20"/>
                <w:szCs w:val="20"/>
              </w:rPr>
              <w:t>AND</w:t>
            </w:r>
          </w:p>
        </w:tc>
      </w:tr>
      <w:tr w:rsidR="00B10C48" w:rsidRPr="00377AA0" w14:paraId="25E0C9BD"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tcPr>
          <w:p w14:paraId="0CD015CB" w14:textId="77777777" w:rsidR="00B10C48" w:rsidRPr="00377AA0" w:rsidRDefault="00B10C48" w:rsidP="00C11725">
            <w:pPr>
              <w:keepNext/>
              <w:rPr>
                <w:rFonts w:ascii="Arial Narrow" w:hAnsi="Arial Narrow"/>
                <w:b/>
                <w:bCs/>
                <w:iCs/>
                <w:color w:val="333333"/>
                <w:sz w:val="20"/>
                <w:szCs w:val="20"/>
              </w:rPr>
            </w:pPr>
            <w:r w:rsidRPr="00377AA0">
              <w:rPr>
                <w:rFonts w:ascii="Arial Narrow" w:hAnsi="Arial Narrow"/>
                <w:b/>
                <w:bCs/>
                <w:iCs/>
                <w:color w:val="333333"/>
                <w:sz w:val="20"/>
                <w:szCs w:val="20"/>
              </w:rPr>
              <w:t>Clinical criteria:</w:t>
            </w:r>
          </w:p>
        </w:tc>
      </w:tr>
      <w:tr w:rsidR="00B10C48" w:rsidRPr="00377AA0" w14:paraId="67944E76"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hideMark/>
          </w:tcPr>
          <w:p w14:paraId="3DAB16BE" w14:textId="77777777" w:rsidR="00B10C48" w:rsidRPr="00377AA0" w:rsidRDefault="00B10C48" w:rsidP="00C11725">
            <w:pPr>
              <w:rPr>
                <w:rFonts w:ascii="Arial Narrow" w:hAnsi="Arial Narrow"/>
                <w:iCs/>
                <w:sz w:val="20"/>
                <w:szCs w:val="20"/>
              </w:rPr>
            </w:pPr>
            <w:r w:rsidRPr="00377AA0">
              <w:rPr>
                <w:rFonts w:ascii="Arial Narrow" w:hAnsi="Arial Narrow"/>
                <w:iCs/>
                <w:sz w:val="20"/>
                <w:szCs w:val="20"/>
              </w:rPr>
              <w:t>Patient must not be receiving treatment with another sodium-glucose co-transporter 2 (SGLT2) inhibitor</w:t>
            </w:r>
          </w:p>
        </w:tc>
      </w:tr>
      <w:tr w:rsidR="00B10C48" w:rsidRPr="00377AA0" w14:paraId="53DC716D"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tcPr>
          <w:p w14:paraId="0610F6E5" w14:textId="77777777" w:rsidR="00B10C48" w:rsidRPr="00377AA0" w:rsidRDefault="00B10C48" w:rsidP="00C11725">
            <w:pPr>
              <w:rPr>
                <w:rFonts w:ascii="Arial Narrow" w:hAnsi="Arial Narrow"/>
                <w:iCs/>
                <w:sz w:val="20"/>
                <w:szCs w:val="20"/>
              </w:rPr>
            </w:pPr>
            <w:r w:rsidRPr="00377AA0">
              <w:rPr>
                <w:rFonts w:ascii="Arial Narrow" w:hAnsi="Arial Narrow"/>
                <w:b/>
                <w:bCs/>
                <w:iCs/>
                <w:color w:val="333333"/>
                <w:sz w:val="20"/>
                <w:szCs w:val="20"/>
              </w:rPr>
              <w:t>AND</w:t>
            </w:r>
          </w:p>
        </w:tc>
      </w:tr>
      <w:tr w:rsidR="00B10C48" w:rsidRPr="00377AA0" w14:paraId="073B78E4"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tcPr>
          <w:p w14:paraId="337AC099" w14:textId="77777777" w:rsidR="00B10C48" w:rsidRPr="00377AA0" w:rsidRDefault="00B10C48" w:rsidP="00C11725">
            <w:pPr>
              <w:rPr>
                <w:rFonts w:ascii="Arial Narrow" w:hAnsi="Arial Narrow"/>
                <w:iCs/>
                <w:sz w:val="20"/>
                <w:szCs w:val="20"/>
              </w:rPr>
            </w:pPr>
            <w:r w:rsidRPr="00377AA0">
              <w:rPr>
                <w:rFonts w:ascii="Arial Narrow" w:hAnsi="Arial Narrow"/>
                <w:b/>
                <w:bCs/>
                <w:iCs/>
                <w:color w:val="333333"/>
                <w:sz w:val="20"/>
                <w:szCs w:val="20"/>
              </w:rPr>
              <w:t>Clinical criteria:</w:t>
            </w:r>
          </w:p>
        </w:tc>
      </w:tr>
      <w:tr w:rsidR="00B10C48" w:rsidRPr="00377AA0" w14:paraId="2A527960"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tcPr>
          <w:p w14:paraId="0AC45DE3" w14:textId="77777777" w:rsidR="00B10C48" w:rsidRPr="00377AA0" w:rsidRDefault="00B10C48" w:rsidP="00C11725">
            <w:pPr>
              <w:rPr>
                <w:rFonts w:ascii="Arial Narrow" w:hAnsi="Arial Narrow"/>
                <w:sz w:val="20"/>
                <w:szCs w:val="20"/>
              </w:rPr>
            </w:pPr>
            <w:r w:rsidRPr="00377AA0">
              <w:rPr>
                <w:rFonts w:ascii="Arial Narrow" w:hAnsi="Arial Narrow"/>
                <w:sz w:val="20"/>
                <w:szCs w:val="20"/>
              </w:rPr>
              <w:t>Patient must be stabilised, for at least 4 weeks, on either: (</w:t>
            </w:r>
            <w:proofErr w:type="spellStart"/>
            <w:r w:rsidRPr="00377AA0">
              <w:rPr>
                <w:rFonts w:ascii="Arial Narrow" w:hAnsi="Arial Narrow"/>
                <w:sz w:val="20"/>
                <w:szCs w:val="20"/>
              </w:rPr>
              <w:t>i</w:t>
            </w:r>
            <w:proofErr w:type="spellEnd"/>
            <w:r w:rsidRPr="00377AA0">
              <w:rPr>
                <w:rFonts w:ascii="Arial Narrow" w:hAnsi="Arial Narrow"/>
                <w:sz w:val="20"/>
                <w:szCs w:val="20"/>
              </w:rPr>
              <w:t>) an ACE inhibitor or (ii) an angiotensin II receptor antagonist, unless medically contraindicated, prior to initiation of combination therapy with this drug</w:t>
            </w:r>
          </w:p>
        </w:tc>
      </w:tr>
      <w:tr w:rsidR="00B10C48" w:rsidRPr="00377AA0" w14:paraId="640D63D3"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tcPr>
          <w:p w14:paraId="60D4F023" w14:textId="77777777" w:rsidR="00B10C48" w:rsidRPr="00377AA0" w:rsidRDefault="00B10C48" w:rsidP="00C11725">
            <w:pPr>
              <w:rPr>
                <w:rFonts w:ascii="Arial Narrow" w:hAnsi="Arial Narrow"/>
                <w:iCs/>
                <w:color w:val="333333"/>
                <w:sz w:val="20"/>
                <w:szCs w:val="20"/>
              </w:rPr>
            </w:pPr>
          </w:p>
        </w:tc>
      </w:tr>
      <w:tr w:rsidR="00B10C48" w:rsidRPr="005958CD" w14:paraId="50AAA041" w14:textId="77777777" w:rsidTr="00B10C48">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7"/>
            <w:vAlign w:val="center"/>
            <w:hideMark/>
          </w:tcPr>
          <w:p w14:paraId="66E3EA91" w14:textId="77777777" w:rsidR="00B10C48" w:rsidRPr="005958CD" w:rsidRDefault="00B10C48" w:rsidP="00C11725">
            <w:pPr>
              <w:rPr>
                <w:rFonts w:ascii="Arial Narrow" w:hAnsi="Arial Narrow"/>
                <w:sz w:val="20"/>
                <w:szCs w:val="20"/>
              </w:rPr>
            </w:pPr>
            <w:r w:rsidRPr="00377AA0">
              <w:rPr>
                <w:rFonts w:ascii="Arial Narrow" w:hAnsi="Arial Narrow"/>
                <w:b/>
                <w:bCs/>
                <w:color w:val="333333"/>
                <w:sz w:val="20"/>
                <w:szCs w:val="20"/>
              </w:rPr>
              <w:t>Prescribing Instructions</w:t>
            </w:r>
            <w:r w:rsidRPr="00377AA0">
              <w:rPr>
                <w:rFonts w:ascii="Arial Narrow" w:hAnsi="Arial Narrow"/>
                <w:b/>
                <w:bCs/>
                <w:sz w:val="20"/>
                <w:szCs w:val="20"/>
              </w:rPr>
              <w:t xml:space="preserve">: </w:t>
            </w:r>
            <w:r w:rsidRPr="00377AA0">
              <w:rPr>
                <w:rFonts w:ascii="Arial Narrow" w:hAnsi="Arial Narrow"/>
                <w:sz w:val="20"/>
                <w:szCs w:val="20"/>
              </w:rPr>
              <w:t>Patients with polycystic kidney disease, lupus nephritis or ANCA-associated vasculitis; patients requiring or with a recent history of cytotoxic or immunosuppressive therapy for kidney disease; and patients with an organ transplant are not eligible for treatment with this drug.</w:t>
            </w:r>
          </w:p>
        </w:tc>
      </w:tr>
    </w:tbl>
    <w:p w14:paraId="576AA461" w14:textId="50F84D44" w:rsidR="00CF7DFD" w:rsidRPr="00430A87" w:rsidRDefault="00765307" w:rsidP="00CF7DFD">
      <w:pPr>
        <w:pStyle w:val="COMexecsummnumbered"/>
      </w:pPr>
      <w:r w:rsidRPr="001153AC">
        <w:t xml:space="preserve">The </w:t>
      </w:r>
      <w:r>
        <w:t>resubmission</w:t>
      </w:r>
      <w:r w:rsidRPr="001153AC">
        <w:t xml:space="preserve"> requested a dispensed price for empagliflozin 10 mg of </w:t>
      </w:r>
      <w:r>
        <w:t xml:space="preserve">$58.85 (DPMQ per 1 pack of 30 tablets), and </w:t>
      </w:r>
      <w:r w:rsidRPr="001153AC">
        <w:t>$10</w:t>
      </w:r>
      <w:r>
        <w:t>4</w:t>
      </w:r>
      <w:r w:rsidRPr="001153AC">
        <w:t>.</w:t>
      </w:r>
      <w:r>
        <w:t>24</w:t>
      </w:r>
      <w:r w:rsidRPr="001153AC">
        <w:t xml:space="preserve"> assuming </w:t>
      </w:r>
      <w:proofErr w:type="gramStart"/>
      <w:r w:rsidRPr="001153AC">
        <w:t>60</w:t>
      </w:r>
      <w:r w:rsidR="00BE0309">
        <w:t xml:space="preserve"> </w:t>
      </w:r>
      <w:r w:rsidRPr="001153AC">
        <w:t>day</w:t>
      </w:r>
      <w:proofErr w:type="gramEnd"/>
      <w:r w:rsidRPr="001153AC">
        <w:t xml:space="preserve"> dispensing (DPMQ</w:t>
      </w:r>
      <w:r w:rsidR="00D90D05">
        <w:t> </w:t>
      </w:r>
      <w:r w:rsidRPr="001153AC">
        <w:t>per</w:t>
      </w:r>
      <w:r w:rsidR="00D90D05">
        <w:t> </w:t>
      </w:r>
      <w:r w:rsidRPr="001153AC">
        <w:t xml:space="preserve">2 packs of 30 tablets). </w:t>
      </w:r>
      <w:r w:rsidR="00CF7DFD" w:rsidRPr="00430A87">
        <w:t xml:space="preserve">Empagliflozin for CKD </w:t>
      </w:r>
      <w:r w:rsidR="007351B5">
        <w:t>is</w:t>
      </w:r>
      <w:r w:rsidR="007351B5" w:rsidRPr="00430A87">
        <w:t xml:space="preserve"> </w:t>
      </w:r>
      <w:r w:rsidR="00CF7DFD" w:rsidRPr="00430A87">
        <w:t xml:space="preserve">not currently authorised for </w:t>
      </w:r>
      <w:proofErr w:type="gramStart"/>
      <w:r w:rsidR="00CF7DFD" w:rsidRPr="00430A87">
        <w:t>60</w:t>
      </w:r>
      <w:r w:rsidR="0086338F" w:rsidRPr="00430A87">
        <w:t xml:space="preserve"> </w:t>
      </w:r>
      <w:r w:rsidR="00CF7DFD" w:rsidRPr="00430A87">
        <w:t>day</w:t>
      </w:r>
      <w:proofErr w:type="gramEnd"/>
      <w:r w:rsidR="00CF7DFD" w:rsidRPr="00430A87">
        <w:t xml:space="preserve"> dispensing.</w:t>
      </w:r>
    </w:p>
    <w:p w14:paraId="16C0FD29" w14:textId="7B7B5B3F" w:rsidR="00276253" w:rsidRDefault="00333967" w:rsidP="00BF3960">
      <w:pPr>
        <w:pStyle w:val="COMexecsummnumbered"/>
      </w:pPr>
      <w:r>
        <w:t>A</w:t>
      </w:r>
      <w:r w:rsidR="00185C44">
        <w:t>s of October 2024</w:t>
      </w:r>
      <w:r>
        <w:t>, t</w:t>
      </w:r>
      <w:r w:rsidR="00227D84">
        <w:t xml:space="preserve">he </w:t>
      </w:r>
      <w:r w:rsidR="00181991">
        <w:t xml:space="preserve">PBS listed </w:t>
      </w:r>
      <w:r w:rsidR="00227D84">
        <w:t>AEMP</w:t>
      </w:r>
      <w:r w:rsidR="00975143">
        <w:t xml:space="preserve"> </w:t>
      </w:r>
      <w:r w:rsidR="009C1A6E">
        <w:t>for</w:t>
      </w:r>
      <w:r w:rsidR="002C1B70">
        <w:t xml:space="preserve"> empagliflozin</w:t>
      </w:r>
      <w:r w:rsidR="00B73925">
        <w:t xml:space="preserve"> 10mg</w:t>
      </w:r>
      <w:r w:rsidR="00181991">
        <w:t xml:space="preserve"> </w:t>
      </w:r>
      <w:r w:rsidR="00975143">
        <w:t>was $44.44</w:t>
      </w:r>
      <w:r w:rsidR="00B73925">
        <w:t>.</w:t>
      </w:r>
      <w:r w:rsidR="00227D84">
        <w:t xml:space="preserve"> </w:t>
      </w:r>
      <w:r w:rsidR="00765307">
        <w:t xml:space="preserve">The requested AEMP ($42.22) </w:t>
      </w:r>
      <w:r w:rsidR="00AC1274">
        <w:t xml:space="preserve">in the submission </w:t>
      </w:r>
      <w:r w:rsidR="00AD16E0">
        <w:t>wa</w:t>
      </w:r>
      <w:r w:rsidR="00765307">
        <w:t xml:space="preserve">s consistent with the </w:t>
      </w:r>
      <w:r w:rsidR="004F0B60">
        <w:t xml:space="preserve">expected </w:t>
      </w:r>
      <w:r w:rsidR="00765307">
        <w:t>PBS listed AEMP of empagliflozin for the treatment of diabetes</w:t>
      </w:r>
      <w:r w:rsidR="00B07FE5">
        <w:t>,</w:t>
      </w:r>
      <w:r w:rsidR="00765307">
        <w:t xml:space="preserve"> chronic heart failure</w:t>
      </w:r>
      <w:r w:rsidR="00D86B87">
        <w:t xml:space="preserve"> and CKD</w:t>
      </w:r>
      <w:r w:rsidR="00CB1131">
        <w:t xml:space="preserve">, </w:t>
      </w:r>
      <w:r w:rsidR="00BF3960">
        <w:t>incorporating the April 2025 5% 10-year anniversary statutory price reduction.</w:t>
      </w:r>
      <w:r w:rsidR="00AD16E0">
        <w:t xml:space="preserve"> The </w:t>
      </w:r>
      <w:r w:rsidR="004E411C">
        <w:t>pre-sub-committee response (</w:t>
      </w:r>
      <w:r w:rsidR="00861A34">
        <w:t>PSCR</w:t>
      </w:r>
      <w:r w:rsidR="004E411C">
        <w:t>)</w:t>
      </w:r>
      <w:r w:rsidR="00861A34">
        <w:t xml:space="preserve"> indicated that effective 1 April 2025, the T2DM listing for empagliflozin w</w:t>
      </w:r>
      <w:r w:rsidR="004E411C">
        <w:t>oul</w:t>
      </w:r>
      <w:r w:rsidR="007F77D6">
        <w:t>d</w:t>
      </w:r>
      <w:r w:rsidR="00861A34">
        <w:t xml:space="preserve"> be expanded to include patients who are at high cardiovascular (CV) risk, have existing CV disease or identify as Aboriginal or Torres Strait Islander, without the requirement to meet a specific glycaemic target. This expanded listing was associated with a </w:t>
      </w:r>
      <w:r w:rsidR="004766A4">
        <w:t>further</w:t>
      </w:r>
      <w:r w:rsidR="00861A34">
        <w:t xml:space="preserve"> price reduction</w:t>
      </w:r>
      <w:r w:rsidR="002D7432">
        <w:t xml:space="preserve"> </w:t>
      </w:r>
      <w:r w:rsidR="00861A34">
        <w:t>for empagliflozin 10</w:t>
      </w:r>
      <w:r w:rsidR="002A7E27">
        <w:t> </w:t>
      </w:r>
      <w:r w:rsidR="00861A34">
        <w:t>mg with a new AEMP of $39.02</w:t>
      </w:r>
      <w:r w:rsidR="004766A4">
        <w:t xml:space="preserve"> </w:t>
      </w:r>
      <w:r w:rsidR="00FB38A5">
        <w:t>(12.2% reduction overall</w:t>
      </w:r>
      <w:r w:rsidR="00BA2433">
        <w:t xml:space="preserve"> from </w:t>
      </w:r>
      <w:r w:rsidR="006A11F3">
        <w:t>the October</w:t>
      </w:r>
      <w:r w:rsidR="005A076D">
        <w:t xml:space="preserve"> </w:t>
      </w:r>
      <w:r w:rsidR="006A11F3">
        <w:t>AEMP</w:t>
      </w:r>
      <w:r w:rsidR="005A076D">
        <w:t xml:space="preserve"> </w:t>
      </w:r>
      <w:r w:rsidR="006A11F3">
        <w:t>of</w:t>
      </w:r>
      <w:r w:rsidR="005A076D">
        <w:t xml:space="preserve"> </w:t>
      </w:r>
      <w:r w:rsidR="006A11F3">
        <w:t>$44.44</w:t>
      </w:r>
      <w:r w:rsidR="007351B5">
        <w:t>)</w:t>
      </w:r>
      <w:r w:rsidR="001D0DE0">
        <w:t>.</w:t>
      </w:r>
    </w:p>
    <w:p w14:paraId="1FD9B8D6" w14:textId="79FB4B26" w:rsidR="00276253" w:rsidRDefault="00FE0991" w:rsidP="00FE0991">
      <w:pPr>
        <w:pStyle w:val="COMexecsummnumbered"/>
      </w:pPr>
      <w:r w:rsidRPr="00430A87">
        <w:lastRenderedPageBreak/>
        <w:t>The proposed expanded restriction is narrower than the TGA indication and limits subsidised treatment with empagliflozin for CKD to patients with biomedical markers</w:t>
      </w:r>
      <w:r w:rsidR="003D2444">
        <w:t>,</w:t>
      </w:r>
      <w:r w:rsidRPr="00430A87">
        <w:t xml:space="preserve"> consistent with the inclusion criteria of the key clinical trial (EMPA-KIDNEY).</w:t>
      </w:r>
    </w:p>
    <w:p w14:paraId="65D9199F" w14:textId="17793457" w:rsidR="00BC32BE" w:rsidRPr="002C28F0" w:rsidRDefault="00BC32BE" w:rsidP="00BC32BE">
      <w:pPr>
        <w:pStyle w:val="COMexecsummnumbered"/>
      </w:pPr>
      <w:r w:rsidRPr="002C28F0">
        <w:t>The proposed expanded restriction is based on the current PBS listing for empagliflozin and dapagliflozin for the treatment of CKD (eGFR</w:t>
      </w:r>
      <w:r w:rsidR="00D90D05">
        <w:t> </w:t>
      </w:r>
      <w:r w:rsidRPr="002C28F0">
        <w:t>25</w:t>
      </w:r>
      <w:r w:rsidR="00D90D05">
        <w:t> </w:t>
      </w:r>
      <w:r w:rsidRPr="002C28F0">
        <w:t>to</w:t>
      </w:r>
      <w:r w:rsidR="00D90D05">
        <w:t> </w:t>
      </w:r>
      <w:r w:rsidRPr="002C28F0">
        <w:t>75</w:t>
      </w:r>
      <w:r w:rsidR="00BA0917">
        <w:t> </w:t>
      </w:r>
      <w:r w:rsidRPr="002C28F0">
        <w:t>mL/min/1.73</w:t>
      </w:r>
      <w:r w:rsidR="00BA0917">
        <w:t> </w:t>
      </w:r>
      <w:r w:rsidRPr="002C28F0">
        <w:t>m</w:t>
      </w:r>
      <w:r w:rsidRPr="002C28F0">
        <w:rPr>
          <w:vertAlign w:val="superscript"/>
        </w:rPr>
        <w:t>2</w:t>
      </w:r>
      <w:r w:rsidRPr="002C28F0">
        <w:t xml:space="preserve"> with UACR 200 to 5,000 mg/g; overlap population), with the addition of the aggregated incremental subgroups included in the key clinical trial (EMPA-KIDNEY):</w:t>
      </w:r>
    </w:p>
    <w:p w14:paraId="0B20B38F" w14:textId="77777777" w:rsidR="00276253" w:rsidRDefault="00CC5246" w:rsidP="005A076D">
      <w:pPr>
        <w:pStyle w:val="COMexecsummbulletlist"/>
        <w:ind w:hanging="357"/>
      </w:pPr>
      <w:r w:rsidRPr="002C28F0">
        <w:t xml:space="preserve">eGFR 20 to </w:t>
      </w:r>
      <w:r w:rsidR="00544CD2">
        <w:t>&lt;</w:t>
      </w:r>
      <w:r w:rsidRPr="002C28F0">
        <w:t>25 mL/min/1.73 m</w:t>
      </w:r>
      <w:r w:rsidRPr="002C28F0">
        <w:rPr>
          <w:vertAlign w:val="superscript"/>
        </w:rPr>
        <w:t>2</w:t>
      </w:r>
      <w:r w:rsidR="00E13178">
        <w:t>, regardless of UACR</w:t>
      </w:r>
      <w:r w:rsidRPr="002C28F0">
        <w:t>.</w:t>
      </w:r>
    </w:p>
    <w:p w14:paraId="05C5EC2A" w14:textId="51141970" w:rsidR="00CC5246" w:rsidRPr="002C28F0" w:rsidRDefault="00CC5246" w:rsidP="005A076D">
      <w:pPr>
        <w:pStyle w:val="COMexecsummbulletlist"/>
        <w:ind w:hanging="357"/>
      </w:pPr>
      <w:r w:rsidRPr="002C28F0">
        <w:t xml:space="preserve">eGFR 25 to </w:t>
      </w:r>
      <w:r w:rsidR="00544CD2">
        <w:t>&lt;</w:t>
      </w:r>
      <w:r w:rsidRPr="002C28F0">
        <w:t>45 mL/min/1.73 m</w:t>
      </w:r>
      <w:r w:rsidRPr="002C28F0">
        <w:rPr>
          <w:vertAlign w:val="superscript"/>
        </w:rPr>
        <w:t>2</w:t>
      </w:r>
      <w:r w:rsidRPr="002C28F0">
        <w:t xml:space="preserve"> with UACR &lt;200 mg/g.</w:t>
      </w:r>
    </w:p>
    <w:p w14:paraId="5CF4E9F8" w14:textId="77777777" w:rsidR="00276253" w:rsidRDefault="00CC5246" w:rsidP="005A076D">
      <w:pPr>
        <w:pStyle w:val="COMexecsummbulletlist"/>
        <w:ind w:hanging="357"/>
      </w:pPr>
      <w:r w:rsidRPr="002C28F0">
        <w:t>eGFR 25 to 75 mL/min/1.73 m</w:t>
      </w:r>
      <w:r w:rsidRPr="002C28F0">
        <w:rPr>
          <w:vertAlign w:val="superscript"/>
        </w:rPr>
        <w:t>2</w:t>
      </w:r>
      <w:r w:rsidRPr="002C28F0">
        <w:t xml:space="preserve"> with UACR &gt;5,000 mg/g.</w:t>
      </w:r>
    </w:p>
    <w:p w14:paraId="3DD79287" w14:textId="06AAAE7F" w:rsidR="009809FC" w:rsidRPr="002C28F0" w:rsidRDefault="009809FC" w:rsidP="005A076D">
      <w:pPr>
        <w:pStyle w:val="COMexecsummbulletlist"/>
        <w:ind w:hanging="357"/>
      </w:pPr>
      <w:r w:rsidRPr="002C28F0">
        <w:t xml:space="preserve">eGFR </w:t>
      </w:r>
      <w:r w:rsidR="00544CD2">
        <w:t>&gt;</w:t>
      </w:r>
      <w:r w:rsidRPr="002C28F0">
        <w:t>75 to 90 mL/min/1.73 m</w:t>
      </w:r>
      <w:r w:rsidRPr="002C28F0">
        <w:rPr>
          <w:vertAlign w:val="superscript"/>
        </w:rPr>
        <w:t>2</w:t>
      </w:r>
      <w:r w:rsidRPr="002C28F0">
        <w:t xml:space="preserve"> with UACR ≥200 mg/g.</w:t>
      </w:r>
    </w:p>
    <w:p w14:paraId="2B260E35" w14:textId="1F549D7A" w:rsidR="00FE0991" w:rsidRDefault="00A04164" w:rsidP="00FE0991">
      <w:pPr>
        <w:pStyle w:val="COMexecsummnumbered"/>
      </w:pPr>
      <w:r w:rsidRPr="00B24799">
        <w:t xml:space="preserve">The PBAC previously considered that the </w:t>
      </w:r>
      <w:r w:rsidRPr="00B24799">
        <w:rPr>
          <w:i/>
          <w:iCs/>
        </w:rPr>
        <w:t>post hoc</w:t>
      </w:r>
      <w:r w:rsidRPr="00B24799">
        <w:t xml:space="preserve"> subgroup analyses of the EMPA-KIDNEY trial did not adequately demonstrate a benefit in the broadened indication for CKD, and that empagliflozin demonstrated little or no improvement in patients </w:t>
      </w:r>
      <w:r w:rsidR="00143CBF">
        <w:t>categorised as low, moderate and high risk (KDIGO staging)</w:t>
      </w:r>
      <w:r w:rsidR="00EB6A43">
        <w:t xml:space="preserve"> or in those patients with UACR &lt;</w:t>
      </w:r>
      <w:r w:rsidRPr="00B24799">
        <w:t xml:space="preserve">200 mg/g. </w:t>
      </w:r>
      <w:r w:rsidR="00EB6A43">
        <w:t>T</w:t>
      </w:r>
      <w:r w:rsidRPr="00B24799">
        <w:t xml:space="preserve">he PBAC considered that any resubmission for empagliflozin for a broader population should reconsider which subgroups are nominated and ensure they include significantly high </w:t>
      </w:r>
      <w:r w:rsidR="00F35464" w:rsidRPr="00B24799">
        <w:t>U</w:t>
      </w:r>
      <w:r w:rsidRPr="00B24799">
        <w:t>ACR (paras 7.</w:t>
      </w:r>
      <w:r w:rsidR="002D5DCD">
        <w:t>16</w:t>
      </w:r>
      <w:r w:rsidRPr="00B24799">
        <w:t xml:space="preserve"> and 7.24, Empagliflozin </w:t>
      </w:r>
      <w:r w:rsidR="00237F76">
        <w:t>Public Summary Document (</w:t>
      </w:r>
      <w:r w:rsidRPr="00B24799">
        <w:t>PSD</w:t>
      </w:r>
      <w:r w:rsidR="00237F76">
        <w:t>)</w:t>
      </w:r>
      <w:r w:rsidRPr="00B24799">
        <w:t xml:space="preserve">, November 2023 PBAC meeting). </w:t>
      </w:r>
      <w:r w:rsidRPr="00430A87">
        <w:t xml:space="preserve">The incremental population requested in the proposed expanded restriction is unchanged from the November 2023 submission, </w:t>
      </w:r>
      <w:r w:rsidR="00157B4F" w:rsidRPr="00430A87">
        <w:t xml:space="preserve">which </w:t>
      </w:r>
      <w:r w:rsidRPr="00430A87">
        <w:t xml:space="preserve">includes patients with </w:t>
      </w:r>
      <w:r w:rsidR="00E22E87" w:rsidRPr="00430A87">
        <w:t xml:space="preserve">moderately increased </w:t>
      </w:r>
      <w:r w:rsidR="002D5DCD" w:rsidRPr="00430A87">
        <w:t>and</w:t>
      </w:r>
      <w:r w:rsidR="00E22E87" w:rsidRPr="00430A87">
        <w:t xml:space="preserve"> high risk of </w:t>
      </w:r>
      <w:r w:rsidR="00AD42AC" w:rsidRPr="00430A87">
        <w:t>disease progression</w:t>
      </w:r>
      <w:r w:rsidR="002D5DCD" w:rsidRPr="00430A87">
        <w:t>, and patients with UACR &lt;200 mg/g</w:t>
      </w:r>
      <w:r w:rsidRPr="00430A87">
        <w:t>.</w:t>
      </w:r>
      <w:r w:rsidR="00B93BBF">
        <w:t xml:space="preserve"> </w:t>
      </w:r>
      <w:r w:rsidR="00B93BBF" w:rsidRPr="00B93BBF">
        <w:t xml:space="preserve">The </w:t>
      </w:r>
      <w:r w:rsidR="00B93BBF">
        <w:t xml:space="preserve">pre-PBAC </w:t>
      </w:r>
      <w:r w:rsidR="00C52E47">
        <w:t>argu</w:t>
      </w:r>
      <w:r w:rsidR="00320D9A">
        <w:t xml:space="preserve">ed that </w:t>
      </w:r>
      <w:r w:rsidR="000B3794">
        <w:t xml:space="preserve">the </w:t>
      </w:r>
      <w:r w:rsidR="00B93BBF" w:rsidRPr="00B93BBF">
        <w:t>EMPA-KIDNEY</w:t>
      </w:r>
      <w:r w:rsidR="00320D9A">
        <w:t xml:space="preserve"> </w:t>
      </w:r>
      <w:r w:rsidR="000B3794">
        <w:t xml:space="preserve">trial </w:t>
      </w:r>
      <w:r w:rsidR="00B93BBF" w:rsidRPr="00B93BBF">
        <w:t>demonstrated a significant benefit in a diverse population of CKD patients including those with little to no albuminuria</w:t>
      </w:r>
      <w:r w:rsidR="00320D9A">
        <w:t xml:space="preserve"> and </w:t>
      </w:r>
      <w:r w:rsidR="00B93BBF" w:rsidRPr="00B93BBF">
        <w:t>highlight</w:t>
      </w:r>
      <w:r w:rsidR="00320D9A">
        <w:t>ed</w:t>
      </w:r>
      <w:r w:rsidR="00B93BBF" w:rsidRPr="00B93BBF">
        <w:t xml:space="preserve"> that empagliflozin ha</w:t>
      </w:r>
      <w:r w:rsidR="000B3794">
        <w:t>d</w:t>
      </w:r>
      <w:r w:rsidR="00B93BBF" w:rsidRPr="00B93BBF">
        <w:t xml:space="preserve"> the broadest CKD indication approved by the TGA of all of the SGLT2 inhibitors, based on the EMPA-KIDNEY trial evidence</w:t>
      </w:r>
      <w:r w:rsidR="00320D9A">
        <w:t>.</w:t>
      </w:r>
    </w:p>
    <w:p w14:paraId="233FE75D" w14:textId="288F4D6D" w:rsidR="00276253" w:rsidRDefault="006A78F9" w:rsidP="006C5C54">
      <w:pPr>
        <w:pStyle w:val="COMexecsummnumbered"/>
        <w:rPr>
          <w:rFonts w:ascii="Arial Narrow" w:hAnsi="Arial Narrow"/>
          <w:color w:val="0D0D0D" w:themeColor="text1" w:themeTint="F2"/>
          <w:sz w:val="22"/>
        </w:rPr>
      </w:pPr>
      <w:r w:rsidRPr="00FF7582">
        <w:t xml:space="preserve">The </w:t>
      </w:r>
      <w:r w:rsidR="004E411C">
        <w:t>PSCR</w:t>
      </w:r>
      <w:r w:rsidRPr="00FF7582">
        <w:t xml:space="preserve"> disagreed with the suggestion in the commentary that an SGLT2 inhibitor class effect exists for CKD given the absence of supporting RCT evidence, and does not support broadening the PBS listing for dapagliflozin in CKD (to include the incremental population) as there is currently no Level 1 randomised controlled trial (RCT) evidence supporting its use in the wider CKD population</w:t>
      </w:r>
      <w:r w:rsidR="00F61200" w:rsidRPr="00FF7582">
        <w:t xml:space="preserve"> and </w:t>
      </w:r>
      <w:r w:rsidR="007351B5">
        <w:t xml:space="preserve">because of </w:t>
      </w:r>
      <w:r w:rsidR="00F61200" w:rsidRPr="00FF7582">
        <w:t xml:space="preserve">misalignment with </w:t>
      </w:r>
      <w:r w:rsidR="007351B5">
        <w:t xml:space="preserve">the </w:t>
      </w:r>
      <w:r w:rsidR="00F61200" w:rsidRPr="00FF7582">
        <w:t xml:space="preserve">approved TGA indication for patients with </w:t>
      </w:r>
      <w:proofErr w:type="spellStart"/>
      <w:r w:rsidR="00F61200" w:rsidRPr="00FF7582">
        <w:t>proteinuric</w:t>
      </w:r>
      <w:proofErr w:type="spellEnd"/>
      <w:r w:rsidR="00F61200" w:rsidRPr="00FF7582">
        <w:t xml:space="preserve"> CKD</w:t>
      </w:r>
      <w:r w:rsidRPr="00FF7582">
        <w:t>. The ESC acknowledged that expanding the dapagliflozin listing would be outside the available trial evidence for dapagliflozin, however it considered the benefits of SGLT2 inhibitors in CKD are generally accepted to be a class effect</w:t>
      </w:r>
      <w:r w:rsidR="000B2850" w:rsidRPr="00FF7582">
        <w:t xml:space="preserve"> (see paragraph </w:t>
      </w:r>
      <w:r w:rsidR="000B2850" w:rsidRPr="00FF7582">
        <w:fldChar w:fldCharType="begin"/>
      </w:r>
      <w:r w:rsidR="000B2850" w:rsidRPr="00FF7582">
        <w:instrText xml:space="preserve"> REF _Ref191027241 \r \h </w:instrText>
      </w:r>
      <w:r w:rsidR="00FF7582" w:rsidRPr="00FF7582">
        <w:instrText xml:space="preserve"> \* MERGEFORMAT </w:instrText>
      </w:r>
      <w:r w:rsidR="000B2850" w:rsidRPr="00FF7582">
        <w:fldChar w:fldCharType="separate"/>
      </w:r>
      <w:r w:rsidR="004A7850">
        <w:t>4.11</w:t>
      </w:r>
      <w:r w:rsidR="000B2850" w:rsidRPr="00FF7582">
        <w:fldChar w:fldCharType="end"/>
      </w:r>
      <w:r w:rsidR="000B2850" w:rsidRPr="00FF7582">
        <w:t>)</w:t>
      </w:r>
      <w:r w:rsidRPr="00FF7582">
        <w:t xml:space="preserve"> and having different PBS listings within the same patient population would require further consideration. </w:t>
      </w:r>
      <w:r w:rsidR="00705597">
        <w:t xml:space="preserve">The pre-PBAC response </w:t>
      </w:r>
      <w:r w:rsidR="00982DFD">
        <w:t xml:space="preserve">noted that </w:t>
      </w:r>
      <w:r w:rsidR="008517BB" w:rsidRPr="008517BB">
        <w:t xml:space="preserve">dapagliflozin </w:t>
      </w:r>
      <w:r w:rsidR="00623239">
        <w:t>wa</w:t>
      </w:r>
      <w:r w:rsidR="008517BB" w:rsidRPr="008517BB">
        <w:t xml:space="preserve">s only TGA approved for use in </w:t>
      </w:r>
      <w:proofErr w:type="spellStart"/>
      <w:r w:rsidR="008517BB" w:rsidRPr="008517BB">
        <w:lastRenderedPageBreak/>
        <w:t>proteinuric</w:t>
      </w:r>
      <w:proofErr w:type="spellEnd"/>
      <w:r w:rsidR="008517BB" w:rsidRPr="008517BB">
        <w:t xml:space="preserve"> CKD, which </w:t>
      </w:r>
      <w:r w:rsidR="006B7612">
        <w:t>wa</w:t>
      </w:r>
      <w:r w:rsidR="008517BB" w:rsidRPr="008517BB">
        <w:t xml:space="preserve">s consistent with the available clinical trial </w:t>
      </w:r>
      <w:r w:rsidR="006B7612">
        <w:t>evidence in the</w:t>
      </w:r>
      <w:r w:rsidR="008517BB">
        <w:t xml:space="preserve"> </w:t>
      </w:r>
      <w:r w:rsidR="009A3530" w:rsidRPr="00A5434E">
        <w:t xml:space="preserve">DAPA-CKD </w:t>
      </w:r>
      <w:r w:rsidR="006B7612">
        <w:t>trial</w:t>
      </w:r>
      <w:r w:rsidR="00A5434E" w:rsidRPr="00A5434E">
        <w:t>.</w:t>
      </w:r>
    </w:p>
    <w:p w14:paraId="36BD9401" w14:textId="1C0E6C09" w:rsidR="009266AF" w:rsidRPr="00FF7582" w:rsidRDefault="009266AF" w:rsidP="009266AF">
      <w:pPr>
        <w:pStyle w:val="COMexecsummnumbered"/>
        <w:numPr>
          <w:ilvl w:val="0"/>
          <w:numId w:val="0"/>
        </w:numPr>
        <w:ind w:left="720"/>
        <w:rPr>
          <w:b/>
        </w:rPr>
      </w:pPr>
      <w:r w:rsidRPr="00C875F4">
        <w:rPr>
          <w:bCs/>
          <w:i/>
          <w:iCs/>
        </w:rPr>
        <w:t>For more detail on PBAC’s view, see section 7 PBAC outcome</w:t>
      </w:r>
      <w:r w:rsidRPr="009266AF">
        <w:rPr>
          <w:b/>
        </w:rPr>
        <w:t>.</w:t>
      </w:r>
    </w:p>
    <w:p w14:paraId="7075B85C" w14:textId="62A47B7B" w:rsidR="00B50DB8" w:rsidRPr="0098262F" w:rsidDel="00195452" w:rsidRDefault="00203181" w:rsidP="004E18E9">
      <w:pPr>
        <w:pStyle w:val="COMH1-numbered"/>
      </w:pPr>
      <w:bookmarkStart w:id="10" w:name="_Toc193277444"/>
      <w:r w:rsidRPr="0098262F" w:rsidDel="00195452">
        <w:t xml:space="preserve">Population and </w:t>
      </w:r>
      <w:r w:rsidR="008E0D3C" w:rsidRPr="0098262F" w:rsidDel="00195452">
        <w:t>d</w:t>
      </w:r>
      <w:r w:rsidRPr="0098262F" w:rsidDel="00195452">
        <w:t>isease</w:t>
      </w:r>
      <w:bookmarkEnd w:id="10"/>
    </w:p>
    <w:p w14:paraId="58E89A94" w14:textId="77777777" w:rsidR="00276253" w:rsidRDefault="008309D2" w:rsidP="008309D2">
      <w:pPr>
        <w:pStyle w:val="COMexecsummnumbered"/>
        <w:rPr>
          <w:shd w:val="clear" w:color="auto" w:fill="FFFFFF"/>
        </w:rPr>
      </w:pPr>
      <w:r w:rsidRPr="001153AC">
        <w:t xml:space="preserve">CKD </w:t>
      </w:r>
      <w:r w:rsidRPr="001153AC">
        <w:rPr>
          <w:shd w:val="clear" w:color="auto" w:fill="FFFFFF"/>
        </w:rPr>
        <w:t>is characterised by the gradual loss of kidney function over time as a natural consequence of ageing, irreversible causes (e.g. diabetic nephropathy, polycystic kidney disease, auto immune disease, recurrent kidney/urinary infection and scarring) and related risk factors (e.g. diabetes, hypertension, cardiovascular disease, obesity, prior acute kidney injury, family history of kidney disease, smoking</w:t>
      </w:r>
      <w:r w:rsidR="00DA61E4">
        <w:rPr>
          <w:shd w:val="clear" w:color="auto" w:fill="FFFFFF"/>
        </w:rPr>
        <w:t>/vaping</w:t>
      </w:r>
      <w:r w:rsidRPr="001153AC">
        <w:rPr>
          <w:shd w:val="clear" w:color="auto" w:fill="FFFFFF"/>
        </w:rPr>
        <w:t>, age</w:t>
      </w:r>
      <w:r w:rsidR="0004613A">
        <w:rPr>
          <w:shd w:val="clear" w:color="auto" w:fill="FFFFFF"/>
        </w:rPr>
        <w:t> </w:t>
      </w:r>
      <w:r w:rsidR="00DA61E4">
        <w:rPr>
          <w:rFonts w:cstheme="minorHAnsi"/>
          <w:shd w:val="clear" w:color="auto" w:fill="FFFFFF"/>
        </w:rPr>
        <w:t>≥</w:t>
      </w:r>
      <w:r w:rsidRPr="001153AC">
        <w:rPr>
          <w:shd w:val="clear" w:color="auto" w:fill="FFFFFF"/>
        </w:rPr>
        <w:t>60</w:t>
      </w:r>
      <w:r w:rsidR="002E27F1">
        <w:rPr>
          <w:shd w:val="clear" w:color="auto" w:fill="FFFFFF"/>
        </w:rPr>
        <w:t> </w:t>
      </w:r>
      <w:r w:rsidRPr="001153AC">
        <w:rPr>
          <w:shd w:val="clear" w:color="auto" w:fill="FFFFFF"/>
        </w:rPr>
        <w:t xml:space="preserve">years, Aboriginal and Torres Strait Islander descent; </w:t>
      </w:r>
      <w:r w:rsidR="00BE4991">
        <w:rPr>
          <w:shd w:val="clear" w:color="auto" w:fill="FFFFFF"/>
        </w:rPr>
        <w:t>CKD Management</w:t>
      </w:r>
      <w:r w:rsidR="00D168B0">
        <w:rPr>
          <w:shd w:val="clear" w:color="auto" w:fill="FFFFFF"/>
        </w:rPr>
        <w:t xml:space="preserve"> in Primary Care</w:t>
      </w:r>
      <w:r w:rsidR="004F1C97">
        <w:rPr>
          <w:shd w:val="clear" w:color="auto" w:fill="FFFFFF"/>
        </w:rPr>
        <w:t xml:space="preserve"> </w:t>
      </w:r>
      <w:r w:rsidR="00D168B0">
        <w:rPr>
          <w:shd w:val="clear" w:color="auto" w:fill="FFFFFF"/>
        </w:rPr>
        <w:t>(5</w:t>
      </w:r>
      <w:r w:rsidR="00D168B0" w:rsidRPr="00D168B0">
        <w:rPr>
          <w:shd w:val="clear" w:color="auto" w:fill="FFFFFF"/>
          <w:vertAlign w:val="superscript"/>
        </w:rPr>
        <w:t>th</w:t>
      </w:r>
      <w:r w:rsidR="00D168B0">
        <w:rPr>
          <w:shd w:val="clear" w:color="auto" w:fill="FFFFFF"/>
        </w:rPr>
        <w:t xml:space="preserve"> edition, Kidney Health Australia, 2024</w:t>
      </w:r>
      <w:r w:rsidRPr="001153AC">
        <w:rPr>
          <w:shd w:val="clear" w:color="auto" w:fill="FFFFFF"/>
        </w:rPr>
        <w:t>)</w:t>
      </w:r>
      <w:r w:rsidR="00DB58E4">
        <w:rPr>
          <w:shd w:val="clear" w:color="auto" w:fill="FFFFFF"/>
        </w:rPr>
        <w:t>)</w:t>
      </w:r>
      <w:r w:rsidRPr="001153AC">
        <w:rPr>
          <w:shd w:val="clear" w:color="auto" w:fill="FFFFFF"/>
        </w:rPr>
        <w:t>.</w:t>
      </w:r>
    </w:p>
    <w:p w14:paraId="2E988A17" w14:textId="19833082" w:rsidR="00276253" w:rsidRDefault="00131268" w:rsidP="00131268">
      <w:pPr>
        <w:pStyle w:val="COMexecsummnumbered"/>
      </w:pPr>
      <w:bookmarkStart w:id="11" w:name="_Hlk65855229"/>
      <w:r w:rsidRPr="001153AC">
        <w:t xml:space="preserve">A diagnosis of CKD </w:t>
      </w:r>
      <w:r w:rsidRPr="001153AC">
        <w:rPr>
          <w:color w:val="111111"/>
          <w:shd w:val="clear" w:color="auto" w:fill="FFFFFF"/>
        </w:rPr>
        <w:t xml:space="preserve">is defined as having </w:t>
      </w:r>
      <w:r w:rsidRPr="001153AC">
        <w:t>one or both of the following criteria, irrespective of underlying cause (Kidney Health Australia 202</w:t>
      </w:r>
      <w:r>
        <w:t>4</w:t>
      </w:r>
      <w:r w:rsidRPr="001153AC">
        <w:t>, CKD Management in Primary Care):</w:t>
      </w:r>
    </w:p>
    <w:p w14:paraId="7FA70133" w14:textId="5A98AFAE" w:rsidR="009F083E" w:rsidRPr="001153AC" w:rsidRDefault="00F4697F" w:rsidP="00F91369">
      <w:pPr>
        <w:pStyle w:val="COMexecsummbulletlist"/>
        <w:ind w:hanging="357"/>
      </w:pPr>
      <w:r>
        <w:t>A</w:t>
      </w:r>
      <w:r w:rsidR="009F083E" w:rsidRPr="001153AC">
        <w:t xml:space="preserve">n </w:t>
      </w:r>
      <w:r w:rsidR="009F083E" w:rsidRPr="001153AC">
        <w:rPr>
          <w:szCs w:val="18"/>
        </w:rPr>
        <w:t xml:space="preserve">estimated or measured </w:t>
      </w:r>
      <w:r w:rsidR="009F083E" w:rsidRPr="001153AC">
        <w:t>GFR of &lt;60 mL/min/1.73 m</w:t>
      </w:r>
      <w:r w:rsidR="009F083E" w:rsidRPr="001153AC">
        <w:rPr>
          <w:vertAlign w:val="superscript"/>
        </w:rPr>
        <w:t>2</w:t>
      </w:r>
      <w:r w:rsidR="009F083E" w:rsidRPr="001153AC">
        <w:t xml:space="preserve"> that is present for 3</w:t>
      </w:r>
      <w:r w:rsidR="0004613A">
        <w:t> </w:t>
      </w:r>
      <w:r w:rsidR="009F083E" w:rsidRPr="001153AC">
        <w:t>months or more with or without evidence of kidney damage</w:t>
      </w:r>
      <w:r>
        <w:t>.</w:t>
      </w:r>
    </w:p>
    <w:p w14:paraId="44E5F0B9" w14:textId="1C1A92A3" w:rsidR="009F083E" w:rsidRPr="00AE6956" w:rsidRDefault="00F4697F" w:rsidP="00F91369">
      <w:pPr>
        <w:pStyle w:val="COMexecsummbulletlist"/>
      </w:pPr>
      <w:r>
        <w:t>E</w:t>
      </w:r>
      <w:r w:rsidR="009F083E" w:rsidRPr="001153AC">
        <w:t xml:space="preserve">vidence of kidney damage </w:t>
      </w:r>
      <w:r w:rsidR="00856050">
        <w:t>(</w:t>
      </w:r>
      <w:r w:rsidR="00856050" w:rsidRPr="001153AC">
        <w:t xml:space="preserve">albuminuria, haematuria, structural abnormalities, </w:t>
      </w:r>
      <w:r w:rsidR="00856050" w:rsidRPr="00AE6956">
        <w:t>pathological abnormalities)</w:t>
      </w:r>
      <w:r w:rsidR="00941058" w:rsidRPr="00AE6956">
        <w:t xml:space="preserve"> </w:t>
      </w:r>
      <w:r w:rsidR="009F083E" w:rsidRPr="00AE6956">
        <w:t xml:space="preserve">with or without a decrease in GFR, </w:t>
      </w:r>
      <w:r w:rsidR="00856050" w:rsidRPr="00AE6956">
        <w:rPr>
          <w:noProof/>
        </w:rPr>
        <w:t>that is</w:t>
      </w:r>
      <w:r w:rsidR="009F083E" w:rsidRPr="00AE6956">
        <w:t xml:space="preserve"> present for 3 months or more.</w:t>
      </w:r>
      <w:bookmarkEnd w:id="11"/>
    </w:p>
    <w:p w14:paraId="041EBD80" w14:textId="0430BFE1" w:rsidR="00731580" w:rsidRPr="00A20DA9" w:rsidRDefault="00A21A3E" w:rsidP="0071253E">
      <w:pPr>
        <w:pStyle w:val="COMexecsummnumbered"/>
        <w:rPr>
          <w:color w:val="0066FF"/>
        </w:rPr>
      </w:pPr>
      <w:r w:rsidRPr="00AE6956">
        <w:t>The prevalence of CKD in the Australian population is not known, but available data suggest</w:t>
      </w:r>
      <w:r w:rsidR="00B42DD8" w:rsidRPr="00AE6956">
        <w:t>s</w:t>
      </w:r>
      <w:r w:rsidRPr="00AE6956">
        <w:t xml:space="preserve"> that </w:t>
      </w:r>
      <w:r w:rsidR="004049F3" w:rsidRPr="00AE6956">
        <w:t>one in seven (14.2%) adults had indicators of chronic kidney disease, up from 10.8% a decade earlier;</w:t>
      </w:r>
      <w:r w:rsidR="00B42DD8" w:rsidRPr="00AE6956">
        <w:t xml:space="preserve"> only 7.4% of people aged 18 years and over who had indicators of CKD self-reported having kidney disease</w:t>
      </w:r>
      <w:r w:rsidR="00B42DD8" w:rsidRPr="00FF7582">
        <w:t>.</w:t>
      </w:r>
      <w:r w:rsidRPr="004049F3">
        <w:rPr>
          <w:i/>
          <w:iCs/>
        </w:rPr>
        <w:t xml:space="preserve"> </w:t>
      </w:r>
      <w:r w:rsidRPr="001153AC">
        <w:t xml:space="preserve">(National Health Measurement Survey NHMS </w:t>
      </w:r>
      <w:r w:rsidR="00B42DD8" w:rsidRPr="004049F3">
        <w:rPr>
          <w:i/>
          <w:iCs/>
        </w:rPr>
        <w:t>2022</w:t>
      </w:r>
      <w:r w:rsidR="001C4FF6" w:rsidRPr="001C4FF6">
        <w:rPr>
          <w:rFonts w:ascii="Symbol" w:eastAsia="Symbol" w:hAnsi="Symbol" w:cs="Symbol"/>
          <w:i/>
          <w:iCs/>
        </w:rPr>
        <w:t>-</w:t>
      </w:r>
      <w:r w:rsidR="001C4FF6" w:rsidRPr="004049F3">
        <w:rPr>
          <w:i/>
          <w:iCs/>
        </w:rPr>
        <w:t>24</w:t>
      </w:r>
      <w:r w:rsidRPr="001153AC">
        <w:t>).</w:t>
      </w:r>
      <w:r w:rsidR="00223E55">
        <w:t xml:space="preserve"> </w:t>
      </w:r>
      <w:r w:rsidR="00F11A43" w:rsidRPr="00AE6956">
        <w:t xml:space="preserve">The PBAC noted that </w:t>
      </w:r>
      <w:r w:rsidR="00A20DA9" w:rsidRPr="00AE6956">
        <w:rPr>
          <w:shd w:val="clear" w:color="auto" w:fill="FFFFFF"/>
        </w:rPr>
        <w:t>Aboriginal and Torres Strait Islanders ha</w:t>
      </w:r>
      <w:r w:rsidR="00F47B41" w:rsidRPr="00AE6956">
        <w:rPr>
          <w:shd w:val="clear" w:color="auto" w:fill="FFFFFF"/>
        </w:rPr>
        <w:t>d</w:t>
      </w:r>
      <w:r w:rsidR="00A20DA9" w:rsidRPr="00AE6956">
        <w:rPr>
          <w:shd w:val="clear" w:color="auto" w:fill="FFFFFF"/>
        </w:rPr>
        <w:t xml:space="preserve"> </w:t>
      </w:r>
      <w:r w:rsidR="00094D45">
        <w:t>4</w:t>
      </w:r>
      <w:r w:rsidR="004368F9" w:rsidRPr="00AE6956">
        <w:t xml:space="preserve"> times higher incidence of E</w:t>
      </w:r>
      <w:r w:rsidR="00A17B6C" w:rsidRPr="00AE6956">
        <w:t xml:space="preserve">SKD, higher rates of conservative management of the disease </w:t>
      </w:r>
      <w:r w:rsidR="003039AB" w:rsidRPr="00AE6956">
        <w:t xml:space="preserve">and </w:t>
      </w:r>
      <w:r w:rsidR="00094D45">
        <w:t>4</w:t>
      </w:r>
      <w:r w:rsidR="003039AB" w:rsidRPr="00AE6956">
        <w:t xml:space="preserve"> times higher rates of mortality</w:t>
      </w:r>
      <w:r w:rsidR="00D05089" w:rsidRPr="00AE6956">
        <w:t xml:space="preserve"> and </w:t>
      </w:r>
      <w:r w:rsidR="00F47B41" w:rsidRPr="00AE6956">
        <w:t xml:space="preserve">were </w:t>
      </w:r>
      <w:r w:rsidR="00D05089" w:rsidRPr="00AE6956">
        <w:t xml:space="preserve">thus likely to experience an increased absolute benefit </w:t>
      </w:r>
      <w:r w:rsidR="00FC0931" w:rsidRPr="00AE6956">
        <w:t xml:space="preserve">from use of </w:t>
      </w:r>
      <w:r w:rsidR="00F47B41" w:rsidRPr="00AE6956">
        <w:t xml:space="preserve">an </w:t>
      </w:r>
      <w:r w:rsidR="00FC0931" w:rsidRPr="00AE6956">
        <w:t>SGLT</w:t>
      </w:r>
      <w:r w:rsidR="00A634E6" w:rsidRPr="00AE6956">
        <w:t>2</w:t>
      </w:r>
      <w:r w:rsidR="00102239" w:rsidRPr="00AE6956">
        <w:t xml:space="preserve"> </w:t>
      </w:r>
      <w:r w:rsidR="00F47B41" w:rsidRPr="00AE6956">
        <w:t>i</w:t>
      </w:r>
      <w:r w:rsidR="00102239" w:rsidRPr="00AE6956">
        <w:t>nhibitor</w:t>
      </w:r>
      <w:r w:rsidR="0010703F">
        <w:rPr>
          <w:rStyle w:val="FootnoteReference"/>
        </w:rPr>
        <w:footnoteReference w:id="2"/>
      </w:r>
      <w:r w:rsidR="00A634E6" w:rsidRPr="00AE6956">
        <w:t>.</w:t>
      </w:r>
    </w:p>
    <w:p w14:paraId="7EDE5567" w14:textId="15CD4164" w:rsidR="00A21A3E" w:rsidRPr="001153AC" w:rsidRDefault="00223E55" w:rsidP="00A21A3E">
      <w:pPr>
        <w:pStyle w:val="COMexecsummnumbered"/>
      </w:pPr>
      <w:r>
        <w:t>A</w:t>
      </w:r>
      <w:r w:rsidR="00A21A3E" w:rsidRPr="00852F5C">
        <w:t>pproximately 10% of the Australian population with biomedical signs of CKD are diagnosed, with diagnosis typically delayed until progression to CKD stage 3</w:t>
      </w:r>
      <w:r w:rsidR="00911D95">
        <w:rPr>
          <w:rFonts w:ascii="Symbol" w:eastAsia="Symbol" w:hAnsi="Symbol" w:cs="Symbol"/>
        </w:rPr>
        <w:t>-</w:t>
      </w:r>
      <w:r w:rsidR="00A21A3E" w:rsidRPr="00852F5C">
        <w:t>4 disease when symptoms of kidney disease are more apparent</w:t>
      </w:r>
      <w:r w:rsidR="00A21A3E">
        <w:t xml:space="preserve"> (AIHW 2023a)</w:t>
      </w:r>
      <w:r w:rsidR="00A21A3E" w:rsidRPr="001153AC">
        <w:t>.</w:t>
      </w:r>
      <w:r w:rsidR="00A21A3E" w:rsidRPr="00714B5E">
        <w:t xml:space="preserve"> </w:t>
      </w:r>
      <w:r w:rsidR="00353961" w:rsidRPr="00353961">
        <w:t>The severity of CKD and the risk of progression to end-stage kidney disease (ESKD) or cardiovascular death can be assessed using the Kidney Disease Improving Global Outcomes (KDIGO) classification of CKD prognosis.</w:t>
      </w:r>
    </w:p>
    <w:p w14:paraId="4E43F648" w14:textId="2D29E4DF" w:rsidR="00E348E2" w:rsidRPr="00C43C21" w:rsidRDefault="00C43C21" w:rsidP="00E348E2">
      <w:pPr>
        <w:pStyle w:val="COMexecsummnumbered"/>
        <w:rPr>
          <w:color w:val="0066FF"/>
        </w:rPr>
      </w:pPr>
      <w:r>
        <w:fldChar w:fldCharType="begin"/>
      </w:r>
      <w:r>
        <w:instrText xml:space="preserve"> REF _Ref190348817 \h </w:instrText>
      </w:r>
      <w:r>
        <w:fldChar w:fldCharType="separate"/>
      </w:r>
      <w:r w:rsidR="004A7850">
        <w:t xml:space="preserve">Figure </w:t>
      </w:r>
      <w:r w:rsidR="004A7850">
        <w:rPr>
          <w:noProof/>
        </w:rPr>
        <w:t>1</w:t>
      </w:r>
      <w:r>
        <w:fldChar w:fldCharType="end"/>
      </w:r>
      <w:r>
        <w:t xml:space="preserve"> </w:t>
      </w:r>
      <w:r w:rsidR="00E348E2" w:rsidRPr="001153AC">
        <w:t>describes the proposed population in terms of KDIGO risk classification.</w:t>
      </w:r>
    </w:p>
    <w:p w14:paraId="1179E43A" w14:textId="666E7FD2" w:rsidR="00276253" w:rsidRDefault="00C43C21" w:rsidP="00C43C21">
      <w:pPr>
        <w:pStyle w:val="COMTableheadingrow"/>
      </w:pPr>
      <w:bookmarkStart w:id="12" w:name="_Ref190348817"/>
      <w:r>
        <w:lastRenderedPageBreak/>
        <w:t xml:space="preserve">Figure </w:t>
      </w:r>
      <w:r>
        <w:fldChar w:fldCharType="begin"/>
      </w:r>
      <w:r>
        <w:instrText xml:space="preserve"> SEQ Figure \* ARABIC </w:instrText>
      </w:r>
      <w:r>
        <w:fldChar w:fldCharType="separate"/>
      </w:r>
      <w:r w:rsidR="004A7850">
        <w:rPr>
          <w:noProof/>
        </w:rPr>
        <w:t>1</w:t>
      </w:r>
      <w:r>
        <w:fldChar w:fldCharType="end"/>
      </w:r>
      <w:bookmarkEnd w:id="12"/>
      <w:r>
        <w:t xml:space="preserve">: </w:t>
      </w:r>
      <w:r w:rsidRPr="001153AC">
        <w:t>Summary of the proposed PBS population and subgroups</w:t>
      </w:r>
    </w:p>
    <w:p w14:paraId="40584004" w14:textId="44F54C38" w:rsidR="0073268C" w:rsidRDefault="0088639A" w:rsidP="00577370">
      <w:pPr>
        <w:pStyle w:val="COMTableheadingrow"/>
      </w:pPr>
      <w:r w:rsidRPr="0088639A">
        <w:rPr>
          <w:noProof/>
        </w:rPr>
        <w:drawing>
          <wp:inline distT="0" distB="0" distL="0" distR="0" wp14:anchorId="149B574A" wp14:editId="0B30885D">
            <wp:extent cx="5219700" cy="3988726"/>
            <wp:effectExtent l="0" t="0" r="0" b="0"/>
            <wp:docPr id="2139219010" name="Picture 1" descr="Figure 1: Summary of the proposed PBS population and subgrou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19010" name="Picture 1" descr="Figure 1: Summary of the proposed PBS population and subgroups"/>
                    <pic:cNvPicPr/>
                  </pic:nvPicPr>
                  <pic:blipFill>
                    <a:blip r:embed="rId8"/>
                    <a:stretch>
                      <a:fillRect/>
                    </a:stretch>
                  </pic:blipFill>
                  <pic:spPr>
                    <a:xfrm>
                      <a:off x="0" y="0"/>
                      <a:ext cx="5219700" cy="3988726"/>
                    </a:xfrm>
                    <a:prstGeom prst="rect">
                      <a:avLst/>
                    </a:prstGeom>
                  </pic:spPr>
                </pic:pic>
              </a:graphicData>
            </a:graphic>
          </wp:inline>
        </w:drawing>
      </w:r>
    </w:p>
    <w:p w14:paraId="292913AA" w14:textId="77777777" w:rsidR="00276253" w:rsidRDefault="0030388D" w:rsidP="000D2ADD">
      <w:pPr>
        <w:pStyle w:val="COMTablefooter"/>
      </w:pPr>
      <w:r w:rsidRPr="001153AC">
        <w:t xml:space="preserve">Source: </w:t>
      </w:r>
      <w:r>
        <w:t>KDIGO (2024); Figure 1, para 4.4 of the empagliflozin PSD, November 2023 PBAC meeting.</w:t>
      </w:r>
    </w:p>
    <w:p w14:paraId="2D8E3BF1" w14:textId="22B231B1" w:rsidR="0030388D" w:rsidRPr="001153AC" w:rsidRDefault="0030388D" w:rsidP="000D2ADD">
      <w:pPr>
        <w:pStyle w:val="COMTablefooter"/>
      </w:pPr>
      <w:r w:rsidRPr="001153AC">
        <w:t xml:space="preserve">Abbreviations: CKD, chronic kidney disease; eGFR, estimated glomerular filtration rate; PBS, Pharmaceutical Benefits Scheme; SC, standard care; </w:t>
      </w:r>
      <w:r>
        <w:t xml:space="preserve">PSD, </w:t>
      </w:r>
      <w:r w:rsidR="00673696">
        <w:t>Public Summary Document</w:t>
      </w:r>
      <w:r>
        <w:t>; UACR</w:t>
      </w:r>
      <w:r w:rsidRPr="001153AC">
        <w:t>, urine albumin to creatinine ratio.</w:t>
      </w:r>
    </w:p>
    <w:p w14:paraId="6A40CA94" w14:textId="4C1FC11F" w:rsidR="000D2ADD" w:rsidRPr="000D2ADD" w:rsidRDefault="0030388D" w:rsidP="000D2ADD">
      <w:pPr>
        <w:pStyle w:val="COMTablefooter"/>
        <w:rPr>
          <w:i/>
          <w:iCs/>
          <w:color w:val="0066FF"/>
        </w:rPr>
      </w:pPr>
      <w:r w:rsidRPr="001153AC">
        <w:rPr>
          <w:vertAlign w:val="superscript"/>
        </w:rPr>
        <w:t>a</w:t>
      </w:r>
      <w:r w:rsidRPr="001153AC">
        <w:t xml:space="preserve"> </w:t>
      </w:r>
      <w:r>
        <w:t>Current empagliflozin (</w:t>
      </w:r>
      <w:r w:rsidRPr="00F403D7">
        <w:t>PBS item 14092Q</w:t>
      </w:r>
      <w:r>
        <w:t>)</w:t>
      </w:r>
      <w:r w:rsidRPr="00F403D7">
        <w:t xml:space="preserve"> </w:t>
      </w:r>
      <w:r>
        <w:t xml:space="preserve">and dapagliflozin </w:t>
      </w:r>
      <w:r w:rsidRPr="001153AC">
        <w:t>(PBS item 13106T)</w:t>
      </w:r>
      <w:r>
        <w:t xml:space="preserve"> </w:t>
      </w:r>
      <w:r w:rsidRPr="001153AC">
        <w:t>PBS listing for the treatment of CKD</w:t>
      </w:r>
      <w:r>
        <w:t>.</w:t>
      </w:r>
    </w:p>
    <w:p w14:paraId="1B82ACB3" w14:textId="66E27631" w:rsidR="002D3A2D" w:rsidRPr="000344B6" w:rsidRDefault="002D3A2D" w:rsidP="000344B6">
      <w:pPr>
        <w:pStyle w:val="COMexecsummnumbered"/>
      </w:pPr>
      <w:r w:rsidRPr="004C0BD8">
        <w:t xml:space="preserve">The incremental population includes a broad amalgam of patients with substantial </w:t>
      </w:r>
      <w:r w:rsidR="00E04693" w:rsidRPr="004C0BD8">
        <w:t xml:space="preserve">variation in </w:t>
      </w:r>
      <w:r w:rsidRPr="004C0BD8">
        <w:t xml:space="preserve">eGFR and UACR characteristics, and </w:t>
      </w:r>
      <w:r w:rsidR="003A1876">
        <w:t xml:space="preserve">hence </w:t>
      </w:r>
      <w:r w:rsidRPr="004C0BD8">
        <w:t>baseline risk of CKD progression</w:t>
      </w:r>
      <w:r w:rsidR="00086D1B" w:rsidRPr="004C0BD8">
        <w:t xml:space="preserve"> (</w:t>
      </w:r>
      <w:r w:rsidR="00E434C4" w:rsidRPr="004C0BD8">
        <w:t>ranging from moderately increased risk to very high risk</w:t>
      </w:r>
      <w:r w:rsidR="003A1876">
        <w:t>)</w:t>
      </w:r>
      <w:r w:rsidRPr="004C0BD8">
        <w:t>.</w:t>
      </w:r>
      <w:r w:rsidR="00085329">
        <w:t xml:space="preserve"> The pre-PBAC response from the sponsor </w:t>
      </w:r>
      <w:r w:rsidR="007933A9">
        <w:t xml:space="preserve">argued that the </w:t>
      </w:r>
      <w:r w:rsidR="007933A9" w:rsidRPr="007933A9">
        <w:t xml:space="preserve">proposed PBS incremental CKD population </w:t>
      </w:r>
      <w:r w:rsidR="00AE6956">
        <w:t>wa</w:t>
      </w:r>
      <w:r w:rsidR="007933A9" w:rsidRPr="007933A9">
        <w:t>s at equally high risk of kidney disease progression and cardiovascular (CV) complications as the currently reimbursed CKD population.</w:t>
      </w:r>
      <w:r w:rsidR="007933A9">
        <w:t xml:space="preserve"> It noted that w</w:t>
      </w:r>
      <w:r w:rsidR="007933A9" w:rsidRPr="007933A9">
        <w:t>hile patients with lower albuminuria levels typically experience a slower rate of kidney function decline, several studies have demonstrated a significantly elevated risk of kidney disease progression and adverse mortality outcomes</w:t>
      </w:r>
      <w:r w:rsidR="007933A9">
        <w:t xml:space="preserve">. </w:t>
      </w:r>
      <w:r w:rsidR="00C33B37">
        <w:t xml:space="preserve">Input emphasised that </w:t>
      </w:r>
      <w:r w:rsidR="007933A9" w:rsidRPr="007933A9">
        <w:t xml:space="preserve">there </w:t>
      </w:r>
      <w:r w:rsidR="00AE6956">
        <w:t>wa</w:t>
      </w:r>
      <w:r w:rsidR="007933A9" w:rsidRPr="007933A9">
        <w:t>s a high clinical need for early treatment initiation with empagliflozin before patients experience significant kidney disease progression</w:t>
      </w:r>
      <w:r w:rsidR="00C33B37">
        <w:t>.</w:t>
      </w:r>
    </w:p>
    <w:p w14:paraId="14FD9BA2" w14:textId="77777777" w:rsidR="00276253" w:rsidRDefault="005C57C1" w:rsidP="005C57C1">
      <w:pPr>
        <w:pStyle w:val="COMexecsummnumbered"/>
      </w:pPr>
      <w:r w:rsidRPr="001153AC">
        <w:t xml:space="preserve">Empagliflozin is a selective sodium-glucose co-transporter-2 (SGLT2) inhibitor widely used for the treatment of adults with </w:t>
      </w:r>
      <w:r w:rsidR="007C3E94">
        <w:t>type 2 diabetes</w:t>
      </w:r>
      <w:r w:rsidRPr="001153AC">
        <w:rPr>
          <w:rFonts w:cstheme="minorHAnsi"/>
          <w:noProof/>
        </w:rPr>
        <w:t>. T</w:t>
      </w:r>
      <w:r w:rsidRPr="001153AC">
        <w:rPr>
          <w:noProof/>
        </w:rPr>
        <w:t xml:space="preserve">he precise mechanisms of action underlying the protective cardiovascular and renal effects of empagliflozin are not completely understood, but several mechanisms of action have been proposed for </w:t>
      </w:r>
      <w:r w:rsidRPr="001153AC">
        <w:rPr>
          <w:noProof/>
        </w:rPr>
        <w:lastRenderedPageBreak/>
        <w:t>SGLT2</w:t>
      </w:r>
      <w:r>
        <w:rPr>
          <w:noProof/>
        </w:rPr>
        <w:t xml:space="preserve"> </w:t>
      </w:r>
      <w:r w:rsidRPr="001153AC">
        <w:rPr>
          <w:noProof/>
        </w:rPr>
        <w:t>i</w:t>
      </w:r>
      <w:r>
        <w:rPr>
          <w:noProof/>
        </w:rPr>
        <w:t>nhibitors</w:t>
      </w:r>
      <w:r w:rsidRPr="001153AC">
        <w:rPr>
          <w:noProof/>
        </w:rPr>
        <w:t xml:space="preserve"> (Seferovic et al. 2020), </w:t>
      </w:r>
      <w:r w:rsidR="003A3106">
        <w:t>that</w:t>
      </w:r>
      <w:r w:rsidRPr="001153AC">
        <w:t xml:space="preserve"> are thought to be independent of the glycaemic effects of SGLT2 inhibitors.</w:t>
      </w:r>
    </w:p>
    <w:p w14:paraId="5C85CD2E" w14:textId="5290B85D" w:rsidR="006E3132" w:rsidRPr="00DC59CC" w:rsidRDefault="005C57C1" w:rsidP="005C57C1">
      <w:pPr>
        <w:pStyle w:val="COMexecsummnumbered"/>
        <w:rPr>
          <w:i/>
          <w:iCs/>
          <w:color w:val="0066FF"/>
        </w:rPr>
      </w:pPr>
      <w:r w:rsidRPr="001153AC">
        <w:t xml:space="preserve">The recommended dose of empagliflozin for the treatment of CKD is empagliflozin 10 mg orally, once daily, adjunctive to standard care including treatment with an </w:t>
      </w:r>
      <w:r w:rsidR="00B65D84">
        <w:t>angiotensin converting enzyme (</w:t>
      </w:r>
      <w:r w:rsidRPr="001153AC">
        <w:t>ACE</w:t>
      </w:r>
      <w:r w:rsidR="00B65D84">
        <w:t>)</w:t>
      </w:r>
      <w:r w:rsidRPr="001153AC">
        <w:t xml:space="preserve"> inhibitor or </w:t>
      </w:r>
      <w:r w:rsidR="00B65D84">
        <w:t>angiote</w:t>
      </w:r>
      <w:r w:rsidR="00DE1CE0">
        <w:t xml:space="preserve">nsin II receptor blocker </w:t>
      </w:r>
      <w:r w:rsidR="00B65D84">
        <w:t>(</w:t>
      </w:r>
      <w:r w:rsidRPr="001153AC">
        <w:t>ARB).</w:t>
      </w:r>
    </w:p>
    <w:p w14:paraId="780254F7" w14:textId="46705502" w:rsidR="007307C9" w:rsidRPr="00250BAE" w:rsidRDefault="007307C9" w:rsidP="007307C9">
      <w:pPr>
        <w:pStyle w:val="COMexecsummnumbered"/>
      </w:pPr>
      <w:r w:rsidRPr="00250BAE">
        <w:t xml:space="preserve">The proposed clinical management algorithm positions empagliflozin as adjunctive therapy for the incremental population, in addition to the use of empagliflozin or dapagliflozin as adjunctive therapy for patients with eGFR 25 to </w:t>
      </w:r>
      <w:r w:rsidR="009445B4" w:rsidRPr="00250BAE">
        <w:t>75</w:t>
      </w:r>
      <w:r w:rsidR="009445B4">
        <w:t> </w:t>
      </w:r>
      <w:r w:rsidRPr="00250BAE">
        <w:t>mL/min/1.73m</w:t>
      </w:r>
      <w:r w:rsidRPr="00250BAE">
        <w:rPr>
          <w:vertAlign w:val="superscript"/>
        </w:rPr>
        <w:t>2</w:t>
      </w:r>
      <w:r w:rsidRPr="00250BAE">
        <w:t xml:space="preserve"> and UACR 200 to 5,000 mg/g, consistent with the current PBS listing for SGLT2 inhibitors for CKD.</w:t>
      </w:r>
    </w:p>
    <w:p w14:paraId="412954CE" w14:textId="77777777" w:rsidR="00276253" w:rsidRDefault="007307C9" w:rsidP="00A9483F">
      <w:pPr>
        <w:pStyle w:val="COMexecsummnumbered"/>
      </w:pPr>
      <w:r w:rsidRPr="00250BAE">
        <w:t xml:space="preserve">The Kidney Health Australia </w:t>
      </w:r>
      <w:r w:rsidR="001A2AEB">
        <w:t xml:space="preserve">(KHA) </w:t>
      </w:r>
      <w:r w:rsidRPr="00250BAE">
        <w:t>2024 guidelines recommend the use of SGLT2 inhibitors in patients with a moderate</w:t>
      </w:r>
      <w:r w:rsidR="00BB0F34">
        <w:t>, high or very high</w:t>
      </w:r>
      <w:r w:rsidRPr="00250BAE">
        <w:t xml:space="preserve"> risk of CKD progression</w:t>
      </w:r>
      <w:r w:rsidR="006520CA">
        <w:t xml:space="preserve"> </w:t>
      </w:r>
      <w:r w:rsidR="00B9133F">
        <w:t>(</w:t>
      </w:r>
      <w:r w:rsidR="006520CA">
        <w:t xml:space="preserve">although not to initiate if </w:t>
      </w:r>
      <w:r w:rsidR="00730663" w:rsidRPr="00730663">
        <w:t>eGFR &lt; 25 mL/min/1.73m</w:t>
      </w:r>
      <w:r w:rsidR="00730663" w:rsidRPr="00730663">
        <w:rPr>
          <w:vertAlign w:val="superscript"/>
        </w:rPr>
        <w:t>2</w:t>
      </w:r>
      <w:r w:rsidR="00730663" w:rsidRPr="00730663">
        <w:t>).</w:t>
      </w:r>
      <w:r w:rsidRPr="00250BAE">
        <w:t xml:space="preserve"> </w:t>
      </w:r>
      <w:r w:rsidR="00B9133F">
        <w:t>S</w:t>
      </w:r>
      <w:r w:rsidR="004D3883">
        <w:t xml:space="preserve">ee Figure 1 </w:t>
      </w:r>
      <w:r w:rsidR="00D40735">
        <w:t>for details of risk classification</w:t>
      </w:r>
      <w:r w:rsidRPr="00250BAE">
        <w:t xml:space="preserve">. Similarly, the Caring for Australians and New Zealanders with Kidney Impairment </w:t>
      </w:r>
      <w:r w:rsidR="002E67D4">
        <w:t xml:space="preserve">(CARI) </w:t>
      </w:r>
      <w:r w:rsidRPr="00250BAE">
        <w:t>2024 guidelines recommend the use of SGLT2 inhibitors in patients with a moderate</w:t>
      </w:r>
      <w:r w:rsidR="003A1876">
        <w:t>, high or very high</w:t>
      </w:r>
      <w:r w:rsidRPr="00250BAE">
        <w:t xml:space="preserve"> risk of CKD progression</w:t>
      </w:r>
      <w:r w:rsidR="00142254">
        <w:t xml:space="preserve">. </w:t>
      </w:r>
      <w:r w:rsidR="005E5B15">
        <w:t>However,</w:t>
      </w:r>
      <w:r w:rsidR="005F2517">
        <w:t xml:space="preserve"> </w:t>
      </w:r>
      <w:r w:rsidR="005E5B15">
        <w:t xml:space="preserve">the </w:t>
      </w:r>
      <w:r w:rsidR="005E5B15" w:rsidRPr="005E5B15">
        <w:t xml:space="preserve">KHA (2024), KDIGO (2024) and CARI (2024) CKD risk classifications differ in their </w:t>
      </w:r>
      <w:r w:rsidR="00BB0F2C">
        <w:t xml:space="preserve">respective </w:t>
      </w:r>
      <w:r w:rsidR="005E5B15" w:rsidRPr="005E5B15">
        <w:t>definitions of very high risk</w:t>
      </w:r>
      <w:r w:rsidR="00325367">
        <w:t>:</w:t>
      </w:r>
    </w:p>
    <w:p w14:paraId="15849A3A" w14:textId="77777777" w:rsidR="00276253" w:rsidRDefault="00D972D2" w:rsidP="006A0E97">
      <w:pPr>
        <w:pStyle w:val="COMexecsummnumbered"/>
        <w:numPr>
          <w:ilvl w:val="0"/>
          <w:numId w:val="17"/>
        </w:numPr>
        <w:ind w:left="1134"/>
      </w:pPr>
      <w:r w:rsidRPr="00D972D2">
        <w:t>macroalbuminuria (</w:t>
      </w:r>
      <w:r w:rsidR="003B7B9F">
        <w:t>U</w:t>
      </w:r>
      <w:r w:rsidRPr="00D972D2">
        <w:t>ACR&gt;30mg/mmol) regardless of eGFR OR eGFR&lt;30</w:t>
      </w:r>
      <w:r w:rsidR="00BB0F2C">
        <w:t xml:space="preserve"> for KHA</w:t>
      </w:r>
    </w:p>
    <w:p w14:paraId="42D401D9" w14:textId="52B8C5AF" w:rsidR="00BB0F2C" w:rsidRPr="000A5CF9" w:rsidRDefault="00D20858" w:rsidP="006A0E97">
      <w:pPr>
        <w:pStyle w:val="pf0"/>
        <w:numPr>
          <w:ilvl w:val="0"/>
          <w:numId w:val="17"/>
        </w:numPr>
        <w:spacing w:after="120" w:afterAutospacing="0"/>
        <w:ind w:left="1134"/>
        <w:jc w:val="both"/>
        <w:rPr>
          <w:rFonts w:asciiTheme="minorHAnsi" w:eastAsiaTheme="minorHAnsi" w:hAnsiTheme="minorHAnsi" w:cstheme="minorBidi"/>
          <w:szCs w:val="22"/>
        </w:rPr>
      </w:pPr>
      <w:r w:rsidRPr="000A5CF9">
        <w:rPr>
          <w:rFonts w:asciiTheme="minorHAnsi" w:eastAsiaTheme="minorHAnsi" w:hAnsiTheme="minorHAnsi" w:cstheme="minorBidi"/>
          <w:szCs w:val="22"/>
        </w:rPr>
        <w:t>eGFR 45-59 and UACR &gt; 30mg/mmol; OR eGFR 30-44 and UACR &gt;= 3; OR eGFR &lt;30 for KDIGO</w:t>
      </w:r>
    </w:p>
    <w:p w14:paraId="3C92C50E" w14:textId="77777777" w:rsidR="00276253" w:rsidRDefault="00D20858" w:rsidP="006A0E97">
      <w:pPr>
        <w:pStyle w:val="pf0"/>
        <w:numPr>
          <w:ilvl w:val="0"/>
          <w:numId w:val="17"/>
        </w:numPr>
        <w:spacing w:after="120" w:afterAutospacing="0"/>
        <w:ind w:left="1134"/>
        <w:jc w:val="both"/>
        <w:rPr>
          <w:rFonts w:asciiTheme="minorHAnsi" w:eastAsiaTheme="minorHAnsi" w:hAnsiTheme="minorHAnsi" w:cstheme="minorBidi"/>
          <w:szCs w:val="22"/>
        </w:rPr>
      </w:pPr>
      <w:r w:rsidRPr="000A5CF9">
        <w:rPr>
          <w:rFonts w:asciiTheme="minorHAnsi" w:eastAsiaTheme="minorHAnsi" w:hAnsiTheme="minorHAnsi" w:cstheme="minorBidi"/>
          <w:szCs w:val="22"/>
        </w:rPr>
        <w:t>macroalbuminuria (males UACR &gt; 25 mg/mmol, females</w:t>
      </w:r>
      <w:r w:rsidR="00CB052E">
        <w:rPr>
          <w:rFonts w:asciiTheme="minorHAnsi" w:eastAsiaTheme="minorHAnsi" w:hAnsiTheme="minorHAnsi" w:cstheme="minorBidi"/>
          <w:szCs w:val="22"/>
        </w:rPr>
        <w:t> </w:t>
      </w:r>
      <w:r w:rsidRPr="000A5CF9">
        <w:rPr>
          <w:rFonts w:asciiTheme="minorHAnsi" w:eastAsiaTheme="minorHAnsi" w:hAnsiTheme="minorHAnsi" w:cstheme="minorBidi"/>
          <w:szCs w:val="22"/>
        </w:rPr>
        <w:t>UACR</w:t>
      </w:r>
      <w:r w:rsidR="00CB052E">
        <w:rPr>
          <w:rFonts w:asciiTheme="minorHAnsi" w:eastAsiaTheme="minorHAnsi" w:hAnsiTheme="minorHAnsi" w:cstheme="minorBidi"/>
          <w:szCs w:val="22"/>
        </w:rPr>
        <w:t> </w:t>
      </w:r>
      <w:r w:rsidRPr="000A5CF9">
        <w:rPr>
          <w:rFonts w:asciiTheme="minorHAnsi" w:eastAsiaTheme="minorHAnsi" w:hAnsiTheme="minorHAnsi" w:cstheme="minorBidi"/>
          <w:szCs w:val="22"/>
        </w:rPr>
        <w:t>&gt;</w:t>
      </w:r>
      <w:r w:rsidR="00CB052E">
        <w:rPr>
          <w:rFonts w:asciiTheme="minorHAnsi" w:eastAsiaTheme="minorHAnsi" w:hAnsiTheme="minorHAnsi" w:cstheme="minorBidi"/>
          <w:szCs w:val="22"/>
        </w:rPr>
        <w:t> </w:t>
      </w:r>
      <w:r w:rsidRPr="000A5CF9">
        <w:rPr>
          <w:rFonts w:asciiTheme="minorHAnsi" w:eastAsiaTheme="minorHAnsi" w:hAnsiTheme="minorHAnsi" w:cstheme="minorBidi"/>
          <w:szCs w:val="22"/>
        </w:rPr>
        <w:t>35</w:t>
      </w:r>
      <w:r w:rsidR="00CB052E">
        <w:rPr>
          <w:rFonts w:asciiTheme="minorHAnsi" w:eastAsiaTheme="minorHAnsi" w:hAnsiTheme="minorHAnsi" w:cstheme="minorBidi"/>
          <w:szCs w:val="22"/>
        </w:rPr>
        <w:t> </w:t>
      </w:r>
      <w:r w:rsidRPr="000A5CF9">
        <w:rPr>
          <w:rFonts w:asciiTheme="minorHAnsi" w:eastAsiaTheme="minorHAnsi" w:hAnsiTheme="minorHAnsi" w:cstheme="minorBidi"/>
          <w:szCs w:val="22"/>
        </w:rPr>
        <w:t xml:space="preserve">mg/mmol) regardless of eGFR; OR eGFR&lt;30 </w:t>
      </w:r>
      <w:r w:rsidR="000A5CF9" w:rsidRPr="000A5CF9">
        <w:rPr>
          <w:rFonts w:asciiTheme="minorHAnsi" w:eastAsiaTheme="minorHAnsi" w:hAnsiTheme="minorHAnsi" w:cstheme="minorBidi"/>
          <w:szCs w:val="22"/>
        </w:rPr>
        <w:t>for CARI</w:t>
      </w:r>
    </w:p>
    <w:p w14:paraId="0C826DC9" w14:textId="1D0AA619" w:rsidR="00252696" w:rsidRDefault="007307C9" w:rsidP="00D3151C">
      <w:pPr>
        <w:pStyle w:val="COMexecsummnumbered"/>
      </w:pPr>
      <w:r w:rsidRPr="004C0BD8">
        <w:t xml:space="preserve">Both </w:t>
      </w:r>
      <w:r w:rsidR="004A7AB3">
        <w:t xml:space="preserve">the KHA </w:t>
      </w:r>
      <w:r w:rsidR="00066293">
        <w:t xml:space="preserve">and CARI </w:t>
      </w:r>
      <w:r w:rsidRPr="004C0BD8">
        <w:t>guidelines</w:t>
      </w:r>
      <w:r w:rsidR="00596BA0">
        <w:t xml:space="preserve"> for Australia</w:t>
      </w:r>
      <w:r w:rsidRPr="004C0BD8">
        <w:t xml:space="preserve"> recommend the use of SGLT2 inhibitors in patients with eGFR &lt;30 mL/min/1.73 m</w:t>
      </w:r>
      <w:r w:rsidRPr="000A5CF9">
        <w:t>2</w:t>
      </w:r>
      <w:r w:rsidR="002B7E65" w:rsidRPr="004C0BD8">
        <w:t xml:space="preserve"> (when indicated)</w:t>
      </w:r>
      <w:r w:rsidR="00F32E2C" w:rsidRPr="004C0BD8">
        <w:t>, with appropriate consideration</w:t>
      </w:r>
      <w:r w:rsidRPr="004C0BD8">
        <w:t xml:space="preserve"> </w:t>
      </w:r>
      <w:r w:rsidR="00416DA8" w:rsidRPr="004C0BD8">
        <w:t>o</w:t>
      </w:r>
      <w:r w:rsidR="007176A7" w:rsidRPr="004C0BD8">
        <w:t xml:space="preserve">f </w:t>
      </w:r>
      <w:r w:rsidRPr="004C0BD8">
        <w:t xml:space="preserve">recommendations in the respective Product Information Documents </w:t>
      </w:r>
      <w:r w:rsidR="002E5675" w:rsidRPr="004C0BD8">
        <w:t>not to initiate treatment with empagliflozin in patients with an eGFR</w:t>
      </w:r>
      <w:r w:rsidR="00283C78">
        <w:t> </w:t>
      </w:r>
      <w:r w:rsidR="002E5675" w:rsidRPr="004C0BD8">
        <w:t>&lt;20 mL/min/1.73m</w:t>
      </w:r>
      <w:r w:rsidR="002E5675" w:rsidRPr="000A5CF9">
        <w:t>2</w:t>
      </w:r>
      <w:r w:rsidR="002E5675" w:rsidRPr="004C0BD8">
        <w:t>, or initiate dapagliflozin in patients with an eGFR</w:t>
      </w:r>
      <w:r w:rsidR="00283C78">
        <w:t> </w:t>
      </w:r>
      <w:r w:rsidR="002E5675" w:rsidRPr="004C0BD8">
        <w:t>&lt;25 mL/min/1.73m</w:t>
      </w:r>
      <w:r w:rsidR="002E5675" w:rsidRPr="000A5CF9">
        <w:t>2</w:t>
      </w:r>
      <w:r w:rsidRPr="004C0BD8">
        <w:t>.</w:t>
      </w:r>
      <w:bookmarkStart w:id="13" w:name="_Ref191027241"/>
      <w:bookmarkStart w:id="14" w:name="_Ref195783512"/>
    </w:p>
    <w:p w14:paraId="6EAF8695" w14:textId="77777777" w:rsidR="00276253" w:rsidRDefault="009F27F1" w:rsidP="002847C7">
      <w:pPr>
        <w:pStyle w:val="COMexecsummnumbered"/>
      </w:pPr>
      <w:r w:rsidRPr="00E4219D">
        <w:t xml:space="preserve">The benefits </w:t>
      </w:r>
      <w:r w:rsidR="00273056" w:rsidRPr="00E4219D">
        <w:t xml:space="preserve">of </w:t>
      </w:r>
      <w:r w:rsidRPr="00E4219D">
        <w:t xml:space="preserve">SGLT2 inhibitors in CKD are generally accepted </w:t>
      </w:r>
      <w:r w:rsidR="009C381A" w:rsidRPr="00E4219D">
        <w:t>to be</w:t>
      </w:r>
      <w:r w:rsidRPr="00E4219D">
        <w:t xml:space="preserve"> a class effect (Roddick</w:t>
      </w:r>
      <w:r w:rsidR="004B2DBD" w:rsidRPr="00E4219D">
        <w:t xml:space="preserve"> et al.</w:t>
      </w:r>
      <w:r w:rsidRPr="00E4219D">
        <w:t xml:space="preserve"> 2023; </w:t>
      </w:r>
      <w:r w:rsidR="00E0687F" w:rsidRPr="00E4219D">
        <w:t xml:space="preserve">Bailey et al. 2022; </w:t>
      </w:r>
      <w:r w:rsidRPr="00E4219D">
        <w:t>Schmidt</w:t>
      </w:r>
      <w:r w:rsidR="004B2DBD" w:rsidRPr="00E4219D">
        <w:t xml:space="preserve"> et al. 202</w:t>
      </w:r>
      <w:r w:rsidR="00F26BB1" w:rsidRPr="00E4219D">
        <w:t>1</w:t>
      </w:r>
      <w:r w:rsidRPr="00E4219D">
        <w:t>)</w:t>
      </w:r>
      <w:r w:rsidR="003A1876">
        <w:t>.</w:t>
      </w:r>
      <w:r w:rsidR="00166D57" w:rsidRPr="00E4219D">
        <w:t xml:space="preserve"> </w:t>
      </w:r>
      <w:bookmarkStart w:id="15" w:name="_Hlk191382355"/>
      <w:r w:rsidRPr="00E4219D">
        <w:t xml:space="preserve">Australian </w:t>
      </w:r>
      <w:r w:rsidR="007C42FD" w:rsidRPr="00E4219D">
        <w:t>(KHA 2024</w:t>
      </w:r>
      <w:r w:rsidR="001A2AEB" w:rsidRPr="00E4219D">
        <w:t xml:space="preserve">, CARI 2024) </w:t>
      </w:r>
      <w:r w:rsidRPr="00E4219D">
        <w:t xml:space="preserve">and international clinical CKD guidelines </w:t>
      </w:r>
      <w:r w:rsidR="00C24902" w:rsidRPr="00E4219D">
        <w:t xml:space="preserve">(UK Kidney Association 2023; European Kidney Association 2023) </w:t>
      </w:r>
      <w:r w:rsidR="00484630" w:rsidRPr="00E4219D">
        <w:t xml:space="preserve">treat the efficacy of SGLT2 inhibitors in CKD as a class </w:t>
      </w:r>
      <w:r w:rsidR="00B44138" w:rsidRPr="00E4219D">
        <w:t>effect and</w:t>
      </w:r>
      <w:r w:rsidR="00484630" w:rsidRPr="00E4219D">
        <w:t xml:space="preserve"> </w:t>
      </w:r>
      <w:r w:rsidRPr="00E4219D">
        <w:t>recommend the use of SGLT2 inhibitors across a range of risks of CKD progression, encompassing a broader population than the proposed restriction</w:t>
      </w:r>
      <w:r w:rsidR="007307C9" w:rsidRPr="00E4219D">
        <w:t>.</w:t>
      </w:r>
      <w:bookmarkEnd w:id="13"/>
      <w:r w:rsidR="0024263E" w:rsidRPr="00E4219D">
        <w:t xml:space="preserve"> </w:t>
      </w:r>
      <w:bookmarkEnd w:id="14"/>
      <w:r w:rsidR="005E53B1" w:rsidRPr="00217528">
        <w:t>The pre</w:t>
      </w:r>
      <w:r w:rsidR="001260D6">
        <w:t>-</w:t>
      </w:r>
      <w:r w:rsidR="005E53B1" w:rsidRPr="00217528">
        <w:t>PBAC response</w:t>
      </w:r>
      <w:r w:rsidR="001C0094" w:rsidRPr="00217528">
        <w:t xml:space="preserve"> </w:t>
      </w:r>
      <w:r w:rsidR="004B04E6" w:rsidRPr="00217528">
        <w:t>note</w:t>
      </w:r>
      <w:r w:rsidR="00CD701B">
        <w:t>d</w:t>
      </w:r>
      <w:r w:rsidR="004B04E6" w:rsidRPr="00217528">
        <w:t xml:space="preserve"> that</w:t>
      </w:r>
      <w:r w:rsidR="003A1876">
        <w:t>,</w:t>
      </w:r>
      <w:r w:rsidR="004B04E6" w:rsidRPr="00217528">
        <w:t xml:space="preserve"> </w:t>
      </w:r>
      <w:r w:rsidR="00AA7278" w:rsidRPr="00217528">
        <w:t>based on available clinical trial evidence</w:t>
      </w:r>
      <w:r w:rsidR="003A1876">
        <w:t>,</w:t>
      </w:r>
      <w:r w:rsidR="00AA7278" w:rsidRPr="00217528">
        <w:t xml:space="preserve"> </w:t>
      </w:r>
      <w:r w:rsidR="004B04E6" w:rsidRPr="00217528">
        <w:t xml:space="preserve">dapagliflozin </w:t>
      </w:r>
      <w:r w:rsidR="004B04E6" w:rsidRPr="00217528">
        <w:lastRenderedPageBreak/>
        <w:t xml:space="preserve">is only TGA approved for use in </w:t>
      </w:r>
      <w:r w:rsidR="00866479">
        <w:t xml:space="preserve">patients with </w:t>
      </w:r>
      <w:proofErr w:type="spellStart"/>
      <w:r w:rsidR="004B04E6" w:rsidRPr="00217528">
        <w:t>proteinuric</w:t>
      </w:r>
      <w:proofErr w:type="spellEnd"/>
      <w:r w:rsidR="004B04E6" w:rsidRPr="00217528">
        <w:t xml:space="preserve"> CKD</w:t>
      </w:r>
      <w:r w:rsidR="00180310">
        <w:t xml:space="preserve"> </w:t>
      </w:r>
      <w:r w:rsidR="00683E28">
        <w:t>while the TGA approval for empagliflozin</w:t>
      </w:r>
      <w:r w:rsidR="00866479">
        <w:t xml:space="preserve"> </w:t>
      </w:r>
      <w:r w:rsidR="00C03D1F">
        <w:t>allows use in patients with low and high albuminuria</w:t>
      </w:r>
      <w:r w:rsidR="00AA7278" w:rsidRPr="00C03D1F">
        <w:t>.</w:t>
      </w:r>
    </w:p>
    <w:bookmarkEnd w:id="15"/>
    <w:p w14:paraId="54C00AF1" w14:textId="77777777" w:rsidR="00276253" w:rsidRDefault="006368AC" w:rsidP="007307C9">
      <w:pPr>
        <w:pStyle w:val="COMexecsummnumbered"/>
      </w:pPr>
      <w:r w:rsidRPr="00D35E31">
        <w:t xml:space="preserve">The resubmission noted Australian expert </w:t>
      </w:r>
      <w:r>
        <w:t xml:space="preserve">clinician </w:t>
      </w:r>
      <w:r w:rsidRPr="00D35E31">
        <w:t xml:space="preserve">advice that </w:t>
      </w:r>
      <w:r>
        <w:t xml:space="preserve">the </w:t>
      </w:r>
      <w:r w:rsidRPr="00D35E31">
        <w:t>omission of the incremental population</w:t>
      </w:r>
      <w:r>
        <w:t xml:space="preserve"> leaves</w:t>
      </w:r>
      <w:r w:rsidRPr="00D35E31">
        <w:t xml:space="preserve"> a high unmet clinical need for empagliflozin in patients who are mostly </w:t>
      </w:r>
      <w:r w:rsidR="000F5E1F">
        <w:t xml:space="preserve">at </w:t>
      </w:r>
      <w:r w:rsidRPr="00D35E31">
        <w:t>high to very high risk of kidney disease progression and cardiovascular complications</w:t>
      </w:r>
      <w:r>
        <w:t xml:space="preserve">, and </w:t>
      </w:r>
      <w:r w:rsidR="003A1876">
        <w:t xml:space="preserve">that </w:t>
      </w:r>
      <w:r w:rsidR="00A648DF">
        <w:t>expanding the current PBS listing for empagliflozin to reflect the broader patient population from EMPA-KIDNEY</w:t>
      </w:r>
      <w:r w:rsidR="00557B27">
        <w:t xml:space="preserve"> would align with recently updated guidance on SGLT2 inhibitors in local and international CKD guidelines</w:t>
      </w:r>
      <w:r>
        <w:t xml:space="preserve"> (</w:t>
      </w:r>
      <w:r w:rsidR="00557B27">
        <w:t xml:space="preserve">see </w:t>
      </w:r>
      <w:r>
        <w:t>Australian and New Zealand Society of Nephrology letter of support, Appendix 1 of the resubmission).</w:t>
      </w:r>
    </w:p>
    <w:p w14:paraId="01D3D70F" w14:textId="4B7B502F" w:rsidR="00446CF2" w:rsidRDefault="00072137" w:rsidP="00416897">
      <w:pPr>
        <w:pStyle w:val="COMexecsummnumbered"/>
      </w:pPr>
      <w:r>
        <w:t xml:space="preserve">The PBAC noted </w:t>
      </w:r>
      <w:r w:rsidR="00FF621B">
        <w:t xml:space="preserve">Australian and </w:t>
      </w:r>
      <w:r w:rsidRPr="00FC75C8">
        <w:t>international guidelines (KDIGO</w:t>
      </w:r>
      <w:r>
        <w:t>,</w:t>
      </w:r>
      <w:r w:rsidRPr="00FC75C8">
        <w:t xml:space="preserve"> 202</w:t>
      </w:r>
      <w:r>
        <w:t>4</w:t>
      </w:r>
      <w:r w:rsidRPr="00FC75C8">
        <w:t>; UK Kidney Association</w:t>
      </w:r>
      <w:r>
        <w:t>,</w:t>
      </w:r>
      <w:r w:rsidRPr="00FC75C8">
        <w:t xml:space="preserve"> 202</w:t>
      </w:r>
      <w:r>
        <w:t>3; European Kidney Association, 2023</w:t>
      </w:r>
      <w:r w:rsidRPr="00072137">
        <w:t>) were recently updated to include the use of SGLT2 inhibitors in the treatment of CKD</w:t>
      </w:r>
      <w:r w:rsidR="00446CF2">
        <w:t>.</w:t>
      </w:r>
    </w:p>
    <w:p w14:paraId="6A069F8F" w14:textId="34A9BE56" w:rsidR="001A4EBC" w:rsidRDefault="001A4EBC" w:rsidP="001A4EBC">
      <w:pPr>
        <w:pStyle w:val="Caption"/>
      </w:pPr>
      <w:r>
        <w:t xml:space="preserve">Table </w:t>
      </w:r>
      <w:r w:rsidR="001154A7">
        <w:fldChar w:fldCharType="begin"/>
      </w:r>
      <w:r w:rsidR="001154A7">
        <w:instrText xml:space="preserve"> SEQ Table \* ARABIC </w:instrText>
      </w:r>
      <w:r w:rsidR="001154A7">
        <w:fldChar w:fldCharType="separate"/>
      </w:r>
      <w:r w:rsidR="004A7850">
        <w:rPr>
          <w:noProof/>
        </w:rPr>
        <w:t>3</w:t>
      </w:r>
      <w:r w:rsidR="001154A7">
        <w:rPr>
          <w:noProof/>
        </w:rPr>
        <w:fldChar w:fldCharType="end"/>
      </w:r>
      <w:r>
        <w:t>: Clinical guidelines for use of SGLT2 inhibitors in CKD</w:t>
      </w:r>
    </w:p>
    <w:tbl>
      <w:tblPr>
        <w:tblStyle w:val="TableGrid"/>
        <w:tblW w:w="0" w:type="auto"/>
        <w:tblLook w:val="04A0" w:firstRow="1" w:lastRow="0" w:firstColumn="1" w:lastColumn="0" w:noHBand="0" w:noVBand="1"/>
      </w:tblPr>
      <w:tblGrid>
        <w:gridCol w:w="1838"/>
        <w:gridCol w:w="5641"/>
        <w:gridCol w:w="1538"/>
      </w:tblGrid>
      <w:tr w:rsidR="001A4EBC" w:rsidRPr="00214913" w14:paraId="73385BA2" w14:textId="77777777" w:rsidTr="00C11725">
        <w:trPr>
          <w:cantSplit/>
          <w:tblHeader/>
        </w:trPr>
        <w:tc>
          <w:tcPr>
            <w:tcW w:w="1838" w:type="dxa"/>
            <w:vAlign w:val="center"/>
          </w:tcPr>
          <w:p w14:paraId="1B240DA3" w14:textId="77777777" w:rsidR="001A4EBC" w:rsidRPr="00214913" w:rsidRDefault="001A4EBC" w:rsidP="00C11725">
            <w:pPr>
              <w:pStyle w:val="COMTabletext"/>
              <w:keepNext w:val="0"/>
              <w:rPr>
                <w:b/>
                <w:bCs w:val="0"/>
              </w:rPr>
            </w:pPr>
            <w:r w:rsidRPr="00214913">
              <w:rPr>
                <w:b/>
                <w:bCs w:val="0"/>
              </w:rPr>
              <w:t>Source</w:t>
            </w:r>
          </w:p>
        </w:tc>
        <w:tc>
          <w:tcPr>
            <w:tcW w:w="5641" w:type="dxa"/>
            <w:vAlign w:val="center"/>
          </w:tcPr>
          <w:p w14:paraId="2B8CBE39" w14:textId="77777777" w:rsidR="00276253" w:rsidRDefault="001A4EBC" w:rsidP="00C11725">
            <w:pPr>
              <w:pStyle w:val="COMTabletext"/>
              <w:keepNext w:val="0"/>
              <w:ind w:right="-71"/>
              <w:jc w:val="center"/>
              <w:rPr>
                <w:b/>
                <w:bCs w:val="0"/>
              </w:rPr>
            </w:pPr>
            <w:r w:rsidRPr="00214913">
              <w:rPr>
                <w:b/>
                <w:bCs w:val="0"/>
              </w:rPr>
              <w:t>Recommendation</w:t>
            </w:r>
            <w:r>
              <w:rPr>
                <w:b/>
                <w:bCs w:val="0"/>
              </w:rPr>
              <w:t xml:space="preserve"> for use of SGLT2 inhibitors in CKD</w:t>
            </w:r>
          </w:p>
          <w:p w14:paraId="1E41DF53" w14:textId="13C5EFC9" w:rsidR="001A4EBC" w:rsidRPr="00214913" w:rsidRDefault="001A4EBC" w:rsidP="00C11725">
            <w:pPr>
              <w:pStyle w:val="COMTabletext"/>
              <w:keepNext w:val="0"/>
              <w:ind w:right="-71"/>
              <w:jc w:val="center"/>
              <w:rPr>
                <w:b/>
                <w:bCs w:val="0"/>
              </w:rPr>
            </w:pPr>
            <w:r>
              <w:rPr>
                <w:b/>
                <w:bCs w:val="0"/>
              </w:rPr>
              <w:t>(in combination with RAS medication; not requiring RRT)</w:t>
            </w:r>
          </w:p>
        </w:tc>
        <w:tc>
          <w:tcPr>
            <w:tcW w:w="1538" w:type="dxa"/>
            <w:vAlign w:val="center"/>
          </w:tcPr>
          <w:p w14:paraId="60212940" w14:textId="77777777" w:rsidR="001A4EBC" w:rsidRPr="00214913" w:rsidRDefault="001A4EBC" w:rsidP="00C11725">
            <w:pPr>
              <w:pStyle w:val="COMTabletext"/>
              <w:keepNext w:val="0"/>
              <w:jc w:val="center"/>
              <w:rPr>
                <w:b/>
                <w:bCs w:val="0"/>
              </w:rPr>
            </w:pPr>
            <w:r>
              <w:rPr>
                <w:b/>
                <w:bCs w:val="0"/>
              </w:rPr>
              <w:t>Level of recommendation</w:t>
            </w:r>
          </w:p>
        </w:tc>
      </w:tr>
      <w:tr w:rsidR="001A4EBC" w:rsidRPr="00214913" w14:paraId="7322BBD7" w14:textId="77777777" w:rsidTr="00C11725">
        <w:trPr>
          <w:cantSplit/>
        </w:trPr>
        <w:tc>
          <w:tcPr>
            <w:tcW w:w="9017" w:type="dxa"/>
            <w:gridSpan w:val="3"/>
            <w:vAlign w:val="center"/>
          </w:tcPr>
          <w:p w14:paraId="54203875" w14:textId="77777777" w:rsidR="001A4EBC" w:rsidRDefault="001A4EBC" w:rsidP="00C11725">
            <w:pPr>
              <w:pStyle w:val="COMTabletext"/>
              <w:keepNext w:val="0"/>
              <w:rPr>
                <w:b/>
                <w:bCs w:val="0"/>
              </w:rPr>
            </w:pPr>
            <w:r>
              <w:rPr>
                <w:b/>
                <w:bCs w:val="0"/>
              </w:rPr>
              <w:t>Australia</w:t>
            </w:r>
          </w:p>
        </w:tc>
      </w:tr>
      <w:tr w:rsidR="001A4EBC" w14:paraId="3C376CAB" w14:textId="77777777" w:rsidTr="00C11725">
        <w:trPr>
          <w:cantSplit/>
        </w:trPr>
        <w:tc>
          <w:tcPr>
            <w:tcW w:w="1838" w:type="dxa"/>
            <w:vMerge w:val="restart"/>
            <w:vAlign w:val="center"/>
          </w:tcPr>
          <w:p w14:paraId="168D110F" w14:textId="77777777" w:rsidR="001A4EBC" w:rsidRPr="004D1D24" w:rsidRDefault="001A4EBC" w:rsidP="00C11725">
            <w:pPr>
              <w:pStyle w:val="COMTabletext"/>
              <w:keepNext w:val="0"/>
              <w:rPr>
                <w:vertAlign w:val="superscript"/>
              </w:rPr>
            </w:pPr>
            <w:r>
              <w:t>Kidney Health Australia (2024)</w:t>
            </w:r>
            <w:r>
              <w:rPr>
                <w:vertAlign w:val="superscript"/>
              </w:rPr>
              <w:t>a</w:t>
            </w:r>
          </w:p>
        </w:tc>
        <w:tc>
          <w:tcPr>
            <w:tcW w:w="5641" w:type="dxa"/>
            <w:vAlign w:val="center"/>
          </w:tcPr>
          <w:p w14:paraId="3CD419EE" w14:textId="77777777" w:rsidR="001A4EBC" w:rsidRDefault="001A4EBC" w:rsidP="00C11725">
            <w:pPr>
              <w:pStyle w:val="COMTabletext"/>
              <w:keepNext w:val="0"/>
              <w:ind w:right="-71"/>
            </w:pPr>
            <w:r>
              <w:t>CKD with moderate risk of disease progression:</w:t>
            </w:r>
          </w:p>
          <w:p w14:paraId="2FF3A31E" w14:textId="77777777" w:rsidR="001A4EBC" w:rsidRDefault="001A4EBC" w:rsidP="001A4EBC">
            <w:pPr>
              <w:pStyle w:val="COMTabletext"/>
              <w:keepNext w:val="0"/>
              <w:numPr>
                <w:ilvl w:val="0"/>
                <w:numId w:val="41"/>
              </w:numPr>
              <w:ind w:left="175" w:right="-71" w:hanging="141"/>
            </w:pPr>
            <w:r>
              <w:t xml:space="preserve">eGFR </w:t>
            </w:r>
            <w:r>
              <w:rPr>
                <w:rFonts w:cstheme="minorHAnsi"/>
              </w:rPr>
              <w:t>≥</w:t>
            </w:r>
            <w:r>
              <w:t>60 mL/min/1.73 m</w:t>
            </w:r>
            <w:r w:rsidRPr="00B75C39">
              <w:rPr>
                <w:vertAlign w:val="superscript"/>
              </w:rPr>
              <w:t>2</w:t>
            </w:r>
            <w:r>
              <w:t xml:space="preserve"> with microalbuminuria; or</w:t>
            </w:r>
          </w:p>
          <w:p w14:paraId="30C57FB4" w14:textId="77777777" w:rsidR="001A4EBC" w:rsidRDefault="001A4EBC" w:rsidP="001A4EBC">
            <w:pPr>
              <w:pStyle w:val="COMTabletext"/>
              <w:keepNext w:val="0"/>
              <w:numPr>
                <w:ilvl w:val="0"/>
                <w:numId w:val="41"/>
              </w:numPr>
              <w:ind w:left="175" w:right="-71" w:hanging="141"/>
            </w:pPr>
            <w:r w:rsidRPr="004D09DA">
              <w:t>eGFR 45</w:t>
            </w:r>
            <w:r>
              <w:t>-</w:t>
            </w:r>
            <w:r w:rsidRPr="004D09DA">
              <w:t>59 mL/min/1.73 m</w:t>
            </w:r>
            <w:r w:rsidRPr="004E0BD4">
              <w:rPr>
                <w:vertAlign w:val="superscript"/>
              </w:rPr>
              <w:t>2</w:t>
            </w:r>
            <w:r w:rsidRPr="004D09DA">
              <w:t xml:space="preserve"> with </w:t>
            </w:r>
            <w:proofErr w:type="spellStart"/>
            <w:r w:rsidRPr="004D09DA">
              <w:t>normoalbuminuria</w:t>
            </w:r>
            <w:proofErr w:type="spellEnd"/>
            <w:r>
              <w:t>.</w:t>
            </w:r>
          </w:p>
        </w:tc>
        <w:tc>
          <w:tcPr>
            <w:tcW w:w="1538" w:type="dxa"/>
            <w:vMerge w:val="restart"/>
            <w:vAlign w:val="center"/>
          </w:tcPr>
          <w:p w14:paraId="23C0F303" w14:textId="77777777" w:rsidR="001A4EBC" w:rsidRDefault="001A4EBC" w:rsidP="00C11725">
            <w:pPr>
              <w:pStyle w:val="COMTabletext"/>
              <w:keepNext w:val="0"/>
              <w:jc w:val="center"/>
            </w:pPr>
            <w:r>
              <w:t>NR</w:t>
            </w:r>
          </w:p>
        </w:tc>
      </w:tr>
      <w:tr w:rsidR="001A4EBC" w14:paraId="499E898D" w14:textId="77777777" w:rsidTr="00C11725">
        <w:trPr>
          <w:cantSplit/>
        </w:trPr>
        <w:tc>
          <w:tcPr>
            <w:tcW w:w="1838" w:type="dxa"/>
            <w:vMerge/>
            <w:vAlign w:val="center"/>
          </w:tcPr>
          <w:p w14:paraId="3550A6E7" w14:textId="77777777" w:rsidR="001A4EBC" w:rsidRDefault="001A4EBC" w:rsidP="00C11725">
            <w:pPr>
              <w:pStyle w:val="COMTabletext"/>
              <w:keepNext w:val="0"/>
            </w:pPr>
          </w:p>
        </w:tc>
        <w:tc>
          <w:tcPr>
            <w:tcW w:w="5641" w:type="dxa"/>
            <w:vAlign w:val="center"/>
          </w:tcPr>
          <w:p w14:paraId="721FAA08" w14:textId="77777777" w:rsidR="001A4EBC" w:rsidRDefault="001A4EBC" w:rsidP="00C11725">
            <w:pPr>
              <w:pStyle w:val="COMTabletext"/>
              <w:keepNext w:val="0"/>
              <w:ind w:right="-71"/>
            </w:pPr>
            <w:r>
              <w:t>CKD with high risk of disease progression:</w:t>
            </w:r>
          </w:p>
          <w:p w14:paraId="43CAE500" w14:textId="77777777" w:rsidR="001A4EBC" w:rsidRDefault="001A4EBC" w:rsidP="001A4EBC">
            <w:pPr>
              <w:pStyle w:val="COMTabletext"/>
              <w:keepNext w:val="0"/>
              <w:numPr>
                <w:ilvl w:val="0"/>
                <w:numId w:val="41"/>
              </w:numPr>
              <w:ind w:left="175" w:right="-71" w:hanging="141"/>
            </w:pPr>
            <w:r>
              <w:t xml:space="preserve">eGFR </w:t>
            </w:r>
            <w:r>
              <w:rPr>
                <w:rFonts w:cstheme="minorHAnsi"/>
              </w:rPr>
              <w:t>30-59</w:t>
            </w:r>
            <w:r>
              <w:t xml:space="preserve"> mL/min/1.73 m</w:t>
            </w:r>
            <w:r w:rsidRPr="00B75C39">
              <w:rPr>
                <w:vertAlign w:val="superscript"/>
              </w:rPr>
              <w:t>2</w:t>
            </w:r>
            <w:r>
              <w:t xml:space="preserve"> with microalbuminuria; or</w:t>
            </w:r>
          </w:p>
          <w:p w14:paraId="59C000A6" w14:textId="77777777" w:rsidR="001A4EBC" w:rsidRDefault="001A4EBC" w:rsidP="001A4EBC">
            <w:pPr>
              <w:pStyle w:val="COMTabletext"/>
              <w:keepNext w:val="0"/>
              <w:numPr>
                <w:ilvl w:val="0"/>
                <w:numId w:val="41"/>
              </w:numPr>
              <w:ind w:left="175" w:right="-71" w:hanging="141"/>
            </w:pPr>
            <w:r w:rsidRPr="004D09DA">
              <w:t xml:space="preserve">eGFR </w:t>
            </w:r>
            <w:r>
              <w:t>30-44</w:t>
            </w:r>
            <w:r w:rsidRPr="004D09DA">
              <w:t xml:space="preserve"> mL/min/1.73 m</w:t>
            </w:r>
            <w:r w:rsidRPr="004E0BD4">
              <w:rPr>
                <w:vertAlign w:val="superscript"/>
              </w:rPr>
              <w:t>2</w:t>
            </w:r>
            <w:r w:rsidRPr="004D09DA">
              <w:t xml:space="preserve"> with </w:t>
            </w:r>
            <w:proofErr w:type="spellStart"/>
            <w:r w:rsidRPr="004D09DA">
              <w:t>normoalbuminuria</w:t>
            </w:r>
            <w:proofErr w:type="spellEnd"/>
            <w:r>
              <w:t>.</w:t>
            </w:r>
          </w:p>
        </w:tc>
        <w:tc>
          <w:tcPr>
            <w:tcW w:w="1538" w:type="dxa"/>
            <w:vMerge/>
            <w:vAlign w:val="center"/>
          </w:tcPr>
          <w:p w14:paraId="35E5BD5E" w14:textId="77777777" w:rsidR="001A4EBC" w:rsidRDefault="001A4EBC" w:rsidP="00C11725">
            <w:pPr>
              <w:pStyle w:val="COMTabletext"/>
              <w:keepNext w:val="0"/>
              <w:jc w:val="center"/>
            </w:pPr>
          </w:p>
        </w:tc>
      </w:tr>
      <w:tr w:rsidR="001A4EBC" w14:paraId="455EC901" w14:textId="77777777" w:rsidTr="00C11725">
        <w:trPr>
          <w:cantSplit/>
          <w:trHeight w:val="319"/>
        </w:trPr>
        <w:tc>
          <w:tcPr>
            <w:tcW w:w="1838" w:type="dxa"/>
            <w:vMerge/>
            <w:vAlign w:val="center"/>
          </w:tcPr>
          <w:p w14:paraId="620FCE39" w14:textId="77777777" w:rsidR="001A4EBC" w:rsidRDefault="001A4EBC" w:rsidP="00C11725">
            <w:pPr>
              <w:pStyle w:val="COMTabletext"/>
              <w:keepNext w:val="0"/>
            </w:pPr>
          </w:p>
        </w:tc>
        <w:tc>
          <w:tcPr>
            <w:tcW w:w="5641" w:type="dxa"/>
            <w:vAlign w:val="center"/>
          </w:tcPr>
          <w:p w14:paraId="13673F0B" w14:textId="77777777" w:rsidR="001A4EBC" w:rsidRDefault="001A4EBC" w:rsidP="00C11725">
            <w:pPr>
              <w:pStyle w:val="COMTabletext"/>
              <w:keepNext w:val="0"/>
              <w:ind w:right="-71"/>
            </w:pPr>
            <w:r>
              <w:t>CKD with very high risk of disease progression:</w:t>
            </w:r>
          </w:p>
          <w:p w14:paraId="7AEA56C5" w14:textId="77777777" w:rsidR="001A4EBC" w:rsidRDefault="001A4EBC" w:rsidP="001A4EBC">
            <w:pPr>
              <w:pStyle w:val="COMTabletext"/>
              <w:keepNext w:val="0"/>
              <w:numPr>
                <w:ilvl w:val="0"/>
                <w:numId w:val="41"/>
              </w:numPr>
              <w:ind w:left="175" w:right="-71" w:hanging="141"/>
            </w:pPr>
            <w:r w:rsidRPr="00CC16A0">
              <w:t>macroalbuminuria</w:t>
            </w:r>
            <w:r>
              <w:t xml:space="preserve"> </w:t>
            </w:r>
            <w:r w:rsidRPr="00CC16A0">
              <w:t>irrespective of eGFR</w:t>
            </w:r>
            <w:r>
              <w:t>; or</w:t>
            </w:r>
          </w:p>
          <w:p w14:paraId="0B0FB23D" w14:textId="77777777" w:rsidR="001A4EBC" w:rsidRDefault="001A4EBC" w:rsidP="001A4EBC">
            <w:pPr>
              <w:pStyle w:val="COMTabletext"/>
              <w:keepNext w:val="0"/>
              <w:numPr>
                <w:ilvl w:val="0"/>
                <w:numId w:val="41"/>
              </w:numPr>
              <w:ind w:left="175" w:right="-71" w:hanging="141"/>
            </w:pPr>
            <w:r w:rsidRPr="004D09DA">
              <w:t xml:space="preserve">eGFR </w:t>
            </w:r>
            <w:r>
              <w:t>&lt;30</w:t>
            </w:r>
            <w:r w:rsidRPr="004D09DA">
              <w:t xml:space="preserve"> mL/min/1.73 m</w:t>
            </w:r>
            <w:r w:rsidRPr="00D90F6E">
              <w:rPr>
                <w:vertAlign w:val="superscript"/>
              </w:rPr>
              <w:t>2</w:t>
            </w:r>
            <w:r w:rsidRPr="004D09DA">
              <w:t xml:space="preserve"> </w:t>
            </w:r>
            <w:r>
              <w:t xml:space="preserve">irrespective of albuminuria. </w:t>
            </w:r>
          </w:p>
        </w:tc>
        <w:tc>
          <w:tcPr>
            <w:tcW w:w="1538" w:type="dxa"/>
            <w:vMerge/>
            <w:vAlign w:val="center"/>
          </w:tcPr>
          <w:p w14:paraId="74358C93" w14:textId="77777777" w:rsidR="001A4EBC" w:rsidRDefault="001A4EBC" w:rsidP="00C11725">
            <w:pPr>
              <w:pStyle w:val="COMTabletext"/>
              <w:keepNext w:val="0"/>
              <w:jc w:val="center"/>
            </w:pPr>
          </w:p>
        </w:tc>
      </w:tr>
      <w:tr w:rsidR="001A4EBC" w14:paraId="6DE5B7B6" w14:textId="77777777" w:rsidTr="00C11725">
        <w:trPr>
          <w:cantSplit/>
          <w:trHeight w:val="318"/>
        </w:trPr>
        <w:tc>
          <w:tcPr>
            <w:tcW w:w="1838" w:type="dxa"/>
            <w:vMerge/>
            <w:vAlign w:val="center"/>
          </w:tcPr>
          <w:p w14:paraId="605210E4" w14:textId="77777777" w:rsidR="001A4EBC" w:rsidRDefault="001A4EBC" w:rsidP="00C11725">
            <w:pPr>
              <w:pStyle w:val="COMTabletext"/>
              <w:keepNext w:val="0"/>
            </w:pPr>
          </w:p>
        </w:tc>
        <w:tc>
          <w:tcPr>
            <w:tcW w:w="5641" w:type="dxa"/>
            <w:vAlign w:val="center"/>
          </w:tcPr>
          <w:p w14:paraId="2773244D" w14:textId="77777777" w:rsidR="00276253" w:rsidRDefault="001A4EBC" w:rsidP="00C11725">
            <w:pPr>
              <w:pStyle w:val="COMTabletext"/>
              <w:keepNext w:val="0"/>
              <w:ind w:right="-71"/>
            </w:pPr>
            <w:r>
              <w:t>Recommended for use in people with CKD and proteinuria, with or without diabetes, to reduce the risk of progressive decline in kidney function.</w:t>
            </w:r>
          </w:p>
          <w:p w14:paraId="1CC68DA6" w14:textId="2D4411FF" w:rsidR="001A4EBC" w:rsidRDefault="001A4EBC" w:rsidP="00C11725">
            <w:pPr>
              <w:pStyle w:val="COMTabletext"/>
              <w:keepNext w:val="0"/>
              <w:ind w:right="-71"/>
            </w:pPr>
            <w:r>
              <w:t>Initiating an SGLT2 inhibitor in patients with an eGFR &lt;25 mL/min/1.73m</w:t>
            </w:r>
            <w:r w:rsidRPr="00CD3D86">
              <w:rPr>
                <w:vertAlign w:val="superscript"/>
              </w:rPr>
              <w:t>2</w:t>
            </w:r>
            <w:r>
              <w:t xml:space="preserve"> was not recommended due to limited evidence.</w:t>
            </w:r>
          </w:p>
        </w:tc>
        <w:tc>
          <w:tcPr>
            <w:tcW w:w="1538" w:type="dxa"/>
            <w:vMerge/>
            <w:vAlign w:val="center"/>
          </w:tcPr>
          <w:p w14:paraId="0834D540" w14:textId="77777777" w:rsidR="001A4EBC" w:rsidRDefault="001A4EBC" w:rsidP="00C11725">
            <w:pPr>
              <w:pStyle w:val="COMTabletext"/>
              <w:keepNext w:val="0"/>
              <w:jc w:val="center"/>
            </w:pPr>
          </w:p>
        </w:tc>
      </w:tr>
      <w:tr w:rsidR="001A4EBC" w14:paraId="6CA3B4DC" w14:textId="77777777" w:rsidTr="00C11725">
        <w:trPr>
          <w:cantSplit/>
        </w:trPr>
        <w:tc>
          <w:tcPr>
            <w:tcW w:w="1838" w:type="dxa"/>
            <w:vMerge w:val="restart"/>
            <w:vAlign w:val="center"/>
          </w:tcPr>
          <w:p w14:paraId="20C5BB8D" w14:textId="77777777" w:rsidR="001A4EBC" w:rsidRDefault="001A4EBC" w:rsidP="00C11725">
            <w:pPr>
              <w:pStyle w:val="COMTabletext"/>
              <w:keepNext w:val="0"/>
            </w:pPr>
            <w:r>
              <w:t>CARI (2024)</w:t>
            </w:r>
            <w:r>
              <w:rPr>
                <w:vertAlign w:val="superscript"/>
              </w:rPr>
              <w:t>b</w:t>
            </w:r>
          </w:p>
        </w:tc>
        <w:tc>
          <w:tcPr>
            <w:tcW w:w="5641" w:type="dxa"/>
            <w:vAlign w:val="center"/>
          </w:tcPr>
          <w:p w14:paraId="5CB8E291" w14:textId="77777777" w:rsidR="001A4EBC" w:rsidRDefault="001A4EBC" w:rsidP="00C11725">
            <w:pPr>
              <w:pStyle w:val="COMTabletext"/>
              <w:keepNext w:val="0"/>
              <w:ind w:right="-71"/>
            </w:pPr>
            <w:r>
              <w:t>CKD with moderate risk of disease progression:</w:t>
            </w:r>
          </w:p>
          <w:p w14:paraId="3BD8C66B" w14:textId="77777777" w:rsidR="001A4EBC" w:rsidRDefault="001A4EBC" w:rsidP="001A4EBC">
            <w:pPr>
              <w:pStyle w:val="COMTabletext"/>
              <w:keepNext w:val="0"/>
              <w:numPr>
                <w:ilvl w:val="0"/>
                <w:numId w:val="41"/>
              </w:numPr>
              <w:ind w:left="175" w:right="-71" w:hanging="141"/>
            </w:pPr>
            <w:r>
              <w:t>eGFR 60-&gt;90</w:t>
            </w:r>
            <w:r w:rsidRPr="0039013E">
              <w:t xml:space="preserve"> m</w:t>
            </w:r>
            <w:r>
              <w:t>L</w:t>
            </w:r>
            <w:r w:rsidRPr="0039013E">
              <w:t>/min/1.73m</w:t>
            </w:r>
            <w:r w:rsidRPr="0046566A">
              <w:rPr>
                <w:vertAlign w:val="superscript"/>
              </w:rPr>
              <w:t>2</w:t>
            </w:r>
            <w:r>
              <w:t xml:space="preserve"> and</w:t>
            </w:r>
            <w:r w:rsidRPr="0039013E">
              <w:t xml:space="preserve"> </w:t>
            </w:r>
            <w:r>
              <w:t>UACR 3-</w:t>
            </w:r>
            <w:r w:rsidRPr="0039013E">
              <w:t>30 mg/mmol</w:t>
            </w:r>
            <w:r>
              <w:t xml:space="preserve"> (30-300 mg/g) (</w:t>
            </w:r>
            <w:r w:rsidRPr="0039013E">
              <w:t>m</w:t>
            </w:r>
            <w:r>
              <w:t>i</w:t>
            </w:r>
            <w:r w:rsidRPr="0039013E">
              <w:t>croalbuminuria)</w:t>
            </w:r>
            <w:r>
              <w:t>; or</w:t>
            </w:r>
          </w:p>
          <w:p w14:paraId="0640C660" w14:textId="77777777" w:rsidR="001A4EBC" w:rsidRDefault="001A4EBC" w:rsidP="001A4EBC">
            <w:pPr>
              <w:pStyle w:val="COMTabletext"/>
              <w:keepNext w:val="0"/>
              <w:numPr>
                <w:ilvl w:val="0"/>
                <w:numId w:val="41"/>
              </w:numPr>
              <w:ind w:left="175" w:right="-71" w:hanging="141"/>
            </w:pPr>
            <w:r>
              <w:t>eGFR 45</w:t>
            </w:r>
            <w:r w:rsidRPr="0039013E">
              <w:t>-</w:t>
            </w:r>
            <w:r>
              <w:t>59</w:t>
            </w:r>
            <w:r w:rsidRPr="0039013E">
              <w:t xml:space="preserve"> m</w:t>
            </w:r>
            <w:r>
              <w:t>L</w:t>
            </w:r>
            <w:r w:rsidRPr="0039013E">
              <w:t>/min/1.73m</w:t>
            </w:r>
            <w:r w:rsidRPr="0046566A">
              <w:rPr>
                <w:vertAlign w:val="superscript"/>
              </w:rPr>
              <w:t>2</w:t>
            </w:r>
            <w:r>
              <w:t>.</w:t>
            </w:r>
          </w:p>
        </w:tc>
        <w:tc>
          <w:tcPr>
            <w:tcW w:w="1538" w:type="dxa"/>
            <w:vAlign w:val="center"/>
          </w:tcPr>
          <w:p w14:paraId="7E06F9A2" w14:textId="77777777" w:rsidR="001A4EBC" w:rsidRDefault="001A4EBC" w:rsidP="00C11725">
            <w:pPr>
              <w:pStyle w:val="COMTabletext"/>
              <w:keepNext w:val="0"/>
              <w:jc w:val="center"/>
            </w:pPr>
            <w:r>
              <w:t>Weak</w:t>
            </w:r>
          </w:p>
        </w:tc>
      </w:tr>
      <w:tr w:rsidR="001A4EBC" w14:paraId="2D01229D" w14:textId="77777777" w:rsidTr="00C11725">
        <w:trPr>
          <w:cantSplit/>
        </w:trPr>
        <w:tc>
          <w:tcPr>
            <w:tcW w:w="1838" w:type="dxa"/>
            <w:vMerge/>
            <w:vAlign w:val="center"/>
          </w:tcPr>
          <w:p w14:paraId="5F5E433F" w14:textId="77777777" w:rsidR="001A4EBC" w:rsidRDefault="001A4EBC" w:rsidP="00C11725">
            <w:pPr>
              <w:pStyle w:val="COMTabletext"/>
              <w:keepNext w:val="0"/>
            </w:pPr>
          </w:p>
        </w:tc>
        <w:tc>
          <w:tcPr>
            <w:tcW w:w="5641" w:type="dxa"/>
            <w:vAlign w:val="center"/>
          </w:tcPr>
          <w:p w14:paraId="3E46B44F" w14:textId="77777777" w:rsidR="001A4EBC" w:rsidRDefault="001A4EBC" w:rsidP="00C11725">
            <w:pPr>
              <w:pStyle w:val="COMTabletext"/>
              <w:keepNext w:val="0"/>
              <w:ind w:right="-71"/>
            </w:pPr>
            <w:r>
              <w:t>CKD with high risk of disease progression:</w:t>
            </w:r>
          </w:p>
          <w:p w14:paraId="39800E2C" w14:textId="77777777" w:rsidR="001A4EBC" w:rsidRDefault="001A4EBC" w:rsidP="001A4EBC">
            <w:pPr>
              <w:pStyle w:val="COMTabletext"/>
              <w:keepNext w:val="0"/>
              <w:numPr>
                <w:ilvl w:val="0"/>
                <w:numId w:val="41"/>
              </w:numPr>
              <w:ind w:left="175" w:right="-71" w:hanging="141"/>
            </w:pPr>
            <w:r>
              <w:t>eGFR 60-&gt;90</w:t>
            </w:r>
            <w:r w:rsidRPr="0039013E">
              <w:t xml:space="preserve"> m</w:t>
            </w:r>
            <w:r>
              <w:t>L</w:t>
            </w:r>
            <w:r w:rsidRPr="0039013E">
              <w:t>/min/1.73m</w:t>
            </w:r>
            <w:r w:rsidRPr="0046566A">
              <w:rPr>
                <w:vertAlign w:val="superscript"/>
              </w:rPr>
              <w:t>2</w:t>
            </w:r>
            <w:r>
              <w:t xml:space="preserve"> and</w:t>
            </w:r>
            <w:r w:rsidRPr="0039013E">
              <w:t xml:space="preserve"> </w:t>
            </w:r>
            <w:r>
              <w:t xml:space="preserve">UACR </w:t>
            </w:r>
            <w:r w:rsidRPr="0039013E">
              <w:t>&gt;30 mg/mmol</w:t>
            </w:r>
            <w:r>
              <w:t xml:space="preserve"> (&gt;300 mg/g) (</w:t>
            </w:r>
            <w:r w:rsidRPr="0039013E">
              <w:t>macroalbuminuria)</w:t>
            </w:r>
            <w:r>
              <w:t>; or</w:t>
            </w:r>
          </w:p>
          <w:p w14:paraId="00AC6ECD" w14:textId="77777777" w:rsidR="001A4EBC" w:rsidRDefault="001A4EBC" w:rsidP="001A4EBC">
            <w:pPr>
              <w:pStyle w:val="COMTabletext"/>
              <w:keepNext w:val="0"/>
              <w:numPr>
                <w:ilvl w:val="0"/>
                <w:numId w:val="41"/>
              </w:numPr>
              <w:ind w:left="175" w:right="-71" w:hanging="141"/>
            </w:pPr>
            <w:r>
              <w:t xml:space="preserve">eGFR </w:t>
            </w:r>
            <w:r w:rsidRPr="0039013E">
              <w:t>30-44 m</w:t>
            </w:r>
            <w:r>
              <w:t>L</w:t>
            </w:r>
            <w:r w:rsidRPr="0039013E">
              <w:t>/min/1.73m</w:t>
            </w:r>
            <w:r w:rsidRPr="0046566A">
              <w:rPr>
                <w:vertAlign w:val="superscript"/>
              </w:rPr>
              <w:t>2</w:t>
            </w:r>
            <w:r w:rsidRPr="00294814">
              <w:t xml:space="preserve"> </w:t>
            </w:r>
            <w:r>
              <w:t>and</w:t>
            </w:r>
            <w:r w:rsidRPr="0039013E">
              <w:t xml:space="preserve"> </w:t>
            </w:r>
            <w:r>
              <w:t xml:space="preserve">UACR </w:t>
            </w:r>
            <w:r w:rsidRPr="0039013E">
              <w:t>3-30 mg/mmol</w:t>
            </w:r>
            <w:r>
              <w:t xml:space="preserve"> (30-300 mg/g) (</w:t>
            </w:r>
            <w:r w:rsidRPr="0039013E">
              <w:t>microalbuminuria</w:t>
            </w:r>
            <w:r>
              <w:t>); or</w:t>
            </w:r>
          </w:p>
          <w:p w14:paraId="72236684" w14:textId="77777777" w:rsidR="001A4EBC" w:rsidRDefault="001A4EBC" w:rsidP="001A4EBC">
            <w:pPr>
              <w:pStyle w:val="COMTabletext"/>
              <w:keepNext w:val="0"/>
              <w:numPr>
                <w:ilvl w:val="0"/>
                <w:numId w:val="41"/>
              </w:numPr>
              <w:ind w:left="175" w:right="-71" w:hanging="141"/>
            </w:pPr>
            <w:r>
              <w:t xml:space="preserve">eGFR </w:t>
            </w:r>
            <w:r w:rsidRPr="0039013E">
              <w:t>&lt;30 m</w:t>
            </w:r>
            <w:r>
              <w:t>L</w:t>
            </w:r>
            <w:r w:rsidRPr="0039013E">
              <w:t>/min/1.73m</w:t>
            </w:r>
            <w:r w:rsidRPr="00A45391">
              <w:rPr>
                <w:vertAlign w:val="superscript"/>
              </w:rPr>
              <w:t>2</w:t>
            </w:r>
            <w:r w:rsidRPr="0039013E">
              <w:t>.</w:t>
            </w:r>
          </w:p>
        </w:tc>
        <w:tc>
          <w:tcPr>
            <w:tcW w:w="1538" w:type="dxa"/>
            <w:vAlign w:val="center"/>
          </w:tcPr>
          <w:p w14:paraId="5320D110" w14:textId="77777777" w:rsidR="001A4EBC" w:rsidRDefault="001A4EBC" w:rsidP="00C11725">
            <w:pPr>
              <w:pStyle w:val="COMTabletext"/>
              <w:keepNext w:val="0"/>
              <w:jc w:val="center"/>
            </w:pPr>
            <w:r>
              <w:t>Strong</w:t>
            </w:r>
          </w:p>
        </w:tc>
      </w:tr>
      <w:tr w:rsidR="001A4EBC" w14:paraId="301BDC69" w14:textId="77777777" w:rsidTr="00C11725">
        <w:trPr>
          <w:cantSplit/>
        </w:trPr>
        <w:tc>
          <w:tcPr>
            <w:tcW w:w="1838" w:type="dxa"/>
            <w:vMerge/>
            <w:vAlign w:val="center"/>
          </w:tcPr>
          <w:p w14:paraId="1F99A5AC" w14:textId="77777777" w:rsidR="001A4EBC" w:rsidRDefault="001A4EBC" w:rsidP="00C11725">
            <w:pPr>
              <w:pStyle w:val="COMTabletext"/>
              <w:keepNext w:val="0"/>
            </w:pPr>
          </w:p>
        </w:tc>
        <w:tc>
          <w:tcPr>
            <w:tcW w:w="5641" w:type="dxa"/>
            <w:vAlign w:val="center"/>
          </w:tcPr>
          <w:p w14:paraId="647579A5" w14:textId="77777777" w:rsidR="001A4EBC" w:rsidRDefault="001A4EBC" w:rsidP="00C11725">
            <w:pPr>
              <w:pStyle w:val="COMTabletext"/>
              <w:keepNext w:val="0"/>
              <w:ind w:right="-71"/>
            </w:pPr>
            <w:r>
              <w:t>CKD with very high risk of disease progression:</w:t>
            </w:r>
          </w:p>
          <w:p w14:paraId="09C897B2" w14:textId="77777777" w:rsidR="001A4EBC" w:rsidRDefault="001A4EBC" w:rsidP="001A4EBC">
            <w:pPr>
              <w:pStyle w:val="COMTabletext"/>
              <w:keepNext w:val="0"/>
              <w:numPr>
                <w:ilvl w:val="0"/>
                <w:numId w:val="41"/>
              </w:numPr>
              <w:ind w:left="175" w:right="-71" w:hanging="141"/>
            </w:pPr>
            <w:r>
              <w:t xml:space="preserve">eGFR </w:t>
            </w:r>
            <w:r w:rsidRPr="0039013E">
              <w:t>45-59 m</w:t>
            </w:r>
            <w:r>
              <w:t>L</w:t>
            </w:r>
            <w:r w:rsidRPr="0039013E">
              <w:t>/min/1.73m</w:t>
            </w:r>
            <w:r w:rsidRPr="0046566A">
              <w:rPr>
                <w:vertAlign w:val="superscript"/>
              </w:rPr>
              <w:t>2</w:t>
            </w:r>
            <w:r>
              <w:t xml:space="preserve"> and</w:t>
            </w:r>
            <w:r w:rsidRPr="0039013E">
              <w:t xml:space="preserve"> </w:t>
            </w:r>
            <w:r>
              <w:t xml:space="preserve">UACR </w:t>
            </w:r>
            <w:r w:rsidRPr="0039013E">
              <w:t>&gt;30 mg/mmol</w:t>
            </w:r>
            <w:r>
              <w:t xml:space="preserve"> (&gt;300 mg/g) (</w:t>
            </w:r>
            <w:r w:rsidRPr="0039013E">
              <w:t>macroalbuminuria)</w:t>
            </w:r>
            <w:r>
              <w:t>; or</w:t>
            </w:r>
          </w:p>
          <w:p w14:paraId="6F703897" w14:textId="77777777" w:rsidR="001A4EBC" w:rsidRDefault="001A4EBC" w:rsidP="001A4EBC">
            <w:pPr>
              <w:pStyle w:val="COMTabletext"/>
              <w:keepNext w:val="0"/>
              <w:numPr>
                <w:ilvl w:val="0"/>
                <w:numId w:val="41"/>
              </w:numPr>
              <w:ind w:left="175" w:right="-71" w:hanging="141"/>
            </w:pPr>
            <w:r>
              <w:t xml:space="preserve">eGFR </w:t>
            </w:r>
            <w:r w:rsidRPr="0039013E">
              <w:t>30-44 m</w:t>
            </w:r>
            <w:r>
              <w:t>L</w:t>
            </w:r>
            <w:r w:rsidRPr="0039013E">
              <w:t>/min/1.73m</w:t>
            </w:r>
            <w:r w:rsidRPr="0046566A">
              <w:rPr>
                <w:vertAlign w:val="superscript"/>
              </w:rPr>
              <w:t>2</w:t>
            </w:r>
            <w:r w:rsidRPr="00294814">
              <w:t xml:space="preserve"> </w:t>
            </w:r>
            <w:r>
              <w:t>and</w:t>
            </w:r>
            <w:r w:rsidRPr="0039013E">
              <w:t xml:space="preserve"> </w:t>
            </w:r>
            <w:r>
              <w:t xml:space="preserve">UACR </w:t>
            </w:r>
            <w:r w:rsidRPr="0039013E">
              <w:t>3-30 mg/mmol</w:t>
            </w:r>
            <w:r>
              <w:t xml:space="preserve"> (30-300 mg/g) (</w:t>
            </w:r>
            <w:r w:rsidRPr="0039013E">
              <w:t>microalbuminuria</w:t>
            </w:r>
            <w:r>
              <w:t>); or</w:t>
            </w:r>
          </w:p>
          <w:p w14:paraId="3F37EA26" w14:textId="77777777" w:rsidR="001A4EBC" w:rsidRDefault="001A4EBC" w:rsidP="001A4EBC">
            <w:pPr>
              <w:pStyle w:val="COMTabletext"/>
              <w:keepNext w:val="0"/>
              <w:numPr>
                <w:ilvl w:val="0"/>
                <w:numId w:val="41"/>
              </w:numPr>
              <w:ind w:left="175" w:right="-71" w:hanging="141"/>
            </w:pPr>
            <w:r>
              <w:t xml:space="preserve">eGFR </w:t>
            </w:r>
            <w:r w:rsidRPr="0039013E">
              <w:t>&lt;30 m</w:t>
            </w:r>
            <w:r>
              <w:t>L</w:t>
            </w:r>
            <w:r w:rsidRPr="0039013E">
              <w:t>/min/1.73m</w:t>
            </w:r>
            <w:r w:rsidRPr="00294814">
              <w:rPr>
                <w:vertAlign w:val="superscript"/>
              </w:rPr>
              <w:t>2</w:t>
            </w:r>
            <w:r w:rsidRPr="0039013E">
              <w:t>.</w:t>
            </w:r>
          </w:p>
        </w:tc>
        <w:tc>
          <w:tcPr>
            <w:tcW w:w="1538" w:type="dxa"/>
            <w:vAlign w:val="center"/>
          </w:tcPr>
          <w:p w14:paraId="5F1E7FDB" w14:textId="77777777" w:rsidR="001A4EBC" w:rsidRDefault="001A4EBC" w:rsidP="00C11725">
            <w:pPr>
              <w:pStyle w:val="COMTabletext"/>
              <w:keepNext w:val="0"/>
              <w:jc w:val="center"/>
            </w:pPr>
            <w:r>
              <w:t>Strong</w:t>
            </w:r>
          </w:p>
        </w:tc>
      </w:tr>
      <w:tr w:rsidR="001A4EBC" w:rsidRPr="00214913" w14:paraId="2C944284" w14:textId="77777777" w:rsidTr="00C11725">
        <w:trPr>
          <w:cantSplit/>
          <w:tblHeader/>
        </w:trPr>
        <w:tc>
          <w:tcPr>
            <w:tcW w:w="9017" w:type="dxa"/>
            <w:gridSpan w:val="3"/>
            <w:vAlign w:val="center"/>
          </w:tcPr>
          <w:p w14:paraId="37E3788B" w14:textId="77777777" w:rsidR="001A4EBC" w:rsidRDefault="001A4EBC" w:rsidP="00C11725">
            <w:pPr>
              <w:pStyle w:val="COMTabletext"/>
              <w:keepNext w:val="0"/>
              <w:rPr>
                <w:b/>
                <w:bCs w:val="0"/>
              </w:rPr>
            </w:pPr>
            <w:r>
              <w:rPr>
                <w:b/>
                <w:bCs w:val="0"/>
              </w:rPr>
              <w:t>International</w:t>
            </w:r>
          </w:p>
        </w:tc>
      </w:tr>
      <w:tr w:rsidR="001A4EBC" w14:paraId="3E5FC644" w14:textId="77777777" w:rsidTr="00C11725">
        <w:trPr>
          <w:cantSplit/>
          <w:trHeight w:val="85"/>
        </w:trPr>
        <w:tc>
          <w:tcPr>
            <w:tcW w:w="1838" w:type="dxa"/>
            <w:vMerge w:val="restart"/>
            <w:vAlign w:val="center"/>
          </w:tcPr>
          <w:p w14:paraId="4EC88982" w14:textId="77777777" w:rsidR="001A4EBC" w:rsidRPr="00EA340A" w:rsidRDefault="001A4EBC" w:rsidP="00C11725">
            <w:pPr>
              <w:pStyle w:val="COMTabletext"/>
              <w:keepNext w:val="0"/>
              <w:rPr>
                <w:vertAlign w:val="superscript"/>
              </w:rPr>
            </w:pPr>
            <w:r w:rsidRPr="00EA340A">
              <w:lastRenderedPageBreak/>
              <w:t xml:space="preserve">KDIGO Working Group </w:t>
            </w:r>
            <w:r>
              <w:t>(</w:t>
            </w:r>
            <w:r w:rsidRPr="00EA340A">
              <w:t>2024</w:t>
            </w:r>
            <w:r>
              <w:t>)</w:t>
            </w:r>
            <w:r>
              <w:rPr>
                <w:vertAlign w:val="superscript"/>
              </w:rPr>
              <w:t>c</w:t>
            </w:r>
          </w:p>
        </w:tc>
        <w:tc>
          <w:tcPr>
            <w:tcW w:w="5641" w:type="dxa"/>
            <w:vAlign w:val="center"/>
          </w:tcPr>
          <w:p w14:paraId="7E502BF8" w14:textId="77777777" w:rsidR="001A4EBC" w:rsidRDefault="001A4EBC" w:rsidP="00C11725">
            <w:pPr>
              <w:pStyle w:val="COMTabletext"/>
              <w:keepNext w:val="0"/>
              <w:ind w:right="-71"/>
            </w:pPr>
            <w:r>
              <w:t>CKD with T2DM:</w:t>
            </w:r>
          </w:p>
          <w:p w14:paraId="64B3D0F0" w14:textId="77777777" w:rsidR="001A4EBC" w:rsidRDefault="001A4EBC" w:rsidP="001A4EBC">
            <w:pPr>
              <w:pStyle w:val="COMTabletext"/>
              <w:keepNext w:val="0"/>
              <w:numPr>
                <w:ilvl w:val="0"/>
                <w:numId w:val="41"/>
              </w:numPr>
              <w:ind w:left="175" w:right="-71" w:hanging="141"/>
            </w:pPr>
            <w:r>
              <w:t>eGFR ≥20 mL/min/1.73 m</w:t>
            </w:r>
            <w:r w:rsidRPr="00714957">
              <w:rPr>
                <w:vertAlign w:val="superscript"/>
              </w:rPr>
              <w:t>2</w:t>
            </w:r>
            <w:r>
              <w:t>; or</w:t>
            </w:r>
          </w:p>
        </w:tc>
        <w:tc>
          <w:tcPr>
            <w:tcW w:w="1538" w:type="dxa"/>
            <w:vAlign w:val="center"/>
          </w:tcPr>
          <w:p w14:paraId="61636D2A" w14:textId="77777777" w:rsidR="001A4EBC" w:rsidRDefault="001A4EBC" w:rsidP="00C11725">
            <w:pPr>
              <w:pStyle w:val="COMTabletext"/>
              <w:keepNext w:val="0"/>
              <w:jc w:val="center"/>
            </w:pPr>
            <w:r>
              <w:t>1A</w:t>
            </w:r>
          </w:p>
        </w:tc>
      </w:tr>
      <w:tr w:rsidR="001A4EBC" w14:paraId="2B0C59EE" w14:textId="77777777" w:rsidTr="00C11725">
        <w:trPr>
          <w:cantSplit/>
          <w:trHeight w:val="84"/>
        </w:trPr>
        <w:tc>
          <w:tcPr>
            <w:tcW w:w="1838" w:type="dxa"/>
            <w:vMerge/>
            <w:vAlign w:val="center"/>
          </w:tcPr>
          <w:p w14:paraId="7B45E8A7" w14:textId="77777777" w:rsidR="001A4EBC" w:rsidRPr="00EA340A" w:rsidRDefault="001A4EBC" w:rsidP="00C11725">
            <w:pPr>
              <w:pStyle w:val="COMTabletext"/>
              <w:keepNext w:val="0"/>
            </w:pPr>
          </w:p>
        </w:tc>
        <w:tc>
          <w:tcPr>
            <w:tcW w:w="5641" w:type="dxa"/>
            <w:vAlign w:val="center"/>
          </w:tcPr>
          <w:p w14:paraId="43FB5996" w14:textId="77777777" w:rsidR="001A4EBC" w:rsidRDefault="001A4EBC" w:rsidP="00C11725">
            <w:pPr>
              <w:pStyle w:val="COMTabletext"/>
              <w:keepNext w:val="0"/>
              <w:ind w:right="-71"/>
            </w:pPr>
            <w:r>
              <w:t>CKD:</w:t>
            </w:r>
          </w:p>
          <w:p w14:paraId="1CA8A058" w14:textId="77777777" w:rsidR="001A4EBC" w:rsidRDefault="001A4EBC" w:rsidP="001A4EBC">
            <w:pPr>
              <w:pStyle w:val="COMTabletext"/>
              <w:keepNext w:val="0"/>
              <w:numPr>
                <w:ilvl w:val="0"/>
                <w:numId w:val="41"/>
              </w:numPr>
              <w:ind w:left="175" w:right="-71" w:hanging="141"/>
            </w:pPr>
            <w:r>
              <w:t>eGFR ≥20 mL/min/1.73 m</w:t>
            </w:r>
            <w:r w:rsidRPr="00E35C25">
              <w:rPr>
                <w:vertAlign w:val="superscript"/>
              </w:rPr>
              <w:t>2</w:t>
            </w:r>
            <w:r>
              <w:t xml:space="preserve"> and UACR ≥20 mg/mmol (≥200 mg/g); or</w:t>
            </w:r>
          </w:p>
          <w:p w14:paraId="0C1C0313" w14:textId="77777777" w:rsidR="001A4EBC" w:rsidRDefault="001A4EBC" w:rsidP="001A4EBC">
            <w:pPr>
              <w:pStyle w:val="COMTabletext"/>
              <w:keepNext w:val="0"/>
              <w:numPr>
                <w:ilvl w:val="0"/>
                <w:numId w:val="41"/>
              </w:numPr>
              <w:ind w:left="175" w:right="-71" w:hanging="141"/>
            </w:pPr>
            <w:r>
              <w:t>heart failure, irrespective of level of albuminuria.</w:t>
            </w:r>
          </w:p>
        </w:tc>
        <w:tc>
          <w:tcPr>
            <w:tcW w:w="1538" w:type="dxa"/>
            <w:vAlign w:val="center"/>
          </w:tcPr>
          <w:p w14:paraId="29AE9EBC" w14:textId="77777777" w:rsidR="001A4EBC" w:rsidRDefault="001A4EBC" w:rsidP="00C11725">
            <w:pPr>
              <w:pStyle w:val="COMTabletext"/>
              <w:keepNext w:val="0"/>
              <w:jc w:val="center"/>
            </w:pPr>
            <w:r>
              <w:t>1A</w:t>
            </w:r>
          </w:p>
        </w:tc>
      </w:tr>
      <w:tr w:rsidR="001A4EBC" w14:paraId="01012304" w14:textId="77777777" w:rsidTr="00C11725">
        <w:trPr>
          <w:cantSplit/>
          <w:trHeight w:val="84"/>
        </w:trPr>
        <w:tc>
          <w:tcPr>
            <w:tcW w:w="1838" w:type="dxa"/>
            <w:vMerge/>
            <w:vAlign w:val="center"/>
          </w:tcPr>
          <w:p w14:paraId="13E2CBD1" w14:textId="77777777" w:rsidR="001A4EBC" w:rsidRPr="00EA340A" w:rsidRDefault="001A4EBC" w:rsidP="00C11725">
            <w:pPr>
              <w:pStyle w:val="COMTabletext"/>
              <w:keepNext w:val="0"/>
            </w:pPr>
          </w:p>
        </w:tc>
        <w:tc>
          <w:tcPr>
            <w:tcW w:w="5641" w:type="dxa"/>
            <w:vAlign w:val="center"/>
          </w:tcPr>
          <w:p w14:paraId="7EB1C7EB" w14:textId="77777777" w:rsidR="001A4EBC" w:rsidRDefault="001A4EBC" w:rsidP="00C11725">
            <w:pPr>
              <w:pStyle w:val="COMTabletext"/>
              <w:keepNext w:val="0"/>
              <w:ind w:right="-71"/>
            </w:pPr>
            <w:r>
              <w:t>CKD:</w:t>
            </w:r>
          </w:p>
          <w:p w14:paraId="054F8F04" w14:textId="77777777" w:rsidR="001A4EBC" w:rsidRDefault="001A4EBC" w:rsidP="001A4EBC">
            <w:pPr>
              <w:pStyle w:val="COMTabletext"/>
              <w:keepNext w:val="0"/>
              <w:numPr>
                <w:ilvl w:val="0"/>
                <w:numId w:val="41"/>
              </w:numPr>
              <w:ind w:left="175" w:right="-71" w:hanging="141"/>
            </w:pPr>
            <w:r>
              <w:t>eGFR 20 - 45 mL/min/1.73 m</w:t>
            </w:r>
            <w:r w:rsidRPr="00714957">
              <w:rPr>
                <w:vertAlign w:val="superscript"/>
              </w:rPr>
              <w:t>2</w:t>
            </w:r>
            <w:r>
              <w:t xml:space="preserve"> and UACR &lt;20 mg/mmol (&lt;200 mg/g).</w:t>
            </w:r>
          </w:p>
        </w:tc>
        <w:tc>
          <w:tcPr>
            <w:tcW w:w="1538" w:type="dxa"/>
            <w:vAlign w:val="center"/>
          </w:tcPr>
          <w:p w14:paraId="582E3DAE" w14:textId="77777777" w:rsidR="001A4EBC" w:rsidRDefault="001A4EBC" w:rsidP="00C11725">
            <w:pPr>
              <w:pStyle w:val="COMTabletext"/>
              <w:keepNext w:val="0"/>
              <w:jc w:val="center"/>
            </w:pPr>
            <w:r>
              <w:t>2B</w:t>
            </w:r>
          </w:p>
        </w:tc>
      </w:tr>
      <w:tr w:rsidR="001A4EBC" w14:paraId="2E9DF902" w14:textId="77777777" w:rsidTr="00C11725">
        <w:trPr>
          <w:cantSplit/>
        </w:trPr>
        <w:tc>
          <w:tcPr>
            <w:tcW w:w="1838" w:type="dxa"/>
            <w:vMerge w:val="restart"/>
            <w:vAlign w:val="center"/>
          </w:tcPr>
          <w:p w14:paraId="23A90C06" w14:textId="77777777" w:rsidR="001A4EBC" w:rsidRPr="00B8252C" w:rsidRDefault="001A4EBC" w:rsidP="00C11725">
            <w:pPr>
              <w:pStyle w:val="COMTabletext"/>
              <w:keepNext w:val="0"/>
              <w:rPr>
                <w:vertAlign w:val="superscript"/>
              </w:rPr>
            </w:pPr>
            <w:r>
              <w:t>UK Kidney Association (2023)</w:t>
            </w:r>
            <w:r>
              <w:rPr>
                <w:vertAlign w:val="superscript"/>
              </w:rPr>
              <w:t>d</w:t>
            </w:r>
          </w:p>
        </w:tc>
        <w:tc>
          <w:tcPr>
            <w:tcW w:w="5641" w:type="dxa"/>
            <w:vAlign w:val="center"/>
          </w:tcPr>
          <w:p w14:paraId="273F052B" w14:textId="77777777" w:rsidR="001A4EBC" w:rsidRDefault="001A4EBC" w:rsidP="00C11725">
            <w:pPr>
              <w:pStyle w:val="COMTabletext"/>
              <w:keepNext w:val="0"/>
              <w:ind w:right="-71"/>
            </w:pPr>
            <w:r>
              <w:t>CKD with T2DM:</w:t>
            </w:r>
          </w:p>
          <w:p w14:paraId="37B6106F" w14:textId="77777777" w:rsidR="001A4EBC" w:rsidRDefault="001A4EBC" w:rsidP="001A4EBC">
            <w:pPr>
              <w:pStyle w:val="COMTabletext"/>
              <w:keepNext w:val="0"/>
              <w:numPr>
                <w:ilvl w:val="0"/>
                <w:numId w:val="41"/>
              </w:numPr>
              <w:ind w:left="175" w:right="-71" w:hanging="141"/>
            </w:pPr>
            <w:r w:rsidRPr="00980BA1">
              <w:t>eGFR 20</w:t>
            </w:r>
            <w:r>
              <w:t xml:space="preserve"> - </w:t>
            </w:r>
            <w:r w:rsidRPr="00980BA1">
              <w:t>45 mL/min/1.73m</w:t>
            </w:r>
            <w:r w:rsidRPr="00980BA1">
              <w:rPr>
                <w:vertAlign w:val="superscript"/>
              </w:rPr>
              <w:t>2</w:t>
            </w:r>
            <w:r>
              <w:t>; or</w:t>
            </w:r>
          </w:p>
          <w:p w14:paraId="5C4AE951" w14:textId="77777777" w:rsidR="00276253" w:rsidRDefault="001A4EBC" w:rsidP="001A4EBC">
            <w:pPr>
              <w:pStyle w:val="COMTabletext"/>
              <w:keepNext w:val="0"/>
              <w:numPr>
                <w:ilvl w:val="0"/>
                <w:numId w:val="41"/>
              </w:numPr>
              <w:ind w:left="175" w:right="-71" w:hanging="141"/>
            </w:pPr>
            <w:r w:rsidRPr="00980BA1">
              <w:t>eGFR &gt;45 mL/min/1.73m</w:t>
            </w:r>
            <w:r w:rsidRPr="00980BA1">
              <w:rPr>
                <w:vertAlign w:val="superscript"/>
              </w:rPr>
              <w:t>2</w:t>
            </w:r>
            <w:r w:rsidRPr="00980BA1">
              <w:t xml:space="preserve"> </w:t>
            </w:r>
            <w:r>
              <w:t>and</w:t>
            </w:r>
            <w:r w:rsidRPr="00980BA1">
              <w:t xml:space="preserve"> </w:t>
            </w:r>
            <w:r>
              <w:t>UACR</w:t>
            </w:r>
            <w:r w:rsidRPr="00980BA1">
              <w:t xml:space="preserve"> </w:t>
            </w:r>
            <w:r w:rsidRPr="00980BA1">
              <w:rPr>
                <w:rFonts w:hint="eastAsia"/>
              </w:rPr>
              <w:t>≥</w:t>
            </w:r>
            <w:r w:rsidRPr="00980BA1">
              <w:t>25 mg/mmol</w:t>
            </w:r>
            <w:r>
              <w:t>; or</w:t>
            </w:r>
          </w:p>
          <w:p w14:paraId="6DB8A008" w14:textId="32D97ADB" w:rsidR="001A4EBC" w:rsidRDefault="001A4EBC" w:rsidP="001A4EBC">
            <w:pPr>
              <w:pStyle w:val="COMTabletext"/>
              <w:keepNext w:val="0"/>
              <w:numPr>
                <w:ilvl w:val="0"/>
                <w:numId w:val="41"/>
              </w:numPr>
              <w:ind w:left="175" w:right="-71" w:hanging="141"/>
            </w:pPr>
            <w:r w:rsidRPr="00C24C2B">
              <w:t>eGFR &gt;45</w:t>
            </w:r>
            <w:r>
              <w:t xml:space="preserve"> - </w:t>
            </w:r>
            <w:r w:rsidRPr="00C24C2B">
              <w:t>60 mL/min/1.73m</w:t>
            </w:r>
            <w:r w:rsidRPr="00C24C2B">
              <w:rPr>
                <w:vertAlign w:val="superscript"/>
              </w:rPr>
              <w:t>2</w:t>
            </w:r>
            <w:r w:rsidRPr="00C24C2B">
              <w:t xml:space="preserve"> and </w:t>
            </w:r>
            <w:r>
              <w:t>UACR</w:t>
            </w:r>
            <w:r w:rsidRPr="00C24C2B">
              <w:t xml:space="preserve"> &lt;25 mg/mmol</w:t>
            </w:r>
            <w:r>
              <w:t>.</w:t>
            </w:r>
          </w:p>
          <w:p w14:paraId="5EE0416D" w14:textId="77777777" w:rsidR="001A4EBC" w:rsidRDefault="001A4EBC" w:rsidP="001A4EBC">
            <w:pPr>
              <w:pStyle w:val="COMTabletext"/>
              <w:keepNext w:val="0"/>
              <w:numPr>
                <w:ilvl w:val="0"/>
                <w:numId w:val="41"/>
              </w:numPr>
              <w:ind w:left="175" w:right="-71" w:hanging="141"/>
            </w:pPr>
            <w:r>
              <w:t>Consider use of an SGLT2 inhibitor if eGFR &lt;20 mL/min/1.73 m</w:t>
            </w:r>
            <w:r w:rsidRPr="0093004F">
              <w:rPr>
                <w:vertAlign w:val="superscript"/>
              </w:rPr>
              <w:t>2</w:t>
            </w:r>
            <w:r>
              <w:t xml:space="preserve"> to slow rate of disease progression.</w:t>
            </w:r>
          </w:p>
        </w:tc>
        <w:tc>
          <w:tcPr>
            <w:tcW w:w="1538" w:type="dxa"/>
            <w:vAlign w:val="center"/>
          </w:tcPr>
          <w:p w14:paraId="5C3AC970" w14:textId="77777777" w:rsidR="001A4EBC" w:rsidRDefault="001A4EBC" w:rsidP="00C11725">
            <w:pPr>
              <w:pStyle w:val="COMTabletext"/>
              <w:keepNext w:val="0"/>
            </w:pPr>
          </w:p>
          <w:p w14:paraId="564EBB88" w14:textId="77777777" w:rsidR="001A4EBC" w:rsidRDefault="001A4EBC" w:rsidP="00C11725">
            <w:pPr>
              <w:pStyle w:val="COMTabletext"/>
              <w:keepNext w:val="0"/>
              <w:jc w:val="center"/>
            </w:pPr>
            <w:r>
              <w:t>1A</w:t>
            </w:r>
          </w:p>
          <w:p w14:paraId="257D3530" w14:textId="77777777" w:rsidR="001A4EBC" w:rsidRDefault="001A4EBC" w:rsidP="00C11725">
            <w:pPr>
              <w:pStyle w:val="COMTabletext"/>
              <w:keepNext w:val="0"/>
              <w:jc w:val="center"/>
            </w:pPr>
            <w:r>
              <w:t>1A</w:t>
            </w:r>
          </w:p>
          <w:p w14:paraId="4F6E31AD" w14:textId="77777777" w:rsidR="001A4EBC" w:rsidRDefault="001A4EBC" w:rsidP="00C11725">
            <w:pPr>
              <w:pStyle w:val="COMTabletext"/>
              <w:keepNext w:val="0"/>
              <w:jc w:val="center"/>
            </w:pPr>
            <w:r>
              <w:t>2B</w:t>
            </w:r>
          </w:p>
          <w:p w14:paraId="51749F60" w14:textId="77777777" w:rsidR="001A4EBC" w:rsidRDefault="001A4EBC" w:rsidP="00C11725">
            <w:pPr>
              <w:pStyle w:val="COMTabletext"/>
              <w:keepNext w:val="0"/>
              <w:jc w:val="center"/>
            </w:pPr>
            <w:r>
              <w:t>2B</w:t>
            </w:r>
          </w:p>
          <w:p w14:paraId="02130470" w14:textId="77777777" w:rsidR="001A4EBC" w:rsidRDefault="001A4EBC" w:rsidP="00C11725">
            <w:pPr>
              <w:pStyle w:val="COMTabletext"/>
              <w:keepNext w:val="0"/>
            </w:pPr>
          </w:p>
        </w:tc>
      </w:tr>
      <w:tr w:rsidR="001A4EBC" w14:paraId="341785B5" w14:textId="77777777" w:rsidTr="00C11725">
        <w:trPr>
          <w:cantSplit/>
        </w:trPr>
        <w:tc>
          <w:tcPr>
            <w:tcW w:w="1838" w:type="dxa"/>
            <w:vMerge/>
            <w:vAlign w:val="center"/>
          </w:tcPr>
          <w:p w14:paraId="7D667DAB" w14:textId="77777777" w:rsidR="001A4EBC" w:rsidRDefault="001A4EBC" w:rsidP="00C11725">
            <w:pPr>
              <w:pStyle w:val="COMTabletext"/>
              <w:keepNext w:val="0"/>
            </w:pPr>
          </w:p>
        </w:tc>
        <w:tc>
          <w:tcPr>
            <w:tcW w:w="5641" w:type="dxa"/>
            <w:vAlign w:val="center"/>
          </w:tcPr>
          <w:p w14:paraId="5FF005F3" w14:textId="77777777" w:rsidR="001A4EBC" w:rsidRDefault="001A4EBC" w:rsidP="00C11725">
            <w:pPr>
              <w:pStyle w:val="COMTabletext"/>
              <w:keepNext w:val="0"/>
              <w:ind w:right="-71"/>
            </w:pPr>
            <w:r>
              <w:t>CKD without T2DM:</w:t>
            </w:r>
          </w:p>
          <w:p w14:paraId="16212CCC" w14:textId="77777777" w:rsidR="001A4EBC" w:rsidRDefault="001A4EBC" w:rsidP="001A4EBC">
            <w:pPr>
              <w:pStyle w:val="COMTabletext"/>
              <w:keepNext w:val="0"/>
              <w:numPr>
                <w:ilvl w:val="0"/>
                <w:numId w:val="41"/>
              </w:numPr>
              <w:ind w:left="175" w:right="-71" w:hanging="141"/>
            </w:pPr>
            <w:r w:rsidRPr="00980BA1">
              <w:t xml:space="preserve">eGFR </w:t>
            </w:r>
            <w:r>
              <w:t>≥</w:t>
            </w:r>
            <w:r w:rsidRPr="00980BA1">
              <w:t>20 mL/min/1.73m</w:t>
            </w:r>
            <w:r w:rsidRPr="00980BA1">
              <w:rPr>
                <w:vertAlign w:val="superscript"/>
              </w:rPr>
              <w:t>2</w:t>
            </w:r>
            <w:r>
              <w:rPr>
                <w:vertAlign w:val="superscript"/>
              </w:rPr>
              <w:t xml:space="preserve"> </w:t>
            </w:r>
            <w:r>
              <w:t>and</w:t>
            </w:r>
            <w:r w:rsidRPr="00980BA1">
              <w:t xml:space="preserve"> </w:t>
            </w:r>
            <w:r>
              <w:t>UACR</w:t>
            </w:r>
            <w:r w:rsidRPr="00980BA1">
              <w:t xml:space="preserve"> </w:t>
            </w:r>
            <w:r w:rsidRPr="00980BA1">
              <w:rPr>
                <w:rFonts w:hint="eastAsia"/>
              </w:rPr>
              <w:t>≥</w:t>
            </w:r>
            <w:r w:rsidRPr="00980BA1">
              <w:t>25 mg/mmol</w:t>
            </w:r>
            <w:r>
              <w:t xml:space="preserve"> irrespective of primary kidney disease; or</w:t>
            </w:r>
          </w:p>
          <w:p w14:paraId="11C048B5" w14:textId="77777777" w:rsidR="001A4EBC" w:rsidRDefault="001A4EBC" w:rsidP="001A4EBC">
            <w:pPr>
              <w:pStyle w:val="COMTabletext"/>
              <w:keepNext w:val="0"/>
              <w:numPr>
                <w:ilvl w:val="0"/>
                <w:numId w:val="41"/>
              </w:numPr>
              <w:ind w:left="175" w:right="-71" w:hanging="141"/>
            </w:pPr>
            <w:r w:rsidRPr="00980BA1">
              <w:t xml:space="preserve">eGFR </w:t>
            </w:r>
            <w:r>
              <w:t xml:space="preserve">20 - </w:t>
            </w:r>
            <w:r w:rsidRPr="00980BA1">
              <w:t>45 mL/min/1.73m</w:t>
            </w:r>
            <w:r w:rsidRPr="00980BA1">
              <w:rPr>
                <w:vertAlign w:val="superscript"/>
              </w:rPr>
              <w:t>2</w:t>
            </w:r>
            <w:r w:rsidRPr="00980BA1">
              <w:t xml:space="preserve"> </w:t>
            </w:r>
            <w:r>
              <w:t>and</w:t>
            </w:r>
            <w:r w:rsidRPr="00980BA1">
              <w:t xml:space="preserve"> </w:t>
            </w:r>
            <w:r>
              <w:t>UACR</w:t>
            </w:r>
            <w:r w:rsidRPr="00980BA1">
              <w:t xml:space="preserve"> </w:t>
            </w:r>
            <w:r>
              <w:t>&lt;</w:t>
            </w:r>
            <w:r w:rsidRPr="00980BA1">
              <w:t>25 mg/mmol</w:t>
            </w:r>
            <w:r>
              <w:t>.</w:t>
            </w:r>
          </w:p>
          <w:p w14:paraId="18B1FCE1" w14:textId="77777777" w:rsidR="001A4EBC" w:rsidRDefault="001A4EBC" w:rsidP="001A4EBC">
            <w:pPr>
              <w:pStyle w:val="COMTabletext"/>
              <w:keepNext w:val="0"/>
              <w:numPr>
                <w:ilvl w:val="0"/>
                <w:numId w:val="41"/>
              </w:numPr>
              <w:ind w:left="175" w:right="-71" w:hanging="141"/>
            </w:pPr>
            <w:r>
              <w:t>Consider use if eGFR &lt;20 mL/min/1.73 m</w:t>
            </w:r>
            <w:r w:rsidRPr="00F45451">
              <w:rPr>
                <w:vertAlign w:val="superscript"/>
              </w:rPr>
              <w:t>2</w:t>
            </w:r>
            <w:r>
              <w:t xml:space="preserve"> to slow rate of disease progression.</w:t>
            </w:r>
          </w:p>
        </w:tc>
        <w:tc>
          <w:tcPr>
            <w:tcW w:w="1538" w:type="dxa"/>
            <w:vAlign w:val="center"/>
          </w:tcPr>
          <w:p w14:paraId="7F3F1542" w14:textId="77777777" w:rsidR="001A4EBC" w:rsidRDefault="001A4EBC" w:rsidP="00C11725">
            <w:pPr>
              <w:pStyle w:val="COMTabletext"/>
              <w:keepNext w:val="0"/>
            </w:pPr>
          </w:p>
          <w:p w14:paraId="321F76CB" w14:textId="77777777" w:rsidR="001A4EBC" w:rsidRDefault="001A4EBC" w:rsidP="00C11725">
            <w:pPr>
              <w:pStyle w:val="COMTabletext"/>
              <w:keepNext w:val="0"/>
              <w:jc w:val="center"/>
            </w:pPr>
            <w:r>
              <w:t>1A</w:t>
            </w:r>
          </w:p>
          <w:p w14:paraId="68C9E840" w14:textId="77777777" w:rsidR="00276253" w:rsidRDefault="00276253" w:rsidP="00C11725">
            <w:pPr>
              <w:pStyle w:val="COMTabletext"/>
              <w:keepNext w:val="0"/>
              <w:jc w:val="center"/>
            </w:pPr>
          </w:p>
          <w:p w14:paraId="046C88DC" w14:textId="77777777" w:rsidR="001A4EBC" w:rsidRDefault="001A4EBC" w:rsidP="00C11725">
            <w:pPr>
              <w:pStyle w:val="COMTabletext"/>
              <w:keepNext w:val="0"/>
              <w:jc w:val="center"/>
            </w:pPr>
            <w:r>
              <w:t>1B</w:t>
            </w:r>
          </w:p>
          <w:p w14:paraId="52CB089B" w14:textId="77777777" w:rsidR="001A4EBC" w:rsidRDefault="001A4EBC" w:rsidP="00C11725">
            <w:pPr>
              <w:pStyle w:val="COMTabletext"/>
              <w:keepNext w:val="0"/>
              <w:jc w:val="center"/>
            </w:pPr>
            <w:r>
              <w:t>2B</w:t>
            </w:r>
          </w:p>
          <w:p w14:paraId="52161459" w14:textId="77777777" w:rsidR="001A4EBC" w:rsidRDefault="001A4EBC" w:rsidP="00C11725">
            <w:pPr>
              <w:pStyle w:val="COMTabletext"/>
              <w:keepNext w:val="0"/>
              <w:jc w:val="center"/>
            </w:pPr>
          </w:p>
        </w:tc>
      </w:tr>
      <w:tr w:rsidR="001A4EBC" w14:paraId="3C54D026" w14:textId="77777777" w:rsidTr="00C11725">
        <w:trPr>
          <w:cantSplit/>
        </w:trPr>
        <w:tc>
          <w:tcPr>
            <w:tcW w:w="1838" w:type="dxa"/>
            <w:vMerge w:val="restart"/>
            <w:vAlign w:val="center"/>
          </w:tcPr>
          <w:p w14:paraId="05712F66" w14:textId="77777777" w:rsidR="001A4EBC" w:rsidRPr="00C26B82" w:rsidRDefault="001A4EBC" w:rsidP="00C11725">
            <w:pPr>
              <w:pStyle w:val="COMTabletext"/>
              <w:keepNext w:val="0"/>
              <w:rPr>
                <w:vertAlign w:val="superscript"/>
              </w:rPr>
            </w:pPr>
            <w:r>
              <w:t>European Renal Association (2023)</w:t>
            </w:r>
            <w:r>
              <w:rPr>
                <w:vertAlign w:val="superscript"/>
              </w:rPr>
              <w:t>e</w:t>
            </w:r>
          </w:p>
        </w:tc>
        <w:tc>
          <w:tcPr>
            <w:tcW w:w="5641" w:type="dxa"/>
            <w:vAlign w:val="center"/>
          </w:tcPr>
          <w:p w14:paraId="623409D6" w14:textId="77777777" w:rsidR="001A4EBC" w:rsidRDefault="001A4EBC" w:rsidP="00C11725">
            <w:pPr>
              <w:pStyle w:val="COMTabletext"/>
              <w:keepNext w:val="0"/>
              <w:ind w:right="-71"/>
            </w:pPr>
            <w:r>
              <w:t>CKD with diabetes mellitus:</w:t>
            </w:r>
          </w:p>
          <w:p w14:paraId="016A2FE9" w14:textId="77777777" w:rsidR="001A4EBC" w:rsidRDefault="001A4EBC" w:rsidP="001A4EBC">
            <w:pPr>
              <w:pStyle w:val="COMTabletext"/>
              <w:keepNext w:val="0"/>
              <w:numPr>
                <w:ilvl w:val="0"/>
                <w:numId w:val="41"/>
              </w:numPr>
              <w:ind w:left="175" w:right="-71" w:hanging="141"/>
            </w:pPr>
            <w:r>
              <w:t>eGFR 20 - 60 mL/min/1.73 m</w:t>
            </w:r>
            <w:r w:rsidRPr="00C6312A">
              <w:rPr>
                <w:vertAlign w:val="superscript"/>
              </w:rPr>
              <w:t>2</w:t>
            </w:r>
            <w:r>
              <w:t>; or</w:t>
            </w:r>
          </w:p>
          <w:p w14:paraId="61BCB6F7" w14:textId="77777777" w:rsidR="001A4EBC" w:rsidRDefault="001A4EBC" w:rsidP="001A4EBC">
            <w:pPr>
              <w:pStyle w:val="COMTabletext"/>
              <w:keepNext w:val="0"/>
              <w:numPr>
                <w:ilvl w:val="0"/>
                <w:numId w:val="41"/>
              </w:numPr>
              <w:ind w:left="175" w:right="-71" w:hanging="141"/>
            </w:pPr>
            <w:r>
              <w:t>UACR &gt;3.39 mg/mmol (&gt;30 mg/g).</w:t>
            </w:r>
          </w:p>
        </w:tc>
        <w:tc>
          <w:tcPr>
            <w:tcW w:w="1538" w:type="dxa"/>
            <w:vMerge w:val="restart"/>
            <w:vAlign w:val="center"/>
          </w:tcPr>
          <w:p w14:paraId="1FC3F9D9" w14:textId="77777777" w:rsidR="001A4EBC" w:rsidRDefault="001A4EBC" w:rsidP="00C11725">
            <w:pPr>
              <w:pStyle w:val="COMTabletext"/>
              <w:jc w:val="center"/>
            </w:pPr>
            <w:r>
              <w:t>NR</w:t>
            </w:r>
          </w:p>
        </w:tc>
      </w:tr>
      <w:tr w:rsidR="001A4EBC" w14:paraId="6BA42CC8" w14:textId="77777777" w:rsidTr="00C11725">
        <w:trPr>
          <w:cantSplit/>
        </w:trPr>
        <w:tc>
          <w:tcPr>
            <w:tcW w:w="1838" w:type="dxa"/>
            <w:vMerge/>
            <w:vAlign w:val="center"/>
          </w:tcPr>
          <w:p w14:paraId="1CC2253D" w14:textId="77777777" w:rsidR="001A4EBC" w:rsidRDefault="001A4EBC" w:rsidP="00C11725">
            <w:pPr>
              <w:pStyle w:val="COMTabletext"/>
              <w:keepNext w:val="0"/>
            </w:pPr>
          </w:p>
        </w:tc>
        <w:tc>
          <w:tcPr>
            <w:tcW w:w="5641" w:type="dxa"/>
            <w:vAlign w:val="center"/>
          </w:tcPr>
          <w:p w14:paraId="5F1B4A0F" w14:textId="77777777" w:rsidR="001A4EBC" w:rsidRDefault="001A4EBC" w:rsidP="00C11725">
            <w:pPr>
              <w:pStyle w:val="COMTabletext"/>
              <w:keepNext w:val="0"/>
              <w:ind w:right="-71"/>
            </w:pPr>
            <w:r>
              <w:t>CKD without diabetes mellitus:</w:t>
            </w:r>
          </w:p>
          <w:p w14:paraId="34F5046E" w14:textId="77777777" w:rsidR="001A4EBC" w:rsidRDefault="001A4EBC" w:rsidP="001A4EBC">
            <w:pPr>
              <w:pStyle w:val="COMTabletext"/>
              <w:keepNext w:val="0"/>
              <w:numPr>
                <w:ilvl w:val="0"/>
                <w:numId w:val="41"/>
              </w:numPr>
              <w:ind w:left="175" w:right="-71" w:hanging="141"/>
            </w:pPr>
            <w:r>
              <w:t>eGFR 45 - 90 mL/min/1.73 m</w:t>
            </w:r>
            <w:r w:rsidRPr="00E35C25">
              <w:rPr>
                <w:vertAlign w:val="superscript"/>
              </w:rPr>
              <w:t>2</w:t>
            </w:r>
            <w:r>
              <w:t xml:space="preserve"> and UACR ≥20 mg/mmol (≥200 mg/g); or</w:t>
            </w:r>
          </w:p>
          <w:p w14:paraId="36B7C7C7" w14:textId="77777777" w:rsidR="001A4EBC" w:rsidRDefault="001A4EBC" w:rsidP="001A4EBC">
            <w:pPr>
              <w:pStyle w:val="COMTabletext"/>
              <w:keepNext w:val="0"/>
              <w:numPr>
                <w:ilvl w:val="0"/>
                <w:numId w:val="41"/>
              </w:numPr>
              <w:ind w:left="175" w:right="-71" w:hanging="141"/>
            </w:pPr>
            <w:r>
              <w:t>heart failure, irrespective of level of albuminuria.</w:t>
            </w:r>
          </w:p>
        </w:tc>
        <w:tc>
          <w:tcPr>
            <w:tcW w:w="1538" w:type="dxa"/>
            <w:vMerge/>
            <w:vAlign w:val="center"/>
          </w:tcPr>
          <w:p w14:paraId="4377F2A3" w14:textId="77777777" w:rsidR="001A4EBC" w:rsidRDefault="001A4EBC" w:rsidP="00C11725">
            <w:pPr>
              <w:pStyle w:val="COMTabletext"/>
              <w:jc w:val="center"/>
            </w:pPr>
          </w:p>
        </w:tc>
      </w:tr>
      <w:tr w:rsidR="001A4EBC" w14:paraId="626F1180" w14:textId="77777777" w:rsidTr="00C11725">
        <w:trPr>
          <w:cantSplit/>
        </w:trPr>
        <w:tc>
          <w:tcPr>
            <w:tcW w:w="1838" w:type="dxa"/>
            <w:vMerge/>
            <w:vAlign w:val="center"/>
          </w:tcPr>
          <w:p w14:paraId="1456DF22" w14:textId="77777777" w:rsidR="001A4EBC" w:rsidRDefault="001A4EBC" w:rsidP="00C11725">
            <w:pPr>
              <w:pStyle w:val="COMTabletext"/>
              <w:keepNext w:val="0"/>
            </w:pPr>
          </w:p>
        </w:tc>
        <w:tc>
          <w:tcPr>
            <w:tcW w:w="5641" w:type="dxa"/>
            <w:vAlign w:val="center"/>
          </w:tcPr>
          <w:p w14:paraId="63BAD32C" w14:textId="77777777" w:rsidR="001A4EBC" w:rsidRDefault="001A4EBC" w:rsidP="00C11725">
            <w:pPr>
              <w:pStyle w:val="COMTabletext"/>
              <w:keepNext w:val="0"/>
              <w:ind w:right="-71"/>
            </w:pPr>
            <w:r>
              <w:t>CKD:</w:t>
            </w:r>
          </w:p>
          <w:p w14:paraId="11442531" w14:textId="77777777" w:rsidR="001A4EBC" w:rsidRDefault="001A4EBC" w:rsidP="001A4EBC">
            <w:pPr>
              <w:pStyle w:val="COMTabletext"/>
              <w:keepNext w:val="0"/>
              <w:numPr>
                <w:ilvl w:val="0"/>
                <w:numId w:val="41"/>
              </w:numPr>
              <w:ind w:left="175" w:right="-71" w:hanging="141"/>
            </w:pPr>
            <w:r>
              <w:t>eGFR 20 - 45 mL/min/1.73 m</w:t>
            </w:r>
            <w:r w:rsidRPr="00E35C25">
              <w:rPr>
                <w:vertAlign w:val="superscript"/>
              </w:rPr>
              <w:t>2</w:t>
            </w:r>
            <w:r>
              <w:t xml:space="preserve"> and UACR &lt;20 mg/mmol (&lt;200 mg/g).</w:t>
            </w:r>
          </w:p>
        </w:tc>
        <w:tc>
          <w:tcPr>
            <w:tcW w:w="1538" w:type="dxa"/>
            <w:vMerge/>
            <w:vAlign w:val="center"/>
          </w:tcPr>
          <w:p w14:paraId="7E5372FB" w14:textId="77777777" w:rsidR="001A4EBC" w:rsidRDefault="001A4EBC" w:rsidP="00C11725">
            <w:pPr>
              <w:pStyle w:val="COMTabletext"/>
              <w:keepNext w:val="0"/>
              <w:jc w:val="center"/>
            </w:pPr>
          </w:p>
        </w:tc>
      </w:tr>
    </w:tbl>
    <w:p w14:paraId="04E06963" w14:textId="77777777" w:rsidR="00276253" w:rsidRDefault="001A4EBC" w:rsidP="001A4EBC">
      <w:pPr>
        <w:pStyle w:val="COMTablefooter"/>
      </w:pPr>
      <w:r>
        <w:t>Source: Section 1.2, pp47-54 of the resubmission.</w:t>
      </w:r>
    </w:p>
    <w:p w14:paraId="54418410" w14:textId="77777777" w:rsidR="00276253" w:rsidRDefault="001A4EBC" w:rsidP="001A4EBC">
      <w:pPr>
        <w:pStyle w:val="COMTablefooter"/>
      </w:pPr>
      <w:r>
        <w:t xml:space="preserve">Abbreviations: CKD, chronic kidney disease; eGFR, estimated glomerular filtration rate; SGLT2, </w:t>
      </w:r>
      <w:r w:rsidRPr="00EF5966">
        <w:t>sodium-glucose co-transporter 2</w:t>
      </w:r>
      <w:r>
        <w:t>;</w:t>
      </w:r>
    </w:p>
    <w:p w14:paraId="56DBB67D" w14:textId="77777777" w:rsidR="00276253" w:rsidRDefault="001A4EBC" w:rsidP="001A4EBC">
      <w:pPr>
        <w:pStyle w:val="COMTablefooter"/>
      </w:pPr>
      <w:r w:rsidRPr="00B619A1">
        <w:rPr>
          <w:vertAlign w:val="superscript"/>
        </w:rPr>
        <w:t>a</w:t>
      </w:r>
      <w:r>
        <w:t xml:space="preserve"> </w:t>
      </w:r>
      <w:r w:rsidRPr="00264A65">
        <w:t>Chronic Kidney Disease Management in Primary Care</w:t>
      </w:r>
      <w:r>
        <w:t xml:space="preserve">, </w:t>
      </w:r>
      <w:r w:rsidRPr="00264A65">
        <w:t>Kidney Health Australia (</w:t>
      </w:r>
      <w:r>
        <w:t>2024</w:t>
      </w:r>
      <w:r w:rsidRPr="00264A65">
        <w:t>)</w:t>
      </w:r>
      <w:r>
        <w:t>.</w:t>
      </w:r>
    </w:p>
    <w:p w14:paraId="664DA04F" w14:textId="77777777" w:rsidR="00276253" w:rsidRDefault="001A4EBC" w:rsidP="001A4EBC">
      <w:pPr>
        <w:pStyle w:val="COMTablefooter"/>
      </w:pPr>
      <w:r w:rsidRPr="00B619A1">
        <w:rPr>
          <w:vertAlign w:val="superscript"/>
        </w:rPr>
        <w:t>b</w:t>
      </w:r>
      <w:r>
        <w:t xml:space="preserve"> CARI</w:t>
      </w:r>
      <w:r w:rsidRPr="00B83550">
        <w:t xml:space="preserve"> Guidelines: Australian and New Zealand living guideline for chronic kidney disease</w:t>
      </w:r>
      <w:r>
        <w:t xml:space="preserve"> (2024).</w:t>
      </w:r>
    </w:p>
    <w:p w14:paraId="6DAC7DF6" w14:textId="77777777" w:rsidR="00276253" w:rsidRDefault="001A4EBC" w:rsidP="001A4EBC">
      <w:pPr>
        <w:pStyle w:val="COMTablefooter"/>
      </w:pPr>
      <w:r w:rsidRPr="00B619A1">
        <w:rPr>
          <w:vertAlign w:val="superscript"/>
        </w:rPr>
        <w:t>c</w:t>
      </w:r>
      <w:r>
        <w:t xml:space="preserve"> KDIGO Clinical Practice Guideline for the Evaluation and Management of Chronic Kidney Disease (2024).</w:t>
      </w:r>
    </w:p>
    <w:p w14:paraId="05C3627A" w14:textId="77777777" w:rsidR="00276253" w:rsidRDefault="001A4EBC" w:rsidP="001A4EBC">
      <w:pPr>
        <w:pStyle w:val="COMTablefooter"/>
      </w:pPr>
      <w:r w:rsidRPr="00B619A1">
        <w:rPr>
          <w:vertAlign w:val="superscript"/>
        </w:rPr>
        <w:t>d</w:t>
      </w:r>
      <w:r>
        <w:t xml:space="preserve"> Roddick et al. (2023), UK Kidney Association Clinical Practice Guideline: Sodium</w:t>
      </w:r>
      <w:r>
        <w:rPr>
          <w:rFonts w:ascii="Cambria Math" w:hAnsi="Cambria Math" w:cs="Cambria Math"/>
        </w:rPr>
        <w:t>‑</w:t>
      </w:r>
      <w:r>
        <w:t>Glucose Co</w:t>
      </w:r>
      <w:r>
        <w:rPr>
          <w:rFonts w:ascii="Cambria Math" w:hAnsi="Cambria Math" w:cs="Cambria Math"/>
        </w:rPr>
        <w:t>‑</w:t>
      </w:r>
      <w:r>
        <w:t>transporter</w:t>
      </w:r>
      <w:r>
        <w:rPr>
          <w:rFonts w:ascii="Cambria Math" w:hAnsi="Cambria Math" w:cs="Cambria Math"/>
        </w:rPr>
        <w:t>‑</w:t>
      </w:r>
      <w:r>
        <w:t>2 (SGLT</w:t>
      </w:r>
      <w:r>
        <w:rPr>
          <w:rFonts w:ascii="Cambria Math" w:hAnsi="Cambria Math" w:cs="Cambria Math"/>
        </w:rPr>
        <w:t>‑</w:t>
      </w:r>
      <w:r>
        <w:t>2) Inhibition in Adults with Kidney Disease 2023 UPDATE.</w:t>
      </w:r>
    </w:p>
    <w:p w14:paraId="4841069B" w14:textId="60931617" w:rsidR="001A4EBC" w:rsidRDefault="001A4EBC" w:rsidP="001A4EBC">
      <w:pPr>
        <w:pStyle w:val="COMTablefooter"/>
      </w:pPr>
      <w:r w:rsidRPr="00A838CE">
        <w:rPr>
          <w:vertAlign w:val="superscript"/>
        </w:rPr>
        <w:t>e</w:t>
      </w:r>
      <w:r>
        <w:t xml:space="preserve"> Mark et al. (2023), </w:t>
      </w:r>
      <w:r w:rsidRPr="00A838CE">
        <w:t>SGLT2i for evidence-based cardiorenal protection in diabetic and non-diabetic chronic kidney disease</w:t>
      </w:r>
      <w:r>
        <w:t>.</w:t>
      </w:r>
    </w:p>
    <w:p w14:paraId="20D26D19" w14:textId="3EB1E845" w:rsidR="00C875F4" w:rsidRPr="00C875F4" w:rsidRDefault="00C875F4" w:rsidP="00C875F4">
      <w:pPr>
        <w:pStyle w:val="COMexecsummnumbered"/>
        <w:numPr>
          <w:ilvl w:val="0"/>
          <w:numId w:val="0"/>
        </w:numPr>
        <w:ind w:left="720"/>
        <w:rPr>
          <w:b/>
        </w:rPr>
      </w:pPr>
      <w:r w:rsidRPr="00C875F4">
        <w:rPr>
          <w:bCs/>
          <w:i/>
          <w:iCs/>
        </w:rPr>
        <w:t>For more detail on PBAC’s view, see section 7 PBAC outcome</w:t>
      </w:r>
      <w:r w:rsidRPr="009266AF">
        <w:rPr>
          <w:b/>
        </w:rPr>
        <w:t>.</w:t>
      </w:r>
    </w:p>
    <w:p w14:paraId="51E5AE96" w14:textId="136A63B1" w:rsidR="00B50DB8" w:rsidRPr="0098262F" w:rsidRDefault="00B50DB8" w:rsidP="004E18E9">
      <w:pPr>
        <w:pStyle w:val="COMH1-numbered"/>
      </w:pPr>
      <w:bookmarkStart w:id="16" w:name="_Toc193277445"/>
      <w:r w:rsidRPr="0098262F">
        <w:t>Comparator</w:t>
      </w:r>
      <w:bookmarkEnd w:id="16"/>
    </w:p>
    <w:p w14:paraId="59D8E2C7" w14:textId="77777777" w:rsidR="00237F76" w:rsidRPr="00237F76" w:rsidRDefault="009C6B98" w:rsidP="009C6B98">
      <w:pPr>
        <w:pStyle w:val="COMexecsummnumbered"/>
        <w:rPr>
          <w:i/>
          <w:iCs/>
        </w:rPr>
      </w:pPr>
      <w:r w:rsidRPr="0098262F">
        <w:t xml:space="preserve">The </w:t>
      </w:r>
      <w:r>
        <w:t>resubmission</w:t>
      </w:r>
      <w:r w:rsidRPr="0098262F">
        <w:t xml:space="preserve"> nominated </w:t>
      </w:r>
      <w:r w:rsidRPr="00933708">
        <w:t xml:space="preserve">placebo (add-on to </w:t>
      </w:r>
      <w:r>
        <w:t>standard care</w:t>
      </w:r>
      <w:r w:rsidRPr="00933708">
        <w:t>)</w:t>
      </w:r>
      <w:r>
        <w:t xml:space="preserve"> </w:t>
      </w:r>
      <w:r w:rsidRPr="0098262F">
        <w:t xml:space="preserve">as the main comparator. </w:t>
      </w:r>
      <w:r>
        <w:t>Standard care was defined as including treatment with an ACE inhibitor or ARB, consistent with current clinical practice in the Australian setting and the treatment regimen used in the key clinical trial (EMPA-KIDNEY).</w:t>
      </w:r>
    </w:p>
    <w:p w14:paraId="76058258" w14:textId="7849532A" w:rsidR="009C6B98" w:rsidRDefault="003C14C3" w:rsidP="009C6B98">
      <w:pPr>
        <w:pStyle w:val="COMexecsummnumbered"/>
      </w:pPr>
      <w:bookmarkStart w:id="17" w:name="_Ref198826528"/>
      <w:r w:rsidRPr="004C0BD8">
        <w:t xml:space="preserve">The PBAC previously accepted placebo as the appropriate comparator for the incremental population (para 7.19, </w:t>
      </w:r>
      <w:r w:rsidR="006F2663" w:rsidRPr="004C0BD8">
        <w:t>empagliflozin PSD</w:t>
      </w:r>
      <w:r w:rsidRPr="004C0BD8">
        <w:t>, November 2023 PBAC meeting).</w:t>
      </w:r>
      <w:bookmarkEnd w:id="17"/>
    </w:p>
    <w:p w14:paraId="4E658B04" w14:textId="65D545A1" w:rsidR="00C875F4" w:rsidRPr="00C875F4" w:rsidRDefault="00C875F4" w:rsidP="00C875F4">
      <w:pPr>
        <w:pStyle w:val="COMexecsummnumbered"/>
        <w:numPr>
          <w:ilvl w:val="0"/>
          <w:numId w:val="0"/>
        </w:numPr>
        <w:ind w:left="720"/>
        <w:rPr>
          <w:b/>
        </w:rPr>
      </w:pPr>
      <w:r w:rsidRPr="00C875F4">
        <w:rPr>
          <w:bCs/>
          <w:i/>
          <w:iCs/>
        </w:rPr>
        <w:t>For more detail on PBAC’s view, see section 7 PBAC outcome</w:t>
      </w:r>
      <w:r w:rsidRPr="009266AF">
        <w:rPr>
          <w:b/>
        </w:rPr>
        <w:t>.</w:t>
      </w:r>
    </w:p>
    <w:p w14:paraId="7F9C27C8" w14:textId="53C650C1" w:rsidR="00223D5A" w:rsidRPr="0098262F" w:rsidRDefault="00223D5A" w:rsidP="00957F6E">
      <w:pPr>
        <w:pStyle w:val="COMH1-numbered"/>
      </w:pPr>
      <w:bookmarkStart w:id="18" w:name="_Toc193277446"/>
      <w:bookmarkStart w:id="19" w:name="_Toc22897640"/>
      <w:r w:rsidRPr="0098262F">
        <w:lastRenderedPageBreak/>
        <w:t>Consideration of the evidence</w:t>
      </w:r>
      <w:bookmarkEnd w:id="18"/>
    </w:p>
    <w:p w14:paraId="0061E044" w14:textId="77777777" w:rsidR="00203564" w:rsidRPr="006E1229" w:rsidRDefault="00203564" w:rsidP="00203564">
      <w:pPr>
        <w:pStyle w:val="COMH2-non-numbered"/>
      </w:pPr>
      <w:bookmarkStart w:id="20" w:name="_Toc193277447"/>
      <w:r w:rsidRPr="006E1229">
        <w:t>Sponsor hearing</w:t>
      </w:r>
    </w:p>
    <w:p w14:paraId="3CA56121" w14:textId="7B06A799" w:rsidR="00A6358B" w:rsidRPr="001F045F" w:rsidRDefault="001217F8" w:rsidP="00957F6E">
      <w:pPr>
        <w:pStyle w:val="COMexecsummnumbered"/>
        <w:rPr>
          <w:bCs/>
          <w:i/>
          <w:iCs/>
        </w:rPr>
      </w:pPr>
      <w:r w:rsidRPr="001F045F">
        <w:rPr>
          <w:bCs/>
          <w:iCs/>
        </w:rPr>
        <w:t>The sponsor requested a hearing for this item</w:t>
      </w:r>
      <w:r w:rsidR="001915A6" w:rsidRPr="001F045F">
        <w:rPr>
          <w:bCs/>
          <w:iCs/>
        </w:rPr>
        <w:t>.</w:t>
      </w:r>
      <w:r w:rsidR="003A7CD1" w:rsidRPr="001F045F">
        <w:rPr>
          <w:bCs/>
          <w:iCs/>
        </w:rPr>
        <w:t xml:space="preserve"> </w:t>
      </w:r>
      <w:r w:rsidR="00203154">
        <w:rPr>
          <w:bCs/>
          <w:iCs/>
        </w:rPr>
        <w:t>T</w:t>
      </w:r>
      <w:r w:rsidRPr="001F045F">
        <w:rPr>
          <w:bCs/>
          <w:iCs/>
        </w:rPr>
        <w:t>he clinician</w:t>
      </w:r>
      <w:r w:rsidR="007C53D5" w:rsidRPr="001F045F">
        <w:rPr>
          <w:bCs/>
          <w:iCs/>
        </w:rPr>
        <w:t xml:space="preserve"> </w:t>
      </w:r>
      <w:r w:rsidR="00355888" w:rsidRPr="001F045F">
        <w:rPr>
          <w:bCs/>
          <w:iCs/>
        </w:rPr>
        <w:t xml:space="preserve">noted </w:t>
      </w:r>
      <w:r w:rsidR="00CA6B26" w:rsidRPr="001F045F">
        <w:rPr>
          <w:bCs/>
          <w:iCs/>
        </w:rPr>
        <w:t xml:space="preserve">published </w:t>
      </w:r>
      <w:r w:rsidR="00355888" w:rsidRPr="001F045F">
        <w:rPr>
          <w:bCs/>
          <w:iCs/>
        </w:rPr>
        <w:t>evidence of ongoing benefit</w:t>
      </w:r>
      <w:r w:rsidR="007D4D22" w:rsidRPr="001F045F">
        <w:rPr>
          <w:bCs/>
          <w:iCs/>
        </w:rPr>
        <w:t xml:space="preserve"> in people randomised to the active arm of the </w:t>
      </w:r>
      <w:r w:rsidR="005A49CC">
        <w:rPr>
          <w:bCs/>
          <w:iCs/>
        </w:rPr>
        <w:t xml:space="preserve">EMPA-KIDNEY </w:t>
      </w:r>
      <w:r w:rsidR="00766D69" w:rsidRPr="001F045F">
        <w:rPr>
          <w:bCs/>
          <w:iCs/>
        </w:rPr>
        <w:t>trial during</w:t>
      </w:r>
      <w:r w:rsidR="00552113" w:rsidRPr="001F045F">
        <w:rPr>
          <w:bCs/>
          <w:iCs/>
        </w:rPr>
        <w:t xml:space="preserve"> two year</w:t>
      </w:r>
      <w:r w:rsidR="00766D69" w:rsidRPr="001F045F">
        <w:rPr>
          <w:bCs/>
          <w:iCs/>
        </w:rPr>
        <w:t>s of</w:t>
      </w:r>
      <w:r w:rsidR="00552113" w:rsidRPr="001F045F">
        <w:rPr>
          <w:bCs/>
          <w:iCs/>
        </w:rPr>
        <w:t xml:space="preserve"> extended follow up</w:t>
      </w:r>
      <w:r w:rsidR="0051506D">
        <w:rPr>
          <w:bCs/>
          <w:iCs/>
        </w:rPr>
        <w:t>.</w:t>
      </w:r>
      <w:r w:rsidR="00C45462">
        <w:rPr>
          <w:rStyle w:val="FootnoteReference"/>
          <w:bCs/>
          <w:iCs/>
        </w:rPr>
        <w:footnoteReference w:id="3"/>
      </w:r>
      <w:r w:rsidR="00D34A92">
        <w:rPr>
          <w:bCs/>
          <w:iCs/>
        </w:rPr>
        <w:t xml:space="preserve"> It was noted</w:t>
      </w:r>
      <w:r w:rsidR="009B69F8">
        <w:rPr>
          <w:bCs/>
          <w:iCs/>
        </w:rPr>
        <w:t xml:space="preserve"> </w:t>
      </w:r>
      <w:r w:rsidR="00FD0C1D" w:rsidRPr="001F045F">
        <w:rPr>
          <w:bCs/>
          <w:iCs/>
        </w:rPr>
        <w:t xml:space="preserve">event rates </w:t>
      </w:r>
      <w:r w:rsidR="00F86165" w:rsidRPr="001F045F">
        <w:rPr>
          <w:bCs/>
          <w:iCs/>
        </w:rPr>
        <w:t xml:space="preserve">approximately </w:t>
      </w:r>
      <w:r w:rsidR="00FD0C1D" w:rsidRPr="001F045F">
        <w:rPr>
          <w:bCs/>
          <w:iCs/>
        </w:rPr>
        <w:t>double</w:t>
      </w:r>
      <w:r w:rsidR="00D833EE">
        <w:rPr>
          <w:bCs/>
          <w:iCs/>
        </w:rPr>
        <w:t>d</w:t>
      </w:r>
      <w:r w:rsidR="00F561C1" w:rsidRPr="001F045F">
        <w:rPr>
          <w:bCs/>
          <w:iCs/>
        </w:rPr>
        <w:t xml:space="preserve"> in this extended follow up </w:t>
      </w:r>
      <w:r w:rsidR="00D833EE">
        <w:rPr>
          <w:bCs/>
          <w:iCs/>
        </w:rPr>
        <w:t xml:space="preserve">period </w:t>
      </w:r>
      <w:r w:rsidR="00F561C1" w:rsidRPr="001F045F">
        <w:rPr>
          <w:bCs/>
          <w:iCs/>
        </w:rPr>
        <w:t>compared to</w:t>
      </w:r>
      <w:r w:rsidR="00FD0C1D" w:rsidRPr="001F045F">
        <w:rPr>
          <w:bCs/>
          <w:iCs/>
        </w:rPr>
        <w:t xml:space="preserve"> those observed at conclusion of </w:t>
      </w:r>
      <w:r w:rsidR="009B69F8">
        <w:rPr>
          <w:bCs/>
          <w:iCs/>
        </w:rPr>
        <w:t xml:space="preserve">the </w:t>
      </w:r>
      <w:r w:rsidR="00FD0C1D" w:rsidRPr="001F045F">
        <w:rPr>
          <w:bCs/>
          <w:iCs/>
        </w:rPr>
        <w:t>t</w:t>
      </w:r>
      <w:r w:rsidR="00F561C1" w:rsidRPr="001F045F">
        <w:rPr>
          <w:bCs/>
          <w:iCs/>
        </w:rPr>
        <w:t>rial</w:t>
      </w:r>
      <w:r w:rsidR="00BB3819">
        <w:rPr>
          <w:bCs/>
          <w:iCs/>
        </w:rPr>
        <w:t xml:space="preserve">, </w:t>
      </w:r>
      <w:r w:rsidR="00D34A92">
        <w:rPr>
          <w:bCs/>
          <w:iCs/>
        </w:rPr>
        <w:t>and</w:t>
      </w:r>
      <w:r w:rsidR="00BB3819">
        <w:rPr>
          <w:bCs/>
          <w:iCs/>
        </w:rPr>
        <w:t xml:space="preserve"> </w:t>
      </w:r>
      <w:r w:rsidR="00BB3819" w:rsidRPr="00BB3819">
        <w:rPr>
          <w:bCs/>
          <w:iCs/>
        </w:rPr>
        <w:t>people with low levels of albuminuria benefit</w:t>
      </w:r>
      <w:r w:rsidR="00D34A92">
        <w:rPr>
          <w:bCs/>
          <w:iCs/>
        </w:rPr>
        <w:t>ed</w:t>
      </w:r>
      <w:r w:rsidR="00BB3819" w:rsidRPr="00BB3819">
        <w:rPr>
          <w:bCs/>
          <w:iCs/>
        </w:rPr>
        <w:t xml:space="preserve"> </w:t>
      </w:r>
      <w:r w:rsidR="00D34A92">
        <w:rPr>
          <w:bCs/>
          <w:iCs/>
        </w:rPr>
        <w:t>from</w:t>
      </w:r>
      <w:r w:rsidR="00BB3819" w:rsidRPr="00BB3819">
        <w:rPr>
          <w:bCs/>
          <w:iCs/>
        </w:rPr>
        <w:t xml:space="preserve"> </w:t>
      </w:r>
      <w:r w:rsidR="00D833EE">
        <w:rPr>
          <w:bCs/>
          <w:iCs/>
        </w:rPr>
        <w:t>ongoing treatment</w:t>
      </w:r>
      <w:r w:rsidR="00542354" w:rsidRPr="001F045F">
        <w:rPr>
          <w:bCs/>
          <w:iCs/>
        </w:rPr>
        <w:t>.</w:t>
      </w:r>
    </w:p>
    <w:p w14:paraId="6F7B3CFF" w14:textId="77777777" w:rsidR="00276253" w:rsidRDefault="00FD3B27" w:rsidP="001217F8">
      <w:pPr>
        <w:pStyle w:val="COMexecsummnumbered"/>
        <w:rPr>
          <w:bCs/>
        </w:rPr>
      </w:pPr>
      <w:r w:rsidRPr="00245EE6">
        <w:rPr>
          <w:rFonts w:cs="Arial"/>
          <w:bCs/>
          <w:snapToGrid w:val="0"/>
        </w:rPr>
        <w:t xml:space="preserve">The PBAC considered that the hearing was </w:t>
      </w:r>
      <w:r w:rsidR="00ED0348">
        <w:rPr>
          <w:rFonts w:cs="Arial"/>
          <w:bCs/>
          <w:snapToGrid w:val="0"/>
        </w:rPr>
        <w:t>supportive of the evidence pr</w:t>
      </w:r>
      <w:r w:rsidR="0052362E">
        <w:rPr>
          <w:rFonts w:cs="Arial"/>
          <w:bCs/>
          <w:snapToGrid w:val="0"/>
        </w:rPr>
        <w:t>ovided in the submission</w:t>
      </w:r>
      <w:r w:rsidR="00245EE6" w:rsidRPr="00245EE6">
        <w:rPr>
          <w:bCs/>
        </w:rPr>
        <w:t>.</w:t>
      </w:r>
    </w:p>
    <w:p w14:paraId="707F65EF" w14:textId="153A0FC2" w:rsidR="00D06C5B" w:rsidRDefault="00D06C5B" w:rsidP="001233BE">
      <w:pPr>
        <w:pStyle w:val="COMH2-non-numbered"/>
        <w:rPr>
          <w:bCs/>
          <w:i w:val="0"/>
          <w:iCs/>
        </w:rPr>
      </w:pPr>
      <w:r w:rsidRPr="001233BE">
        <w:t>Consumer Comments</w:t>
      </w:r>
    </w:p>
    <w:p w14:paraId="5E154353" w14:textId="1C81ACBA" w:rsidR="003A04FC" w:rsidRPr="00245EE6" w:rsidRDefault="003A04FC" w:rsidP="003A04FC">
      <w:pPr>
        <w:pStyle w:val="COMexecsummnumbered"/>
        <w:rPr>
          <w:rFonts w:cs="Arial"/>
          <w:bCs/>
          <w:snapToGrid w:val="0"/>
        </w:rPr>
      </w:pPr>
      <w:r w:rsidRPr="00245EE6">
        <w:rPr>
          <w:rFonts w:cs="Arial"/>
          <w:bCs/>
          <w:snapToGrid w:val="0"/>
        </w:rPr>
        <w:t xml:space="preserve">The PBAC noted and welcomed the input from </w:t>
      </w:r>
      <w:r w:rsidR="00B9721D" w:rsidRPr="00245EE6">
        <w:rPr>
          <w:rFonts w:cs="Arial"/>
          <w:bCs/>
          <w:snapToGrid w:val="0"/>
        </w:rPr>
        <w:t>two</w:t>
      </w:r>
      <w:r w:rsidRPr="00245EE6">
        <w:rPr>
          <w:rFonts w:cs="Arial"/>
          <w:bCs/>
          <w:snapToGrid w:val="0"/>
        </w:rPr>
        <w:t xml:space="preserve"> health care professionals</w:t>
      </w:r>
      <w:r w:rsidR="00C74ED6" w:rsidRPr="00245EE6">
        <w:rPr>
          <w:rFonts w:cs="Arial"/>
          <w:bCs/>
          <w:snapToGrid w:val="0"/>
        </w:rPr>
        <w:t xml:space="preserve"> as well as</w:t>
      </w:r>
      <w:r w:rsidR="00B9721D" w:rsidRPr="00245EE6">
        <w:rPr>
          <w:rFonts w:cs="Arial"/>
          <w:bCs/>
          <w:snapToGrid w:val="0"/>
        </w:rPr>
        <w:t xml:space="preserve"> </w:t>
      </w:r>
      <w:r w:rsidR="00C74ED6" w:rsidRPr="00245EE6">
        <w:rPr>
          <w:rFonts w:cs="Arial"/>
          <w:bCs/>
          <w:snapToGrid w:val="0"/>
        </w:rPr>
        <w:t>one</w:t>
      </w:r>
      <w:r w:rsidR="00D9754F" w:rsidRPr="00245EE6">
        <w:rPr>
          <w:rFonts w:cs="Arial"/>
          <w:bCs/>
          <w:snapToGrid w:val="0"/>
        </w:rPr>
        <w:t xml:space="preserve"> consumer group and one</w:t>
      </w:r>
      <w:r w:rsidR="00C74ED6" w:rsidRPr="00245EE6">
        <w:rPr>
          <w:rFonts w:cs="Arial"/>
          <w:bCs/>
          <w:snapToGrid w:val="0"/>
        </w:rPr>
        <w:t xml:space="preserve"> medical </w:t>
      </w:r>
      <w:r w:rsidRPr="00245EE6">
        <w:rPr>
          <w:rFonts w:cs="Arial"/>
          <w:bCs/>
          <w:snapToGrid w:val="0"/>
        </w:rPr>
        <w:t xml:space="preserve">organisation via the Consumer Comments facility on the PBS website. The comments </w:t>
      </w:r>
      <w:r w:rsidR="00D9754F" w:rsidRPr="00245EE6">
        <w:rPr>
          <w:rFonts w:cs="Arial"/>
          <w:bCs/>
          <w:snapToGrid w:val="0"/>
        </w:rPr>
        <w:t xml:space="preserve">from the health care professionals </w:t>
      </w:r>
      <w:r w:rsidR="00876384" w:rsidRPr="00245EE6">
        <w:rPr>
          <w:rFonts w:cs="Arial"/>
          <w:bCs/>
          <w:snapToGrid w:val="0"/>
        </w:rPr>
        <w:t xml:space="preserve">supported the </w:t>
      </w:r>
      <w:r w:rsidR="004959C4" w:rsidRPr="00245EE6">
        <w:rPr>
          <w:rFonts w:cs="Arial"/>
          <w:bCs/>
          <w:snapToGrid w:val="0"/>
        </w:rPr>
        <w:t>reimbursement for empagliflozin specifically and SGLT2i medication</w:t>
      </w:r>
      <w:r w:rsidR="000375F4" w:rsidRPr="00245EE6">
        <w:rPr>
          <w:rFonts w:cs="Arial"/>
          <w:bCs/>
          <w:snapToGrid w:val="0"/>
        </w:rPr>
        <w:t>s more generally to delay prog</w:t>
      </w:r>
      <w:r w:rsidR="00ED3E31" w:rsidRPr="00245EE6">
        <w:rPr>
          <w:rFonts w:cs="Arial"/>
          <w:bCs/>
          <w:snapToGrid w:val="0"/>
        </w:rPr>
        <w:t>r</w:t>
      </w:r>
      <w:r w:rsidR="000375F4" w:rsidRPr="00245EE6">
        <w:rPr>
          <w:rFonts w:cs="Arial"/>
          <w:bCs/>
          <w:snapToGrid w:val="0"/>
        </w:rPr>
        <w:t>ession of kidney disease</w:t>
      </w:r>
      <w:r w:rsidR="00E6717E" w:rsidRPr="00245EE6">
        <w:rPr>
          <w:rFonts w:cs="Arial"/>
          <w:bCs/>
          <w:snapToGrid w:val="0"/>
        </w:rPr>
        <w:t>.</w:t>
      </w:r>
      <w:r w:rsidR="0059208D" w:rsidRPr="00245EE6">
        <w:rPr>
          <w:rFonts w:cs="Arial"/>
          <w:bCs/>
          <w:snapToGrid w:val="0"/>
        </w:rPr>
        <w:t xml:space="preserve"> </w:t>
      </w:r>
      <w:r w:rsidR="00BA18FF" w:rsidRPr="00245EE6">
        <w:rPr>
          <w:rFonts w:cs="Arial"/>
          <w:bCs/>
          <w:snapToGrid w:val="0"/>
        </w:rPr>
        <w:t>The b</w:t>
      </w:r>
      <w:r w:rsidRPr="00245EE6">
        <w:rPr>
          <w:rFonts w:cs="Arial"/>
          <w:bCs/>
          <w:snapToGrid w:val="0"/>
        </w:rPr>
        <w:t xml:space="preserve">enefits of treatment </w:t>
      </w:r>
      <w:r w:rsidR="002F7254" w:rsidRPr="00245EE6">
        <w:rPr>
          <w:rFonts w:cs="Arial"/>
          <w:bCs/>
          <w:snapToGrid w:val="0"/>
        </w:rPr>
        <w:t>described included rescuing residual kidney function</w:t>
      </w:r>
      <w:r w:rsidR="00637970" w:rsidRPr="00245EE6">
        <w:rPr>
          <w:rFonts w:cs="Arial"/>
          <w:bCs/>
          <w:snapToGrid w:val="0"/>
        </w:rPr>
        <w:t xml:space="preserve">, reducing other morbidities and </w:t>
      </w:r>
      <w:r w:rsidR="00BA18FF" w:rsidRPr="00245EE6">
        <w:rPr>
          <w:rFonts w:cs="Arial"/>
          <w:bCs/>
          <w:snapToGrid w:val="0"/>
        </w:rPr>
        <w:t>reducing the costs of dialysis</w:t>
      </w:r>
      <w:r w:rsidR="000063E3">
        <w:rPr>
          <w:rFonts w:cs="Arial"/>
          <w:bCs/>
          <w:snapToGrid w:val="0"/>
        </w:rPr>
        <w:t>.</w:t>
      </w:r>
    </w:p>
    <w:p w14:paraId="59E36135" w14:textId="7F022976" w:rsidR="000D3E8B" w:rsidRPr="00E85FB8" w:rsidRDefault="00F06F75" w:rsidP="00C11725">
      <w:pPr>
        <w:pStyle w:val="COMexecsummnumbered"/>
        <w:rPr>
          <w:rFonts w:cs="Arial"/>
          <w:bCs/>
          <w:snapToGrid w:val="0"/>
        </w:rPr>
      </w:pPr>
      <w:r w:rsidRPr="00E85FB8">
        <w:rPr>
          <w:snapToGrid w:val="0"/>
        </w:rPr>
        <w:t>T</w:t>
      </w:r>
      <w:r w:rsidR="007D080D" w:rsidRPr="00E85FB8">
        <w:rPr>
          <w:snapToGrid w:val="0"/>
        </w:rPr>
        <w:t>he Australian Diabetes Society</w:t>
      </w:r>
      <w:r w:rsidRPr="00E85FB8">
        <w:rPr>
          <w:snapToGrid w:val="0"/>
        </w:rPr>
        <w:t xml:space="preserve"> </w:t>
      </w:r>
      <w:r w:rsidR="0099420E" w:rsidRPr="00E85FB8">
        <w:rPr>
          <w:rFonts w:cs="Arial"/>
          <w:bCs/>
          <w:snapToGrid w:val="0"/>
        </w:rPr>
        <w:t>s</w:t>
      </w:r>
      <w:r w:rsidR="00E62BFB" w:rsidRPr="00E85FB8">
        <w:rPr>
          <w:rFonts w:cs="Arial"/>
          <w:bCs/>
          <w:snapToGrid w:val="0"/>
        </w:rPr>
        <w:t>upported</w:t>
      </w:r>
      <w:r w:rsidR="00690532" w:rsidRPr="00E85FB8">
        <w:rPr>
          <w:rFonts w:cs="Arial"/>
          <w:bCs/>
          <w:snapToGrid w:val="0"/>
        </w:rPr>
        <w:t xml:space="preserve"> </w:t>
      </w:r>
      <w:r w:rsidR="00E85FB8" w:rsidRPr="00E85FB8">
        <w:rPr>
          <w:bCs/>
          <w:snapToGrid w:val="0"/>
        </w:rPr>
        <w:t xml:space="preserve">the indication of all SGLT2 inhibitors available in Australia to include CKD, according to the study outcome data </w:t>
      </w:r>
      <w:r w:rsidR="00F41816">
        <w:rPr>
          <w:rFonts w:cstheme="minorHAnsi"/>
          <w:bCs/>
          <w:snapToGrid w:val="0"/>
        </w:rPr>
        <w:t>—</w:t>
      </w:r>
      <w:r w:rsidR="00E85FB8" w:rsidRPr="00E85FB8">
        <w:rPr>
          <w:bCs/>
          <w:snapToGrid w:val="0"/>
        </w:rPr>
        <w:t xml:space="preserve"> an eGFR down to 20 ml/min/1.73 m</w:t>
      </w:r>
      <w:r w:rsidR="00E85FB8" w:rsidRPr="00E85FB8">
        <w:rPr>
          <w:bCs/>
          <w:snapToGrid w:val="0"/>
          <w:vertAlign w:val="superscript"/>
        </w:rPr>
        <w:t>2</w:t>
      </w:r>
      <w:r w:rsidR="00E85FB8" w:rsidRPr="00E85FB8">
        <w:rPr>
          <w:bCs/>
          <w:snapToGrid w:val="0"/>
        </w:rPr>
        <w:t xml:space="preserve"> or an albumin to creatinine</w:t>
      </w:r>
      <w:r w:rsidR="00F41816">
        <w:rPr>
          <w:bCs/>
          <w:snapToGrid w:val="0"/>
        </w:rPr>
        <w:t xml:space="preserve"> </w:t>
      </w:r>
      <w:r w:rsidR="00E85FB8" w:rsidRPr="00E85FB8">
        <w:rPr>
          <w:rFonts w:cs="Arial"/>
          <w:bCs/>
          <w:snapToGrid w:val="0"/>
        </w:rPr>
        <w:t>ration above 200 mg/g if eGFR is above 45 ml/min/1.73 m</w:t>
      </w:r>
      <w:r w:rsidR="00E85FB8" w:rsidRPr="00F41816">
        <w:rPr>
          <w:rFonts w:cs="Arial"/>
          <w:bCs/>
          <w:snapToGrid w:val="0"/>
          <w:vertAlign w:val="superscript"/>
        </w:rPr>
        <w:t>2</w:t>
      </w:r>
      <w:r w:rsidR="00E85FB8" w:rsidRPr="00E85FB8">
        <w:rPr>
          <w:rFonts w:cs="Arial"/>
          <w:bCs/>
          <w:snapToGrid w:val="0"/>
        </w:rPr>
        <w:t>.</w:t>
      </w:r>
      <w:r w:rsidR="005816D5" w:rsidRPr="00E85FB8">
        <w:rPr>
          <w:rFonts w:cs="Arial"/>
          <w:bCs/>
          <w:snapToGrid w:val="0"/>
        </w:rPr>
        <w:t xml:space="preserve"> </w:t>
      </w:r>
      <w:r w:rsidR="00F41816">
        <w:rPr>
          <w:rFonts w:cs="Arial"/>
          <w:bCs/>
          <w:snapToGrid w:val="0"/>
        </w:rPr>
        <w:t>The input further</w:t>
      </w:r>
      <w:r w:rsidR="002C6F0C" w:rsidRPr="00E85FB8">
        <w:rPr>
          <w:rFonts w:cs="Arial"/>
          <w:bCs/>
          <w:snapToGrid w:val="0"/>
        </w:rPr>
        <w:t xml:space="preserve"> </w:t>
      </w:r>
      <w:r w:rsidR="00287145">
        <w:rPr>
          <w:rFonts w:cs="Arial"/>
          <w:bCs/>
          <w:snapToGrid w:val="0"/>
        </w:rPr>
        <w:t>d</w:t>
      </w:r>
      <w:r w:rsidR="005A1BA5" w:rsidRPr="00E85FB8">
        <w:rPr>
          <w:rFonts w:cs="Arial"/>
          <w:bCs/>
          <w:snapToGrid w:val="0"/>
        </w:rPr>
        <w:t>escribed b</w:t>
      </w:r>
      <w:r w:rsidR="005002D9" w:rsidRPr="00E85FB8">
        <w:rPr>
          <w:rFonts w:cs="Arial"/>
          <w:bCs/>
          <w:snapToGrid w:val="0"/>
        </w:rPr>
        <w:t xml:space="preserve">enefits </w:t>
      </w:r>
      <w:r w:rsidR="00287145">
        <w:rPr>
          <w:rFonts w:cs="Arial"/>
          <w:bCs/>
          <w:snapToGrid w:val="0"/>
        </w:rPr>
        <w:t xml:space="preserve">on </w:t>
      </w:r>
      <w:r w:rsidR="00287145" w:rsidRPr="00E85FB8">
        <w:rPr>
          <w:rFonts w:cs="Arial"/>
          <w:bCs/>
          <w:snapToGrid w:val="0"/>
        </w:rPr>
        <w:t xml:space="preserve">the economy </w:t>
      </w:r>
      <w:r w:rsidR="005002D9" w:rsidRPr="00E85FB8">
        <w:rPr>
          <w:rFonts w:cs="Arial"/>
          <w:bCs/>
          <w:snapToGrid w:val="0"/>
        </w:rPr>
        <w:t xml:space="preserve">of </w:t>
      </w:r>
      <w:r w:rsidR="004B6FBB" w:rsidRPr="00E85FB8">
        <w:rPr>
          <w:rFonts w:cs="Arial"/>
          <w:bCs/>
          <w:snapToGrid w:val="0"/>
        </w:rPr>
        <w:t xml:space="preserve">expanding and funding </w:t>
      </w:r>
      <w:r w:rsidR="005002D9" w:rsidRPr="00E85FB8">
        <w:rPr>
          <w:rFonts w:cs="Arial"/>
          <w:bCs/>
          <w:snapToGrid w:val="0"/>
        </w:rPr>
        <w:t>SGL</w:t>
      </w:r>
      <w:r w:rsidR="00C24CC1" w:rsidRPr="00E85FB8">
        <w:rPr>
          <w:rFonts w:cs="Arial"/>
          <w:bCs/>
          <w:snapToGrid w:val="0"/>
        </w:rPr>
        <w:t>T2</w:t>
      </w:r>
      <w:r w:rsidR="00287145">
        <w:rPr>
          <w:rFonts w:cs="Arial"/>
          <w:bCs/>
          <w:snapToGrid w:val="0"/>
        </w:rPr>
        <w:t xml:space="preserve"> </w:t>
      </w:r>
      <w:r w:rsidR="00C24CC1" w:rsidRPr="00E85FB8">
        <w:rPr>
          <w:rFonts w:cs="Arial"/>
          <w:bCs/>
          <w:snapToGrid w:val="0"/>
        </w:rPr>
        <w:t>i</w:t>
      </w:r>
      <w:r w:rsidR="00287145">
        <w:rPr>
          <w:rFonts w:cs="Arial"/>
          <w:bCs/>
          <w:snapToGrid w:val="0"/>
        </w:rPr>
        <w:t>nhibitors</w:t>
      </w:r>
      <w:r w:rsidR="00C24CC1" w:rsidRPr="00E85FB8">
        <w:rPr>
          <w:rFonts w:cs="Arial"/>
          <w:bCs/>
          <w:snapToGrid w:val="0"/>
        </w:rPr>
        <w:t xml:space="preserve"> </w:t>
      </w:r>
      <w:r w:rsidR="004B6FBB" w:rsidRPr="00E85FB8">
        <w:rPr>
          <w:rFonts w:cs="Arial"/>
          <w:bCs/>
          <w:snapToGrid w:val="0"/>
        </w:rPr>
        <w:t xml:space="preserve">for </w:t>
      </w:r>
      <w:r w:rsidR="004E05F4" w:rsidRPr="00E85FB8">
        <w:rPr>
          <w:rFonts w:cs="Arial"/>
          <w:bCs/>
          <w:snapToGrid w:val="0"/>
        </w:rPr>
        <w:t xml:space="preserve">CKD </w:t>
      </w:r>
      <w:r w:rsidR="00E63C84" w:rsidRPr="00E85FB8">
        <w:rPr>
          <w:rFonts w:cs="Arial"/>
          <w:bCs/>
          <w:snapToGrid w:val="0"/>
        </w:rPr>
        <w:t>noting that</w:t>
      </w:r>
      <w:r w:rsidR="00526DB5" w:rsidRPr="00E85FB8">
        <w:rPr>
          <w:rFonts w:cs="Arial"/>
          <w:bCs/>
          <w:snapToGrid w:val="0"/>
        </w:rPr>
        <w:t xml:space="preserve"> according to</w:t>
      </w:r>
      <w:r w:rsidR="00D04B06" w:rsidRPr="00E85FB8">
        <w:rPr>
          <w:rFonts w:cs="Arial"/>
          <w:bCs/>
          <w:snapToGrid w:val="0"/>
        </w:rPr>
        <w:t xml:space="preserve"> AIHW (2023),</w:t>
      </w:r>
      <w:r w:rsidR="00E63C84" w:rsidRPr="00E85FB8">
        <w:rPr>
          <w:rFonts w:cs="Arial"/>
          <w:bCs/>
          <w:snapToGrid w:val="0"/>
        </w:rPr>
        <w:t xml:space="preserve"> </w:t>
      </w:r>
      <w:r w:rsidR="0040276E" w:rsidRPr="00E85FB8">
        <w:rPr>
          <w:rFonts w:cs="Arial"/>
          <w:bCs/>
          <w:snapToGrid w:val="0"/>
        </w:rPr>
        <w:t xml:space="preserve">$1.9 billion </w:t>
      </w:r>
      <w:r w:rsidR="007A778A" w:rsidRPr="00E85FB8">
        <w:rPr>
          <w:rFonts w:cs="Arial"/>
          <w:bCs/>
          <w:snapToGrid w:val="0"/>
        </w:rPr>
        <w:t>health system expenditure in 2020</w:t>
      </w:r>
      <w:r w:rsidR="00C85200">
        <w:rPr>
          <w:rFonts w:ascii="Symbol" w:eastAsia="Symbol" w:hAnsi="Symbol" w:cs="Symbol"/>
          <w:bCs/>
          <w:snapToGrid w:val="0"/>
        </w:rPr>
        <w:t>-</w:t>
      </w:r>
      <w:r w:rsidR="007A778A" w:rsidRPr="00E85FB8">
        <w:rPr>
          <w:rFonts w:cs="Arial"/>
          <w:bCs/>
          <w:snapToGrid w:val="0"/>
        </w:rPr>
        <w:t>21</w:t>
      </w:r>
      <w:r w:rsidR="00526DB5" w:rsidRPr="00E85FB8">
        <w:rPr>
          <w:rFonts w:cs="Arial"/>
          <w:bCs/>
          <w:snapToGrid w:val="0"/>
        </w:rPr>
        <w:t xml:space="preserve"> was attributable to CKD</w:t>
      </w:r>
      <w:r w:rsidR="00D04B06" w:rsidRPr="00E85FB8">
        <w:rPr>
          <w:rFonts w:cs="Arial"/>
          <w:bCs/>
          <w:snapToGrid w:val="0"/>
        </w:rPr>
        <w:t>.</w:t>
      </w:r>
    </w:p>
    <w:p w14:paraId="036B745F" w14:textId="77777777" w:rsidR="00276253" w:rsidRDefault="00D05134" w:rsidP="00C11725">
      <w:pPr>
        <w:pStyle w:val="COMexecsummnumbered"/>
        <w:rPr>
          <w:snapToGrid w:val="0"/>
        </w:rPr>
      </w:pPr>
      <w:r w:rsidRPr="003A433D">
        <w:rPr>
          <w:snapToGrid w:val="0"/>
        </w:rPr>
        <w:t>Kidney Health Australia</w:t>
      </w:r>
      <w:r w:rsidR="009E7540" w:rsidRPr="003A433D">
        <w:rPr>
          <w:snapToGrid w:val="0"/>
        </w:rPr>
        <w:t xml:space="preserve"> expressed support for </w:t>
      </w:r>
      <w:r w:rsidR="003C56B4" w:rsidRPr="003A433D">
        <w:rPr>
          <w:snapToGrid w:val="0"/>
        </w:rPr>
        <w:t>an expanded listing for empagliflozin</w:t>
      </w:r>
      <w:r w:rsidR="00E102FF" w:rsidRPr="003A433D">
        <w:rPr>
          <w:snapToGrid w:val="0"/>
        </w:rPr>
        <w:t xml:space="preserve"> </w:t>
      </w:r>
      <w:r w:rsidR="005F2CBF" w:rsidRPr="003A433D">
        <w:rPr>
          <w:snapToGrid w:val="0"/>
        </w:rPr>
        <w:t>noting that</w:t>
      </w:r>
      <w:r w:rsidR="003B1AE0" w:rsidRPr="003A433D">
        <w:rPr>
          <w:snapToGrid w:val="0"/>
        </w:rPr>
        <w:t xml:space="preserve"> </w:t>
      </w:r>
      <w:r w:rsidR="00EA38B3" w:rsidRPr="003A433D">
        <w:rPr>
          <w:snapToGrid w:val="0"/>
        </w:rPr>
        <w:t>all patients with CKD are at increased risk of disease progression and adverse cardiovascular outcomes</w:t>
      </w:r>
      <w:r w:rsidR="00B8520C" w:rsidRPr="003A433D">
        <w:rPr>
          <w:snapToGrid w:val="0"/>
        </w:rPr>
        <w:t xml:space="preserve"> </w:t>
      </w:r>
      <w:r w:rsidR="003A433D" w:rsidRPr="003A433D">
        <w:rPr>
          <w:snapToGrid w:val="0"/>
        </w:rPr>
        <w:t>and</w:t>
      </w:r>
      <w:r w:rsidR="0050795C" w:rsidRPr="003A433D">
        <w:rPr>
          <w:snapToGrid w:val="0"/>
        </w:rPr>
        <w:t xml:space="preserve"> </w:t>
      </w:r>
      <w:r w:rsidR="003A433D" w:rsidRPr="003A433D">
        <w:rPr>
          <w:rFonts w:cs="Arial"/>
          <w:bCs/>
          <w:snapToGrid w:val="0"/>
        </w:rPr>
        <w:t>this extends to the population of CKD patients who currently do not have reimbursed access to SGLT2 inhibitors. Despite the poor prognosis, the broader CKD</w:t>
      </w:r>
      <w:r w:rsidR="003A433D">
        <w:rPr>
          <w:rFonts w:cs="Arial"/>
          <w:bCs/>
          <w:snapToGrid w:val="0"/>
        </w:rPr>
        <w:t xml:space="preserve"> </w:t>
      </w:r>
      <w:r w:rsidR="003A433D" w:rsidRPr="003A433D">
        <w:rPr>
          <w:rFonts w:cs="Arial"/>
          <w:bCs/>
          <w:snapToGrid w:val="0"/>
        </w:rPr>
        <w:t>population have limited access to effective treatments that can modify their disease course</w:t>
      </w:r>
      <w:r w:rsidR="00372BB7" w:rsidRPr="003A433D">
        <w:rPr>
          <w:snapToGrid w:val="0"/>
        </w:rPr>
        <w:t>.</w:t>
      </w:r>
    </w:p>
    <w:p w14:paraId="63BF1F46" w14:textId="31B18C98" w:rsidR="0074283F" w:rsidRPr="003A433D" w:rsidRDefault="0074283F" w:rsidP="00C11725">
      <w:pPr>
        <w:pStyle w:val="COMexecsummnumbered"/>
        <w:rPr>
          <w:snapToGrid w:val="0"/>
        </w:rPr>
      </w:pPr>
      <w:r>
        <w:rPr>
          <w:snapToGrid w:val="0"/>
        </w:rPr>
        <w:t xml:space="preserve">The </w:t>
      </w:r>
      <w:r w:rsidRPr="0074283F">
        <w:rPr>
          <w:snapToGrid w:val="0"/>
        </w:rPr>
        <w:t xml:space="preserve">PBAC recollected the input from NACCHO for this item in November 2023 and noted the high incidence of disease amongst Aboriginal and Torres Strait Islander Peoples and the challenges to accessing renal physicians and lower transplant rates </w:t>
      </w:r>
      <w:r w:rsidRPr="0074283F">
        <w:rPr>
          <w:snapToGrid w:val="0"/>
        </w:rPr>
        <w:lastRenderedPageBreak/>
        <w:t>and therefore the additional benefits to be gained from increasing public funded treatment options for this population</w:t>
      </w:r>
    </w:p>
    <w:p w14:paraId="609C0765" w14:textId="6B92FF46" w:rsidR="00B60939" w:rsidRPr="0098262F" w:rsidRDefault="00B60939" w:rsidP="003D5DE7">
      <w:pPr>
        <w:pStyle w:val="COMH2-non-numbered"/>
      </w:pPr>
      <w:r w:rsidRPr="00000456">
        <w:t>Clinical trials</w:t>
      </w:r>
      <w:bookmarkEnd w:id="19"/>
      <w:bookmarkEnd w:id="20"/>
    </w:p>
    <w:p w14:paraId="37890BE1" w14:textId="77777777" w:rsidR="00276253" w:rsidRDefault="00E57DD7" w:rsidP="00E57DD7">
      <w:pPr>
        <w:pStyle w:val="COMexecsummnumbered"/>
      </w:pPr>
      <w:r w:rsidRPr="007E45F7">
        <w:t xml:space="preserve">The resubmission presented results of the EMPA-KIDNEY trial overall ITT population, </w:t>
      </w:r>
      <w:r w:rsidRPr="004C0BD8">
        <w:t>and post hoc</w:t>
      </w:r>
      <w:r w:rsidRPr="007E45F7">
        <w:t xml:space="preserve"> subgroup analyses of the EMPA-KIDNEY trial for the currently reimbursed overlap population, and the proposed PBS incremental population. </w:t>
      </w:r>
      <w:r w:rsidRPr="004C0BD8">
        <w:t>These analyses were previously considered by the PBAC at the November 2023 meeting.</w:t>
      </w:r>
    </w:p>
    <w:p w14:paraId="711DC069" w14:textId="7E9865DF" w:rsidR="00E57DD7" w:rsidRPr="007E45F7" w:rsidRDefault="00E57DD7" w:rsidP="00E57DD7">
      <w:pPr>
        <w:pStyle w:val="COMexecsummnumbered"/>
      </w:pPr>
      <w:r w:rsidRPr="007E45F7">
        <w:t xml:space="preserve">In addition, the resubmission presented new </w:t>
      </w:r>
      <w:r w:rsidRPr="007E45F7">
        <w:rPr>
          <w:i/>
          <w:iCs/>
        </w:rPr>
        <w:t>post hoc</w:t>
      </w:r>
      <w:r w:rsidRPr="007E45F7">
        <w:t xml:space="preserve"> analyses of the EMPA-KIDNEY trial not previously considered by the PBAC:</w:t>
      </w:r>
    </w:p>
    <w:p w14:paraId="1D6B765B" w14:textId="5800318A" w:rsidR="00E57DD7" w:rsidRPr="004C0BD8" w:rsidRDefault="00E57DD7" w:rsidP="00C03025">
      <w:pPr>
        <w:pStyle w:val="COMexecsummbulletlist"/>
        <w:ind w:hanging="357"/>
      </w:pPr>
      <w:r w:rsidRPr="004C0BD8">
        <w:t>Post hoc subgroup analyses of the primary and key secondary outcomes by baseline albuminuria (</w:t>
      </w:r>
      <w:r w:rsidR="00F156EF" w:rsidRPr="004C0BD8">
        <w:t>U</w:t>
      </w:r>
      <w:r w:rsidRPr="004C0BD8">
        <w:t xml:space="preserve">ACR &lt;200 mg/g and </w:t>
      </w:r>
      <w:r w:rsidR="00F156EF" w:rsidRPr="004C0BD8">
        <w:t>U</w:t>
      </w:r>
      <w:r w:rsidRPr="004C0BD8">
        <w:t>ACR ≥200 mg/g).</w:t>
      </w:r>
    </w:p>
    <w:p w14:paraId="3EA83E6D" w14:textId="3922A5C6" w:rsidR="00E57DD7" w:rsidRPr="004C0BD8" w:rsidRDefault="00E57DD7" w:rsidP="00C03025">
      <w:pPr>
        <w:pStyle w:val="COMexecsummbulletlist"/>
      </w:pPr>
      <w:r w:rsidRPr="004C0BD8">
        <w:t>Post hoc subgroup analyses of outcomes informing the economic analysis, for the proposed incremental subgroup</w:t>
      </w:r>
      <w:r w:rsidR="00F156EF" w:rsidRPr="004C0BD8">
        <w:t>, ITT population and UACR subgroups</w:t>
      </w:r>
      <w:r w:rsidRPr="004C0BD8">
        <w:t>.</w:t>
      </w:r>
    </w:p>
    <w:p w14:paraId="2B59ABAC" w14:textId="1A124DC9" w:rsidR="00862502" w:rsidRPr="004E2D16" w:rsidRDefault="00A73134" w:rsidP="004E2D16">
      <w:pPr>
        <w:pStyle w:val="COMexecsummnumbered"/>
        <w:rPr>
          <w:i/>
          <w:iCs/>
        </w:rPr>
      </w:pPr>
      <w:r w:rsidRPr="0098262F">
        <w:t xml:space="preserve">Details of the trial presented in the </w:t>
      </w:r>
      <w:r w:rsidR="00F6078F">
        <w:t>re</w:t>
      </w:r>
      <w:r w:rsidRPr="0098262F">
        <w:t xml:space="preserve">submission are provided in </w:t>
      </w:r>
      <w:r w:rsidR="00696EF9" w:rsidRPr="0098262F">
        <w:fldChar w:fldCharType="begin"/>
      </w:r>
      <w:r w:rsidR="00696EF9" w:rsidRPr="0098262F">
        <w:instrText xml:space="preserve"> REF _Ref104803956 \h </w:instrText>
      </w:r>
      <w:r w:rsidR="00696EF9" w:rsidRPr="0098262F">
        <w:fldChar w:fldCharType="separate"/>
      </w:r>
      <w:r w:rsidR="004A7850" w:rsidRPr="0098262F">
        <w:t xml:space="preserve">Table </w:t>
      </w:r>
      <w:r w:rsidR="004A7850">
        <w:rPr>
          <w:noProof/>
        </w:rPr>
        <w:t>4</w:t>
      </w:r>
      <w:r w:rsidR="00696EF9" w:rsidRPr="0098262F">
        <w:fldChar w:fldCharType="end"/>
      </w:r>
      <w:r w:rsidRPr="0098262F">
        <w:t>.</w:t>
      </w:r>
    </w:p>
    <w:p w14:paraId="7DE3A286" w14:textId="6517EC7C" w:rsidR="008E0D3C" w:rsidRDefault="00696EF9" w:rsidP="00B50F7F">
      <w:pPr>
        <w:pStyle w:val="COMtablefigcaption"/>
      </w:pPr>
      <w:bookmarkStart w:id="21" w:name="_Ref104803956"/>
      <w:r w:rsidRPr="0098262F">
        <w:t xml:space="preserve">Table </w:t>
      </w:r>
      <w:r w:rsidR="001154A7">
        <w:fldChar w:fldCharType="begin"/>
      </w:r>
      <w:r w:rsidR="001154A7">
        <w:instrText xml:space="preserve"> SEQ Table \* ARABIC </w:instrText>
      </w:r>
      <w:r w:rsidR="001154A7">
        <w:fldChar w:fldCharType="separate"/>
      </w:r>
      <w:r w:rsidR="004A7850">
        <w:rPr>
          <w:noProof/>
        </w:rPr>
        <w:t>4</w:t>
      </w:r>
      <w:r w:rsidR="001154A7">
        <w:rPr>
          <w:noProof/>
        </w:rPr>
        <w:fldChar w:fldCharType="end"/>
      </w:r>
      <w:bookmarkEnd w:id="21"/>
      <w:r w:rsidRPr="0098262F">
        <w:t>:</w:t>
      </w:r>
      <w:r w:rsidR="00BC591F" w:rsidRPr="00B50F7F">
        <w:t xml:space="preserve"> </w:t>
      </w:r>
      <w:r w:rsidR="008E0D3C" w:rsidRPr="00B50F7F">
        <w:t xml:space="preserve">Trial and associated reports presented in the </w:t>
      </w:r>
      <w:r w:rsidR="00E134BD">
        <w:t>re</w:t>
      </w:r>
      <w:r w:rsidR="008E0D3C" w:rsidRPr="00B50F7F">
        <w:t>submission</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1"/>
        <w:gridCol w:w="4961"/>
        <w:gridCol w:w="2792"/>
      </w:tblGrid>
      <w:tr w:rsidR="002A6E82" w:rsidRPr="001153AC" w14:paraId="66367EE4" w14:textId="77777777" w:rsidTr="005315BC">
        <w:trPr>
          <w:tblHeader/>
        </w:trPr>
        <w:tc>
          <w:tcPr>
            <w:tcW w:w="704" w:type="pct"/>
            <w:vAlign w:val="center"/>
          </w:tcPr>
          <w:p w14:paraId="4AB06813" w14:textId="77777777" w:rsidR="002A6E82" w:rsidRPr="002E0F4B" w:rsidRDefault="002A6E82" w:rsidP="006B1BCB">
            <w:pPr>
              <w:pStyle w:val="COMTabletext"/>
              <w:rPr>
                <w:b/>
                <w:bCs w:val="0"/>
              </w:rPr>
            </w:pPr>
            <w:r w:rsidRPr="002E0F4B">
              <w:rPr>
                <w:b/>
                <w:bCs w:val="0"/>
              </w:rPr>
              <w:t>Trial ID</w:t>
            </w:r>
          </w:p>
        </w:tc>
        <w:tc>
          <w:tcPr>
            <w:tcW w:w="2749" w:type="pct"/>
            <w:vAlign w:val="center"/>
          </w:tcPr>
          <w:p w14:paraId="6C956F33" w14:textId="77777777" w:rsidR="002A6E82" w:rsidRPr="002E0F4B" w:rsidRDefault="002A6E82" w:rsidP="006B1BCB">
            <w:pPr>
              <w:pStyle w:val="COMTabletext"/>
              <w:rPr>
                <w:b/>
                <w:bCs w:val="0"/>
              </w:rPr>
            </w:pPr>
            <w:r w:rsidRPr="002E0F4B">
              <w:rPr>
                <w:b/>
                <w:bCs w:val="0"/>
              </w:rPr>
              <w:t>Protocol title/ Publication title</w:t>
            </w:r>
          </w:p>
        </w:tc>
        <w:tc>
          <w:tcPr>
            <w:tcW w:w="1547" w:type="pct"/>
            <w:vAlign w:val="center"/>
          </w:tcPr>
          <w:p w14:paraId="3BD7F09D" w14:textId="77777777" w:rsidR="002A6E82" w:rsidRPr="002E0F4B" w:rsidRDefault="002A6E82" w:rsidP="006B1BCB">
            <w:pPr>
              <w:pStyle w:val="COMTabletext"/>
              <w:rPr>
                <w:b/>
                <w:bCs w:val="0"/>
              </w:rPr>
            </w:pPr>
            <w:r w:rsidRPr="002E0F4B">
              <w:rPr>
                <w:b/>
                <w:bCs w:val="0"/>
              </w:rPr>
              <w:t>Publication citation</w:t>
            </w:r>
          </w:p>
        </w:tc>
      </w:tr>
      <w:tr w:rsidR="002A6E82" w:rsidRPr="001153AC" w14:paraId="5DC9090D" w14:textId="77777777" w:rsidTr="005315BC">
        <w:tc>
          <w:tcPr>
            <w:tcW w:w="704" w:type="pct"/>
            <w:vMerge w:val="restart"/>
            <w:vAlign w:val="center"/>
          </w:tcPr>
          <w:p w14:paraId="4781DF50" w14:textId="32559D6D" w:rsidR="002A6E82" w:rsidRPr="00CD03CC" w:rsidRDefault="002A6E82" w:rsidP="002A6E82">
            <w:pPr>
              <w:pStyle w:val="COMTabletext"/>
            </w:pPr>
            <w:r w:rsidRPr="00CD03CC">
              <w:t>EMPA-KIDNEY</w:t>
            </w:r>
          </w:p>
        </w:tc>
        <w:tc>
          <w:tcPr>
            <w:tcW w:w="2749" w:type="pct"/>
            <w:tcBorders>
              <w:bottom w:val="nil"/>
            </w:tcBorders>
          </w:tcPr>
          <w:p w14:paraId="5C60CD03" w14:textId="77777777" w:rsidR="002A6E82" w:rsidRPr="00CD03CC" w:rsidRDefault="002A6E82" w:rsidP="002A6E82">
            <w:pPr>
              <w:pStyle w:val="COMTabletext"/>
              <w:spacing w:after="60"/>
            </w:pPr>
            <w:r w:rsidRPr="00CD03CC">
              <w:t>A multicentre international randomized parallel group double-blind placebo-controlled clinical trial of empagliflozin once daily to assess cardio-renal outcomes in patients with chronic kidney disease.</w:t>
            </w:r>
          </w:p>
        </w:tc>
        <w:tc>
          <w:tcPr>
            <w:tcW w:w="1547" w:type="pct"/>
            <w:tcBorders>
              <w:bottom w:val="nil"/>
            </w:tcBorders>
          </w:tcPr>
          <w:p w14:paraId="08A5DAD6" w14:textId="77777777" w:rsidR="002A6E82" w:rsidRPr="00CD03CC" w:rsidRDefault="002A6E82" w:rsidP="002A6E82">
            <w:pPr>
              <w:pStyle w:val="COMTabletext"/>
              <w:spacing w:after="60"/>
            </w:pPr>
            <w:r w:rsidRPr="00CD03CC">
              <w:t>Clinical Study Report, 28 October 2022.</w:t>
            </w:r>
          </w:p>
        </w:tc>
      </w:tr>
      <w:tr w:rsidR="002A6E82" w:rsidRPr="001153AC" w14:paraId="7965E53C" w14:textId="77777777" w:rsidTr="005315BC">
        <w:tc>
          <w:tcPr>
            <w:tcW w:w="704" w:type="pct"/>
            <w:vMerge/>
          </w:tcPr>
          <w:p w14:paraId="046D123D" w14:textId="6ED32CC5" w:rsidR="002A6E82" w:rsidRPr="00CD03CC" w:rsidRDefault="002A6E82" w:rsidP="006B1BCB">
            <w:pPr>
              <w:pStyle w:val="COMTabletext"/>
            </w:pPr>
          </w:p>
        </w:tc>
        <w:tc>
          <w:tcPr>
            <w:tcW w:w="2749" w:type="pct"/>
            <w:tcBorders>
              <w:top w:val="nil"/>
              <w:bottom w:val="nil"/>
            </w:tcBorders>
          </w:tcPr>
          <w:p w14:paraId="676171D1" w14:textId="74118B6A" w:rsidR="002A6E82" w:rsidRPr="00CD03CC" w:rsidRDefault="002A6E82" w:rsidP="002A6E82">
            <w:pPr>
              <w:pStyle w:val="COMTabletext"/>
              <w:spacing w:after="60"/>
            </w:pPr>
            <w:r w:rsidRPr="00CD03CC">
              <w:t xml:space="preserve">Herrington WG, </w:t>
            </w:r>
            <w:proofErr w:type="spellStart"/>
            <w:r w:rsidRPr="00CD03CC">
              <w:t>Staplin</w:t>
            </w:r>
            <w:proofErr w:type="spellEnd"/>
            <w:r w:rsidRPr="00CD03CC">
              <w:t xml:space="preserve"> N, Wanner C, et al. Empagliflozin in patients with chronic kidney disease.</w:t>
            </w:r>
          </w:p>
        </w:tc>
        <w:tc>
          <w:tcPr>
            <w:tcW w:w="1547" w:type="pct"/>
            <w:tcBorders>
              <w:top w:val="nil"/>
              <w:bottom w:val="nil"/>
            </w:tcBorders>
          </w:tcPr>
          <w:p w14:paraId="20585FF4" w14:textId="77777777" w:rsidR="002A6E82" w:rsidRPr="00CD03CC" w:rsidRDefault="002A6E82" w:rsidP="002A6E82">
            <w:pPr>
              <w:pStyle w:val="COMTabletext"/>
              <w:spacing w:after="60"/>
            </w:pPr>
            <w:r w:rsidRPr="00FD2D08">
              <w:rPr>
                <w:i/>
                <w:iCs/>
              </w:rPr>
              <w:t>New England Journal of Medicine</w:t>
            </w:r>
            <w:r w:rsidRPr="00CD03CC">
              <w:t xml:space="preserve"> 2023, 388(2):117-127.</w:t>
            </w:r>
          </w:p>
        </w:tc>
      </w:tr>
      <w:tr w:rsidR="002A6E82" w:rsidRPr="001153AC" w14:paraId="5ADB2286" w14:textId="77777777" w:rsidTr="005315BC">
        <w:trPr>
          <w:trHeight w:val="399"/>
        </w:trPr>
        <w:tc>
          <w:tcPr>
            <w:tcW w:w="704" w:type="pct"/>
            <w:vMerge/>
          </w:tcPr>
          <w:p w14:paraId="55182795" w14:textId="77777777" w:rsidR="002A6E82" w:rsidRPr="00CD03CC" w:rsidRDefault="002A6E82" w:rsidP="006B1BCB">
            <w:pPr>
              <w:pStyle w:val="COMTabletext"/>
            </w:pPr>
          </w:p>
        </w:tc>
        <w:tc>
          <w:tcPr>
            <w:tcW w:w="2749" w:type="pct"/>
            <w:tcBorders>
              <w:top w:val="nil"/>
              <w:bottom w:val="nil"/>
            </w:tcBorders>
          </w:tcPr>
          <w:p w14:paraId="1AB3517A" w14:textId="601E4FE0" w:rsidR="002A6E82" w:rsidRPr="00CD03CC" w:rsidRDefault="002A6E82" w:rsidP="002A6E82">
            <w:pPr>
              <w:pStyle w:val="COMTabletext"/>
              <w:spacing w:after="60"/>
            </w:pPr>
            <w:r w:rsidRPr="00CD03CC">
              <w:t xml:space="preserve">Herrington WG, Preiss D, Haynes R, et al. The potential for improving cardio-renal outcomes by sodium-glucose co-transporter-2 inhibition in people with chronic kidney disease: a rationale for the EMPA-KIDNEY study. </w:t>
            </w:r>
          </w:p>
        </w:tc>
        <w:tc>
          <w:tcPr>
            <w:tcW w:w="1547" w:type="pct"/>
            <w:tcBorders>
              <w:top w:val="nil"/>
              <w:bottom w:val="nil"/>
            </w:tcBorders>
          </w:tcPr>
          <w:p w14:paraId="6C4980B2" w14:textId="77777777" w:rsidR="002A6E82" w:rsidRPr="00CD03CC" w:rsidRDefault="002A6E82" w:rsidP="002A6E82">
            <w:pPr>
              <w:pStyle w:val="COMTabletext"/>
              <w:spacing w:after="60"/>
            </w:pPr>
            <w:r w:rsidRPr="00FD2D08">
              <w:rPr>
                <w:i/>
                <w:iCs/>
              </w:rPr>
              <w:t>Clinical Kidney Journal</w:t>
            </w:r>
            <w:r w:rsidRPr="00CD03CC">
              <w:t xml:space="preserve"> 2018, 11(6):749-761.</w:t>
            </w:r>
          </w:p>
        </w:tc>
      </w:tr>
      <w:tr w:rsidR="002A6E82" w:rsidRPr="001153AC" w14:paraId="47A97939" w14:textId="77777777" w:rsidTr="005315BC">
        <w:trPr>
          <w:trHeight w:val="399"/>
        </w:trPr>
        <w:tc>
          <w:tcPr>
            <w:tcW w:w="704" w:type="pct"/>
            <w:vMerge/>
            <w:tcBorders>
              <w:bottom w:val="single" w:sz="4" w:space="0" w:color="auto"/>
            </w:tcBorders>
          </w:tcPr>
          <w:p w14:paraId="23C8643F" w14:textId="77777777" w:rsidR="002A6E82" w:rsidRPr="00CD03CC" w:rsidRDefault="002A6E82" w:rsidP="006B1BCB">
            <w:pPr>
              <w:pStyle w:val="COMTabletext"/>
            </w:pPr>
          </w:p>
        </w:tc>
        <w:tc>
          <w:tcPr>
            <w:tcW w:w="2749" w:type="pct"/>
            <w:tcBorders>
              <w:top w:val="nil"/>
              <w:bottom w:val="single" w:sz="4" w:space="0" w:color="auto"/>
            </w:tcBorders>
          </w:tcPr>
          <w:p w14:paraId="59BA7823" w14:textId="4AB399FA" w:rsidR="002A6E82" w:rsidRPr="00CD03CC" w:rsidRDefault="002A6E82" w:rsidP="006B1BCB">
            <w:pPr>
              <w:pStyle w:val="COMTabletext"/>
            </w:pPr>
            <w:r w:rsidRPr="00CD03CC">
              <w:t>Her</w:t>
            </w:r>
            <w:r w:rsidR="00B9478E">
              <w:t>r</w:t>
            </w:r>
            <w:r w:rsidRPr="00CD03CC">
              <w:t xml:space="preserve">ington WG, Wanner C, Green JB, et al. Design, recruitment, and baseline characteristics of the EMPA-KIDNEY trial. </w:t>
            </w:r>
          </w:p>
        </w:tc>
        <w:tc>
          <w:tcPr>
            <w:tcW w:w="1547" w:type="pct"/>
            <w:tcBorders>
              <w:top w:val="nil"/>
              <w:bottom w:val="single" w:sz="4" w:space="0" w:color="auto"/>
            </w:tcBorders>
          </w:tcPr>
          <w:p w14:paraId="619FB9D8" w14:textId="77777777" w:rsidR="002A6E82" w:rsidRPr="00CD03CC" w:rsidRDefault="002A6E82" w:rsidP="006B1BCB">
            <w:pPr>
              <w:pStyle w:val="COMTabletext"/>
            </w:pPr>
            <w:r w:rsidRPr="00FD2D08">
              <w:rPr>
                <w:i/>
                <w:iCs/>
              </w:rPr>
              <w:t>Nephrology Dialysis Transplantation</w:t>
            </w:r>
            <w:r w:rsidRPr="00CD03CC">
              <w:t xml:space="preserve"> 2022, 37(7):1317-1329.</w:t>
            </w:r>
          </w:p>
        </w:tc>
      </w:tr>
    </w:tbl>
    <w:p w14:paraId="1EBE48B1" w14:textId="77777777" w:rsidR="002A6E82" w:rsidRPr="008A2C08" w:rsidRDefault="002A6E82" w:rsidP="002A6E82">
      <w:pPr>
        <w:pStyle w:val="COMTablefooter"/>
      </w:pPr>
      <w:r w:rsidRPr="008A2C08">
        <w:t>Source: Table 2.1, p78 of the resubmission; pp80-83, Section 2.2 of the resubmission.</w:t>
      </w:r>
    </w:p>
    <w:p w14:paraId="1DD06D7D" w14:textId="30ABEF01" w:rsidR="007F1017" w:rsidRPr="0098262F" w:rsidRDefault="008F120A" w:rsidP="00EC5836">
      <w:pPr>
        <w:pStyle w:val="COMexecsummnumbered"/>
        <w:rPr>
          <w:color w:val="0066FF"/>
        </w:rPr>
      </w:pPr>
      <w:r w:rsidRPr="0098262F">
        <w:t xml:space="preserve">The key features of the </w:t>
      </w:r>
      <w:r w:rsidR="008151CC">
        <w:t>EMPA-KIDNEY trial</w:t>
      </w:r>
      <w:r w:rsidRPr="0098262F">
        <w:t xml:space="preserve"> are summarised in</w:t>
      </w:r>
      <w:r w:rsidR="00D6076E" w:rsidRPr="0098262F">
        <w:t xml:space="preserve"> </w:t>
      </w:r>
      <w:r w:rsidR="00D6076E" w:rsidRPr="0098262F">
        <w:fldChar w:fldCharType="begin"/>
      </w:r>
      <w:r w:rsidR="00D6076E" w:rsidRPr="0098262F">
        <w:instrText xml:space="preserve"> REF _Ref104804098 \h  \* MERGEFORMAT </w:instrText>
      </w:r>
      <w:r w:rsidR="00D6076E" w:rsidRPr="0098262F">
        <w:fldChar w:fldCharType="separate"/>
      </w:r>
      <w:r w:rsidR="004A7850" w:rsidRPr="00FF3ECD">
        <w:t xml:space="preserve">Table </w:t>
      </w:r>
      <w:r w:rsidR="004A7850">
        <w:t>5</w:t>
      </w:r>
      <w:r w:rsidR="00D6076E" w:rsidRPr="0098262F">
        <w:fldChar w:fldCharType="end"/>
      </w:r>
      <w:r w:rsidRPr="0098262F">
        <w:t>.</w:t>
      </w:r>
    </w:p>
    <w:p w14:paraId="355E2F15" w14:textId="36497A78" w:rsidR="007F1017" w:rsidRDefault="00696EF9" w:rsidP="00FF3ECD">
      <w:pPr>
        <w:pStyle w:val="COMtablefigcaption"/>
      </w:pPr>
      <w:bookmarkStart w:id="22" w:name="_Ref104804098"/>
      <w:r w:rsidRPr="00FF3ECD">
        <w:t xml:space="preserve">Table </w:t>
      </w:r>
      <w:r w:rsidR="001154A7">
        <w:fldChar w:fldCharType="begin"/>
      </w:r>
      <w:r w:rsidR="001154A7">
        <w:instrText xml:space="preserve"> SEQ Table \* ARABIC </w:instrText>
      </w:r>
      <w:r w:rsidR="001154A7">
        <w:fldChar w:fldCharType="separate"/>
      </w:r>
      <w:r w:rsidR="004A7850">
        <w:rPr>
          <w:noProof/>
        </w:rPr>
        <w:t>5</w:t>
      </w:r>
      <w:r w:rsidR="001154A7">
        <w:rPr>
          <w:noProof/>
        </w:rPr>
        <w:fldChar w:fldCharType="end"/>
      </w:r>
      <w:bookmarkEnd w:id="22"/>
      <w:r w:rsidR="00D6076E" w:rsidRPr="00FF3ECD">
        <w:t xml:space="preserve">: </w:t>
      </w:r>
      <w:r w:rsidR="007F1017" w:rsidRPr="00FF3ECD">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0"/>
        <w:gridCol w:w="558"/>
        <w:gridCol w:w="985"/>
        <w:gridCol w:w="702"/>
        <w:gridCol w:w="1930"/>
        <w:gridCol w:w="1931"/>
        <w:gridCol w:w="1931"/>
      </w:tblGrid>
      <w:tr w:rsidR="009E4AB1" w:rsidRPr="001153AC" w14:paraId="69E05BAE" w14:textId="77777777" w:rsidTr="0054733C">
        <w:trPr>
          <w:cantSplit/>
          <w:tblHeader/>
        </w:trPr>
        <w:tc>
          <w:tcPr>
            <w:tcW w:w="543" w:type="pct"/>
            <w:shd w:val="clear" w:color="auto" w:fill="auto"/>
            <w:vAlign w:val="center"/>
          </w:tcPr>
          <w:p w14:paraId="56260703" w14:textId="77777777" w:rsidR="009E4AB1" w:rsidRPr="001153AC" w:rsidRDefault="009E4AB1" w:rsidP="006B1BCB">
            <w:pPr>
              <w:pStyle w:val="Tableheadingrow"/>
              <w:rPr>
                <w:lang w:val="en-AU"/>
              </w:rPr>
            </w:pPr>
            <w:r w:rsidRPr="001153AC">
              <w:rPr>
                <w:lang w:val="en-AU"/>
              </w:rPr>
              <w:t>Trial</w:t>
            </w:r>
          </w:p>
        </w:tc>
        <w:tc>
          <w:tcPr>
            <w:tcW w:w="309" w:type="pct"/>
            <w:shd w:val="clear" w:color="auto" w:fill="auto"/>
            <w:vAlign w:val="center"/>
          </w:tcPr>
          <w:p w14:paraId="0BE7E618" w14:textId="77777777" w:rsidR="009E4AB1" w:rsidRPr="001153AC" w:rsidRDefault="009E4AB1" w:rsidP="006B1BCB">
            <w:pPr>
              <w:pStyle w:val="Tableheadingrow"/>
              <w:jc w:val="center"/>
              <w:rPr>
                <w:lang w:val="en-AU"/>
              </w:rPr>
            </w:pPr>
            <w:r w:rsidRPr="001153AC">
              <w:rPr>
                <w:lang w:val="en-AU"/>
              </w:rPr>
              <w:t>N</w:t>
            </w:r>
          </w:p>
        </w:tc>
        <w:tc>
          <w:tcPr>
            <w:tcW w:w="546" w:type="pct"/>
            <w:shd w:val="clear" w:color="auto" w:fill="auto"/>
            <w:vAlign w:val="center"/>
          </w:tcPr>
          <w:p w14:paraId="5A72DEB0" w14:textId="77777777" w:rsidR="009E4AB1" w:rsidRPr="001153AC" w:rsidRDefault="009E4AB1" w:rsidP="006B1BCB">
            <w:pPr>
              <w:pStyle w:val="Tableheadingrow"/>
              <w:jc w:val="center"/>
              <w:rPr>
                <w:lang w:val="en-AU"/>
              </w:rPr>
            </w:pPr>
            <w:r w:rsidRPr="001153AC">
              <w:rPr>
                <w:lang w:val="en-AU"/>
              </w:rPr>
              <w:t>Design/ duration</w:t>
            </w:r>
          </w:p>
        </w:tc>
        <w:tc>
          <w:tcPr>
            <w:tcW w:w="389" w:type="pct"/>
            <w:shd w:val="clear" w:color="auto" w:fill="auto"/>
            <w:vAlign w:val="center"/>
          </w:tcPr>
          <w:p w14:paraId="03D5FA15" w14:textId="77777777" w:rsidR="009E4AB1" w:rsidRPr="001153AC" w:rsidRDefault="009E4AB1" w:rsidP="006B1BCB">
            <w:pPr>
              <w:pStyle w:val="Tableheadingrow"/>
              <w:jc w:val="center"/>
              <w:rPr>
                <w:lang w:val="en-AU"/>
              </w:rPr>
            </w:pPr>
            <w:r w:rsidRPr="001153AC">
              <w:rPr>
                <w:lang w:val="en-AU"/>
              </w:rPr>
              <w:t>Risk of bias</w:t>
            </w:r>
          </w:p>
        </w:tc>
        <w:tc>
          <w:tcPr>
            <w:tcW w:w="1070" w:type="pct"/>
            <w:shd w:val="clear" w:color="auto" w:fill="auto"/>
            <w:vAlign w:val="center"/>
          </w:tcPr>
          <w:p w14:paraId="42E79992" w14:textId="77777777" w:rsidR="009E4AB1" w:rsidRPr="001153AC" w:rsidRDefault="009E4AB1" w:rsidP="006B1BCB">
            <w:pPr>
              <w:pStyle w:val="Tableheadingrow"/>
              <w:jc w:val="center"/>
              <w:rPr>
                <w:lang w:val="en-AU"/>
              </w:rPr>
            </w:pPr>
            <w:r w:rsidRPr="001153AC">
              <w:rPr>
                <w:lang w:val="en-AU"/>
              </w:rPr>
              <w:t>Patient population</w:t>
            </w:r>
          </w:p>
        </w:tc>
        <w:tc>
          <w:tcPr>
            <w:tcW w:w="1071" w:type="pct"/>
            <w:shd w:val="clear" w:color="auto" w:fill="auto"/>
            <w:vAlign w:val="center"/>
          </w:tcPr>
          <w:p w14:paraId="49FB5ABE" w14:textId="77777777" w:rsidR="009E4AB1" w:rsidRPr="001153AC" w:rsidRDefault="009E4AB1" w:rsidP="006B1BCB">
            <w:pPr>
              <w:pStyle w:val="Tableheadingrow"/>
              <w:jc w:val="center"/>
              <w:rPr>
                <w:lang w:val="en-AU"/>
              </w:rPr>
            </w:pPr>
            <w:r w:rsidRPr="001153AC">
              <w:rPr>
                <w:lang w:val="en-AU"/>
              </w:rPr>
              <w:t>Outcomes</w:t>
            </w:r>
          </w:p>
        </w:tc>
        <w:tc>
          <w:tcPr>
            <w:tcW w:w="1071" w:type="pct"/>
            <w:shd w:val="clear" w:color="auto" w:fill="auto"/>
            <w:vAlign w:val="center"/>
          </w:tcPr>
          <w:p w14:paraId="4AD509A8" w14:textId="77777777" w:rsidR="009E4AB1" w:rsidRPr="001153AC" w:rsidRDefault="009E4AB1" w:rsidP="006B1BCB">
            <w:pPr>
              <w:pStyle w:val="Tableheadingrow"/>
              <w:jc w:val="center"/>
              <w:rPr>
                <w:lang w:val="en-AU"/>
              </w:rPr>
            </w:pPr>
            <w:r w:rsidRPr="001153AC">
              <w:rPr>
                <w:lang w:val="en-AU"/>
              </w:rPr>
              <w:t>Use in model</w:t>
            </w:r>
          </w:p>
        </w:tc>
      </w:tr>
      <w:tr w:rsidR="009E4AB1" w:rsidRPr="001153AC" w14:paraId="0670D028" w14:textId="77777777" w:rsidTr="0054733C">
        <w:trPr>
          <w:cantSplit/>
          <w:tblHeader/>
        </w:trPr>
        <w:tc>
          <w:tcPr>
            <w:tcW w:w="543" w:type="pct"/>
            <w:shd w:val="clear" w:color="auto" w:fill="auto"/>
            <w:vAlign w:val="center"/>
          </w:tcPr>
          <w:p w14:paraId="5F2A0065" w14:textId="77777777" w:rsidR="009E4AB1" w:rsidRPr="001153AC" w:rsidRDefault="009E4AB1" w:rsidP="006B1BCB">
            <w:pPr>
              <w:pStyle w:val="Tableheadingrow"/>
              <w:rPr>
                <w:b w:val="0"/>
                <w:bCs/>
                <w:lang w:val="en-AU"/>
              </w:rPr>
            </w:pPr>
            <w:r w:rsidRPr="001153AC">
              <w:rPr>
                <w:b w:val="0"/>
                <w:bCs/>
                <w:lang w:val="en-AU"/>
              </w:rPr>
              <w:t>EMPA-KIDNEY</w:t>
            </w:r>
          </w:p>
        </w:tc>
        <w:tc>
          <w:tcPr>
            <w:tcW w:w="309" w:type="pct"/>
            <w:shd w:val="clear" w:color="auto" w:fill="auto"/>
            <w:vAlign w:val="center"/>
          </w:tcPr>
          <w:p w14:paraId="695E08E4" w14:textId="77777777" w:rsidR="009E4AB1" w:rsidRPr="001153AC" w:rsidRDefault="009E4AB1" w:rsidP="006B1BCB">
            <w:pPr>
              <w:pStyle w:val="Tableheadingrow"/>
              <w:jc w:val="center"/>
              <w:rPr>
                <w:b w:val="0"/>
                <w:bCs/>
                <w:lang w:val="en-AU"/>
              </w:rPr>
            </w:pPr>
            <w:r w:rsidRPr="001153AC">
              <w:rPr>
                <w:b w:val="0"/>
                <w:bCs/>
                <w:lang w:val="en-AU"/>
              </w:rPr>
              <w:t>6,609</w:t>
            </w:r>
          </w:p>
        </w:tc>
        <w:tc>
          <w:tcPr>
            <w:tcW w:w="546" w:type="pct"/>
            <w:shd w:val="clear" w:color="auto" w:fill="auto"/>
            <w:vAlign w:val="center"/>
          </w:tcPr>
          <w:p w14:paraId="4A53625D" w14:textId="77777777" w:rsidR="00276253" w:rsidRDefault="009E4AB1" w:rsidP="006B1BCB">
            <w:pPr>
              <w:pStyle w:val="Tableheadingrow"/>
              <w:jc w:val="center"/>
              <w:rPr>
                <w:b w:val="0"/>
                <w:bCs/>
                <w:lang w:val="en-AU"/>
              </w:rPr>
            </w:pPr>
            <w:r w:rsidRPr="001153AC">
              <w:rPr>
                <w:b w:val="0"/>
                <w:bCs/>
                <w:lang w:val="en-AU"/>
              </w:rPr>
              <w:t>R, DB, PC, MC</w:t>
            </w:r>
          </w:p>
          <w:p w14:paraId="18EA7B9E" w14:textId="7E84DE5C" w:rsidR="009E4AB1" w:rsidRPr="001153AC" w:rsidRDefault="009E4AB1" w:rsidP="006B1BCB">
            <w:pPr>
              <w:pStyle w:val="Tableheadingrow"/>
              <w:jc w:val="center"/>
              <w:rPr>
                <w:b w:val="0"/>
                <w:bCs/>
                <w:lang w:val="en-AU"/>
              </w:rPr>
            </w:pPr>
            <w:r w:rsidRPr="001153AC">
              <w:rPr>
                <w:b w:val="0"/>
                <w:bCs/>
                <w:lang w:val="en-AU"/>
              </w:rPr>
              <w:t>12 months</w:t>
            </w:r>
          </w:p>
        </w:tc>
        <w:tc>
          <w:tcPr>
            <w:tcW w:w="389" w:type="pct"/>
            <w:shd w:val="clear" w:color="auto" w:fill="auto"/>
            <w:vAlign w:val="center"/>
          </w:tcPr>
          <w:p w14:paraId="76951BB6" w14:textId="77777777" w:rsidR="009E4AB1" w:rsidRPr="001153AC" w:rsidRDefault="009E4AB1" w:rsidP="006B1BCB">
            <w:pPr>
              <w:pStyle w:val="Tableheadingrow"/>
              <w:jc w:val="center"/>
              <w:rPr>
                <w:b w:val="0"/>
                <w:bCs/>
                <w:lang w:val="en-AU"/>
              </w:rPr>
            </w:pPr>
            <w:r w:rsidRPr="001153AC">
              <w:rPr>
                <w:b w:val="0"/>
                <w:bCs/>
                <w:i/>
                <w:lang w:val="en-AU"/>
              </w:rPr>
              <w:t>Low</w:t>
            </w:r>
          </w:p>
        </w:tc>
        <w:tc>
          <w:tcPr>
            <w:tcW w:w="1070" w:type="pct"/>
            <w:shd w:val="clear" w:color="auto" w:fill="auto"/>
            <w:vAlign w:val="center"/>
          </w:tcPr>
          <w:p w14:paraId="15C5483C" w14:textId="77777777" w:rsidR="00276253" w:rsidRDefault="009E4AB1" w:rsidP="006B1BCB">
            <w:pPr>
              <w:pStyle w:val="TableText"/>
              <w:jc w:val="center"/>
            </w:pPr>
            <w:r w:rsidRPr="001153AC">
              <w:t>Adults with CKD and eGFR 20 to &lt;45 mL/min/1.73 m</w:t>
            </w:r>
            <w:r w:rsidRPr="001153AC">
              <w:rPr>
                <w:vertAlign w:val="superscript"/>
              </w:rPr>
              <w:t>2</w:t>
            </w:r>
            <w:r w:rsidR="00E72A9F">
              <w:t>;</w:t>
            </w:r>
          </w:p>
          <w:p w14:paraId="16A4CCDD" w14:textId="77777777" w:rsidR="00276253" w:rsidRDefault="009E4AB1" w:rsidP="006B1BCB">
            <w:pPr>
              <w:pStyle w:val="TableText"/>
              <w:jc w:val="center"/>
            </w:pPr>
            <w:r w:rsidRPr="001153AC">
              <w:t>or eGFR</w:t>
            </w:r>
            <w:r w:rsidR="002F3585">
              <w:t xml:space="preserve"> </w:t>
            </w:r>
            <w:r w:rsidRPr="001153AC">
              <w:t>45 to &lt;90 mL/min/1.73 m</w:t>
            </w:r>
            <w:r w:rsidRPr="001153AC">
              <w:rPr>
                <w:vertAlign w:val="superscript"/>
              </w:rPr>
              <w:t>2</w:t>
            </w:r>
          </w:p>
          <w:p w14:paraId="76617298" w14:textId="431BA564" w:rsidR="009E4AB1" w:rsidRPr="001153AC" w:rsidRDefault="009E4AB1" w:rsidP="006B1BCB">
            <w:pPr>
              <w:pStyle w:val="TableText"/>
              <w:jc w:val="center"/>
            </w:pPr>
            <w:r w:rsidRPr="001153AC">
              <w:t>with UACR ≥200 mg/g,</w:t>
            </w:r>
          </w:p>
          <w:p w14:paraId="13762D87" w14:textId="77777777" w:rsidR="009E4AB1" w:rsidRPr="001153AC" w:rsidRDefault="009E4AB1" w:rsidP="006B1BCB">
            <w:pPr>
              <w:pStyle w:val="Tableheadingrow"/>
              <w:jc w:val="center"/>
              <w:rPr>
                <w:b w:val="0"/>
                <w:bCs/>
                <w:lang w:val="en-AU"/>
              </w:rPr>
            </w:pPr>
            <w:r w:rsidRPr="001153AC">
              <w:rPr>
                <w:b w:val="0"/>
                <w:bCs/>
                <w:lang w:val="en-AU"/>
              </w:rPr>
              <w:t xml:space="preserve">treated with standard care of </w:t>
            </w:r>
            <w:proofErr w:type="spellStart"/>
            <w:r w:rsidRPr="001153AC">
              <w:rPr>
                <w:b w:val="0"/>
                <w:bCs/>
                <w:lang w:val="en-AU"/>
              </w:rPr>
              <w:t>ACEi</w:t>
            </w:r>
            <w:proofErr w:type="spellEnd"/>
            <w:r w:rsidRPr="001153AC">
              <w:rPr>
                <w:b w:val="0"/>
                <w:bCs/>
                <w:lang w:val="en-AU"/>
              </w:rPr>
              <w:t>/ARB unless intolerant</w:t>
            </w:r>
          </w:p>
        </w:tc>
        <w:tc>
          <w:tcPr>
            <w:tcW w:w="1071" w:type="pct"/>
            <w:shd w:val="clear" w:color="auto" w:fill="auto"/>
            <w:vAlign w:val="center"/>
          </w:tcPr>
          <w:p w14:paraId="639D25D8" w14:textId="77777777" w:rsidR="00276253" w:rsidRDefault="009E4AB1" w:rsidP="006B1BCB">
            <w:pPr>
              <w:pStyle w:val="TableText"/>
              <w:jc w:val="center"/>
            </w:pPr>
            <w:r w:rsidRPr="001153AC">
              <w:t>Primary composite outcome</w:t>
            </w:r>
            <w:r>
              <w:t>:</w:t>
            </w:r>
            <w:r w:rsidRPr="001153AC">
              <w:t xml:space="preserve"> </w:t>
            </w:r>
            <w:r w:rsidRPr="006F094E">
              <w:rPr>
                <w:szCs w:val="20"/>
              </w:rPr>
              <w:t xml:space="preserve">≥40% </w:t>
            </w:r>
            <w:r>
              <w:rPr>
                <w:szCs w:val="20"/>
              </w:rPr>
              <w:t xml:space="preserve">decline </w:t>
            </w:r>
            <w:r w:rsidRPr="006F094E">
              <w:rPr>
                <w:szCs w:val="20"/>
              </w:rPr>
              <w:t>in eGFR</w:t>
            </w:r>
            <w:r>
              <w:rPr>
                <w:szCs w:val="20"/>
              </w:rPr>
              <w:t>,</w:t>
            </w:r>
            <w:r w:rsidRPr="006F094E">
              <w:rPr>
                <w:szCs w:val="20"/>
              </w:rPr>
              <w:t xml:space="preserve"> eGFR</w:t>
            </w:r>
            <w:r w:rsidR="002F3585">
              <w:rPr>
                <w:szCs w:val="20"/>
              </w:rPr>
              <w:t xml:space="preserve"> </w:t>
            </w:r>
            <w:r w:rsidRPr="006F094E">
              <w:rPr>
                <w:szCs w:val="20"/>
              </w:rPr>
              <w:t>&lt;10</w:t>
            </w:r>
            <w:r>
              <w:rPr>
                <w:szCs w:val="20"/>
              </w:rPr>
              <w:t> </w:t>
            </w:r>
            <w:r w:rsidRPr="006F094E">
              <w:rPr>
                <w:szCs w:val="20"/>
              </w:rPr>
              <w:t>mL/min/1.73</w:t>
            </w:r>
            <w:r>
              <w:rPr>
                <w:szCs w:val="20"/>
              </w:rPr>
              <w:t> </w:t>
            </w:r>
            <w:r w:rsidRPr="00B30DF7">
              <w:rPr>
                <w:szCs w:val="20"/>
              </w:rPr>
              <w:t>m</w:t>
            </w:r>
            <w:r w:rsidRPr="00B30DF7">
              <w:rPr>
                <w:szCs w:val="20"/>
                <w:vertAlign w:val="superscript"/>
              </w:rPr>
              <w:t>2</w:t>
            </w:r>
            <w:r w:rsidRPr="00C4346D">
              <w:rPr>
                <w:szCs w:val="20"/>
              </w:rPr>
              <w:t>,</w:t>
            </w:r>
            <w:r>
              <w:rPr>
                <w:szCs w:val="20"/>
              </w:rPr>
              <w:t xml:space="preserve"> </w:t>
            </w:r>
            <w:r w:rsidRPr="00B30DF7">
              <w:t>ESKD</w:t>
            </w:r>
            <w:r>
              <w:t xml:space="preserve">, </w:t>
            </w:r>
            <w:r w:rsidRPr="001153AC">
              <w:t>or CV death</w:t>
            </w:r>
            <w:r>
              <w:t>.</w:t>
            </w:r>
          </w:p>
          <w:p w14:paraId="3FD5ACF6" w14:textId="2A1786DA" w:rsidR="009E4AB1" w:rsidRDefault="009E4AB1" w:rsidP="006B1BCB">
            <w:pPr>
              <w:pStyle w:val="TableText"/>
              <w:jc w:val="center"/>
            </w:pPr>
            <w:r>
              <w:t>Secondary outcomes:</w:t>
            </w:r>
          </w:p>
          <w:p w14:paraId="03592619" w14:textId="77777777" w:rsidR="009E4AB1" w:rsidRPr="001153AC" w:rsidRDefault="009E4AB1" w:rsidP="006B1BCB">
            <w:pPr>
              <w:pStyle w:val="TableText"/>
              <w:jc w:val="center"/>
            </w:pPr>
            <w:r>
              <w:t>a</w:t>
            </w:r>
            <w:r w:rsidRPr="001153AC">
              <w:t>ll-cause mortality, CV mortality, ESKD,</w:t>
            </w:r>
          </w:p>
          <w:p w14:paraId="0E174090" w14:textId="401CCF0C" w:rsidR="009E4AB1" w:rsidRPr="001153AC" w:rsidRDefault="009E4AB1" w:rsidP="006B1BCB">
            <w:pPr>
              <w:pStyle w:val="Tableheadingrow"/>
              <w:jc w:val="center"/>
              <w:rPr>
                <w:b w:val="0"/>
                <w:bCs/>
                <w:lang w:val="en-AU"/>
              </w:rPr>
            </w:pPr>
            <w:r w:rsidRPr="001153AC">
              <w:rPr>
                <w:b w:val="0"/>
                <w:bCs/>
                <w:lang w:val="en-AU"/>
              </w:rPr>
              <w:t>other renal/</w:t>
            </w:r>
            <w:r w:rsidR="002033C7">
              <w:rPr>
                <w:b w:val="0"/>
                <w:bCs/>
                <w:lang w:val="en-AU"/>
              </w:rPr>
              <w:t>CV</w:t>
            </w:r>
            <w:r w:rsidRPr="001153AC">
              <w:rPr>
                <w:b w:val="0"/>
                <w:bCs/>
                <w:lang w:val="en-AU"/>
              </w:rPr>
              <w:t xml:space="preserve"> outcomes and safety</w:t>
            </w:r>
            <w:r>
              <w:rPr>
                <w:b w:val="0"/>
                <w:bCs/>
                <w:lang w:val="en-AU"/>
              </w:rPr>
              <w:t>.</w:t>
            </w:r>
          </w:p>
        </w:tc>
        <w:tc>
          <w:tcPr>
            <w:tcW w:w="1071" w:type="pct"/>
            <w:shd w:val="clear" w:color="auto" w:fill="auto"/>
            <w:vAlign w:val="center"/>
          </w:tcPr>
          <w:p w14:paraId="2D147F9F" w14:textId="06C68CEB" w:rsidR="009E4AB1" w:rsidRPr="001153AC" w:rsidRDefault="009E4AB1" w:rsidP="006B1BCB">
            <w:pPr>
              <w:pStyle w:val="Tableheadingrow"/>
              <w:jc w:val="center"/>
              <w:rPr>
                <w:b w:val="0"/>
                <w:bCs/>
                <w:lang w:val="en-AU"/>
              </w:rPr>
            </w:pPr>
            <w:r w:rsidRPr="001153AC">
              <w:rPr>
                <w:b w:val="0"/>
                <w:bCs/>
                <w:i/>
                <w:iCs/>
                <w:lang w:val="en-AU"/>
              </w:rPr>
              <w:t>Post hoc</w:t>
            </w:r>
            <w:r w:rsidRPr="001153AC">
              <w:rPr>
                <w:b w:val="0"/>
                <w:bCs/>
                <w:lang w:val="en-AU"/>
              </w:rPr>
              <w:t xml:space="preserve"> subgroup analyses</w:t>
            </w:r>
            <w:r w:rsidR="00237233">
              <w:rPr>
                <w:b w:val="0"/>
                <w:bCs/>
                <w:lang w:val="en-AU"/>
              </w:rPr>
              <w:t xml:space="preserve"> of </w:t>
            </w:r>
            <w:r w:rsidR="00995543" w:rsidRPr="00995543">
              <w:rPr>
                <w:b w:val="0"/>
                <w:bCs/>
                <w:lang w:val="en-AU"/>
              </w:rPr>
              <w:t>time to ESKD (excluding patients who died without ESKD), time to death (for patients without ESKD), and time from ESKD to death (for patients with ESKD)</w:t>
            </w:r>
            <w:r w:rsidR="0054733C">
              <w:rPr>
                <w:b w:val="0"/>
                <w:bCs/>
                <w:lang w:val="en-AU"/>
              </w:rPr>
              <w:t xml:space="preserve"> in the incremental subgroup</w:t>
            </w:r>
            <w:r w:rsidR="00995543" w:rsidRPr="00995543">
              <w:rPr>
                <w:b w:val="0"/>
                <w:bCs/>
                <w:lang w:val="en-AU"/>
              </w:rPr>
              <w:t>.</w:t>
            </w:r>
          </w:p>
        </w:tc>
      </w:tr>
    </w:tbl>
    <w:p w14:paraId="6B16ADA5" w14:textId="77777777" w:rsidR="00CC7BBA" w:rsidRPr="001153AC" w:rsidRDefault="00CC7BBA" w:rsidP="00CC7BBA">
      <w:pPr>
        <w:pStyle w:val="COMTablefooter"/>
      </w:pPr>
      <w:r w:rsidRPr="001153AC">
        <w:t>Source: Constructed during the evaluation</w:t>
      </w:r>
    </w:p>
    <w:p w14:paraId="60107CAA" w14:textId="05C3608F" w:rsidR="00CC7BBA" w:rsidRPr="001153AC" w:rsidRDefault="00CC7BBA" w:rsidP="00CC7BBA">
      <w:pPr>
        <w:pStyle w:val="COMTablefooter"/>
        <w:rPr>
          <w:color w:val="0066FF"/>
        </w:rPr>
      </w:pPr>
      <w:r w:rsidRPr="001153AC">
        <w:lastRenderedPageBreak/>
        <w:t xml:space="preserve">Abbreviations: </w:t>
      </w:r>
      <w:proofErr w:type="spellStart"/>
      <w:r w:rsidRPr="001153AC">
        <w:t>ACEi</w:t>
      </w:r>
      <w:proofErr w:type="spellEnd"/>
      <w:r w:rsidRPr="001153AC">
        <w:t>, angiotensin-converting enzyme inhibitors; ARB, angiotensin II receptor blocker; CKD, chronic kidney disease; CV, cardiovascular; DB, double blind; eGFR, estimated glomerular filtration rate; ESKD, end-stage kidney disease; MC, multi-centre; PC, placebo controlled; R, randomised; UACR, urin</w:t>
      </w:r>
      <w:r>
        <w:t>e</w:t>
      </w:r>
      <w:r w:rsidRPr="001153AC">
        <w:t xml:space="preserve"> albumin</w:t>
      </w:r>
      <w:r>
        <w:t>-</w:t>
      </w:r>
      <w:r w:rsidRPr="001153AC">
        <w:t>creatinine ratio</w:t>
      </w:r>
    </w:p>
    <w:p w14:paraId="623F871A" w14:textId="77777777" w:rsidR="00276253" w:rsidRDefault="003825C3" w:rsidP="003825C3">
      <w:pPr>
        <w:pStyle w:val="COMexecsummnumbered"/>
        <w:rPr>
          <w:color w:val="0066FF"/>
        </w:rPr>
      </w:pPr>
      <w:r w:rsidRPr="001153AC">
        <w:t>The EMPA-KIDNEY trial was an event driven study planned to continue until a minimum of 1,070 primary outcome events had occurred. The trial was terminated early for benefit based on predefined stopping criteria. The median duration of follow-up was 24.33 months.</w:t>
      </w:r>
    </w:p>
    <w:p w14:paraId="2F3437CC" w14:textId="6DD838C6" w:rsidR="00CF0738" w:rsidRDefault="00CF0738" w:rsidP="00CF0738">
      <w:pPr>
        <w:pStyle w:val="COMexecsummnumbered"/>
      </w:pPr>
      <w:bookmarkStart w:id="23" w:name="_Hlk144800707"/>
      <w:r w:rsidRPr="00B755A6">
        <w:t xml:space="preserve">There were substantial differences between the incremental, overlap and overall </w:t>
      </w:r>
      <w:r w:rsidR="008909E3">
        <w:t xml:space="preserve">EMPA-KIDNEY </w:t>
      </w:r>
      <w:r w:rsidRPr="00B755A6">
        <w:t>populations across most demographic and disease characteristics. Patients in the incremental population were older (mean age 66.8 years) compared to the overlap population (mean age 58.7 years) and overall population (mean age 63.3</w:t>
      </w:r>
      <w:r w:rsidR="00C03025">
        <w:t> </w:t>
      </w:r>
      <w:r w:rsidRPr="00B755A6">
        <w:t>years</w:t>
      </w:r>
      <w:r w:rsidR="008D27AA" w:rsidRPr="00B755A6">
        <w:t>) and</w:t>
      </w:r>
      <w:r w:rsidRPr="00B755A6">
        <w:t xml:space="preserve"> included smaller proportions of males (incremental: 63.1%, overlap: 71.9%, overall: 66.8%), patients of Asian descent (26.9%, 48.4%, 36.2%), and smokers (8.5%, 12.7%, 10.3%). In addition, the incremental population included a smaller proportion of patients with glomerular based kidney disease (15.8%, 37.7%, 25.3%), and larger proportions of patients with </w:t>
      </w:r>
      <w:r w:rsidR="00A4725A">
        <w:t>type 2 diabetes</w:t>
      </w:r>
      <w:r w:rsidRPr="00B755A6">
        <w:t xml:space="preserve"> (49.0%, 38.4%, 44.4%), cardiovascular disease (32.0%, 19.7%, 26.7%)</w:t>
      </w:r>
      <w:r w:rsidR="00ED1A44">
        <w:t xml:space="preserve"> and heart failure (</w:t>
      </w:r>
      <w:r w:rsidR="00F40E5E">
        <w:t>12.5%, 6.5%, 10.0%)</w:t>
      </w:r>
      <w:r w:rsidRPr="00B755A6">
        <w:t>. A smaller proportion of patients in the incremental population was categorised as very high risk of kidney disease progression (64.9%, 87.7%, 74.7%)</w:t>
      </w:r>
      <w:r w:rsidR="00BA5B4E">
        <w:t xml:space="preserve"> compared to the overlap and overall ITT populations</w:t>
      </w:r>
      <w:r w:rsidRPr="00B755A6">
        <w:t>.</w:t>
      </w:r>
    </w:p>
    <w:p w14:paraId="5AC488D6" w14:textId="1CAA66A2" w:rsidR="006E662E" w:rsidRPr="00322ABC" w:rsidRDefault="001A4A00" w:rsidP="00CF0738">
      <w:pPr>
        <w:pStyle w:val="COMexecsummnumbered"/>
        <w:rPr>
          <w:i/>
          <w:iCs/>
        </w:rPr>
      </w:pPr>
      <w:r w:rsidRPr="00322ABC">
        <w:t>The incremental population is comprised of a broad range of populations with different baseline eGFR and UACR levels</w:t>
      </w:r>
      <w:r w:rsidR="002D4936" w:rsidRPr="00322ABC">
        <w:t xml:space="preserve">, with risks of disease progression ranging from moderately increased </w:t>
      </w:r>
      <w:r w:rsidR="00361375" w:rsidRPr="00322ABC">
        <w:t xml:space="preserve">risk </w:t>
      </w:r>
      <w:r w:rsidR="002D4936" w:rsidRPr="00322ABC">
        <w:t>to very high</w:t>
      </w:r>
      <w:r w:rsidR="00361375" w:rsidRPr="00322ABC">
        <w:t xml:space="preserve"> risk</w:t>
      </w:r>
      <w:r w:rsidRPr="00322ABC">
        <w:t xml:space="preserve">. </w:t>
      </w:r>
      <w:r w:rsidR="0066064D" w:rsidRPr="00322ABC">
        <w:t>The resubmission compared the patient demographic and disease characteristics from the EMPA-KIDNEY trial incremental subgroup with those from an Australian retrospective cohort analysis of patients matching the EMPA-KIDNEY incremental population in terms of eGFR and UACR (</w:t>
      </w:r>
      <w:proofErr w:type="spellStart"/>
      <w:r w:rsidR="0066064D" w:rsidRPr="00322ABC">
        <w:t>Neuen</w:t>
      </w:r>
      <w:proofErr w:type="spellEnd"/>
      <w:r w:rsidR="0066064D" w:rsidRPr="00322ABC">
        <w:t xml:space="preserve"> 2023). </w:t>
      </w:r>
      <w:r w:rsidR="0066064D" w:rsidRPr="002F56B0">
        <w:t xml:space="preserve">Although there were limitations of the </w:t>
      </w:r>
      <w:proofErr w:type="spellStart"/>
      <w:r w:rsidR="0066064D" w:rsidRPr="002F56B0">
        <w:t>Neuen</w:t>
      </w:r>
      <w:proofErr w:type="spellEnd"/>
      <w:r w:rsidR="0066064D" w:rsidRPr="002F56B0">
        <w:t xml:space="preserve"> 2023 analysis (based on selected patients captured in the </w:t>
      </w:r>
      <w:proofErr w:type="spellStart"/>
      <w:r w:rsidR="0066064D" w:rsidRPr="002F56B0">
        <w:t>MedicineInsight</w:t>
      </w:r>
      <w:proofErr w:type="spellEnd"/>
      <w:r w:rsidR="0066064D" w:rsidRPr="002F56B0">
        <w:t xml:space="preserve"> database; a large proportion of potentially relevant patients with no UACR measurement were excluded), the results suggest that the largest eligible population group in the Australian setting (eGFR &gt;7</w:t>
      </w:r>
      <w:r w:rsidR="00322ABC" w:rsidRPr="002F56B0">
        <w:t>5</w:t>
      </w:r>
      <w:r w:rsidR="0066064D" w:rsidRPr="002F56B0">
        <w:t xml:space="preserve"> to 90</w:t>
      </w:r>
      <w:r w:rsidR="00276253">
        <w:t xml:space="preserve"> </w:t>
      </w:r>
      <w:r w:rsidR="00EB3670" w:rsidRPr="002F56B0">
        <w:t>mL/min/1.73 m</w:t>
      </w:r>
      <w:r w:rsidR="00EB3670" w:rsidRPr="002F56B0">
        <w:rPr>
          <w:vertAlign w:val="superscript"/>
        </w:rPr>
        <w:t>2</w:t>
      </w:r>
      <w:r w:rsidR="00EB3670" w:rsidRPr="002F56B0">
        <w:t xml:space="preserve"> </w:t>
      </w:r>
      <w:r w:rsidR="0066064D" w:rsidRPr="002F56B0">
        <w:t xml:space="preserve">and UACR ≥200 mg/g; 46.4%) may be the incremental population with the lowest risk of CKD progression, who were sparsely represented in the EMPA-KIDNEY </w:t>
      </w:r>
      <w:r w:rsidR="00E2645B" w:rsidRPr="002F56B0">
        <w:t>incremental population</w:t>
      </w:r>
      <w:r w:rsidR="0066064D" w:rsidRPr="002F56B0">
        <w:t xml:space="preserve"> (</w:t>
      </w:r>
      <w:r w:rsidR="00E2645B" w:rsidRPr="002F56B0">
        <w:t>approximately 5%</w:t>
      </w:r>
      <w:r w:rsidR="0066064D" w:rsidRPr="002F56B0">
        <w:t>).</w:t>
      </w:r>
    </w:p>
    <w:p w14:paraId="3CF1FD63" w14:textId="36501838" w:rsidR="005A00F1" w:rsidRPr="00322ABC" w:rsidRDefault="005A00F1" w:rsidP="00CF0738">
      <w:pPr>
        <w:pStyle w:val="COMexecsummnumbered"/>
        <w:rPr>
          <w:i/>
          <w:iCs/>
        </w:rPr>
      </w:pPr>
      <w:r w:rsidRPr="00322ABC">
        <w:t xml:space="preserve">The incremental population in the EMPA-KIDNEY trial included a large proportion of patients with diabetes (49.0%) and heart failure (12.5%) who are likely to be eligible for treatment under existing SGLT2 inhibitor PBS listings. </w:t>
      </w:r>
      <w:r w:rsidRPr="006B0062">
        <w:t>Pre-specified subgroup analyses showed potential treatment effect interactions by baseline diabetes status, with decreasing treatment effect in patients without diabetes. It was unclear whether heart failure was a treatment effect modifier given the wide confidence intervals for treatment effects in the subgroup with heart failure.</w:t>
      </w:r>
      <w:r w:rsidR="00B74D37" w:rsidRPr="006B0062">
        <w:t xml:space="preserve"> Overall, the available data is </w:t>
      </w:r>
      <w:r w:rsidR="00B74D37" w:rsidRPr="006B0062">
        <w:lastRenderedPageBreak/>
        <w:t>indicative of potential differences in terms of baseline risk and treatment effects between the trial and the Australian setting, which are likely to impact the magnitude of benefit associated with empagliflozin in addition to standard care.</w:t>
      </w:r>
    </w:p>
    <w:p w14:paraId="4A4FE085" w14:textId="1C5613CC" w:rsidR="00B60939" w:rsidRPr="0098262F" w:rsidRDefault="00B60939" w:rsidP="003D5DE7">
      <w:pPr>
        <w:pStyle w:val="COMH2-non-numbered"/>
      </w:pPr>
      <w:bookmarkStart w:id="24" w:name="_Toc22897641"/>
      <w:bookmarkStart w:id="25" w:name="_Toc193277448"/>
      <w:bookmarkEnd w:id="23"/>
      <w:r w:rsidRPr="0098262F">
        <w:t>Comparative effectiveness</w:t>
      </w:r>
      <w:bookmarkEnd w:id="24"/>
      <w:bookmarkEnd w:id="25"/>
    </w:p>
    <w:p w14:paraId="0D923109" w14:textId="6ECE4D45" w:rsidR="00341F74" w:rsidRDefault="00341F74" w:rsidP="00341F74">
      <w:pPr>
        <w:pStyle w:val="COMH3"/>
      </w:pPr>
      <w:r>
        <w:rPr>
          <w:sz w:val="24"/>
          <w:szCs w:val="22"/>
        </w:rPr>
        <w:t>K</w:t>
      </w:r>
      <w:r w:rsidRPr="00341F74">
        <w:rPr>
          <w:sz w:val="24"/>
          <w:szCs w:val="22"/>
        </w:rPr>
        <w:t xml:space="preserve">ey outcomes for the </w:t>
      </w:r>
      <w:r w:rsidR="004506E4">
        <w:rPr>
          <w:sz w:val="24"/>
          <w:szCs w:val="22"/>
        </w:rPr>
        <w:t xml:space="preserve">EMPA-KIDNEY </w:t>
      </w:r>
      <w:r w:rsidRPr="00341F74">
        <w:rPr>
          <w:sz w:val="24"/>
          <w:szCs w:val="22"/>
        </w:rPr>
        <w:t>ITT, overlap, incremental and baseline UACR populations</w:t>
      </w:r>
    </w:p>
    <w:p w14:paraId="28593FB8" w14:textId="7393B817" w:rsidR="002C2775" w:rsidRDefault="00D25D83" w:rsidP="00791D80">
      <w:pPr>
        <w:pStyle w:val="COMexecsummnumbered"/>
      </w:pPr>
      <w:r>
        <w:fldChar w:fldCharType="begin"/>
      </w:r>
      <w:r>
        <w:instrText xml:space="preserve"> REF _Ref190351161 \h </w:instrText>
      </w:r>
      <w:r>
        <w:fldChar w:fldCharType="separate"/>
      </w:r>
      <w:r w:rsidR="004A7850" w:rsidRPr="007E02FD">
        <w:t xml:space="preserve">Table </w:t>
      </w:r>
      <w:r w:rsidR="004A7850">
        <w:rPr>
          <w:noProof/>
        </w:rPr>
        <w:t>6</w:t>
      </w:r>
      <w:r>
        <w:fldChar w:fldCharType="end"/>
      </w:r>
      <w:r w:rsidR="003E5DC3" w:rsidRPr="00E46EBA">
        <w:t xml:space="preserve"> summarises the results of the </w:t>
      </w:r>
      <w:r w:rsidR="0022547F" w:rsidRPr="00E46EBA">
        <w:t xml:space="preserve">primary and </w:t>
      </w:r>
      <w:r w:rsidR="003E5DC3" w:rsidRPr="00E46EBA">
        <w:t>key secondary outcomes of the EMPA-KIDNEY trial</w:t>
      </w:r>
      <w:r w:rsidR="00A70E99" w:rsidRPr="00E46EBA">
        <w:t xml:space="preserve"> in the ITT population, </w:t>
      </w:r>
      <w:r w:rsidR="00A70E99" w:rsidRPr="006B0062">
        <w:t>post hoc</w:t>
      </w:r>
      <w:r w:rsidR="00A70E99" w:rsidRPr="00E46EBA">
        <w:rPr>
          <w:i/>
          <w:iCs/>
        </w:rPr>
        <w:t xml:space="preserve"> </w:t>
      </w:r>
      <w:r w:rsidR="00A70E99" w:rsidRPr="00E46EBA">
        <w:t xml:space="preserve">overlap and incremental populations, as well as the new </w:t>
      </w:r>
      <w:r w:rsidR="00A70E99" w:rsidRPr="006B0062">
        <w:t xml:space="preserve">post hoc </w:t>
      </w:r>
      <w:r w:rsidR="00C4451C">
        <w:t xml:space="preserve">subgroup </w:t>
      </w:r>
      <w:r w:rsidR="003A78BF" w:rsidRPr="00E46EBA">
        <w:t>analys</w:t>
      </w:r>
      <w:r w:rsidR="00584FF0">
        <w:t>e</w:t>
      </w:r>
      <w:r w:rsidR="003A78BF" w:rsidRPr="00E46EBA">
        <w:t>s</w:t>
      </w:r>
      <w:r w:rsidR="00E941B8" w:rsidRPr="00E46EBA">
        <w:t xml:space="preserve"> by </w:t>
      </w:r>
      <w:r w:rsidR="0038454E">
        <w:t xml:space="preserve">baseline </w:t>
      </w:r>
      <w:r w:rsidR="00E941B8" w:rsidRPr="00E46EBA">
        <w:t>album</w:t>
      </w:r>
      <w:r w:rsidR="003A78BF" w:rsidRPr="00E46EBA">
        <w:t>inuria (UACR &lt;200 mg/g; UACR ≥200</w:t>
      </w:r>
      <w:r w:rsidR="00FE6F51">
        <w:t xml:space="preserve"> </w:t>
      </w:r>
      <w:r w:rsidR="003A78BF" w:rsidRPr="00E46EBA">
        <w:t>mg/g)</w:t>
      </w:r>
      <w:r w:rsidR="00E46EBA" w:rsidRPr="00E46EBA">
        <w:t>.</w:t>
      </w:r>
    </w:p>
    <w:p w14:paraId="5E8DA9CB" w14:textId="7A35C6C1" w:rsidR="00D9520C" w:rsidRPr="007E02FD" w:rsidRDefault="00D9520C" w:rsidP="004874B4">
      <w:pPr>
        <w:pStyle w:val="Caption"/>
        <w:keepLines/>
      </w:pPr>
      <w:bookmarkStart w:id="26" w:name="_Ref190351161"/>
      <w:r w:rsidRPr="007E02FD">
        <w:t xml:space="preserve">Table </w:t>
      </w:r>
      <w:r w:rsidR="001154A7">
        <w:fldChar w:fldCharType="begin"/>
      </w:r>
      <w:r w:rsidR="001154A7">
        <w:instrText xml:space="preserve"> SEQ Table \* ARABIC </w:instrText>
      </w:r>
      <w:r w:rsidR="001154A7">
        <w:fldChar w:fldCharType="separate"/>
      </w:r>
      <w:r w:rsidR="004A7850">
        <w:rPr>
          <w:noProof/>
        </w:rPr>
        <w:t>6</w:t>
      </w:r>
      <w:r w:rsidR="001154A7">
        <w:rPr>
          <w:noProof/>
        </w:rPr>
        <w:fldChar w:fldCharType="end"/>
      </w:r>
      <w:bookmarkEnd w:id="26"/>
      <w:r w:rsidRPr="007E02FD">
        <w:t xml:space="preserve">: </w:t>
      </w:r>
      <w:r w:rsidRPr="00536B71">
        <w:rPr>
          <w:i/>
          <w:iCs/>
        </w:rPr>
        <w:t>P</w:t>
      </w:r>
      <w:r w:rsidRPr="007E02FD">
        <w:rPr>
          <w:i/>
          <w:iCs/>
        </w:rPr>
        <w:t>ost hoc</w:t>
      </w:r>
      <w:r w:rsidRPr="007E02FD">
        <w:t xml:space="preserve"> subgroup analyses of the primary and key secondary outcomes of EMPA-KIDNEY</w:t>
      </w:r>
    </w:p>
    <w:tbl>
      <w:tblPr>
        <w:tblStyle w:val="TableGrid"/>
        <w:tblW w:w="5000" w:type="pct"/>
        <w:tblLook w:val="04A0" w:firstRow="1" w:lastRow="0" w:firstColumn="1" w:lastColumn="0" w:noHBand="0" w:noVBand="1"/>
      </w:tblPr>
      <w:tblGrid>
        <w:gridCol w:w="3539"/>
        <w:gridCol w:w="1843"/>
        <w:gridCol w:w="1761"/>
        <w:gridCol w:w="1874"/>
      </w:tblGrid>
      <w:tr w:rsidR="00D9520C" w:rsidRPr="007E02FD" w14:paraId="7FB0E94F" w14:textId="77777777" w:rsidTr="006B1BCB">
        <w:trPr>
          <w:trHeight w:val="101"/>
          <w:tblHeader/>
        </w:trPr>
        <w:tc>
          <w:tcPr>
            <w:tcW w:w="3539" w:type="dxa"/>
            <w:vAlign w:val="center"/>
          </w:tcPr>
          <w:p w14:paraId="7BB7BDC3" w14:textId="77777777" w:rsidR="00D9520C" w:rsidRPr="007E02FD" w:rsidRDefault="00D9520C" w:rsidP="004874B4">
            <w:pPr>
              <w:pStyle w:val="TableText"/>
              <w:ind w:right="-69"/>
              <w:rPr>
                <w:b/>
                <w:bCs w:val="0"/>
                <w:szCs w:val="20"/>
              </w:rPr>
            </w:pPr>
            <w:r w:rsidRPr="007E02FD">
              <w:rPr>
                <w:b/>
                <w:bCs w:val="0"/>
                <w:szCs w:val="20"/>
              </w:rPr>
              <w:t>Population or</w:t>
            </w:r>
          </w:p>
          <w:p w14:paraId="52F7ED0E" w14:textId="77777777" w:rsidR="00D9520C" w:rsidRPr="007E02FD" w:rsidRDefault="00D9520C" w:rsidP="004874B4">
            <w:pPr>
              <w:pStyle w:val="TableText"/>
              <w:ind w:right="-69"/>
              <w:rPr>
                <w:b/>
                <w:bCs w:val="0"/>
                <w:szCs w:val="20"/>
              </w:rPr>
            </w:pPr>
            <w:r w:rsidRPr="007E02FD">
              <w:rPr>
                <w:b/>
                <w:bCs w:val="0"/>
                <w:szCs w:val="20"/>
              </w:rPr>
              <w:t xml:space="preserve">subgroup </w:t>
            </w:r>
          </w:p>
        </w:tc>
        <w:tc>
          <w:tcPr>
            <w:tcW w:w="1843" w:type="dxa"/>
            <w:vAlign w:val="center"/>
          </w:tcPr>
          <w:p w14:paraId="0C4E1ECF" w14:textId="77777777" w:rsidR="00D9520C" w:rsidRPr="007E02FD" w:rsidRDefault="00D9520C" w:rsidP="004874B4">
            <w:pPr>
              <w:pStyle w:val="TableText"/>
              <w:ind w:left="-75" w:right="-69"/>
              <w:jc w:val="center"/>
              <w:rPr>
                <w:b/>
                <w:bCs w:val="0"/>
                <w:szCs w:val="20"/>
              </w:rPr>
            </w:pPr>
            <w:r w:rsidRPr="007E02FD">
              <w:rPr>
                <w:b/>
                <w:bCs w:val="0"/>
                <w:szCs w:val="20"/>
              </w:rPr>
              <w:t>Empagliflozin + SC</w:t>
            </w:r>
          </w:p>
          <w:p w14:paraId="2C00B42E" w14:textId="77777777" w:rsidR="00D9520C" w:rsidRPr="007E02FD" w:rsidRDefault="00D9520C" w:rsidP="004874B4">
            <w:pPr>
              <w:pStyle w:val="TableText"/>
              <w:ind w:left="-75" w:right="-69"/>
              <w:jc w:val="center"/>
              <w:rPr>
                <w:b/>
                <w:bCs w:val="0"/>
                <w:szCs w:val="20"/>
              </w:rPr>
            </w:pPr>
            <w:r w:rsidRPr="007E02FD">
              <w:rPr>
                <w:b/>
                <w:bCs w:val="0"/>
                <w:szCs w:val="20"/>
              </w:rPr>
              <w:t>n/N (%)</w:t>
            </w:r>
          </w:p>
        </w:tc>
        <w:tc>
          <w:tcPr>
            <w:tcW w:w="1761" w:type="dxa"/>
            <w:vAlign w:val="center"/>
          </w:tcPr>
          <w:p w14:paraId="320D1F67" w14:textId="77777777" w:rsidR="00D9520C" w:rsidRPr="007E02FD" w:rsidRDefault="00D9520C" w:rsidP="004874B4">
            <w:pPr>
              <w:keepNext/>
              <w:keepLines/>
              <w:ind w:left="-75" w:right="-69"/>
              <w:jc w:val="center"/>
              <w:rPr>
                <w:rFonts w:ascii="Arial Narrow" w:hAnsi="Arial Narrow"/>
                <w:b/>
                <w:sz w:val="20"/>
                <w:szCs w:val="20"/>
              </w:rPr>
            </w:pPr>
            <w:r w:rsidRPr="007E02FD">
              <w:rPr>
                <w:rFonts w:ascii="Arial Narrow" w:hAnsi="Arial Narrow"/>
                <w:b/>
                <w:sz w:val="20"/>
                <w:szCs w:val="20"/>
              </w:rPr>
              <w:t>Placebo + SC</w:t>
            </w:r>
          </w:p>
          <w:p w14:paraId="3C7A9254" w14:textId="77777777" w:rsidR="00D9520C" w:rsidRPr="007E02FD" w:rsidRDefault="00D9520C" w:rsidP="004874B4">
            <w:pPr>
              <w:pStyle w:val="TableText"/>
              <w:ind w:left="-75" w:right="-69"/>
              <w:jc w:val="center"/>
              <w:rPr>
                <w:b/>
                <w:bCs w:val="0"/>
                <w:szCs w:val="20"/>
              </w:rPr>
            </w:pPr>
            <w:r w:rsidRPr="007E02FD">
              <w:rPr>
                <w:b/>
                <w:bCs w:val="0"/>
                <w:szCs w:val="20"/>
              </w:rPr>
              <w:t>n/N (%)</w:t>
            </w:r>
          </w:p>
        </w:tc>
        <w:tc>
          <w:tcPr>
            <w:tcW w:w="1874" w:type="dxa"/>
            <w:vAlign w:val="center"/>
          </w:tcPr>
          <w:p w14:paraId="454C672C" w14:textId="77777777" w:rsidR="00D9520C" w:rsidRPr="007E02FD" w:rsidRDefault="00D9520C" w:rsidP="004874B4">
            <w:pPr>
              <w:pStyle w:val="TableText"/>
              <w:ind w:left="-75" w:right="-69"/>
              <w:jc w:val="center"/>
              <w:rPr>
                <w:b/>
                <w:bCs w:val="0"/>
                <w:szCs w:val="20"/>
              </w:rPr>
            </w:pPr>
            <w:r w:rsidRPr="007E02FD">
              <w:rPr>
                <w:b/>
                <w:bCs w:val="0"/>
                <w:szCs w:val="20"/>
              </w:rPr>
              <w:t>Hazard ratio</w:t>
            </w:r>
          </w:p>
          <w:p w14:paraId="1F1EE7D7" w14:textId="77777777" w:rsidR="00D9520C" w:rsidRPr="007E02FD" w:rsidRDefault="00D9520C" w:rsidP="004874B4">
            <w:pPr>
              <w:pStyle w:val="TableText"/>
              <w:ind w:left="-75" w:right="-69"/>
              <w:jc w:val="center"/>
              <w:rPr>
                <w:b/>
                <w:bCs w:val="0"/>
                <w:szCs w:val="20"/>
              </w:rPr>
            </w:pPr>
            <w:r w:rsidRPr="007E02FD">
              <w:rPr>
                <w:b/>
                <w:bCs w:val="0"/>
                <w:szCs w:val="20"/>
              </w:rPr>
              <w:t>(95% CI)</w:t>
            </w:r>
          </w:p>
        </w:tc>
      </w:tr>
      <w:tr w:rsidR="00D9520C" w:rsidRPr="007E02FD" w14:paraId="59077187" w14:textId="77777777" w:rsidTr="006B1BCB">
        <w:trPr>
          <w:trHeight w:val="101"/>
        </w:trPr>
        <w:tc>
          <w:tcPr>
            <w:tcW w:w="9017" w:type="dxa"/>
            <w:gridSpan w:val="4"/>
            <w:vAlign w:val="center"/>
          </w:tcPr>
          <w:p w14:paraId="40F38378" w14:textId="77777777" w:rsidR="00D9520C" w:rsidRPr="007E02FD" w:rsidRDefault="00D9520C" w:rsidP="004874B4">
            <w:pPr>
              <w:pStyle w:val="TableText"/>
              <w:rPr>
                <w:b/>
                <w:bCs w:val="0"/>
                <w:szCs w:val="20"/>
              </w:rPr>
            </w:pPr>
            <w:r w:rsidRPr="007E02FD">
              <w:rPr>
                <w:b/>
                <w:bCs w:val="0"/>
                <w:szCs w:val="20"/>
              </w:rPr>
              <w:t xml:space="preserve">Primary composite outcome CKD progression or CV </w:t>
            </w:r>
            <w:proofErr w:type="spellStart"/>
            <w:r w:rsidRPr="007E02FD">
              <w:rPr>
                <w:b/>
                <w:bCs w:val="0"/>
                <w:szCs w:val="20"/>
              </w:rPr>
              <w:t>death</w:t>
            </w:r>
            <w:r>
              <w:rPr>
                <w:b/>
                <w:bCs w:val="0"/>
                <w:szCs w:val="20"/>
                <w:vertAlign w:val="superscript"/>
              </w:rPr>
              <w:t>a</w:t>
            </w:r>
            <w:proofErr w:type="spellEnd"/>
            <w:r>
              <w:rPr>
                <w:b/>
                <w:bCs w:val="0"/>
                <w:szCs w:val="20"/>
              </w:rPr>
              <w:t xml:space="preserve"> </w:t>
            </w:r>
          </w:p>
        </w:tc>
      </w:tr>
      <w:tr w:rsidR="00D9520C" w:rsidRPr="003F346E" w14:paraId="5A78A167" w14:textId="77777777" w:rsidTr="00B64F96">
        <w:trPr>
          <w:trHeight w:val="101"/>
        </w:trPr>
        <w:tc>
          <w:tcPr>
            <w:tcW w:w="3539" w:type="dxa"/>
            <w:shd w:val="clear" w:color="auto" w:fill="B8CCE4" w:themeFill="accent1" w:themeFillTint="66"/>
            <w:vAlign w:val="center"/>
          </w:tcPr>
          <w:p w14:paraId="0D9B2735" w14:textId="77777777" w:rsidR="00D9520C" w:rsidRPr="00B64F96" w:rsidRDefault="00D9520C" w:rsidP="004874B4">
            <w:pPr>
              <w:pStyle w:val="TableText"/>
              <w:tabs>
                <w:tab w:val="right" w:pos="3180"/>
              </w:tabs>
              <w:rPr>
                <w:szCs w:val="20"/>
              </w:rPr>
            </w:pPr>
            <w:r w:rsidRPr="00B64F96">
              <w:rPr>
                <w:szCs w:val="20"/>
              </w:rPr>
              <w:t>Overall ITT population</w:t>
            </w:r>
          </w:p>
        </w:tc>
        <w:tc>
          <w:tcPr>
            <w:tcW w:w="1843" w:type="dxa"/>
            <w:shd w:val="clear" w:color="auto" w:fill="B8CCE4" w:themeFill="accent1" w:themeFillTint="66"/>
            <w:vAlign w:val="center"/>
          </w:tcPr>
          <w:p w14:paraId="143BC398" w14:textId="27FA65C8" w:rsidR="00D9520C" w:rsidRPr="00B64F96" w:rsidRDefault="00D9520C" w:rsidP="004874B4">
            <w:pPr>
              <w:pStyle w:val="TableText"/>
              <w:jc w:val="center"/>
              <w:rPr>
                <w:szCs w:val="20"/>
              </w:rPr>
            </w:pPr>
            <w:r w:rsidRPr="00B64F96">
              <w:t>432/</w:t>
            </w:r>
            <w:r w:rsidR="002F2B2D">
              <w:t>3304</w:t>
            </w:r>
            <w:r w:rsidRPr="00B64F96">
              <w:t>(13.1%)</w:t>
            </w:r>
          </w:p>
        </w:tc>
        <w:tc>
          <w:tcPr>
            <w:tcW w:w="1761" w:type="dxa"/>
            <w:shd w:val="clear" w:color="auto" w:fill="B8CCE4" w:themeFill="accent1" w:themeFillTint="66"/>
            <w:vAlign w:val="center"/>
          </w:tcPr>
          <w:p w14:paraId="53CB5F8E" w14:textId="3878EEB4" w:rsidR="00D9520C" w:rsidRPr="00B64F96" w:rsidRDefault="00D9520C" w:rsidP="004874B4">
            <w:pPr>
              <w:pStyle w:val="TableText"/>
              <w:jc w:val="center"/>
              <w:rPr>
                <w:szCs w:val="20"/>
              </w:rPr>
            </w:pPr>
            <w:r w:rsidRPr="00B64F96">
              <w:t>558/</w:t>
            </w:r>
            <w:r w:rsidR="002F2B2D">
              <w:t>3305</w:t>
            </w:r>
            <w:r w:rsidRPr="00B64F96">
              <w:t>(16.9%)</w:t>
            </w:r>
          </w:p>
        </w:tc>
        <w:tc>
          <w:tcPr>
            <w:tcW w:w="1874" w:type="dxa"/>
            <w:shd w:val="clear" w:color="auto" w:fill="B8CCE4" w:themeFill="accent1" w:themeFillTint="66"/>
            <w:vAlign w:val="center"/>
          </w:tcPr>
          <w:p w14:paraId="3C1DB369" w14:textId="77777777" w:rsidR="00D9520C" w:rsidRPr="00B64F96" w:rsidRDefault="00D9520C" w:rsidP="004874B4">
            <w:pPr>
              <w:pStyle w:val="TableText"/>
              <w:jc w:val="center"/>
              <w:rPr>
                <w:b/>
                <w:bCs w:val="0"/>
                <w:szCs w:val="20"/>
              </w:rPr>
            </w:pPr>
            <w:r w:rsidRPr="00B64F96">
              <w:rPr>
                <w:b/>
                <w:bCs w:val="0"/>
              </w:rPr>
              <w:t>0.72 (0.64, 0.82)</w:t>
            </w:r>
          </w:p>
        </w:tc>
      </w:tr>
      <w:tr w:rsidR="00851C2C" w:rsidRPr="003F346E" w14:paraId="7BD958C6" w14:textId="77777777" w:rsidTr="00B64F96">
        <w:trPr>
          <w:trHeight w:val="101"/>
        </w:trPr>
        <w:tc>
          <w:tcPr>
            <w:tcW w:w="3539" w:type="dxa"/>
            <w:shd w:val="clear" w:color="auto" w:fill="B8CCE4" w:themeFill="accent1" w:themeFillTint="66"/>
            <w:vAlign w:val="center"/>
          </w:tcPr>
          <w:p w14:paraId="4DFA8E1F" w14:textId="25540E01" w:rsidR="00851C2C" w:rsidRPr="00B64F96" w:rsidRDefault="00851C2C" w:rsidP="00851C2C">
            <w:pPr>
              <w:pStyle w:val="TableText"/>
              <w:tabs>
                <w:tab w:val="right" w:pos="3180"/>
              </w:tabs>
              <w:rPr>
                <w:szCs w:val="20"/>
              </w:rPr>
            </w:pPr>
            <w:r w:rsidRPr="00B64F96">
              <w:rPr>
                <w:szCs w:val="20"/>
              </w:rPr>
              <w:t>Overlap population</w:t>
            </w:r>
          </w:p>
        </w:tc>
        <w:tc>
          <w:tcPr>
            <w:tcW w:w="1843" w:type="dxa"/>
            <w:shd w:val="clear" w:color="auto" w:fill="B8CCE4" w:themeFill="accent1" w:themeFillTint="66"/>
            <w:vAlign w:val="center"/>
          </w:tcPr>
          <w:p w14:paraId="202B1C5F" w14:textId="7598B97D" w:rsidR="00851C2C" w:rsidRPr="00287B3B" w:rsidRDefault="00851C2C" w:rsidP="00851C2C">
            <w:pPr>
              <w:pStyle w:val="TableText"/>
              <w:jc w:val="center"/>
            </w:pPr>
            <w:r w:rsidRPr="00287B3B">
              <w:t>184/1446 (12.7%)</w:t>
            </w:r>
          </w:p>
        </w:tc>
        <w:tc>
          <w:tcPr>
            <w:tcW w:w="1761" w:type="dxa"/>
            <w:shd w:val="clear" w:color="auto" w:fill="B8CCE4" w:themeFill="accent1" w:themeFillTint="66"/>
            <w:vAlign w:val="center"/>
          </w:tcPr>
          <w:p w14:paraId="30EC2B93" w14:textId="7F10F508" w:rsidR="00851C2C" w:rsidRPr="00287B3B" w:rsidRDefault="00851C2C" w:rsidP="00851C2C">
            <w:pPr>
              <w:pStyle w:val="TableText"/>
              <w:jc w:val="center"/>
            </w:pPr>
            <w:r w:rsidRPr="00287B3B">
              <w:t>227/1397 (16.2%)</w:t>
            </w:r>
          </w:p>
        </w:tc>
        <w:tc>
          <w:tcPr>
            <w:tcW w:w="1874" w:type="dxa"/>
            <w:shd w:val="clear" w:color="auto" w:fill="B8CCE4" w:themeFill="accent1" w:themeFillTint="66"/>
            <w:vAlign w:val="center"/>
          </w:tcPr>
          <w:p w14:paraId="6F506FAE" w14:textId="4895213A" w:rsidR="00851C2C" w:rsidRPr="00287B3B" w:rsidRDefault="00851C2C" w:rsidP="00851C2C">
            <w:pPr>
              <w:pStyle w:val="TableText"/>
              <w:jc w:val="center"/>
              <w:rPr>
                <w:b/>
                <w:bCs w:val="0"/>
              </w:rPr>
            </w:pPr>
            <w:r w:rsidRPr="00287B3B">
              <w:rPr>
                <w:b/>
                <w:bCs w:val="0"/>
              </w:rPr>
              <w:t>0.76 (0.63, 0.92)</w:t>
            </w:r>
          </w:p>
        </w:tc>
      </w:tr>
      <w:tr w:rsidR="00851C2C" w:rsidRPr="003F346E" w14:paraId="1127C5C9" w14:textId="77777777" w:rsidTr="00B64F96">
        <w:trPr>
          <w:trHeight w:val="101"/>
        </w:trPr>
        <w:tc>
          <w:tcPr>
            <w:tcW w:w="3539" w:type="dxa"/>
            <w:shd w:val="clear" w:color="auto" w:fill="B8CCE4" w:themeFill="accent1" w:themeFillTint="66"/>
            <w:vAlign w:val="center"/>
          </w:tcPr>
          <w:p w14:paraId="60D4D996" w14:textId="24AA1588" w:rsidR="00851C2C" w:rsidRPr="00B64F96" w:rsidRDefault="00851C2C" w:rsidP="00851C2C">
            <w:pPr>
              <w:pStyle w:val="TableText"/>
              <w:tabs>
                <w:tab w:val="right" w:pos="3180"/>
              </w:tabs>
              <w:rPr>
                <w:szCs w:val="20"/>
              </w:rPr>
            </w:pPr>
            <w:r w:rsidRPr="0031134B">
              <w:rPr>
                <w:szCs w:val="20"/>
              </w:rPr>
              <w:t>Incremental population</w:t>
            </w:r>
          </w:p>
        </w:tc>
        <w:tc>
          <w:tcPr>
            <w:tcW w:w="1843" w:type="dxa"/>
            <w:shd w:val="clear" w:color="auto" w:fill="B8CCE4" w:themeFill="accent1" w:themeFillTint="66"/>
            <w:vAlign w:val="center"/>
          </w:tcPr>
          <w:p w14:paraId="60AC4248" w14:textId="3963AD05" w:rsidR="00851C2C" w:rsidRPr="00287B3B" w:rsidRDefault="00851C2C" w:rsidP="00851C2C">
            <w:pPr>
              <w:pStyle w:val="TableText"/>
              <w:jc w:val="center"/>
              <w:rPr>
                <w:szCs w:val="20"/>
              </w:rPr>
            </w:pPr>
            <w:r w:rsidRPr="00287B3B">
              <w:t>248/1858 (13.3%)</w:t>
            </w:r>
          </w:p>
        </w:tc>
        <w:tc>
          <w:tcPr>
            <w:tcW w:w="1761" w:type="dxa"/>
            <w:shd w:val="clear" w:color="auto" w:fill="B8CCE4" w:themeFill="accent1" w:themeFillTint="66"/>
            <w:vAlign w:val="center"/>
          </w:tcPr>
          <w:p w14:paraId="4B77A87C" w14:textId="3FF173B4" w:rsidR="00851C2C" w:rsidRPr="00287B3B" w:rsidRDefault="00851C2C" w:rsidP="00851C2C">
            <w:pPr>
              <w:pStyle w:val="TableText"/>
              <w:jc w:val="center"/>
              <w:rPr>
                <w:szCs w:val="20"/>
              </w:rPr>
            </w:pPr>
            <w:r w:rsidRPr="00287B3B">
              <w:t>331/1906 (17.3%)</w:t>
            </w:r>
          </w:p>
        </w:tc>
        <w:tc>
          <w:tcPr>
            <w:tcW w:w="1874" w:type="dxa"/>
            <w:shd w:val="clear" w:color="auto" w:fill="B8CCE4" w:themeFill="accent1" w:themeFillTint="66"/>
            <w:vAlign w:val="center"/>
          </w:tcPr>
          <w:p w14:paraId="48877F34" w14:textId="2CF0A6E5" w:rsidR="00851C2C" w:rsidRPr="00287B3B" w:rsidRDefault="00851C2C" w:rsidP="00851C2C">
            <w:pPr>
              <w:pStyle w:val="TableText"/>
              <w:jc w:val="center"/>
              <w:rPr>
                <w:szCs w:val="20"/>
              </w:rPr>
            </w:pPr>
            <w:r w:rsidRPr="00287B3B">
              <w:rPr>
                <w:b/>
                <w:bCs w:val="0"/>
              </w:rPr>
              <w:t>0.76 (0.65, 0.90)</w:t>
            </w:r>
          </w:p>
        </w:tc>
      </w:tr>
      <w:tr w:rsidR="00851C2C" w:rsidRPr="003F346E" w14:paraId="4DE88128" w14:textId="77777777" w:rsidTr="006B1BCB">
        <w:trPr>
          <w:trHeight w:val="101"/>
        </w:trPr>
        <w:tc>
          <w:tcPr>
            <w:tcW w:w="3539" w:type="dxa"/>
            <w:vAlign w:val="center"/>
          </w:tcPr>
          <w:p w14:paraId="7308F57D" w14:textId="64FCBCFB" w:rsidR="00851C2C" w:rsidRPr="00417FB5" w:rsidRDefault="00851C2C" w:rsidP="00851C2C">
            <w:pPr>
              <w:pStyle w:val="TableText"/>
              <w:keepLines w:val="0"/>
              <w:tabs>
                <w:tab w:val="right" w:pos="3180"/>
              </w:tabs>
              <w:rPr>
                <w:szCs w:val="20"/>
                <w:vertAlign w:val="superscript"/>
              </w:rPr>
            </w:pPr>
            <w:r>
              <w:rPr>
                <w:szCs w:val="20"/>
              </w:rPr>
              <w:t>UACR</w:t>
            </w:r>
            <w:r w:rsidRPr="007E02FD">
              <w:rPr>
                <w:szCs w:val="20"/>
              </w:rPr>
              <w:t xml:space="preserve"> &lt;200 mg/g</w:t>
            </w:r>
          </w:p>
        </w:tc>
        <w:tc>
          <w:tcPr>
            <w:tcW w:w="1843" w:type="dxa"/>
            <w:vAlign w:val="center"/>
          </w:tcPr>
          <w:p w14:paraId="39BEB4BF" w14:textId="77777777" w:rsidR="00851C2C" w:rsidRPr="007E02FD" w:rsidRDefault="00851C2C" w:rsidP="00851C2C">
            <w:pPr>
              <w:pStyle w:val="TableText"/>
              <w:keepLines w:val="0"/>
              <w:jc w:val="center"/>
            </w:pPr>
            <w:r>
              <w:t>92/1,361 (6.8%)</w:t>
            </w:r>
          </w:p>
        </w:tc>
        <w:tc>
          <w:tcPr>
            <w:tcW w:w="1761" w:type="dxa"/>
            <w:vAlign w:val="center"/>
          </w:tcPr>
          <w:p w14:paraId="6428D26F" w14:textId="77777777" w:rsidR="00851C2C" w:rsidRPr="007E02FD" w:rsidRDefault="00851C2C" w:rsidP="00851C2C">
            <w:pPr>
              <w:pStyle w:val="TableText"/>
              <w:keepLines w:val="0"/>
              <w:jc w:val="center"/>
            </w:pPr>
            <w:r>
              <w:t>108/1,366 (8.0%)</w:t>
            </w:r>
          </w:p>
        </w:tc>
        <w:tc>
          <w:tcPr>
            <w:tcW w:w="1874" w:type="dxa"/>
            <w:vAlign w:val="center"/>
          </w:tcPr>
          <w:p w14:paraId="0D1DDE5E" w14:textId="77777777" w:rsidR="00851C2C" w:rsidRPr="00391C4E" w:rsidRDefault="00851C2C" w:rsidP="00851C2C">
            <w:pPr>
              <w:pStyle w:val="TableText"/>
              <w:keepLines w:val="0"/>
              <w:jc w:val="center"/>
            </w:pPr>
            <w:r w:rsidRPr="00391C4E">
              <w:t>0.87 (0.66, 1.15)</w:t>
            </w:r>
          </w:p>
        </w:tc>
      </w:tr>
      <w:tr w:rsidR="00851C2C" w:rsidRPr="003F346E" w14:paraId="4A045E47" w14:textId="77777777" w:rsidTr="006B1BCB">
        <w:trPr>
          <w:trHeight w:val="101"/>
        </w:trPr>
        <w:tc>
          <w:tcPr>
            <w:tcW w:w="3539" w:type="dxa"/>
            <w:vAlign w:val="center"/>
          </w:tcPr>
          <w:p w14:paraId="6BAFC088" w14:textId="2108FAAE" w:rsidR="00851C2C" w:rsidRPr="00417FB5" w:rsidRDefault="00851C2C" w:rsidP="00851C2C">
            <w:pPr>
              <w:pStyle w:val="TableText"/>
              <w:keepLines w:val="0"/>
              <w:tabs>
                <w:tab w:val="right" w:pos="3180"/>
              </w:tabs>
              <w:rPr>
                <w:szCs w:val="20"/>
                <w:vertAlign w:val="superscript"/>
              </w:rPr>
            </w:pPr>
            <w:r>
              <w:rPr>
                <w:szCs w:val="20"/>
              </w:rPr>
              <w:t>UACR</w:t>
            </w:r>
            <w:r w:rsidRPr="007E02FD">
              <w:rPr>
                <w:szCs w:val="20"/>
              </w:rPr>
              <w:t xml:space="preserve"> ≥200 mg/g</w:t>
            </w:r>
          </w:p>
        </w:tc>
        <w:tc>
          <w:tcPr>
            <w:tcW w:w="1843" w:type="dxa"/>
            <w:vAlign w:val="center"/>
          </w:tcPr>
          <w:p w14:paraId="507A1BEA" w14:textId="77777777" w:rsidR="00851C2C" w:rsidRPr="007E02FD" w:rsidRDefault="00851C2C" w:rsidP="00851C2C">
            <w:pPr>
              <w:pStyle w:val="TableText"/>
              <w:keepLines w:val="0"/>
              <w:jc w:val="center"/>
            </w:pPr>
            <w:r>
              <w:t>340/1,943 (17.5%)</w:t>
            </w:r>
          </w:p>
        </w:tc>
        <w:tc>
          <w:tcPr>
            <w:tcW w:w="1761" w:type="dxa"/>
            <w:vAlign w:val="center"/>
          </w:tcPr>
          <w:p w14:paraId="778DB93F" w14:textId="77777777" w:rsidR="00851C2C" w:rsidRPr="007E02FD" w:rsidRDefault="00851C2C" w:rsidP="00851C2C">
            <w:pPr>
              <w:pStyle w:val="TableText"/>
              <w:keepLines w:val="0"/>
              <w:jc w:val="center"/>
            </w:pPr>
            <w:r>
              <w:t>450/1,949 (23.1%)</w:t>
            </w:r>
          </w:p>
        </w:tc>
        <w:tc>
          <w:tcPr>
            <w:tcW w:w="1874" w:type="dxa"/>
            <w:vAlign w:val="center"/>
          </w:tcPr>
          <w:p w14:paraId="13088C8B" w14:textId="77777777" w:rsidR="00851C2C" w:rsidRPr="007E02FD" w:rsidRDefault="00851C2C" w:rsidP="00851C2C">
            <w:pPr>
              <w:pStyle w:val="TableText"/>
              <w:keepLines w:val="0"/>
              <w:jc w:val="center"/>
              <w:rPr>
                <w:b/>
                <w:bCs w:val="0"/>
              </w:rPr>
            </w:pPr>
            <w:r>
              <w:rPr>
                <w:b/>
                <w:bCs w:val="0"/>
              </w:rPr>
              <w:t>0.71 (0.62, 0.82)</w:t>
            </w:r>
          </w:p>
        </w:tc>
      </w:tr>
      <w:tr w:rsidR="00851C2C" w:rsidRPr="007E02FD" w14:paraId="67F570AF" w14:textId="77777777" w:rsidTr="006B1BCB">
        <w:trPr>
          <w:trHeight w:val="101"/>
        </w:trPr>
        <w:tc>
          <w:tcPr>
            <w:tcW w:w="9017" w:type="dxa"/>
            <w:gridSpan w:val="4"/>
            <w:vAlign w:val="center"/>
          </w:tcPr>
          <w:p w14:paraId="24A1A2F6" w14:textId="77777777" w:rsidR="00851C2C" w:rsidRPr="007E02FD" w:rsidRDefault="00851C2C" w:rsidP="00851C2C">
            <w:pPr>
              <w:pStyle w:val="TableText"/>
              <w:keepLines w:val="0"/>
              <w:rPr>
                <w:b/>
                <w:bCs w:val="0"/>
                <w:szCs w:val="20"/>
              </w:rPr>
            </w:pPr>
            <w:r w:rsidRPr="007E02FD">
              <w:rPr>
                <w:b/>
                <w:bCs w:val="0"/>
                <w:szCs w:val="20"/>
              </w:rPr>
              <w:t xml:space="preserve">Time to first CKD </w:t>
            </w:r>
            <w:proofErr w:type="spellStart"/>
            <w:r w:rsidRPr="007E02FD">
              <w:rPr>
                <w:b/>
                <w:bCs w:val="0"/>
                <w:szCs w:val="20"/>
              </w:rPr>
              <w:t>progression</w:t>
            </w:r>
            <w:r w:rsidRPr="007E02FD">
              <w:rPr>
                <w:b/>
                <w:bCs w:val="0"/>
                <w:szCs w:val="20"/>
                <w:vertAlign w:val="superscript"/>
              </w:rPr>
              <w:t>a</w:t>
            </w:r>
            <w:proofErr w:type="spellEnd"/>
            <w:r w:rsidRPr="007E02FD">
              <w:rPr>
                <w:b/>
                <w:bCs w:val="0"/>
                <w:szCs w:val="20"/>
              </w:rPr>
              <w:t xml:space="preserve"> </w:t>
            </w:r>
          </w:p>
        </w:tc>
      </w:tr>
      <w:tr w:rsidR="00851C2C" w:rsidRPr="003F346E" w14:paraId="5BFEE1AD" w14:textId="77777777" w:rsidTr="0031134B">
        <w:trPr>
          <w:trHeight w:val="101"/>
        </w:trPr>
        <w:tc>
          <w:tcPr>
            <w:tcW w:w="3539" w:type="dxa"/>
            <w:shd w:val="clear" w:color="auto" w:fill="B8CCE4" w:themeFill="accent1" w:themeFillTint="66"/>
            <w:vAlign w:val="center"/>
          </w:tcPr>
          <w:p w14:paraId="4DF0E80D" w14:textId="77777777" w:rsidR="00851C2C" w:rsidRPr="0031134B" w:rsidRDefault="00851C2C" w:rsidP="00851C2C">
            <w:pPr>
              <w:pStyle w:val="TableText"/>
              <w:keepLines w:val="0"/>
              <w:tabs>
                <w:tab w:val="right" w:pos="3180"/>
              </w:tabs>
              <w:rPr>
                <w:szCs w:val="20"/>
              </w:rPr>
            </w:pPr>
            <w:r w:rsidRPr="0031134B">
              <w:rPr>
                <w:szCs w:val="20"/>
              </w:rPr>
              <w:t>Overall ITT population</w:t>
            </w:r>
          </w:p>
        </w:tc>
        <w:tc>
          <w:tcPr>
            <w:tcW w:w="1843" w:type="dxa"/>
            <w:shd w:val="clear" w:color="auto" w:fill="B8CCE4" w:themeFill="accent1" w:themeFillTint="66"/>
            <w:vAlign w:val="center"/>
          </w:tcPr>
          <w:p w14:paraId="2E032BF1" w14:textId="77777777" w:rsidR="00851C2C" w:rsidRPr="0031134B" w:rsidRDefault="00851C2C" w:rsidP="00851C2C">
            <w:pPr>
              <w:pStyle w:val="TableText"/>
              <w:keepLines w:val="0"/>
              <w:jc w:val="center"/>
              <w:rPr>
                <w:szCs w:val="20"/>
              </w:rPr>
            </w:pPr>
            <w:r w:rsidRPr="0031134B">
              <w:rPr>
                <w:szCs w:val="20"/>
              </w:rPr>
              <w:t>384/3,304 (11.6%)</w:t>
            </w:r>
          </w:p>
        </w:tc>
        <w:tc>
          <w:tcPr>
            <w:tcW w:w="1761" w:type="dxa"/>
            <w:shd w:val="clear" w:color="auto" w:fill="B8CCE4" w:themeFill="accent1" w:themeFillTint="66"/>
            <w:vAlign w:val="center"/>
          </w:tcPr>
          <w:p w14:paraId="4AB981A2" w14:textId="77777777" w:rsidR="00851C2C" w:rsidRPr="0031134B" w:rsidRDefault="00851C2C" w:rsidP="00851C2C">
            <w:pPr>
              <w:pStyle w:val="TableText"/>
              <w:keepLines w:val="0"/>
              <w:jc w:val="center"/>
              <w:rPr>
                <w:szCs w:val="20"/>
              </w:rPr>
            </w:pPr>
            <w:r w:rsidRPr="0031134B">
              <w:rPr>
                <w:szCs w:val="20"/>
              </w:rPr>
              <w:t>504/3,305 (15.2%)</w:t>
            </w:r>
          </w:p>
        </w:tc>
        <w:tc>
          <w:tcPr>
            <w:tcW w:w="1874" w:type="dxa"/>
            <w:shd w:val="clear" w:color="auto" w:fill="B8CCE4" w:themeFill="accent1" w:themeFillTint="66"/>
            <w:vAlign w:val="center"/>
          </w:tcPr>
          <w:p w14:paraId="49AF0FD3" w14:textId="77777777" w:rsidR="00851C2C" w:rsidRPr="0031134B" w:rsidRDefault="00851C2C" w:rsidP="00851C2C">
            <w:pPr>
              <w:pStyle w:val="TableText"/>
              <w:keepLines w:val="0"/>
              <w:jc w:val="center"/>
              <w:rPr>
                <w:b/>
                <w:bCs w:val="0"/>
                <w:szCs w:val="20"/>
              </w:rPr>
            </w:pPr>
            <w:r w:rsidRPr="0031134B">
              <w:rPr>
                <w:b/>
                <w:bCs w:val="0"/>
                <w:szCs w:val="20"/>
              </w:rPr>
              <w:t>0.71 (0.62, 0.81)</w:t>
            </w:r>
          </w:p>
        </w:tc>
      </w:tr>
      <w:tr w:rsidR="00851C2C" w:rsidRPr="003F346E" w14:paraId="3E9F23C8" w14:textId="77777777" w:rsidTr="0031134B">
        <w:trPr>
          <w:trHeight w:val="101"/>
        </w:trPr>
        <w:tc>
          <w:tcPr>
            <w:tcW w:w="3539" w:type="dxa"/>
            <w:shd w:val="clear" w:color="auto" w:fill="B8CCE4" w:themeFill="accent1" w:themeFillTint="66"/>
            <w:vAlign w:val="center"/>
          </w:tcPr>
          <w:p w14:paraId="5C248363" w14:textId="77777777" w:rsidR="00851C2C" w:rsidRPr="0031134B" w:rsidRDefault="00851C2C" w:rsidP="00851C2C">
            <w:pPr>
              <w:pStyle w:val="TableText"/>
              <w:keepLines w:val="0"/>
              <w:tabs>
                <w:tab w:val="right" w:pos="3180"/>
              </w:tabs>
              <w:rPr>
                <w:szCs w:val="20"/>
              </w:rPr>
            </w:pPr>
            <w:r w:rsidRPr="0031134B">
              <w:rPr>
                <w:szCs w:val="20"/>
              </w:rPr>
              <w:t>Overlap population</w:t>
            </w:r>
          </w:p>
        </w:tc>
        <w:tc>
          <w:tcPr>
            <w:tcW w:w="1843" w:type="dxa"/>
            <w:shd w:val="clear" w:color="auto" w:fill="B8CCE4" w:themeFill="accent1" w:themeFillTint="66"/>
            <w:vAlign w:val="center"/>
          </w:tcPr>
          <w:p w14:paraId="7FD14920" w14:textId="77777777" w:rsidR="00851C2C" w:rsidRPr="0031134B" w:rsidRDefault="00851C2C" w:rsidP="00851C2C">
            <w:pPr>
              <w:pStyle w:val="TableText"/>
              <w:keepLines w:val="0"/>
              <w:jc w:val="center"/>
              <w:rPr>
                <w:szCs w:val="20"/>
              </w:rPr>
            </w:pPr>
            <w:r w:rsidRPr="0031134B">
              <w:rPr>
                <w:szCs w:val="20"/>
              </w:rPr>
              <w:t>170/1,446 (11.8%)</w:t>
            </w:r>
          </w:p>
        </w:tc>
        <w:tc>
          <w:tcPr>
            <w:tcW w:w="1761" w:type="dxa"/>
            <w:shd w:val="clear" w:color="auto" w:fill="B8CCE4" w:themeFill="accent1" w:themeFillTint="66"/>
            <w:vAlign w:val="center"/>
          </w:tcPr>
          <w:p w14:paraId="1AEF3A80" w14:textId="77777777" w:rsidR="00851C2C" w:rsidRPr="0031134B" w:rsidRDefault="00851C2C" w:rsidP="00851C2C">
            <w:pPr>
              <w:pStyle w:val="TableText"/>
              <w:keepLines w:val="0"/>
              <w:jc w:val="center"/>
              <w:rPr>
                <w:szCs w:val="20"/>
              </w:rPr>
            </w:pPr>
            <w:r w:rsidRPr="0031134B">
              <w:rPr>
                <w:szCs w:val="20"/>
              </w:rPr>
              <w:t>212/1,397 (15.2%)</w:t>
            </w:r>
          </w:p>
        </w:tc>
        <w:tc>
          <w:tcPr>
            <w:tcW w:w="1874" w:type="dxa"/>
            <w:shd w:val="clear" w:color="auto" w:fill="B8CCE4" w:themeFill="accent1" w:themeFillTint="66"/>
            <w:vAlign w:val="center"/>
          </w:tcPr>
          <w:p w14:paraId="66A40D4D" w14:textId="77777777" w:rsidR="00851C2C" w:rsidRPr="0031134B" w:rsidRDefault="00851C2C" w:rsidP="00851C2C">
            <w:pPr>
              <w:pStyle w:val="TableText"/>
              <w:keepLines w:val="0"/>
              <w:jc w:val="center"/>
              <w:rPr>
                <w:szCs w:val="20"/>
              </w:rPr>
            </w:pPr>
            <w:r w:rsidRPr="0031134B">
              <w:rPr>
                <w:b/>
                <w:bCs w:val="0"/>
                <w:szCs w:val="20"/>
              </w:rPr>
              <w:t>0.75 (0.61, 0.92)</w:t>
            </w:r>
          </w:p>
        </w:tc>
      </w:tr>
      <w:tr w:rsidR="00851C2C" w:rsidRPr="003F346E" w14:paraId="3EE583A6" w14:textId="77777777" w:rsidTr="0031134B">
        <w:trPr>
          <w:trHeight w:val="101"/>
        </w:trPr>
        <w:tc>
          <w:tcPr>
            <w:tcW w:w="3539" w:type="dxa"/>
            <w:shd w:val="clear" w:color="auto" w:fill="B8CCE4" w:themeFill="accent1" w:themeFillTint="66"/>
            <w:vAlign w:val="center"/>
          </w:tcPr>
          <w:p w14:paraId="7A2C7D34" w14:textId="77777777" w:rsidR="00851C2C" w:rsidRPr="0031134B" w:rsidRDefault="00851C2C" w:rsidP="00851C2C">
            <w:pPr>
              <w:pStyle w:val="TableText"/>
              <w:keepLines w:val="0"/>
              <w:tabs>
                <w:tab w:val="right" w:pos="3180"/>
              </w:tabs>
              <w:rPr>
                <w:szCs w:val="20"/>
              </w:rPr>
            </w:pPr>
            <w:r w:rsidRPr="0031134B">
              <w:rPr>
                <w:szCs w:val="20"/>
              </w:rPr>
              <w:t>Incremental population</w:t>
            </w:r>
          </w:p>
        </w:tc>
        <w:tc>
          <w:tcPr>
            <w:tcW w:w="1843" w:type="dxa"/>
            <w:shd w:val="clear" w:color="auto" w:fill="B8CCE4" w:themeFill="accent1" w:themeFillTint="66"/>
            <w:vAlign w:val="center"/>
          </w:tcPr>
          <w:p w14:paraId="17CC3405" w14:textId="77777777" w:rsidR="00851C2C" w:rsidRPr="0031134B" w:rsidRDefault="00851C2C" w:rsidP="00851C2C">
            <w:pPr>
              <w:pStyle w:val="TableText"/>
              <w:keepLines w:val="0"/>
              <w:jc w:val="center"/>
              <w:rPr>
                <w:szCs w:val="20"/>
              </w:rPr>
            </w:pPr>
            <w:r w:rsidRPr="0031134B">
              <w:rPr>
                <w:szCs w:val="20"/>
              </w:rPr>
              <w:t>214/1,858 (11.5%)</w:t>
            </w:r>
          </w:p>
        </w:tc>
        <w:tc>
          <w:tcPr>
            <w:tcW w:w="1761" w:type="dxa"/>
            <w:shd w:val="clear" w:color="auto" w:fill="B8CCE4" w:themeFill="accent1" w:themeFillTint="66"/>
            <w:vAlign w:val="center"/>
          </w:tcPr>
          <w:p w14:paraId="0FF46EAC" w14:textId="77777777" w:rsidR="00851C2C" w:rsidRPr="0031134B" w:rsidRDefault="00851C2C" w:rsidP="00851C2C">
            <w:pPr>
              <w:pStyle w:val="TableText"/>
              <w:keepLines w:val="0"/>
              <w:jc w:val="center"/>
              <w:rPr>
                <w:szCs w:val="20"/>
              </w:rPr>
            </w:pPr>
            <w:r w:rsidRPr="0031134B">
              <w:rPr>
                <w:szCs w:val="20"/>
              </w:rPr>
              <w:t>292/1,908 (15.3%)</w:t>
            </w:r>
          </w:p>
        </w:tc>
        <w:tc>
          <w:tcPr>
            <w:tcW w:w="1874" w:type="dxa"/>
            <w:shd w:val="clear" w:color="auto" w:fill="B8CCE4" w:themeFill="accent1" w:themeFillTint="66"/>
            <w:vAlign w:val="center"/>
          </w:tcPr>
          <w:p w14:paraId="2F468192" w14:textId="20A80C9A" w:rsidR="00851C2C" w:rsidRPr="0031134B" w:rsidRDefault="00851C2C" w:rsidP="00851C2C">
            <w:pPr>
              <w:pStyle w:val="TableText"/>
              <w:keepLines w:val="0"/>
              <w:jc w:val="center"/>
              <w:rPr>
                <w:szCs w:val="20"/>
              </w:rPr>
            </w:pPr>
            <w:r w:rsidRPr="0031134B">
              <w:rPr>
                <w:b/>
                <w:bCs w:val="0"/>
                <w:szCs w:val="20"/>
              </w:rPr>
              <w:t>0.7</w:t>
            </w:r>
            <w:r>
              <w:rPr>
                <w:b/>
                <w:bCs w:val="0"/>
                <w:szCs w:val="20"/>
              </w:rPr>
              <w:t>5</w:t>
            </w:r>
            <w:r w:rsidRPr="0031134B">
              <w:rPr>
                <w:b/>
                <w:bCs w:val="0"/>
                <w:szCs w:val="20"/>
              </w:rPr>
              <w:t xml:space="preserve"> (0.6</w:t>
            </w:r>
            <w:r>
              <w:rPr>
                <w:b/>
                <w:bCs w:val="0"/>
                <w:szCs w:val="20"/>
              </w:rPr>
              <w:t>2</w:t>
            </w:r>
            <w:r w:rsidRPr="0031134B">
              <w:rPr>
                <w:b/>
                <w:bCs w:val="0"/>
                <w:szCs w:val="20"/>
              </w:rPr>
              <w:t>, 0.</w:t>
            </w:r>
            <w:r>
              <w:rPr>
                <w:b/>
                <w:bCs w:val="0"/>
                <w:szCs w:val="20"/>
              </w:rPr>
              <w:t>89</w:t>
            </w:r>
            <w:r w:rsidRPr="0031134B">
              <w:rPr>
                <w:b/>
                <w:bCs w:val="0"/>
                <w:szCs w:val="20"/>
              </w:rPr>
              <w:t>)</w:t>
            </w:r>
          </w:p>
        </w:tc>
      </w:tr>
      <w:tr w:rsidR="00851C2C" w:rsidRPr="003F346E" w14:paraId="33863B91" w14:textId="77777777" w:rsidTr="006B1BCB">
        <w:trPr>
          <w:trHeight w:val="101"/>
        </w:trPr>
        <w:tc>
          <w:tcPr>
            <w:tcW w:w="3539" w:type="dxa"/>
            <w:vAlign w:val="center"/>
          </w:tcPr>
          <w:p w14:paraId="05F84755" w14:textId="180BF7F3" w:rsidR="00851C2C" w:rsidRPr="00417FB5" w:rsidRDefault="00851C2C" w:rsidP="00851C2C">
            <w:pPr>
              <w:pStyle w:val="TableText"/>
              <w:keepLines w:val="0"/>
              <w:tabs>
                <w:tab w:val="right" w:pos="3180"/>
              </w:tabs>
              <w:rPr>
                <w:szCs w:val="20"/>
                <w:vertAlign w:val="superscript"/>
              </w:rPr>
            </w:pPr>
            <w:r>
              <w:rPr>
                <w:szCs w:val="20"/>
              </w:rPr>
              <w:t>UACR</w:t>
            </w:r>
            <w:r w:rsidRPr="007E02FD">
              <w:rPr>
                <w:szCs w:val="20"/>
              </w:rPr>
              <w:t xml:space="preserve"> &lt;200 mg/g</w:t>
            </w:r>
          </w:p>
        </w:tc>
        <w:tc>
          <w:tcPr>
            <w:tcW w:w="1843" w:type="dxa"/>
            <w:vAlign w:val="center"/>
          </w:tcPr>
          <w:p w14:paraId="20D53B0F" w14:textId="77777777" w:rsidR="00851C2C" w:rsidRPr="007E02FD" w:rsidRDefault="00851C2C" w:rsidP="00851C2C">
            <w:pPr>
              <w:pStyle w:val="TableText"/>
              <w:keepLines w:val="0"/>
              <w:jc w:val="center"/>
            </w:pPr>
            <w:r>
              <w:t>63/1,361 (4.6%)</w:t>
            </w:r>
          </w:p>
        </w:tc>
        <w:tc>
          <w:tcPr>
            <w:tcW w:w="1761" w:type="dxa"/>
            <w:vAlign w:val="center"/>
          </w:tcPr>
          <w:p w14:paraId="2F476440" w14:textId="77777777" w:rsidR="00851C2C" w:rsidRPr="007E02FD" w:rsidRDefault="00851C2C" w:rsidP="00851C2C">
            <w:pPr>
              <w:pStyle w:val="TableText"/>
              <w:keepLines w:val="0"/>
              <w:jc w:val="center"/>
            </w:pPr>
            <w:r>
              <w:t>76/1,366 (5.6%)</w:t>
            </w:r>
          </w:p>
        </w:tc>
        <w:tc>
          <w:tcPr>
            <w:tcW w:w="1874" w:type="dxa"/>
            <w:vAlign w:val="center"/>
          </w:tcPr>
          <w:p w14:paraId="60DDAEC2" w14:textId="77777777" w:rsidR="00851C2C" w:rsidRPr="007E02FD" w:rsidRDefault="00851C2C" w:rsidP="00851C2C">
            <w:pPr>
              <w:pStyle w:val="TableText"/>
              <w:keepLines w:val="0"/>
              <w:jc w:val="center"/>
              <w:rPr>
                <w:b/>
                <w:bCs w:val="0"/>
              </w:rPr>
            </w:pPr>
            <w:r w:rsidRPr="00391C4E">
              <w:t>0.</w:t>
            </w:r>
            <w:r>
              <w:t>85</w:t>
            </w:r>
            <w:r w:rsidRPr="00391C4E">
              <w:t xml:space="preserve"> (0.</w:t>
            </w:r>
            <w:r>
              <w:t>61</w:t>
            </w:r>
            <w:r w:rsidRPr="00391C4E">
              <w:t>, 1.</w:t>
            </w:r>
            <w:r>
              <w:t>18</w:t>
            </w:r>
            <w:r w:rsidRPr="00391C4E">
              <w:t>)</w:t>
            </w:r>
          </w:p>
        </w:tc>
      </w:tr>
      <w:tr w:rsidR="00851C2C" w:rsidRPr="003F346E" w14:paraId="44694977" w14:textId="77777777" w:rsidTr="006B1BCB">
        <w:trPr>
          <w:trHeight w:val="101"/>
        </w:trPr>
        <w:tc>
          <w:tcPr>
            <w:tcW w:w="3539" w:type="dxa"/>
            <w:vAlign w:val="center"/>
          </w:tcPr>
          <w:p w14:paraId="3FA80384" w14:textId="486DBA7F" w:rsidR="00851C2C" w:rsidRPr="00417FB5" w:rsidRDefault="00851C2C" w:rsidP="00851C2C">
            <w:pPr>
              <w:pStyle w:val="TableText"/>
              <w:keepNext w:val="0"/>
              <w:keepLines w:val="0"/>
              <w:tabs>
                <w:tab w:val="right" w:pos="3180"/>
              </w:tabs>
              <w:rPr>
                <w:szCs w:val="20"/>
                <w:vertAlign w:val="superscript"/>
              </w:rPr>
            </w:pPr>
            <w:r>
              <w:rPr>
                <w:szCs w:val="20"/>
              </w:rPr>
              <w:t>UACR</w:t>
            </w:r>
            <w:r w:rsidRPr="007E02FD">
              <w:rPr>
                <w:szCs w:val="20"/>
              </w:rPr>
              <w:t xml:space="preserve"> ≥200 mg/g</w:t>
            </w:r>
          </w:p>
        </w:tc>
        <w:tc>
          <w:tcPr>
            <w:tcW w:w="1843" w:type="dxa"/>
            <w:vAlign w:val="center"/>
          </w:tcPr>
          <w:p w14:paraId="2B9BB0A0" w14:textId="77777777" w:rsidR="00851C2C" w:rsidRPr="007E02FD" w:rsidRDefault="00851C2C" w:rsidP="00851C2C">
            <w:pPr>
              <w:pStyle w:val="TableText"/>
              <w:keepNext w:val="0"/>
              <w:keepLines w:val="0"/>
              <w:jc w:val="center"/>
            </w:pPr>
            <w:r>
              <w:t>321/1,943 (16.5%)</w:t>
            </w:r>
          </w:p>
        </w:tc>
        <w:tc>
          <w:tcPr>
            <w:tcW w:w="1761" w:type="dxa"/>
            <w:vAlign w:val="center"/>
          </w:tcPr>
          <w:p w14:paraId="0ED3C385" w14:textId="77777777" w:rsidR="00851C2C" w:rsidRPr="007E02FD" w:rsidRDefault="00851C2C" w:rsidP="00851C2C">
            <w:pPr>
              <w:pStyle w:val="TableText"/>
              <w:keepNext w:val="0"/>
              <w:keepLines w:val="0"/>
              <w:jc w:val="center"/>
            </w:pPr>
            <w:r>
              <w:t>428/1,949 (22.0%)</w:t>
            </w:r>
          </w:p>
        </w:tc>
        <w:tc>
          <w:tcPr>
            <w:tcW w:w="1874" w:type="dxa"/>
            <w:vAlign w:val="center"/>
          </w:tcPr>
          <w:p w14:paraId="6D006D2D" w14:textId="77777777" w:rsidR="00851C2C" w:rsidRPr="007E02FD" w:rsidRDefault="00851C2C" w:rsidP="00851C2C">
            <w:pPr>
              <w:pStyle w:val="TableText"/>
              <w:keepNext w:val="0"/>
              <w:keepLines w:val="0"/>
              <w:jc w:val="center"/>
              <w:rPr>
                <w:b/>
                <w:bCs w:val="0"/>
              </w:rPr>
            </w:pPr>
            <w:r>
              <w:rPr>
                <w:b/>
                <w:bCs w:val="0"/>
              </w:rPr>
              <w:t>0.70 (0.61, 0.81)</w:t>
            </w:r>
          </w:p>
        </w:tc>
      </w:tr>
      <w:tr w:rsidR="00851C2C" w:rsidRPr="007E02FD" w14:paraId="69AD8001" w14:textId="77777777" w:rsidTr="006B1BCB">
        <w:trPr>
          <w:trHeight w:val="139"/>
        </w:trPr>
        <w:tc>
          <w:tcPr>
            <w:tcW w:w="9017" w:type="dxa"/>
            <w:gridSpan w:val="4"/>
            <w:vAlign w:val="center"/>
          </w:tcPr>
          <w:p w14:paraId="16342649" w14:textId="77777777" w:rsidR="00851C2C" w:rsidRPr="007E02FD" w:rsidRDefault="00851C2C" w:rsidP="00851C2C">
            <w:pPr>
              <w:pStyle w:val="COMTablefooter"/>
              <w:spacing w:after="0"/>
              <w:rPr>
                <w:b/>
                <w:sz w:val="20"/>
                <w:szCs w:val="20"/>
              </w:rPr>
            </w:pPr>
            <w:r w:rsidRPr="007E02FD">
              <w:rPr>
                <w:b/>
                <w:sz w:val="20"/>
                <w:szCs w:val="20"/>
              </w:rPr>
              <w:t xml:space="preserve">Time to first adjudicated CV </w:t>
            </w:r>
            <w:proofErr w:type="spellStart"/>
            <w:r w:rsidRPr="007E02FD">
              <w:rPr>
                <w:b/>
                <w:sz w:val="20"/>
                <w:szCs w:val="20"/>
              </w:rPr>
              <w:t>death</w:t>
            </w:r>
            <w:r w:rsidRPr="007E02FD">
              <w:rPr>
                <w:b/>
                <w:sz w:val="20"/>
                <w:szCs w:val="20"/>
                <w:vertAlign w:val="superscript"/>
              </w:rPr>
              <w:t>a</w:t>
            </w:r>
            <w:proofErr w:type="spellEnd"/>
            <w:r w:rsidRPr="007E02FD">
              <w:rPr>
                <w:b/>
                <w:sz w:val="20"/>
                <w:szCs w:val="20"/>
              </w:rPr>
              <w:t xml:space="preserve"> </w:t>
            </w:r>
          </w:p>
        </w:tc>
      </w:tr>
      <w:tr w:rsidR="00851C2C" w:rsidRPr="003F346E" w14:paraId="2FAD8175" w14:textId="77777777" w:rsidTr="0031134B">
        <w:trPr>
          <w:trHeight w:val="101"/>
        </w:trPr>
        <w:tc>
          <w:tcPr>
            <w:tcW w:w="3539" w:type="dxa"/>
            <w:shd w:val="clear" w:color="auto" w:fill="B8CCE4" w:themeFill="accent1" w:themeFillTint="66"/>
            <w:vAlign w:val="center"/>
          </w:tcPr>
          <w:p w14:paraId="40149D20" w14:textId="77777777" w:rsidR="00851C2C" w:rsidRPr="0031134B" w:rsidRDefault="00851C2C" w:rsidP="00851C2C">
            <w:pPr>
              <w:pStyle w:val="TableText"/>
              <w:keepNext w:val="0"/>
              <w:keepLines w:val="0"/>
              <w:tabs>
                <w:tab w:val="right" w:pos="3180"/>
              </w:tabs>
              <w:rPr>
                <w:szCs w:val="20"/>
              </w:rPr>
            </w:pPr>
            <w:r w:rsidRPr="0031134B">
              <w:rPr>
                <w:szCs w:val="20"/>
              </w:rPr>
              <w:t>Overall ITT population</w:t>
            </w:r>
          </w:p>
        </w:tc>
        <w:tc>
          <w:tcPr>
            <w:tcW w:w="1843" w:type="dxa"/>
            <w:shd w:val="clear" w:color="auto" w:fill="B8CCE4" w:themeFill="accent1" w:themeFillTint="66"/>
            <w:vAlign w:val="center"/>
          </w:tcPr>
          <w:p w14:paraId="71DCAAA4" w14:textId="77777777" w:rsidR="00851C2C" w:rsidRPr="0031134B" w:rsidRDefault="00851C2C" w:rsidP="00851C2C">
            <w:pPr>
              <w:pStyle w:val="TableText"/>
              <w:keepNext w:val="0"/>
              <w:keepLines w:val="0"/>
              <w:jc w:val="center"/>
              <w:rPr>
                <w:szCs w:val="20"/>
              </w:rPr>
            </w:pPr>
            <w:r w:rsidRPr="0031134B">
              <w:rPr>
                <w:szCs w:val="20"/>
              </w:rPr>
              <w:t>59/3,304 (1.8%)</w:t>
            </w:r>
          </w:p>
        </w:tc>
        <w:tc>
          <w:tcPr>
            <w:tcW w:w="1761" w:type="dxa"/>
            <w:shd w:val="clear" w:color="auto" w:fill="B8CCE4" w:themeFill="accent1" w:themeFillTint="66"/>
            <w:vAlign w:val="center"/>
          </w:tcPr>
          <w:p w14:paraId="398B4380" w14:textId="77777777" w:rsidR="00851C2C" w:rsidRPr="0031134B" w:rsidRDefault="00851C2C" w:rsidP="00851C2C">
            <w:pPr>
              <w:pStyle w:val="TableText"/>
              <w:keepNext w:val="0"/>
              <w:keepLines w:val="0"/>
              <w:jc w:val="center"/>
              <w:rPr>
                <w:szCs w:val="20"/>
              </w:rPr>
            </w:pPr>
            <w:r w:rsidRPr="0031134B">
              <w:rPr>
                <w:szCs w:val="20"/>
              </w:rPr>
              <w:t>69/3,305 (2.1%)</w:t>
            </w:r>
          </w:p>
        </w:tc>
        <w:tc>
          <w:tcPr>
            <w:tcW w:w="1874" w:type="dxa"/>
            <w:shd w:val="clear" w:color="auto" w:fill="B8CCE4" w:themeFill="accent1" w:themeFillTint="66"/>
            <w:vAlign w:val="center"/>
          </w:tcPr>
          <w:p w14:paraId="2EA94AF6" w14:textId="77777777" w:rsidR="00851C2C" w:rsidRPr="0031134B" w:rsidRDefault="00851C2C" w:rsidP="00851C2C">
            <w:pPr>
              <w:pStyle w:val="TableText"/>
              <w:keepNext w:val="0"/>
              <w:keepLines w:val="0"/>
              <w:jc w:val="center"/>
              <w:rPr>
                <w:szCs w:val="20"/>
              </w:rPr>
            </w:pPr>
            <w:r w:rsidRPr="0031134B">
              <w:rPr>
                <w:szCs w:val="20"/>
              </w:rPr>
              <w:t>0.84 (0.60, 1.19)</w:t>
            </w:r>
          </w:p>
        </w:tc>
      </w:tr>
      <w:tr w:rsidR="00851C2C" w:rsidRPr="003F346E" w14:paraId="6DFADDBA" w14:textId="77777777" w:rsidTr="0031134B">
        <w:trPr>
          <w:trHeight w:val="101"/>
        </w:trPr>
        <w:tc>
          <w:tcPr>
            <w:tcW w:w="3539" w:type="dxa"/>
            <w:shd w:val="clear" w:color="auto" w:fill="B8CCE4" w:themeFill="accent1" w:themeFillTint="66"/>
            <w:vAlign w:val="center"/>
          </w:tcPr>
          <w:p w14:paraId="2E4C20EC" w14:textId="77777777" w:rsidR="00851C2C" w:rsidRPr="0031134B" w:rsidRDefault="00851C2C" w:rsidP="00851C2C">
            <w:pPr>
              <w:pStyle w:val="TableText"/>
              <w:keepNext w:val="0"/>
              <w:keepLines w:val="0"/>
              <w:tabs>
                <w:tab w:val="right" w:pos="3180"/>
              </w:tabs>
              <w:rPr>
                <w:szCs w:val="20"/>
              </w:rPr>
            </w:pPr>
            <w:r w:rsidRPr="0031134B">
              <w:rPr>
                <w:szCs w:val="20"/>
              </w:rPr>
              <w:t>Overlap population</w:t>
            </w:r>
          </w:p>
        </w:tc>
        <w:tc>
          <w:tcPr>
            <w:tcW w:w="1843" w:type="dxa"/>
            <w:shd w:val="clear" w:color="auto" w:fill="B8CCE4" w:themeFill="accent1" w:themeFillTint="66"/>
            <w:vAlign w:val="center"/>
          </w:tcPr>
          <w:p w14:paraId="3997D926" w14:textId="77777777" w:rsidR="00851C2C" w:rsidRPr="0031134B" w:rsidRDefault="00851C2C" w:rsidP="00851C2C">
            <w:pPr>
              <w:pStyle w:val="TableText"/>
              <w:keepNext w:val="0"/>
              <w:keepLines w:val="0"/>
              <w:jc w:val="center"/>
              <w:rPr>
                <w:szCs w:val="20"/>
              </w:rPr>
            </w:pPr>
            <w:r w:rsidRPr="0031134B">
              <w:rPr>
                <w:szCs w:val="20"/>
              </w:rPr>
              <w:t>18/1,446 (1.2%)</w:t>
            </w:r>
          </w:p>
        </w:tc>
        <w:tc>
          <w:tcPr>
            <w:tcW w:w="1761" w:type="dxa"/>
            <w:shd w:val="clear" w:color="auto" w:fill="B8CCE4" w:themeFill="accent1" w:themeFillTint="66"/>
            <w:vAlign w:val="center"/>
          </w:tcPr>
          <w:p w14:paraId="1172515D" w14:textId="77777777" w:rsidR="00851C2C" w:rsidRPr="0031134B" w:rsidRDefault="00851C2C" w:rsidP="00851C2C">
            <w:pPr>
              <w:pStyle w:val="TableText"/>
              <w:keepNext w:val="0"/>
              <w:keepLines w:val="0"/>
              <w:jc w:val="center"/>
              <w:rPr>
                <w:szCs w:val="20"/>
              </w:rPr>
            </w:pPr>
            <w:r w:rsidRPr="0031134B">
              <w:rPr>
                <w:szCs w:val="20"/>
              </w:rPr>
              <w:t>19/1,397 (1.4%)</w:t>
            </w:r>
          </w:p>
        </w:tc>
        <w:tc>
          <w:tcPr>
            <w:tcW w:w="1874" w:type="dxa"/>
            <w:shd w:val="clear" w:color="auto" w:fill="B8CCE4" w:themeFill="accent1" w:themeFillTint="66"/>
            <w:vAlign w:val="center"/>
          </w:tcPr>
          <w:p w14:paraId="69A805FE" w14:textId="77777777" w:rsidR="00851C2C" w:rsidRPr="0031134B" w:rsidRDefault="00851C2C" w:rsidP="00851C2C">
            <w:pPr>
              <w:pStyle w:val="TableText"/>
              <w:keepNext w:val="0"/>
              <w:keepLines w:val="0"/>
              <w:jc w:val="center"/>
              <w:rPr>
                <w:szCs w:val="20"/>
              </w:rPr>
            </w:pPr>
            <w:r w:rsidRPr="0031134B">
              <w:rPr>
                <w:szCs w:val="20"/>
              </w:rPr>
              <w:t>0.89 (0.46, 1.69)</w:t>
            </w:r>
          </w:p>
        </w:tc>
      </w:tr>
      <w:tr w:rsidR="00851C2C" w:rsidRPr="003F346E" w14:paraId="032CF960" w14:textId="77777777" w:rsidTr="0031134B">
        <w:trPr>
          <w:trHeight w:val="101"/>
        </w:trPr>
        <w:tc>
          <w:tcPr>
            <w:tcW w:w="3539" w:type="dxa"/>
            <w:shd w:val="clear" w:color="auto" w:fill="B8CCE4" w:themeFill="accent1" w:themeFillTint="66"/>
            <w:vAlign w:val="center"/>
          </w:tcPr>
          <w:p w14:paraId="4C191D75" w14:textId="77777777" w:rsidR="00851C2C" w:rsidRPr="0031134B" w:rsidRDefault="00851C2C" w:rsidP="00851C2C">
            <w:pPr>
              <w:pStyle w:val="TableText"/>
              <w:keepNext w:val="0"/>
              <w:keepLines w:val="0"/>
              <w:tabs>
                <w:tab w:val="right" w:pos="3180"/>
              </w:tabs>
              <w:rPr>
                <w:szCs w:val="20"/>
              </w:rPr>
            </w:pPr>
            <w:r w:rsidRPr="0031134B">
              <w:rPr>
                <w:szCs w:val="20"/>
              </w:rPr>
              <w:t>Incremental population</w:t>
            </w:r>
          </w:p>
        </w:tc>
        <w:tc>
          <w:tcPr>
            <w:tcW w:w="1843" w:type="dxa"/>
            <w:shd w:val="clear" w:color="auto" w:fill="B8CCE4" w:themeFill="accent1" w:themeFillTint="66"/>
            <w:vAlign w:val="center"/>
          </w:tcPr>
          <w:p w14:paraId="7A8BF920" w14:textId="77777777" w:rsidR="00851C2C" w:rsidRPr="0031134B" w:rsidRDefault="00851C2C" w:rsidP="00851C2C">
            <w:pPr>
              <w:pStyle w:val="TableText"/>
              <w:keepNext w:val="0"/>
              <w:keepLines w:val="0"/>
              <w:jc w:val="center"/>
              <w:rPr>
                <w:szCs w:val="20"/>
              </w:rPr>
            </w:pPr>
            <w:r w:rsidRPr="0031134B">
              <w:rPr>
                <w:szCs w:val="20"/>
              </w:rPr>
              <w:t>41/1,858 (2.2%)</w:t>
            </w:r>
          </w:p>
        </w:tc>
        <w:tc>
          <w:tcPr>
            <w:tcW w:w="1761" w:type="dxa"/>
            <w:shd w:val="clear" w:color="auto" w:fill="B8CCE4" w:themeFill="accent1" w:themeFillTint="66"/>
            <w:vAlign w:val="center"/>
          </w:tcPr>
          <w:p w14:paraId="66E148D8" w14:textId="77777777" w:rsidR="00851C2C" w:rsidRPr="0031134B" w:rsidRDefault="00851C2C" w:rsidP="00851C2C">
            <w:pPr>
              <w:pStyle w:val="TableText"/>
              <w:keepNext w:val="0"/>
              <w:keepLines w:val="0"/>
              <w:jc w:val="center"/>
              <w:rPr>
                <w:szCs w:val="20"/>
              </w:rPr>
            </w:pPr>
            <w:r w:rsidRPr="0031134B">
              <w:rPr>
                <w:szCs w:val="20"/>
              </w:rPr>
              <w:t>50/1,908 (2.6%)</w:t>
            </w:r>
          </w:p>
        </w:tc>
        <w:tc>
          <w:tcPr>
            <w:tcW w:w="1874" w:type="dxa"/>
            <w:shd w:val="clear" w:color="auto" w:fill="B8CCE4" w:themeFill="accent1" w:themeFillTint="66"/>
            <w:vAlign w:val="center"/>
          </w:tcPr>
          <w:p w14:paraId="6BB468FF" w14:textId="77777777" w:rsidR="00851C2C" w:rsidRPr="0031134B" w:rsidRDefault="00851C2C" w:rsidP="00851C2C">
            <w:pPr>
              <w:pStyle w:val="TableText"/>
              <w:keepNext w:val="0"/>
              <w:keepLines w:val="0"/>
              <w:jc w:val="center"/>
              <w:rPr>
                <w:szCs w:val="20"/>
              </w:rPr>
            </w:pPr>
            <w:r w:rsidRPr="0031134B">
              <w:rPr>
                <w:szCs w:val="20"/>
              </w:rPr>
              <w:t>0.83 (0.55, 1.25)</w:t>
            </w:r>
          </w:p>
        </w:tc>
      </w:tr>
      <w:tr w:rsidR="00851C2C" w:rsidRPr="003F346E" w14:paraId="3B1EA6D0" w14:textId="77777777" w:rsidTr="006B1BCB">
        <w:trPr>
          <w:trHeight w:val="101"/>
        </w:trPr>
        <w:tc>
          <w:tcPr>
            <w:tcW w:w="3539" w:type="dxa"/>
            <w:vAlign w:val="center"/>
          </w:tcPr>
          <w:p w14:paraId="6F67795E" w14:textId="59805A27" w:rsidR="00851C2C" w:rsidRPr="00417FB5" w:rsidRDefault="00851C2C" w:rsidP="00851C2C">
            <w:pPr>
              <w:pStyle w:val="TableText"/>
              <w:keepNext w:val="0"/>
              <w:keepLines w:val="0"/>
              <w:tabs>
                <w:tab w:val="right" w:pos="3180"/>
              </w:tabs>
              <w:rPr>
                <w:szCs w:val="20"/>
                <w:vertAlign w:val="superscript"/>
              </w:rPr>
            </w:pPr>
            <w:r>
              <w:rPr>
                <w:szCs w:val="20"/>
              </w:rPr>
              <w:t>UACR</w:t>
            </w:r>
            <w:r w:rsidRPr="007E02FD">
              <w:rPr>
                <w:szCs w:val="20"/>
              </w:rPr>
              <w:t xml:space="preserve"> &lt;200 mg/g</w:t>
            </w:r>
          </w:p>
        </w:tc>
        <w:tc>
          <w:tcPr>
            <w:tcW w:w="1843" w:type="dxa"/>
            <w:vAlign w:val="center"/>
          </w:tcPr>
          <w:p w14:paraId="6FA7EC68" w14:textId="77777777" w:rsidR="00851C2C" w:rsidRPr="007E02FD" w:rsidRDefault="00851C2C" w:rsidP="00851C2C">
            <w:pPr>
              <w:pStyle w:val="TableText"/>
              <w:keepNext w:val="0"/>
              <w:keepLines w:val="0"/>
              <w:jc w:val="center"/>
            </w:pPr>
            <w:r>
              <w:t>NR</w:t>
            </w:r>
          </w:p>
        </w:tc>
        <w:tc>
          <w:tcPr>
            <w:tcW w:w="1761" w:type="dxa"/>
            <w:vAlign w:val="center"/>
          </w:tcPr>
          <w:p w14:paraId="182539DC" w14:textId="77777777" w:rsidR="00851C2C" w:rsidRPr="007E02FD" w:rsidRDefault="00851C2C" w:rsidP="00851C2C">
            <w:pPr>
              <w:pStyle w:val="TableText"/>
              <w:keepNext w:val="0"/>
              <w:keepLines w:val="0"/>
              <w:jc w:val="center"/>
            </w:pPr>
            <w:r>
              <w:t>NR</w:t>
            </w:r>
          </w:p>
        </w:tc>
        <w:tc>
          <w:tcPr>
            <w:tcW w:w="1874" w:type="dxa"/>
            <w:vAlign w:val="center"/>
          </w:tcPr>
          <w:p w14:paraId="67296BEF" w14:textId="77777777" w:rsidR="00851C2C" w:rsidRPr="007E02FD" w:rsidRDefault="00851C2C" w:rsidP="00851C2C">
            <w:pPr>
              <w:pStyle w:val="TableText"/>
              <w:keepNext w:val="0"/>
              <w:keepLines w:val="0"/>
              <w:jc w:val="center"/>
              <w:rPr>
                <w:b/>
                <w:bCs w:val="0"/>
              </w:rPr>
            </w:pPr>
            <w:r>
              <w:t>NR</w:t>
            </w:r>
          </w:p>
        </w:tc>
      </w:tr>
      <w:tr w:rsidR="00851C2C" w:rsidRPr="003F346E" w14:paraId="44A9E9FE" w14:textId="77777777" w:rsidTr="006B1BCB">
        <w:trPr>
          <w:trHeight w:val="101"/>
        </w:trPr>
        <w:tc>
          <w:tcPr>
            <w:tcW w:w="3539" w:type="dxa"/>
            <w:vAlign w:val="center"/>
          </w:tcPr>
          <w:p w14:paraId="21F23E20" w14:textId="670080F0" w:rsidR="00851C2C" w:rsidRPr="00417FB5" w:rsidRDefault="00851C2C" w:rsidP="00851C2C">
            <w:pPr>
              <w:pStyle w:val="TableText"/>
              <w:keepNext w:val="0"/>
              <w:keepLines w:val="0"/>
              <w:tabs>
                <w:tab w:val="right" w:pos="3180"/>
              </w:tabs>
              <w:rPr>
                <w:szCs w:val="20"/>
                <w:vertAlign w:val="superscript"/>
              </w:rPr>
            </w:pPr>
            <w:r>
              <w:rPr>
                <w:szCs w:val="20"/>
              </w:rPr>
              <w:t>UACR</w:t>
            </w:r>
            <w:r w:rsidRPr="007E02FD">
              <w:rPr>
                <w:szCs w:val="20"/>
              </w:rPr>
              <w:t xml:space="preserve"> ≥200 mg/g</w:t>
            </w:r>
          </w:p>
        </w:tc>
        <w:tc>
          <w:tcPr>
            <w:tcW w:w="1843" w:type="dxa"/>
            <w:vAlign w:val="center"/>
          </w:tcPr>
          <w:p w14:paraId="65460CD1" w14:textId="77777777" w:rsidR="00851C2C" w:rsidRPr="007E02FD" w:rsidRDefault="00851C2C" w:rsidP="00851C2C">
            <w:pPr>
              <w:pStyle w:val="TableText"/>
              <w:keepNext w:val="0"/>
              <w:keepLines w:val="0"/>
              <w:jc w:val="center"/>
            </w:pPr>
            <w:r>
              <w:t>NR</w:t>
            </w:r>
          </w:p>
        </w:tc>
        <w:tc>
          <w:tcPr>
            <w:tcW w:w="1761" w:type="dxa"/>
            <w:vAlign w:val="center"/>
          </w:tcPr>
          <w:p w14:paraId="4B669ACC" w14:textId="77777777" w:rsidR="00851C2C" w:rsidRPr="007E02FD" w:rsidRDefault="00851C2C" w:rsidP="00851C2C">
            <w:pPr>
              <w:pStyle w:val="TableText"/>
              <w:keepNext w:val="0"/>
              <w:keepLines w:val="0"/>
              <w:jc w:val="center"/>
            </w:pPr>
            <w:r>
              <w:t>NR</w:t>
            </w:r>
          </w:p>
        </w:tc>
        <w:tc>
          <w:tcPr>
            <w:tcW w:w="1874" w:type="dxa"/>
            <w:vAlign w:val="center"/>
          </w:tcPr>
          <w:p w14:paraId="3A4D5B07" w14:textId="77777777" w:rsidR="00851C2C" w:rsidRPr="007E02FD" w:rsidRDefault="00851C2C" w:rsidP="00851C2C">
            <w:pPr>
              <w:pStyle w:val="TableText"/>
              <w:keepNext w:val="0"/>
              <w:keepLines w:val="0"/>
              <w:jc w:val="center"/>
              <w:rPr>
                <w:b/>
                <w:bCs w:val="0"/>
              </w:rPr>
            </w:pPr>
            <w:r>
              <w:t>NR</w:t>
            </w:r>
          </w:p>
        </w:tc>
      </w:tr>
      <w:tr w:rsidR="00851C2C" w:rsidRPr="007E02FD" w14:paraId="3DBEB170" w14:textId="77777777" w:rsidTr="006B1BCB">
        <w:trPr>
          <w:trHeight w:val="101"/>
        </w:trPr>
        <w:tc>
          <w:tcPr>
            <w:tcW w:w="9017" w:type="dxa"/>
            <w:gridSpan w:val="4"/>
            <w:vAlign w:val="center"/>
          </w:tcPr>
          <w:p w14:paraId="458295EE" w14:textId="77777777" w:rsidR="00851C2C" w:rsidRPr="007E02FD" w:rsidRDefault="00851C2C" w:rsidP="00851C2C">
            <w:pPr>
              <w:pStyle w:val="TableText"/>
              <w:keepNext w:val="0"/>
              <w:keepLines w:val="0"/>
              <w:rPr>
                <w:b/>
                <w:bCs w:val="0"/>
                <w:szCs w:val="20"/>
              </w:rPr>
            </w:pPr>
            <w:r w:rsidRPr="007E02FD">
              <w:rPr>
                <w:b/>
                <w:bCs w:val="0"/>
                <w:szCs w:val="20"/>
              </w:rPr>
              <w:t xml:space="preserve">Time to adjudicated all-cause </w:t>
            </w:r>
            <w:proofErr w:type="spellStart"/>
            <w:r w:rsidRPr="007E02FD">
              <w:rPr>
                <w:b/>
                <w:bCs w:val="0"/>
                <w:szCs w:val="20"/>
              </w:rPr>
              <w:t>mortality</w:t>
            </w:r>
            <w:r w:rsidRPr="007E02FD">
              <w:rPr>
                <w:b/>
                <w:bCs w:val="0"/>
                <w:szCs w:val="20"/>
                <w:vertAlign w:val="superscript"/>
              </w:rPr>
              <w:t>a</w:t>
            </w:r>
            <w:proofErr w:type="spellEnd"/>
            <w:r w:rsidRPr="007E02FD">
              <w:rPr>
                <w:b/>
                <w:bCs w:val="0"/>
                <w:szCs w:val="20"/>
              </w:rPr>
              <w:t xml:space="preserve"> </w:t>
            </w:r>
          </w:p>
        </w:tc>
      </w:tr>
      <w:tr w:rsidR="00851C2C" w:rsidRPr="003F346E" w14:paraId="404BE035" w14:textId="77777777" w:rsidTr="0031134B">
        <w:trPr>
          <w:trHeight w:val="101"/>
        </w:trPr>
        <w:tc>
          <w:tcPr>
            <w:tcW w:w="3539" w:type="dxa"/>
            <w:shd w:val="clear" w:color="auto" w:fill="B8CCE4" w:themeFill="accent1" w:themeFillTint="66"/>
            <w:vAlign w:val="center"/>
          </w:tcPr>
          <w:p w14:paraId="57A9F7B1" w14:textId="77777777" w:rsidR="00851C2C" w:rsidRPr="0031134B" w:rsidRDefault="00851C2C" w:rsidP="00851C2C">
            <w:pPr>
              <w:pStyle w:val="TableText"/>
              <w:keepNext w:val="0"/>
              <w:keepLines w:val="0"/>
              <w:tabs>
                <w:tab w:val="right" w:pos="3180"/>
              </w:tabs>
              <w:rPr>
                <w:szCs w:val="20"/>
              </w:rPr>
            </w:pPr>
            <w:r w:rsidRPr="0031134B">
              <w:rPr>
                <w:szCs w:val="20"/>
              </w:rPr>
              <w:t>Overall ITT population</w:t>
            </w:r>
          </w:p>
        </w:tc>
        <w:tc>
          <w:tcPr>
            <w:tcW w:w="1843" w:type="dxa"/>
            <w:shd w:val="clear" w:color="auto" w:fill="B8CCE4" w:themeFill="accent1" w:themeFillTint="66"/>
            <w:vAlign w:val="center"/>
          </w:tcPr>
          <w:p w14:paraId="2E90319F" w14:textId="77777777" w:rsidR="00851C2C" w:rsidRPr="0031134B" w:rsidRDefault="00851C2C" w:rsidP="00851C2C">
            <w:pPr>
              <w:pStyle w:val="TableText"/>
              <w:keepNext w:val="0"/>
              <w:keepLines w:val="0"/>
              <w:jc w:val="center"/>
              <w:rPr>
                <w:szCs w:val="20"/>
              </w:rPr>
            </w:pPr>
            <w:r w:rsidRPr="0031134B">
              <w:rPr>
                <w:szCs w:val="20"/>
              </w:rPr>
              <w:t>148/3,304 (4.5%)</w:t>
            </w:r>
          </w:p>
        </w:tc>
        <w:tc>
          <w:tcPr>
            <w:tcW w:w="1761" w:type="dxa"/>
            <w:shd w:val="clear" w:color="auto" w:fill="B8CCE4" w:themeFill="accent1" w:themeFillTint="66"/>
            <w:vAlign w:val="center"/>
          </w:tcPr>
          <w:p w14:paraId="6CCC5EF3" w14:textId="77777777" w:rsidR="00851C2C" w:rsidRPr="0031134B" w:rsidRDefault="00851C2C" w:rsidP="00851C2C">
            <w:pPr>
              <w:pStyle w:val="TableText"/>
              <w:keepNext w:val="0"/>
              <w:keepLines w:val="0"/>
              <w:jc w:val="center"/>
              <w:rPr>
                <w:szCs w:val="20"/>
              </w:rPr>
            </w:pPr>
            <w:r w:rsidRPr="0031134B">
              <w:rPr>
                <w:szCs w:val="20"/>
              </w:rPr>
              <w:t>167/3,305 (5.1%)</w:t>
            </w:r>
          </w:p>
        </w:tc>
        <w:tc>
          <w:tcPr>
            <w:tcW w:w="1874" w:type="dxa"/>
            <w:shd w:val="clear" w:color="auto" w:fill="B8CCE4" w:themeFill="accent1" w:themeFillTint="66"/>
            <w:vAlign w:val="center"/>
          </w:tcPr>
          <w:p w14:paraId="77638756" w14:textId="77777777" w:rsidR="00851C2C" w:rsidRPr="0031134B" w:rsidRDefault="00851C2C" w:rsidP="00851C2C">
            <w:pPr>
              <w:pStyle w:val="TableText"/>
              <w:keepNext w:val="0"/>
              <w:keepLines w:val="0"/>
              <w:jc w:val="center"/>
              <w:rPr>
                <w:szCs w:val="20"/>
              </w:rPr>
            </w:pPr>
            <w:r w:rsidRPr="0031134B">
              <w:rPr>
                <w:szCs w:val="20"/>
              </w:rPr>
              <w:t>0.87 (0.70, 1.08)</w:t>
            </w:r>
          </w:p>
        </w:tc>
      </w:tr>
      <w:tr w:rsidR="00851C2C" w:rsidRPr="003F346E" w14:paraId="74FA9BB0" w14:textId="77777777" w:rsidTr="0031134B">
        <w:trPr>
          <w:trHeight w:val="101"/>
        </w:trPr>
        <w:tc>
          <w:tcPr>
            <w:tcW w:w="3539" w:type="dxa"/>
            <w:shd w:val="clear" w:color="auto" w:fill="B8CCE4" w:themeFill="accent1" w:themeFillTint="66"/>
            <w:vAlign w:val="center"/>
          </w:tcPr>
          <w:p w14:paraId="39E535BC" w14:textId="77777777" w:rsidR="00851C2C" w:rsidRPr="0031134B" w:rsidRDefault="00851C2C" w:rsidP="00851C2C">
            <w:pPr>
              <w:pStyle w:val="TableText"/>
              <w:keepNext w:val="0"/>
              <w:keepLines w:val="0"/>
              <w:tabs>
                <w:tab w:val="right" w:pos="3180"/>
              </w:tabs>
              <w:rPr>
                <w:szCs w:val="20"/>
              </w:rPr>
            </w:pPr>
            <w:r w:rsidRPr="0031134B">
              <w:rPr>
                <w:szCs w:val="20"/>
              </w:rPr>
              <w:t>Overlap population</w:t>
            </w:r>
          </w:p>
        </w:tc>
        <w:tc>
          <w:tcPr>
            <w:tcW w:w="1843" w:type="dxa"/>
            <w:shd w:val="clear" w:color="auto" w:fill="B8CCE4" w:themeFill="accent1" w:themeFillTint="66"/>
            <w:vAlign w:val="center"/>
          </w:tcPr>
          <w:p w14:paraId="294B3707" w14:textId="77777777" w:rsidR="00851C2C" w:rsidRPr="0031134B" w:rsidRDefault="00851C2C" w:rsidP="00851C2C">
            <w:pPr>
              <w:pStyle w:val="TableText"/>
              <w:keepNext w:val="0"/>
              <w:keepLines w:val="0"/>
              <w:jc w:val="center"/>
              <w:rPr>
                <w:szCs w:val="20"/>
              </w:rPr>
            </w:pPr>
            <w:r w:rsidRPr="0031134B">
              <w:rPr>
                <w:szCs w:val="20"/>
              </w:rPr>
              <w:t>51/1,446 (3.5%)</w:t>
            </w:r>
          </w:p>
        </w:tc>
        <w:tc>
          <w:tcPr>
            <w:tcW w:w="1761" w:type="dxa"/>
            <w:shd w:val="clear" w:color="auto" w:fill="B8CCE4" w:themeFill="accent1" w:themeFillTint="66"/>
            <w:vAlign w:val="center"/>
          </w:tcPr>
          <w:p w14:paraId="458AD731" w14:textId="77777777" w:rsidR="00851C2C" w:rsidRPr="0031134B" w:rsidRDefault="00851C2C" w:rsidP="00851C2C">
            <w:pPr>
              <w:pStyle w:val="TableText"/>
              <w:keepNext w:val="0"/>
              <w:keepLines w:val="0"/>
              <w:jc w:val="center"/>
              <w:rPr>
                <w:szCs w:val="20"/>
              </w:rPr>
            </w:pPr>
            <w:r w:rsidRPr="0031134B">
              <w:rPr>
                <w:szCs w:val="20"/>
              </w:rPr>
              <w:t>47/1,397 (3.4%)</w:t>
            </w:r>
          </w:p>
        </w:tc>
        <w:tc>
          <w:tcPr>
            <w:tcW w:w="1874" w:type="dxa"/>
            <w:shd w:val="clear" w:color="auto" w:fill="B8CCE4" w:themeFill="accent1" w:themeFillTint="66"/>
            <w:vAlign w:val="center"/>
          </w:tcPr>
          <w:p w14:paraId="7A6E4FDC" w14:textId="77777777" w:rsidR="00851C2C" w:rsidRPr="0031134B" w:rsidRDefault="00851C2C" w:rsidP="00851C2C">
            <w:pPr>
              <w:pStyle w:val="TableText"/>
              <w:keepNext w:val="0"/>
              <w:keepLines w:val="0"/>
              <w:jc w:val="center"/>
              <w:rPr>
                <w:szCs w:val="20"/>
              </w:rPr>
            </w:pPr>
            <w:r w:rsidRPr="0031134B">
              <w:rPr>
                <w:szCs w:val="20"/>
              </w:rPr>
              <w:t>1.02 (0.69, 1.52)</w:t>
            </w:r>
          </w:p>
        </w:tc>
      </w:tr>
      <w:tr w:rsidR="00851C2C" w:rsidRPr="003F346E" w14:paraId="767B3279" w14:textId="77777777" w:rsidTr="0031134B">
        <w:trPr>
          <w:trHeight w:val="101"/>
        </w:trPr>
        <w:tc>
          <w:tcPr>
            <w:tcW w:w="3539" w:type="dxa"/>
            <w:shd w:val="clear" w:color="auto" w:fill="B8CCE4" w:themeFill="accent1" w:themeFillTint="66"/>
            <w:vAlign w:val="center"/>
          </w:tcPr>
          <w:p w14:paraId="4D339703" w14:textId="77777777" w:rsidR="00851C2C" w:rsidRPr="0031134B" w:rsidRDefault="00851C2C" w:rsidP="00851C2C">
            <w:pPr>
              <w:pStyle w:val="TableText"/>
              <w:keepNext w:val="0"/>
              <w:keepLines w:val="0"/>
              <w:tabs>
                <w:tab w:val="right" w:pos="3180"/>
              </w:tabs>
              <w:rPr>
                <w:szCs w:val="20"/>
              </w:rPr>
            </w:pPr>
            <w:r w:rsidRPr="0031134B">
              <w:rPr>
                <w:szCs w:val="20"/>
              </w:rPr>
              <w:t>Incremental population</w:t>
            </w:r>
          </w:p>
        </w:tc>
        <w:tc>
          <w:tcPr>
            <w:tcW w:w="1843" w:type="dxa"/>
            <w:shd w:val="clear" w:color="auto" w:fill="B8CCE4" w:themeFill="accent1" w:themeFillTint="66"/>
            <w:vAlign w:val="center"/>
          </w:tcPr>
          <w:p w14:paraId="4F353378" w14:textId="77777777" w:rsidR="00851C2C" w:rsidRPr="0031134B" w:rsidRDefault="00851C2C" w:rsidP="00851C2C">
            <w:pPr>
              <w:pStyle w:val="TableText"/>
              <w:keepNext w:val="0"/>
              <w:keepLines w:val="0"/>
              <w:jc w:val="center"/>
              <w:rPr>
                <w:szCs w:val="20"/>
              </w:rPr>
            </w:pPr>
            <w:r w:rsidRPr="0031134B">
              <w:rPr>
                <w:szCs w:val="20"/>
              </w:rPr>
              <w:t>97/1,858 (5.2%)</w:t>
            </w:r>
          </w:p>
        </w:tc>
        <w:tc>
          <w:tcPr>
            <w:tcW w:w="1761" w:type="dxa"/>
            <w:shd w:val="clear" w:color="auto" w:fill="B8CCE4" w:themeFill="accent1" w:themeFillTint="66"/>
            <w:vAlign w:val="center"/>
          </w:tcPr>
          <w:p w14:paraId="47045337" w14:textId="77777777" w:rsidR="00851C2C" w:rsidRPr="0031134B" w:rsidRDefault="00851C2C" w:rsidP="00851C2C">
            <w:pPr>
              <w:pStyle w:val="TableText"/>
              <w:keepNext w:val="0"/>
              <w:keepLines w:val="0"/>
              <w:jc w:val="center"/>
              <w:rPr>
                <w:szCs w:val="20"/>
              </w:rPr>
            </w:pPr>
            <w:r w:rsidRPr="0031134B">
              <w:rPr>
                <w:szCs w:val="20"/>
              </w:rPr>
              <w:t>120/1,908 (6.3%)</w:t>
            </w:r>
          </w:p>
        </w:tc>
        <w:tc>
          <w:tcPr>
            <w:tcW w:w="1874" w:type="dxa"/>
            <w:shd w:val="clear" w:color="auto" w:fill="B8CCE4" w:themeFill="accent1" w:themeFillTint="66"/>
            <w:vAlign w:val="center"/>
          </w:tcPr>
          <w:p w14:paraId="0BF94FE8" w14:textId="77777777" w:rsidR="00851C2C" w:rsidRPr="0031134B" w:rsidRDefault="00851C2C" w:rsidP="00851C2C">
            <w:pPr>
              <w:pStyle w:val="TableText"/>
              <w:keepNext w:val="0"/>
              <w:keepLines w:val="0"/>
              <w:jc w:val="center"/>
              <w:rPr>
                <w:szCs w:val="20"/>
              </w:rPr>
            </w:pPr>
            <w:r w:rsidRPr="0031134B">
              <w:rPr>
                <w:szCs w:val="20"/>
              </w:rPr>
              <w:t>0.82 (0.63, 1.07)</w:t>
            </w:r>
          </w:p>
        </w:tc>
      </w:tr>
      <w:tr w:rsidR="00851C2C" w:rsidRPr="003F346E" w14:paraId="655CA810" w14:textId="77777777" w:rsidTr="006B1BCB">
        <w:trPr>
          <w:trHeight w:val="101"/>
        </w:trPr>
        <w:tc>
          <w:tcPr>
            <w:tcW w:w="3539" w:type="dxa"/>
            <w:vAlign w:val="center"/>
          </w:tcPr>
          <w:p w14:paraId="6F4C38D3" w14:textId="7B800B02" w:rsidR="00851C2C" w:rsidRPr="00417FB5" w:rsidRDefault="00851C2C" w:rsidP="00851C2C">
            <w:pPr>
              <w:pStyle w:val="TableText"/>
              <w:keepNext w:val="0"/>
              <w:keepLines w:val="0"/>
              <w:tabs>
                <w:tab w:val="right" w:pos="3180"/>
              </w:tabs>
              <w:rPr>
                <w:szCs w:val="20"/>
                <w:vertAlign w:val="superscript"/>
              </w:rPr>
            </w:pPr>
            <w:r>
              <w:rPr>
                <w:szCs w:val="20"/>
              </w:rPr>
              <w:t>UACR</w:t>
            </w:r>
            <w:r w:rsidRPr="007E02FD">
              <w:rPr>
                <w:szCs w:val="20"/>
              </w:rPr>
              <w:t xml:space="preserve"> &lt;200 mg/g</w:t>
            </w:r>
          </w:p>
        </w:tc>
        <w:tc>
          <w:tcPr>
            <w:tcW w:w="1843" w:type="dxa"/>
            <w:vAlign w:val="center"/>
          </w:tcPr>
          <w:p w14:paraId="5A2CF402" w14:textId="77777777" w:rsidR="00851C2C" w:rsidRPr="007E02FD" w:rsidRDefault="00851C2C" w:rsidP="00851C2C">
            <w:pPr>
              <w:pStyle w:val="TableText"/>
              <w:keepNext w:val="0"/>
              <w:keepLines w:val="0"/>
              <w:jc w:val="center"/>
            </w:pPr>
            <w:r>
              <w:t>81/1,361 (6.0%)</w:t>
            </w:r>
          </w:p>
        </w:tc>
        <w:tc>
          <w:tcPr>
            <w:tcW w:w="1761" w:type="dxa"/>
            <w:vAlign w:val="center"/>
          </w:tcPr>
          <w:p w14:paraId="0999C639" w14:textId="77777777" w:rsidR="00851C2C" w:rsidRPr="007E02FD" w:rsidRDefault="00851C2C" w:rsidP="00851C2C">
            <w:pPr>
              <w:pStyle w:val="TableText"/>
              <w:keepNext w:val="0"/>
              <w:keepLines w:val="0"/>
              <w:jc w:val="center"/>
            </w:pPr>
            <w:r>
              <w:t>90/1,366 (6.6%)</w:t>
            </w:r>
          </w:p>
        </w:tc>
        <w:tc>
          <w:tcPr>
            <w:tcW w:w="1874" w:type="dxa"/>
            <w:vAlign w:val="center"/>
          </w:tcPr>
          <w:p w14:paraId="6B5635D9" w14:textId="77777777" w:rsidR="00851C2C" w:rsidRPr="007E02FD" w:rsidRDefault="00851C2C" w:rsidP="00851C2C">
            <w:pPr>
              <w:pStyle w:val="TableText"/>
              <w:keepNext w:val="0"/>
              <w:keepLines w:val="0"/>
              <w:jc w:val="center"/>
              <w:rPr>
                <w:b/>
                <w:bCs w:val="0"/>
              </w:rPr>
            </w:pPr>
            <w:r w:rsidRPr="00391C4E">
              <w:t>0.</w:t>
            </w:r>
            <w:r>
              <w:t>91</w:t>
            </w:r>
            <w:r w:rsidRPr="00391C4E">
              <w:t xml:space="preserve"> (0.6</w:t>
            </w:r>
            <w:r>
              <w:t>7</w:t>
            </w:r>
            <w:r w:rsidRPr="00391C4E">
              <w:t>, 1.</w:t>
            </w:r>
            <w:r>
              <w:t>23</w:t>
            </w:r>
            <w:r w:rsidRPr="00391C4E">
              <w:t>)</w:t>
            </w:r>
          </w:p>
        </w:tc>
      </w:tr>
      <w:tr w:rsidR="00851C2C" w:rsidRPr="003F346E" w14:paraId="1FA43422" w14:textId="77777777" w:rsidTr="006B1BCB">
        <w:trPr>
          <w:trHeight w:val="101"/>
        </w:trPr>
        <w:tc>
          <w:tcPr>
            <w:tcW w:w="3539" w:type="dxa"/>
            <w:vAlign w:val="center"/>
          </w:tcPr>
          <w:p w14:paraId="2EA84CBF" w14:textId="1E564B61" w:rsidR="00851C2C" w:rsidRPr="00417FB5" w:rsidRDefault="00851C2C" w:rsidP="00851C2C">
            <w:pPr>
              <w:pStyle w:val="TableText"/>
              <w:keepNext w:val="0"/>
              <w:keepLines w:val="0"/>
              <w:tabs>
                <w:tab w:val="right" w:pos="3180"/>
              </w:tabs>
              <w:rPr>
                <w:szCs w:val="20"/>
                <w:vertAlign w:val="superscript"/>
              </w:rPr>
            </w:pPr>
            <w:r>
              <w:rPr>
                <w:szCs w:val="20"/>
              </w:rPr>
              <w:t>UACR</w:t>
            </w:r>
            <w:r w:rsidRPr="007E02FD">
              <w:rPr>
                <w:szCs w:val="20"/>
              </w:rPr>
              <w:t xml:space="preserve"> ≥200 mg/g</w:t>
            </w:r>
          </w:p>
        </w:tc>
        <w:tc>
          <w:tcPr>
            <w:tcW w:w="1843" w:type="dxa"/>
            <w:vAlign w:val="center"/>
          </w:tcPr>
          <w:p w14:paraId="09951A8D" w14:textId="77777777" w:rsidR="00851C2C" w:rsidRPr="007E02FD" w:rsidRDefault="00851C2C" w:rsidP="00851C2C">
            <w:pPr>
              <w:pStyle w:val="TableText"/>
              <w:keepNext w:val="0"/>
              <w:keepLines w:val="0"/>
              <w:jc w:val="center"/>
            </w:pPr>
            <w:r>
              <w:t>67/1,943 (3.4%)</w:t>
            </w:r>
          </w:p>
        </w:tc>
        <w:tc>
          <w:tcPr>
            <w:tcW w:w="1761" w:type="dxa"/>
            <w:vAlign w:val="center"/>
          </w:tcPr>
          <w:p w14:paraId="38283A90" w14:textId="77777777" w:rsidR="00851C2C" w:rsidRPr="007E02FD" w:rsidRDefault="00851C2C" w:rsidP="00851C2C">
            <w:pPr>
              <w:pStyle w:val="TableText"/>
              <w:keepNext w:val="0"/>
              <w:keepLines w:val="0"/>
              <w:jc w:val="center"/>
            </w:pPr>
            <w:r>
              <w:t>77/1,949 (4.0%)</w:t>
            </w:r>
          </w:p>
        </w:tc>
        <w:tc>
          <w:tcPr>
            <w:tcW w:w="1874" w:type="dxa"/>
            <w:vAlign w:val="center"/>
          </w:tcPr>
          <w:p w14:paraId="7A5B67A6" w14:textId="77777777" w:rsidR="00851C2C" w:rsidRPr="00747B51" w:rsidRDefault="00851C2C" w:rsidP="00851C2C">
            <w:pPr>
              <w:pStyle w:val="TableText"/>
              <w:keepNext w:val="0"/>
              <w:keepLines w:val="0"/>
              <w:jc w:val="center"/>
            </w:pPr>
            <w:r w:rsidRPr="00747B51">
              <w:t>0.83 (0.60, 1.15)</w:t>
            </w:r>
          </w:p>
        </w:tc>
      </w:tr>
    </w:tbl>
    <w:p w14:paraId="23A86C4A" w14:textId="77777777" w:rsidR="00D9520C" w:rsidRPr="007E02FD" w:rsidRDefault="00D9520C" w:rsidP="00D9520C">
      <w:pPr>
        <w:pStyle w:val="COMTablefooter"/>
      </w:pPr>
      <w:r w:rsidRPr="007E02FD">
        <w:t>Source: Tables 2.26-2.32, pp146-162</w:t>
      </w:r>
      <w:r>
        <w:t>, and Tables 2.40-2.45, pp186-203</w:t>
      </w:r>
      <w:r w:rsidRPr="007E02FD">
        <w:t xml:space="preserve"> of the resubmission.</w:t>
      </w:r>
    </w:p>
    <w:p w14:paraId="0F4F1FEA" w14:textId="5154E66F" w:rsidR="00D9520C" w:rsidRPr="007E02FD" w:rsidRDefault="00D9520C" w:rsidP="00D9520C">
      <w:pPr>
        <w:pStyle w:val="COMTablefooter"/>
      </w:pPr>
      <w:r w:rsidRPr="006C103A">
        <w:t>Abbreviations: CKD, chronic kidney disease; CV, cardiovascular; CI, confidence interval; eGFR, estimated glomerular filtration rate; EPI, epidemiology collaboration formula; ESKD, end-stage kidney disease; ITT, intention-to-treat; NR, not reported; SC, standard care; UACR, urine albumin to creatinine ratio.</w:t>
      </w:r>
    </w:p>
    <w:p w14:paraId="6987FCFE" w14:textId="2922E189" w:rsidR="00D9520C" w:rsidRPr="007E02FD" w:rsidRDefault="00D9520C" w:rsidP="00D9520C">
      <w:pPr>
        <w:pStyle w:val="COMTablefooter"/>
      </w:pPr>
      <w:proofErr w:type="spellStart"/>
      <w:proofErr w:type="gramStart"/>
      <w:r w:rsidRPr="007E02FD">
        <w:rPr>
          <w:vertAlign w:val="superscript"/>
        </w:rPr>
        <w:t>a</w:t>
      </w:r>
      <w:proofErr w:type="spellEnd"/>
      <w:proofErr w:type="gramEnd"/>
      <w:r w:rsidRPr="007E02FD">
        <w:t xml:space="preserve"> Overlap/incremental subgroups by Cox regression model with terms for age, sex, diabetes status, region, treatment, DAPA−CKD eGFR/</w:t>
      </w:r>
      <w:r w:rsidR="00A97BE3">
        <w:t>UACR</w:t>
      </w:r>
      <w:r w:rsidRPr="007E02FD">
        <w:t xml:space="preserve"> inclusion criteria and treatment by DAPA−CKD eGFR/</w:t>
      </w:r>
      <w:r w:rsidR="00A97BE3">
        <w:t>UACR</w:t>
      </w:r>
      <w:r w:rsidRPr="007E02FD">
        <w:t xml:space="preserve"> inclusion criteria.</w:t>
      </w:r>
      <w:r w:rsidRPr="006C103A">
        <w:t xml:space="preserve"> </w:t>
      </w:r>
      <w:r w:rsidR="00A97BE3">
        <w:t>UACR</w:t>
      </w:r>
      <w:r>
        <w:t xml:space="preserve"> &lt; or ≥200 mg/g</w:t>
      </w:r>
      <w:r w:rsidRPr="007E02FD">
        <w:t xml:space="preserve"> subgroups by Cox regression model with terms for age, sex, diabetes status, </w:t>
      </w:r>
      <w:r>
        <w:t xml:space="preserve">screening </w:t>
      </w:r>
      <w:r w:rsidRPr="007E02FD">
        <w:t>eGFR</w:t>
      </w:r>
      <w:r>
        <w:t xml:space="preserve"> (CKD-EPI),</w:t>
      </w:r>
      <w:r w:rsidRPr="007E02FD">
        <w:t xml:space="preserve"> region, treatment, </w:t>
      </w:r>
      <w:r>
        <w:t xml:space="preserve">baseline </w:t>
      </w:r>
      <w:r w:rsidR="00A97BE3">
        <w:t>UACR</w:t>
      </w:r>
      <w:r w:rsidRPr="007E02FD">
        <w:t xml:space="preserve"> </w:t>
      </w:r>
      <w:r>
        <w:t xml:space="preserve">and treatment by baseline </w:t>
      </w:r>
      <w:r w:rsidR="00A97BE3">
        <w:t>UACR</w:t>
      </w:r>
      <w:r w:rsidRPr="007E02FD">
        <w:t>.</w:t>
      </w:r>
      <w:r>
        <w:t xml:space="preserve"> </w:t>
      </w:r>
      <w:r w:rsidRPr="00B61924">
        <w:t>Kidney disease progression include</w:t>
      </w:r>
      <w:r>
        <w:t>d</w:t>
      </w:r>
      <w:r w:rsidRPr="00B61924">
        <w:t xml:space="preserve"> ESKD (initiation of maintenance dialysis or receipt of a kidney transplant), sustained eGFR decline of ≥40% or to &lt;10 mL/min/1.73 m</w:t>
      </w:r>
      <w:r w:rsidRPr="00B61924">
        <w:rPr>
          <w:vertAlign w:val="superscript"/>
        </w:rPr>
        <w:t>2</w:t>
      </w:r>
      <w:r w:rsidRPr="00B61924">
        <w:t xml:space="preserve"> or adjudicated renal death</w:t>
      </w:r>
      <w:r>
        <w:t>.</w:t>
      </w:r>
    </w:p>
    <w:p w14:paraId="5C5F5B7D" w14:textId="77777777" w:rsidR="00276253" w:rsidRDefault="00D9520C" w:rsidP="00D9520C">
      <w:pPr>
        <w:pStyle w:val="COMTablefooter"/>
      </w:pPr>
      <w:r w:rsidRPr="007E02FD">
        <w:t xml:space="preserve">Note: </w:t>
      </w:r>
      <w:r>
        <w:t>Statistically significant results in bold</w:t>
      </w:r>
      <w:r w:rsidRPr="007E02FD">
        <w:t>.</w:t>
      </w:r>
    </w:p>
    <w:p w14:paraId="7F6AC533" w14:textId="77777777" w:rsidR="00276253" w:rsidRDefault="00CA1643" w:rsidP="007D3A62">
      <w:pPr>
        <w:pStyle w:val="COMTablefooter"/>
      </w:pPr>
      <w:r>
        <w:t xml:space="preserve">Note: </w:t>
      </w:r>
      <w:r w:rsidR="007D3A62">
        <w:t>Results presented in the previous submission shaded blue.</w:t>
      </w:r>
    </w:p>
    <w:p w14:paraId="0E4576D4" w14:textId="6F072030" w:rsidR="00B14A37" w:rsidRDefault="00B14A37" w:rsidP="00654F6D">
      <w:pPr>
        <w:pStyle w:val="COMexecsummnumbered"/>
        <w:rPr>
          <w:i/>
          <w:iCs/>
        </w:rPr>
      </w:pPr>
      <w:r w:rsidRPr="00B73C5E">
        <w:lastRenderedPageBreak/>
        <w:t xml:space="preserve">In the </w:t>
      </w:r>
      <w:r w:rsidRPr="00C84DE5">
        <w:t xml:space="preserve">post hoc </w:t>
      </w:r>
      <w:r w:rsidRPr="00B73C5E">
        <w:t>subgroup analyses, treatment with empagliflozin</w:t>
      </w:r>
      <w:r w:rsidR="00654F6D">
        <w:t xml:space="preserve"> plus</w:t>
      </w:r>
      <w:r w:rsidRPr="00B73C5E">
        <w:t xml:space="preserve"> standard care was associated with statistically significant improvements in the composite outcome of time to first CKD progression or cardiovascular death compared to placebo </w:t>
      </w:r>
      <w:r w:rsidR="008E2319">
        <w:t>plus</w:t>
      </w:r>
      <w:r w:rsidRPr="00B73C5E">
        <w:t xml:space="preserve"> standard care, in both the overlap and incremental populations, and showed a similar magnitude of effect to the ITT population.</w:t>
      </w:r>
    </w:p>
    <w:p w14:paraId="4158FD6D" w14:textId="4E4DC97D" w:rsidR="00F36688" w:rsidRPr="00B73C5E" w:rsidRDefault="00F36688" w:rsidP="00F36688">
      <w:pPr>
        <w:pStyle w:val="COMexecsummnumbered"/>
      </w:pPr>
      <w:r>
        <w:t>For</w:t>
      </w:r>
      <w:r w:rsidRPr="00B73C5E">
        <w:t xml:space="preserve"> key secondary outcomes, the </w:t>
      </w:r>
      <w:r w:rsidRPr="00C84DE5">
        <w:t>post hoc</w:t>
      </w:r>
      <w:r w:rsidRPr="00B73C5E">
        <w:t xml:space="preserve"> subgroup analyses</w:t>
      </w:r>
      <w:r>
        <w:t xml:space="preserve"> showed</w:t>
      </w:r>
      <w:r w:rsidRPr="00B73C5E">
        <w:t xml:space="preserve"> treatment with empagliflozin</w:t>
      </w:r>
      <w:r>
        <w:t xml:space="preserve"> plus</w:t>
      </w:r>
      <w:r w:rsidRPr="00B73C5E">
        <w:t xml:space="preserve"> standard care was associated with statistically significant improvements </w:t>
      </w:r>
      <w:r w:rsidR="002A555D">
        <w:t xml:space="preserve">in time to first CKD progression in both the overlap and incremental populations, </w:t>
      </w:r>
      <w:r w:rsidR="00254D0A">
        <w:t xml:space="preserve">with a similar magnitude of benefit to the ITT population; however results for time to first adjudicated cardiovascular death and time to adjudicated </w:t>
      </w:r>
      <w:r w:rsidR="00D854FD">
        <w:t>all-cause</w:t>
      </w:r>
      <w:r w:rsidR="00254D0A">
        <w:t xml:space="preserve"> mortality </w:t>
      </w:r>
      <w:r w:rsidR="00D854FD">
        <w:t>did not achieve statistical significance</w:t>
      </w:r>
      <w:r w:rsidR="00433EDC">
        <w:t xml:space="preserve"> for the ITT, </w:t>
      </w:r>
      <w:r w:rsidR="00E622B3">
        <w:t>overlap and incremental populations</w:t>
      </w:r>
      <w:r w:rsidR="00D854FD">
        <w:t>.</w:t>
      </w:r>
    </w:p>
    <w:p w14:paraId="05CFD78F" w14:textId="7F8FCA4A" w:rsidR="00C613EA" w:rsidRPr="00764D5F" w:rsidRDefault="00235035" w:rsidP="006427B7">
      <w:pPr>
        <w:pStyle w:val="COMexecsummnumbered"/>
      </w:pPr>
      <w:r w:rsidRPr="003A6314">
        <w:t xml:space="preserve">In the subgroup analyses by baseline albuminuria, results for the UACR ≥200 mg/g subgroup showed treatment with empagliflozin was associated with statistically significant improvements in the composite outcome of time to first CKD progression or cardiovascular death </w:t>
      </w:r>
      <w:r w:rsidR="00E142DE" w:rsidRPr="003A6314">
        <w:t xml:space="preserve">and time to first CKD progression </w:t>
      </w:r>
      <w:r w:rsidRPr="003A6314">
        <w:t xml:space="preserve">compared to placebo. This was </w:t>
      </w:r>
      <w:proofErr w:type="gramStart"/>
      <w:r w:rsidR="004524A9" w:rsidRPr="003A6314">
        <w:t>similar to</w:t>
      </w:r>
      <w:proofErr w:type="gramEnd"/>
      <w:r w:rsidR="004524A9" w:rsidRPr="003A6314">
        <w:t xml:space="preserve"> results for</w:t>
      </w:r>
      <w:r w:rsidRPr="003A6314">
        <w:t xml:space="preserve"> the ITT </w:t>
      </w:r>
      <w:proofErr w:type="gramStart"/>
      <w:r w:rsidRPr="003A6314">
        <w:t>population, and</w:t>
      </w:r>
      <w:proofErr w:type="gramEnd"/>
      <w:r w:rsidRPr="003A6314">
        <w:t xml:space="preserve"> overlap and incremental subgroups. However, results for the </w:t>
      </w:r>
      <w:r w:rsidR="004524A9" w:rsidRPr="003A6314">
        <w:t>U</w:t>
      </w:r>
      <w:r w:rsidRPr="003A6314">
        <w:t>ACR &lt;200 mg/g subgroup showed no statistically significant difference between treatment with empagliflozin and placebo</w:t>
      </w:r>
      <w:r w:rsidRPr="00764D5F">
        <w:t xml:space="preserve">. </w:t>
      </w:r>
      <w:r w:rsidR="00957CE3" w:rsidRPr="00764D5F">
        <w:t>Neither UACR subgroup achieved statistical significance for time to adjudicated all-cause mortality.</w:t>
      </w:r>
      <w:r w:rsidR="006427B7" w:rsidRPr="00764D5F">
        <w:t xml:space="preserve"> </w:t>
      </w:r>
      <w:r w:rsidR="008B7079" w:rsidRPr="00764D5F">
        <w:t xml:space="preserve">The pre-PBAC response </w:t>
      </w:r>
      <w:r w:rsidR="00DE69A6" w:rsidRPr="00764D5F">
        <w:t xml:space="preserve">stated that it was important to highlight </w:t>
      </w:r>
      <w:r w:rsidR="00CF18C6" w:rsidRPr="00764D5F">
        <w:t xml:space="preserve">that </w:t>
      </w:r>
      <w:r w:rsidR="00DE69A6" w:rsidRPr="00764D5F">
        <w:t xml:space="preserve">patients with lower baseline </w:t>
      </w:r>
      <w:r w:rsidR="00CF18C6" w:rsidRPr="00764D5F">
        <w:t>U</w:t>
      </w:r>
      <w:r w:rsidR="00DE69A6" w:rsidRPr="00764D5F">
        <w:t xml:space="preserve">ACR are a cohort </w:t>
      </w:r>
      <w:r w:rsidR="00EC122A">
        <w:t xml:space="preserve">in which the severity of CKD progresses more slowly </w:t>
      </w:r>
      <w:r w:rsidR="00DE69A6" w:rsidRPr="00764D5F">
        <w:t>and therefore are unlikely to have accrued sufficient primary outcome events during the active trial period to demonstrate a significant treatment difference</w:t>
      </w:r>
      <w:r w:rsidR="00CF18C6" w:rsidRPr="00764D5F">
        <w:t>.</w:t>
      </w:r>
    </w:p>
    <w:p w14:paraId="3FAEA5DF" w14:textId="51440CCA" w:rsidR="005450B1" w:rsidRPr="00F93610" w:rsidRDefault="00C613EA" w:rsidP="006427B7">
      <w:pPr>
        <w:pStyle w:val="COMexecsummnumbered"/>
      </w:pPr>
      <w:bookmarkStart w:id="27" w:name="_Ref198890933"/>
      <w:r w:rsidRPr="00F93610">
        <w:rPr>
          <w:snapToGrid w:val="0"/>
        </w:rPr>
        <w:t xml:space="preserve">At the November 2023 meeting, the PBAC noted pre-specified subgroup analyses for the primary composite outcome of CKD progression or cardiovascular death in the EMPA-KIDNEY trial showed significant treatment effect interaction </w:t>
      </w:r>
      <w:r w:rsidR="00CA49CD" w:rsidRPr="00CA49CD">
        <w:rPr>
          <w:snapToGrid w:val="0"/>
        </w:rPr>
        <w:t>by albuminuria subgroups (UACR&lt;30, 30-300, and &gt;300 mg/g; p=0.0174) and a near significant treatment effect interaction by baseline diabetes status (yes/no; p=0.0598).</w:t>
      </w:r>
      <w:r w:rsidR="00276253">
        <w:rPr>
          <w:snapToGrid w:val="0"/>
        </w:rPr>
        <w:t xml:space="preserve"> </w:t>
      </w:r>
      <w:r w:rsidR="00CA49CD" w:rsidRPr="00CA49CD">
        <w:rPr>
          <w:snapToGrid w:val="0"/>
        </w:rPr>
        <w:t>There was also a trend of decreasing treatment effect in patients without diabetes or with a lower baseline UACR (UACR ≤300 mg/g)</w:t>
      </w:r>
      <w:r w:rsidR="00CA49CD" w:rsidRPr="00CA49CD" w:rsidDel="00CA49CD">
        <w:rPr>
          <w:snapToGrid w:val="0"/>
        </w:rPr>
        <w:t xml:space="preserve"> </w:t>
      </w:r>
      <w:r w:rsidRPr="00F93610">
        <w:rPr>
          <w:snapToGrid w:val="0"/>
        </w:rPr>
        <w:t xml:space="preserve">(para 6.24, empagliflozin PSD, November 2023 PBAC meeting). </w:t>
      </w:r>
      <w:r w:rsidRPr="00CF18C6">
        <w:rPr>
          <w:snapToGrid w:val="0"/>
        </w:rPr>
        <w:t>The ESC considered the available data still does not support a clear treatment benefit in patients with low/moderate/high KDIGO risk or in patients with a UACR &lt;200 mg/g</w:t>
      </w:r>
      <w:r w:rsidR="002138CE" w:rsidRPr="00CF18C6">
        <w:rPr>
          <w:snapToGrid w:val="0"/>
        </w:rPr>
        <w:t>.</w:t>
      </w:r>
      <w:r w:rsidR="00167AFB">
        <w:rPr>
          <w:snapToGrid w:val="0"/>
        </w:rPr>
        <w:t xml:space="preserve"> </w:t>
      </w:r>
      <w:r w:rsidR="00C7053B">
        <w:t>The pre-PBAC response stated that the long-term follow-up study of EMPA-KIDNEY provide</w:t>
      </w:r>
      <w:r w:rsidR="0014288E">
        <w:t>d</w:t>
      </w:r>
      <w:r w:rsidR="00C7053B">
        <w:t xml:space="preserve"> clear evidence that people with low levels of albuminuria </w:t>
      </w:r>
      <w:r w:rsidR="0014288E">
        <w:t>benefit</w:t>
      </w:r>
      <w:r w:rsidR="00C7053B">
        <w:t xml:space="preserve"> by being treated </w:t>
      </w:r>
      <w:r w:rsidR="00EB6AD5">
        <w:t>with</w:t>
      </w:r>
      <w:r w:rsidR="00C7053B">
        <w:t xml:space="preserve"> </w:t>
      </w:r>
      <w:r w:rsidR="00EC122A">
        <w:t xml:space="preserve">empagliflozin, with </w:t>
      </w:r>
      <w:r w:rsidR="00C7053B">
        <w:t>subgroup analyses demonstrat</w:t>
      </w:r>
      <w:r w:rsidR="00EB6AD5">
        <w:t>ing</w:t>
      </w:r>
      <w:r w:rsidR="00C7053B">
        <w:t xml:space="preserve"> a stronger signal of benefit following </w:t>
      </w:r>
      <w:r w:rsidR="00835D8D">
        <w:t>the</w:t>
      </w:r>
      <w:r w:rsidR="00C7053B">
        <w:t xml:space="preserve"> additional two years of follow-up in the lower albuminuria subgroups [i.e., </w:t>
      </w:r>
      <w:proofErr w:type="spellStart"/>
      <w:r w:rsidR="00C7053B">
        <w:t>uACR</w:t>
      </w:r>
      <w:proofErr w:type="spellEnd"/>
      <w:r w:rsidR="00C7053B">
        <w:t xml:space="preserve"> &lt; 30 mg/g: HR 0.83 (0.61,</w:t>
      </w:r>
      <w:r w:rsidR="00D10F09">
        <w:t> </w:t>
      </w:r>
      <w:r w:rsidR="00C7053B">
        <w:t xml:space="preserve">1.13) vs. HR 1.01 (0.66, 1.55) in the active trial period and </w:t>
      </w:r>
      <w:proofErr w:type="spellStart"/>
      <w:r w:rsidR="00C7053B">
        <w:t>uACR</w:t>
      </w:r>
      <w:proofErr w:type="spellEnd"/>
      <w:r w:rsidR="00C7053B">
        <w:t xml:space="preserve"> 30 to 300</w:t>
      </w:r>
      <w:r w:rsidR="00791D80">
        <w:t> </w:t>
      </w:r>
      <w:r w:rsidR="00C7053B">
        <w:t xml:space="preserve">mg/g: </w:t>
      </w:r>
      <w:r w:rsidR="00C7053B">
        <w:lastRenderedPageBreak/>
        <w:t>HR 0.87 (0.70, 1.09) vs. HR 0.91 (0.65, 1.26) in the active trial period] (Herrington</w:t>
      </w:r>
      <w:r w:rsidR="00EB305C">
        <w:t xml:space="preserve"> et al</w:t>
      </w:r>
      <w:r w:rsidR="00C7053B">
        <w:t>, 202</w:t>
      </w:r>
      <w:r w:rsidR="00BE19E1">
        <w:t>5</w:t>
      </w:r>
      <w:r w:rsidR="00C7053B">
        <w:t>).</w:t>
      </w:r>
      <w:bookmarkEnd w:id="27"/>
    </w:p>
    <w:p w14:paraId="055F153A" w14:textId="428943B1" w:rsidR="00276253" w:rsidRDefault="005E6417" w:rsidP="002279E1">
      <w:pPr>
        <w:pStyle w:val="COMexecsummnumbered"/>
      </w:pPr>
      <w:r w:rsidRPr="005E6417">
        <w:t>Given the subgroup analyses were conducted post hoc, the</w:t>
      </w:r>
      <w:r w:rsidR="00EC122A">
        <w:t>se</w:t>
      </w:r>
      <w:r w:rsidRPr="005E6417">
        <w:t xml:space="preserve"> results should be interpreted with caution. Subgroup analyses by the incremental population component subgroups were not presented</w:t>
      </w:r>
      <w:r w:rsidRPr="00F93610">
        <w:t xml:space="preserve">. </w:t>
      </w:r>
      <w:r w:rsidR="00390E0E" w:rsidRPr="00F93610">
        <w:t>T</w:t>
      </w:r>
      <w:r w:rsidRPr="00F93610">
        <w:t xml:space="preserve">he PSCR </w:t>
      </w:r>
      <w:r w:rsidR="00390E0E" w:rsidRPr="00F93610">
        <w:t xml:space="preserve">(p1) </w:t>
      </w:r>
      <w:r w:rsidRPr="00F93610">
        <w:t xml:space="preserve">argued that splitting of the incremental population into smaller subgroups would result in very small patient numbers and uncertain results. </w:t>
      </w:r>
      <w:r w:rsidR="0010122A" w:rsidRPr="00F93610">
        <w:t>The PSCR also noted that the currently reimbursed CKD population had a variable risk of CKD progression yet PBAC did not request disaggregated analyses by risk groups and made a positive recommendation for the entire ‘overlap’ CKD population (</w:t>
      </w:r>
      <w:r w:rsidR="00BC5163" w:rsidRPr="00F93610">
        <w:t>e</w:t>
      </w:r>
      <w:r w:rsidR="0010122A" w:rsidRPr="00F93610">
        <w:t>mpagliflozin</w:t>
      </w:r>
      <w:r w:rsidR="00BC5163" w:rsidRPr="00F93610">
        <w:t>,</w:t>
      </w:r>
      <w:r w:rsidR="0010122A" w:rsidRPr="00F93610">
        <w:t xml:space="preserve"> PSD</w:t>
      </w:r>
      <w:r w:rsidR="00BC5163" w:rsidRPr="00F93610">
        <w:t>,</w:t>
      </w:r>
      <w:r w:rsidR="0010122A" w:rsidRPr="00F93610">
        <w:t xml:space="preserve"> Nov</w:t>
      </w:r>
      <w:r w:rsidR="00BC5163" w:rsidRPr="00F93610">
        <w:t>ember</w:t>
      </w:r>
      <w:r w:rsidR="0010122A" w:rsidRPr="00F93610">
        <w:t xml:space="preserve"> 2023</w:t>
      </w:r>
      <w:r w:rsidR="00BC5163" w:rsidRPr="00F93610">
        <w:t xml:space="preserve"> PBAC meeting</w:t>
      </w:r>
      <w:r w:rsidR="0010122A" w:rsidRPr="00F93610">
        <w:t>). The PSCR argued that, therefore, a similar approach should be adopted when assessing the overall treatment effect for the proposed PBS incremental population. To this end, the PSCR maintained that there was clear evidence of a similar treatment effect in the proposed PBS incremental population compared to the currently reimbursed CKD population and the overall ITT population [HR 0.76 (0.65,</w:t>
      </w:r>
      <w:r w:rsidR="009E762A">
        <w:t> </w:t>
      </w:r>
      <w:r w:rsidR="0010122A" w:rsidRPr="00F93610">
        <w:t>0.90) vs. HR 0.76 (0.63, 0.92) vs. HR 0.72 (0.64. 0.82) p-interaction = 0.9903].</w:t>
      </w:r>
    </w:p>
    <w:p w14:paraId="03C8739F" w14:textId="26F6BA83" w:rsidR="00276253" w:rsidRDefault="00EC718C" w:rsidP="002279E1">
      <w:pPr>
        <w:pStyle w:val="COMexecsummnumbered"/>
      </w:pPr>
      <w:bookmarkStart w:id="28" w:name="_Ref198890985"/>
      <w:r w:rsidRPr="00010E6B">
        <w:rPr>
          <w:lang w:val="en-US"/>
        </w:rPr>
        <w:t>The</w:t>
      </w:r>
      <w:r w:rsidRPr="00604EAB">
        <w:rPr>
          <w:snapToGrid w:val="0"/>
        </w:rPr>
        <w:t xml:space="preserve"> pre-PBAC response stated that the eGFR slope </w:t>
      </w:r>
      <w:r w:rsidR="008C5889">
        <w:rPr>
          <w:snapToGrid w:val="0"/>
        </w:rPr>
        <w:t>wa</w:t>
      </w:r>
      <w:r w:rsidRPr="00604EAB">
        <w:rPr>
          <w:snapToGrid w:val="0"/>
        </w:rPr>
        <w:t>s regarded as a more sensitive measure of effect in patients with slowly progressive disease (i.e., UACR &lt; 200 mg/g) and that subgroup analysis by baseline UACR showed a significant reduction in the rate of eGFR decline both in absolute and relative terms to placebo. The response state</w:t>
      </w:r>
      <w:r w:rsidR="00EC122A">
        <w:rPr>
          <w:snapToGrid w:val="0"/>
        </w:rPr>
        <w:t>d</w:t>
      </w:r>
      <w:r w:rsidRPr="00604EAB">
        <w:rPr>
          <w:snapToGrid w:val="0"/>
        </w:rPr>
        <w:t xml:space="preserve"> this was also consistent with a prespecified secondary analysis that examined the effect of empagliflozin on kidney disease progression in various patient cohorts. The study found that treatment with empagliflozin produced a statistically significant absolute reduction in the chronic eGFR slope across all five </w:t>
      </w:r>
      <w:proofErr w:type="spellStart"/>
      <w:r w:rsidRPr="00604EAB">
        <w:rPr>
          <w:snapToGrid w:val="0"/>
        </w:rPr>
        <w:t>uACR</w:t>
      </w:r>
      <w:proofErr w:type="spellEnd"/>
      <w:r w:rsidRPr="00604EAB">
        <w:rPr>
          <w:snapToGrid w:val="0"/>
        </w:rPr>
        <w:t xml:space="preserve"> categories with an absolute difference in the </w:t>
      </w:r>
      <w:proofErr w:type="spellStart"/>
      <w:r w:rsidRPr="00604EAB">
        <w:rPr>
          <w:snapToGrid w:val="0"/>
        </w:rPr>
        <w:t>uACR</w:t>
      </w:r>
      <w:proofErr w:type="spellEnd"/>
      <w:r w:rsidRPr="00604EAB">
        <w:rPr>
          <w:snapToGrid w:val="0"/>
        </w:rPr>
        <w:t xml:space="preserve"> &lt; 30 mg/g and </w:t>
      </w:r>
      <w:proofErr w:type="spellStart"/>
      <w:r w:rsidRPr="00604EAB">
        <w:rPr>
          <w:snapToGrid w:val="0"/>
        </w:rPr>
        <w:t>uACR</w:t>
      </w:r>
      <w:proofErr w:type="spellEnd"/>
      <w:r w:rsidRPr="00604EAB">
        <w:rPr>
          <w:snapToGrid w:val="0"/>
        </w:rPr>
        <w:t xml:space="preserve"> between 30 and </w:t>
      </w:r>
      <w:r w:rsidR="00791D80" w:rsidRPr="00604EAB">
        <w:rPr>
          <w:snapToGrid w:val="0"/>
        </w:rPr>
        <w:t>300</w:t>
      </w:r>
      <w:r w:rsidR="00791D80">
        <w:rPr>
          <w:snapToGrid w:val="0"/>
        </w:rPr>
        <w:t> </w:t>
      </w:r>
      <w:r w:rsidRPr="00604EAB">
        <w:rPr>
          <w:snapToGrid w:val="0"/>
        </w:rPr>
        <w:t xml:space="preserve">mg/g subgroups of 0.76 and 1.19 mL/min/1.73 m2 per year, respectively (Haynes, 2023). Both these results exceed the </w:t>
      </w:r>
      <w:r w:rsidR="00EC122A">
        <w:rPr>
          <w:snapToGrid w:val="0"/>
        </w:rPr>
        <w:t xml:space="preserve">claimed </w:t>
      </w:r>
      <w:r w:rsidRPr="00604EAB">
        <w:rPr>
          <w:snapToGrid w:val="0"/>
        </w:rPr>
        <w:t xml:space="preserve">minimal clinically important difference (MCID) of 0.75 mL/min/1.73 m2 per year indicating that empagliflozin </w:t>
      </w:r>
      <w:r w:rsidR="008C5889">
        <w:rPr>
          <w:snapToGrid w:val="0"/>
        </w:rPr>
        <w:t>wa</w:t>
      </w:r>
      <w:r w:rsidRPr="00604EAB">
        <w:rPr>
          <w:snapToGrid w:val="0"/>
        </w:rPr>
        <w:t>s effective at meaningfully reducing kidney disease progression in the lower albuminuria subgroups (Grams, 2019).</w:t>
      </w:r>
      <w:bookmarkEnd w:id="28"/>
    </w:p>
    <w:p w14:paraId="7529F774" w14:textId="67F66A0D" w:rsidR="00067E7F" w:rsidRDefault="0012432C" w:rsidP="00252E84">
      <w:pPr>
        <w:pStyle w:val="COMexecsummnumbered"/>
      </w:pPr>
      <w:bookmarkStart w:id="29" w:name="_Ref198890987"/>
      <w:r>
        <w:t xml:space="preserve">The PBAC also noted </w:t>
      </w:r>
      <w:r w:rsidR="005D7C76">
        <w:t>results fr</w:t>
      </w:r>
      <w:r w:rsidR="0058441F">
        <w:t>o</w:t>
      </w:r>
      <w:r w:rsidR="005D7C76">
        <w:t xml:space="preserve">m a 2024 </w:t>
      </w:r>
      <w:r w:rsidR="0042293C">
        <w:t xml:space="preserve">Lancet </w:t>
      </w:r>
      <w:r w:rsidR="005D7C76">
        <w:t>publication</w:t>
      </w:r>
      <w:r w:rsidR="00425EE3">
        <w:rPr>
          <w:rStyle w:val="FootnoteReference"/>
        </w:rPr>
        <w:footnoteReference w:id="4"/>
      </w:r>
      <w:r w:rsidR="005D7C76">
        <w:t xml:space="preserve"> that included a pre</w:t>
      </w:r>
      <w:r w:rsidR="00066B93">
        <w:t xml:space="preserve">-specified </w:t>
      </w:r>
      <w:r w:rsidR="0058441F">
        <w:t>secondary analysis of the EMPA-KIDNEY trial</w:t>
      </w:r>
      <w:r w:rsidR="00D74C5C">
        <w:t xml:space="preserve"> </w:t>
      </w:r>
      <w:r w:rsidR="00A63ECF" w:rsidRPr="00A63ECF">
        <w:t>examining the annualised rate of decline of kidney function (eGFR slope)</w:t>
      </w:r>
      <w:r w:rsidR="00425EE3">
        <w:t xml:space="preserve"> (see </w:t>
      </w:r>
      <w:r w:rsidR="00662445">
        <w:fldChar w:fldCharType="begin"/>
      </w:r>
      <w:r w:rsidR="00662445">
        <w:instrText xml:space="preserve"> REF _Ref198888434 \h </w:instrText>
      </w:r>
      <w:r w:rsidR="00662445">
        <w:fldChar w:fldCharType="separate"/>
      </w:r>
      <w:r w:rsidR="004A7850">
        <w:t xml:space="preserve">Figure </w:t>
      </w:r>
      <w:r w:rsidR="004A7850">
        <w:rPr>
          <w:noProof/>
        </w:rPr>
        <w:t>2</w:t>
      </w:r>
      <w:r w:rsidR="00662445">
        <w:fldChar w:fldCharType="end"/>
      </w:r>
      <w:r w:rsidR="00662445">
        <w:t>)</w:t>
      </w:r>
      <w:r w:rsidR="00D74C5C">
        <w:t>.</w:t>
      </w:r>
      <w:r w:rsidR="00D74C5C" w:rsidRPr="00D74C5C">
        <w:rPr>
          <w:rStyle w:val="FootnoteReference"/>
        </w:rPr>
        <w:t xml:space="preserve"> </w:t>
      </w:r>
      <w:r w:rsidR="00187C7F" w:rsidRPr="00187C7F">
        <w:t>Overall, allocation to empagliflozin slowed the rate of decline in eGFR from 2 months to final follow-up (the chronic slope) by 1</w:t>
      </w:r>
      <w:r w:rsidR="00D27158">
        <w:t>.</w:t>
      </w:r>
      <w:r w:rsidR="00187C7F" w:rsidRPr="00187C7F">
        <w:t>37 mL/min per 1</w:t>
      </w:r>
      <w:r w:rsidR="00D27158">
        <w:t>.</w:t>
      </w:r>
      <w:r w:rsidR="00187C7F" w:rsidRPr="00187C7F">
        <w:t>73 m² per year (95% CI 1·16–1·59), which represented a 50% (42–58</w:t>
      </w:r>
      <w:r w:rsidR="00D27158">
        <w:t>%</w:t>
      </w:r>
      <w:r w:rsidR="00187C7F" w:rsidRPr="00187C7F">
        <w:t>) relative reduction in the mean chronic slope</w:t>
      </w:r>
      <w:r w:rsidR="00187C7F">
        <w:t>.</w:t>
      </w:r>
      <w:r w:rsidR="00187C7F" w:rsidRPr="00187C7F">
        <w:t xml:space="preserve"> </w:t>
      </w:r>
      <w:r w:rsidR="000B2145">
        <w:t xml:space="preserve">The PBAC noted </w:t>
      </w:r>
      <w:proofErr w:type="spellStart"/>
      <w:r w:rsidR="000B2145">
        <w:t>Staplin</w:t>
      </w:r>
      <w:proofErr w:type="spellEnd"/>
      <w:r w:rsidR="000B2145">
        <w:t xml:space="preserve"> et al concluded empagliflozin slowed the rate of progression of chronic </w:t>
      </w:r>
      <w:r w:rsidR="000B2145">
        <w:lastRenderedPageBreak/>
        <w:t xml:space="preserve">kidney disease among all types of participant in the EMPA-KIDNEY trial, including those with little albuminuria. </w:t>
      </w:r>
      <w:r w:rsidR="00425EE3">
        <w:t>It was considered a</w:t>
      </w:r>
      <w:r w:rsidR="000B2145">
        <w:t>lbuminuria alone should not be used to determine whether to treat with an SGLT2 inhibitor</w:t>
      </w:r>
      <w:r w:rsidR="00425EE3">
        <w:t>.</w:t>
      </w:r>
      <w:bookmarkEnd w:id="29"/>
    </w:p>
    <w:p w14:paraId="6D3239BD" w14:textId="770F9709" w:rsidR="007B4F49" w:rsidRDefault="00252E84" w:rsidP="007C1725">
      <w:pPr>
        <w:pStyle w:val="Caption"/>
      </w:pPr>
      <w:bookmarkStart w:id="30" w:name="_Ref198888434"/>
      <w:r>
        <w:t xml:space="preserve">Figure </w:t>
      </w:r>
      <w:r w:rsidR="001154A7">
        <w:fldChar w:fldCharType="begin"/>
      </w:r>
      <w:r w:rsidR="001154A7">
        <w:instrText xml:space="preserve"> SEQ Figure \* ARABIC </w:instrText>
      </w:r>
      <w:r w:rsidR="001154A7">
        <w:fldChar w:fldCharType="separate"/>
      </w:r>
      <w:r w:rsidR="004A7850">
        <w:rPr>
          <w:noProof/>
        </w:rPr>
        <w:t>2</w:t>
      </w:r>
      <w:r w:rsidR="001154A7">
        <w:rPr>
          <w:noProof/>
        </w:rPr>
        <w:fldChar w:fldCharType="end"/>
      </w:r>
      <w:bookmarkEnd w:id="30"/>
      <w:r w:rsidR="007B4F49" w:rsidRPr="007B4F49">
        <w:t xml:space="preserve">: Absolute and relative effects of allocation to empagliflozin on total slopes and chronic slopes, by prespecified diabetes subgroup, and post-hoc expanded eGFR and </w:t>
      </w:r>
      <w:proofErr w:type="spellStart"/>
      <w:r w:rsidR="007B4F49" w:rsidRPr="007B4F49">
        <w:t>uACR</w:t>
      </w:r>
      <w:proofErr w:type="spellEnd"/>
      <w:r w:rsidR="007B4F49" w:rsidRPr="007B4F49">
        <w:t xml:space="preserve"> subgroups</w:t>
      </w:r>
    </w:p>
    <w:p w14:paraId="666244FE" w14:textId="59124A5C" w:rsidR="00A63ECF" w:rsidRDefault="006F364E" w:rsidP="00C57515">
      <w:pPr>
        <w:pStyle w:val="COMexecsummnumbered"/>
        <w:numPr>
          <w:ilvl w:val="0"/>
          <w:numId w:val="0"/>
        </w:numPr>
        <w:spacing w:before="0" w:after="0"/>
      </w:pPr>
      <w:r w:rsidRPr="006F364E">
        <w:rPr>
          <w:noProof/>
        </w:rPr>
        <w:drawing>
          <wp:inline distT="0" distB="0" distL="0" distR="0" wp14:anchorId="2DBB95BF" wp14:editId="07F77AF5">
            <wp:extent cx="5732145" cy="3879215"/>
            <wp:effectExtent l="0" t="0" r="1905" b="6985"/>
            <wp:docPr id="9" name="Picture 8" descr="Figure 2: Absolute and relative effects of allocation to empagliflozin on total slopes and chronic slopes, by prespecified diabetes subgroup, and post-hoc expanded eGFR and uACR subgroups">
              <a:extLst xmlns:a="http://schemas.openxmlformats.org/drawingml/2006/main">
                <a:ext uri="{FF2B5EF4-FFF2-40B4-BE49-F238E27FC236}">
                  <a16:creationId xmlns:a16="http://schemas.microsoft.com/office/drawing/2014/main" id="{590D38BD-209C-214C-FA55-E95D7C40F0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Figure 2: Absolute and relative effects of allocation to empagliflozin on total slopes and chronic slopes, by prespecified diabetes subgroup, and post-hoc expanded eGFR and uACR subgroups">
                      <a:extLst>
                        <a:ext uri="{FF2B5EF4-FFF2-40B4-BE49-F238E27FC236}">
                          <a16:creationId xmlns:a16="http://schemas.microsoft.com/office/drawing/2014/main" id="{590D38BD-209C-214C-FA55-E95D7C40F020}"/>
                        </a:ext>
                      </a:extLst>
                    </pic:cNvPr>
                    <pic:cNvPicPr>
                      <a:picLocks noChangeAspect="1"/>
                    </pic:cNvPicPr>
                  </pic:nvPicPr>
                  <pic:blipFill>
                    <a:blip r:embed="rId9"/>
                    <a:stretch>
                      <a:fillRect/>
                    </a:stretch>
                  </pic:blipFill>
                  <pic:spPr>
                    <a:xfrm>
                      <a:off x="0" y="0"/>
                      <a:ext cx="5732145" cy="3879215"/>
                    </a:xfrm>
                    <a:prstGeom prst="rect">
                      <a:avLst/>
                    </a:prstGeom>
                  </pic:spPr>
                </pic:pic>
              </a:graphicData>
            </a:graphic>
          </wp:inline>
        </w:drawing>
      </w:r>
    </w:p>
    <w:p w14:paraId="4F5A651F" w14:textId="5E4A40AD" w:rsidR="007B4F49" w:rsidRPr="00C84DE5" w:rsidRDefault="006F364E" w:rsidP="0070129C">
      <w:pPr>
        <w:pStyle w:val="COMTablefooter"/>
      </w:pPr>
      <w:r>
        <w:t>Source:</w:t>
      </w:r>
      <w:r w:rsidR="0070129C">
        <w:t xml:space="preserve"> </w:t>
      </w:r>
      <w:proofErr w:type="spellStart"/>
      <w:r w:rsidR="0070129C">
        <w:t>Staplin</w:t>
      </w:r>
      <w:proofErr w:type="spellEnd"/>
      <w:r w:rsidR="0070129C">
        <w:t>, N et al</w:t>
      </w:r>
      <w:r w:rsidR="00CA0D15">
        <w:t xml:space="preserve"> </w:t>
      </w:r>
      <w:r w:rsidR="00662445">
        <w:t>(2024);</w:t>
      </w:r>
      <w:r>
        <w:t xml:space="preserve"> </w:t>
      </w:r>
      <w:r w:rsidR="0070129C" w:rsidRPr="0070129C">
        <w:t xml:space="preserve">Figure 2: Absolute and relative effects of allocation to empagliflozin on total slopes and chronic slopes, by prespecified diabetes subgroup, and post-hoc expanded eGFR and </w:t>
      </w:r>
      <w:proofErr w:type="spellStart"/>
      <w:r w:rsidR="0070129C" w:rsidRPr="0070129C">
        <w:t>uACR</w:t>
      </w:r>
      <w:proofErr w:type="spellEnd"/>
      <w:r w:rsidR="0070129C" w:rsidRPr="0070129C">
        <w:t xml:space="preserve"> subgroups The p value for test of heterogeneity between absolute difference in chronic slopes for patients with and without diabetes is 0·0085, the p value for test for trend in absolute differences in chronic slope across eGFR categories is 0·0013 and that across </w:t>
      </w:r>
      <w:proofErr w:type="spellStart"/>
      <w:r w:rsidR="0070129C" w:rsidRPr="0070129C">
        <w:t>uACR</w:t>
      </w:r>
      <w:proofErr w:type="spellEnd"/>
      <w:r w:rsidR="0070129C" w:rsidRPr="0070129C">
        <w:t xml:space="preserve"> categories is less than 0·0001. The p value for heterogeneity between absolute differences in total slopes for patients with and without diabetes is 0·19, and the p value for test for trend in absolute differences in total slope across eGFR categories is 0·023 and that across </w:t>
      </w:r>
      <w:proofErr w:type="spellStart"/>
      <w:r w:rsidR="0070129C" w:rsidRPr="0070129C">
        <w:t>uACR</w:t>
      </w:r>
      <w:proofErr w:type="spellEnd"/>
      <w:r w:rsidR="0070129C" w:rsidRPr="0070129C">
        <w:t xml:space="preserve"> categories is less than 0·0001. eGFR=estimated glomerular filtration rate. </w:t>
      </w:r>
      <w:proofErr w:type="spellStart"/>
      <w:r w:rsidR="0070129C" w:rsidRPr="0070129C">
        <w:t>uACR</w:t>
      </w:r>
      <w:proofErr w:type="spellEnd"/>
      <w:r w:rsidR="0070129C" w:rsidRPr="0070129C">
        <w:t>=urinary albumin-to-creatinine ratio</w:t>
      </w:r>
      <w:r w:rsidR="0070129C">
        <w:t>.</w:t>
      </w:r>
    </w:p>
    <w:p w14:paraId="33407686" w14:textId="1229BA78" w:rsidR="004506E4" w:rsidRPr="004506E4" w:rsidRDefault="004506E4" w:rsidP="004506E4">
      <w:pPr>
        <w:pStyle w:val="COMH3"/>
        <w:rPr>
          <w:sz w:val="24"/>
          <w:szCs w:val="22"/>
        </w:rPr>
      </w:pPr>
      <w:r w:rsidRPr="004506E4">
        <w:rPr>
          <w:sz w:val="24"/>
          <w:szCs w:val="22"/>
        </w:rPr>
        <w:t xml:space="preserve">Pre-specified </w:t>
      </w:r>
      <w:r w:rsidR="00CE5906">
        <w:rPr>
          <w:sz w:val="24"/>
          <w:szCs w:val="22"/>
        </w:rPr>
        <w:t xml:space="preserve">EMPA-KIDNEY </w:t>
      </w:r>
      <w:r w:rsidRPr="004506E4">
        <w:rPr>
          <w:sz w:val="24"/>
          <w:szCs w:val="22"/>
        </w:rPr>
        <w:t xml:space="preserve">subgroup analyses and </w:t>
      </w:r>
      <w:r w:rsidRPr="00CE5906">
        <w:rPr>
          <w:i/>
          <w:iCs w:val="0"/>
          <w:sz w:val="24"/>
          <w:szCs w:val="22"/>
        </w:rPr>
        <w:t>post hoc</w:t>
      </w:r>
      <w:r w:rsidRPr="004506E4">
        <w:rPr>
          <w:sz w:val="24"/>
          <w:szCs w:val="22"/>
        </w:rPr>
        <w:t xml:space="preserve"> </w:t>
      </w:r>
      <w:r w:rsidR="00623272">
        <w:rPr>
          <w:sz w:val="24"/>
          <w:szCs w:val="22"/>
        </w:rPr>
        <w:t xml:space="preserve">subgroup </w:t>
      </w:r>
      <w:r w:rsidRPr="004506E4">
        <w:rPr>
          <w:sz w:val="24"/>
          <w:szCs w:val="22"/>
        </w:rPr>
        <w:t>analyses by KDIGO stage</w:t>
      </w:r>
    </w:p>
    <w:p w14:paraId="5141F69E" w14:textId="4D69DE11" w:rsidR="0034028D" w:rsidRPr="006056F2" w:rsidRDefault="00DC4F44" w:rsidP="006A5117">
      <w:pPr>
        <w:pStyle w:val="COMexecsummnumbered"/>
      </w:pPr>
      <w:r w:rsidRPr="00DC4F44">
        <w:t xml:space="preserve">At the November 2023 meeting, the PBAC noted pre-specified subgroup analyses for the primary composite outcome of CKD progression or cardiovascular death in the EMPA-KIDNEY trial showed significant treatment effect interaction by baseline diabetes status (yes/no; p=0.0598) and albuminuria subgroups (UACR&lt;30, 30-300, and &gt;300 mg/g; p=0.0174), with a trend of decreasing treatment effect in patients without diabetes or with a lower baseline UACR (UACR ≤300 mg/g) (para 6.24, </w:t>
      </w:r>
      <w:r w:rsidR="006F2663">
        <w:t>empagliflozin PSD</w:t>
      </w:r>
      <w:r w:rsidRPr="00DC4F44">
        <w:t xml:space="preserve">, </w:t>
      </w:r>
      <w:r w:rsidRPr="006056F2">
        <w:t>November 2023 PBAC meeting).</w:t>
      </w:r>
    </w:p>
    <w:p w14:paraId="6E7D375C" w14:textId="77777777" w:rsidR="00276253" w:rsidRDefault="00FE1DF3" w:rsidP="00381DDB">
      <w:pPr>
        <w:pStyle w:val="COMexecsummnumbered"/>
      </w:pPr>
      <w:r w:rsidRPr="006056F2">
        <w:lastRenderedPageBreak/>
        <w:t xml:space="preserve">The PBAC also </w:t>
      </w:r>
      <w:r w:rsidR="00E127BD" w:rsidRPr="006056F2">
        <w:t xml:space="preserve">considered </w:t>
      </w:r>
      <w:r w:rsidR="00BD7452" w:rsidRPr="006056F2">
        <w:t xml:space="preserve">at the November 2023 meeting, </w:t>
      </w:r>
      <w:r w:rsidR="00E127BD" w:rsidRPr="006056F2">
        <w:t>that</w:t>
      </w:r>
      <w:r w:rsidRPr="006056F2">
        <w:t xml:space="preserve"> the results of post hoc subgroup analyses of the primary composite outcome </w:t>
      </w:r>
      <w:r w:rsidR="00E127BD" w:rsidRPr="006056F2">
        <w:t xml:space="preserve">in the EMPA-KIDNEY trial by baseline KDIGO risk category </w:t>
      </w:r>
      <w:r w:rsidR="0012637C" w:rsidRPr="006056F2">
        <w:t>provided confirmation of KDIGO staging (based on UACR and eGFR</w:t>
      </w:r>
      <w:r w:rsidR="00B9478E" w:rsidRPr="006056F2">
        <w:t>)</w:t>
      </w:r>
      <w:r w:rsidR="0012637C" w:rsidRPr="006056F2">
        <w:t xml:space="preserve"> to predict prognosis and that KDIGO staging is probably both a quantitative and qualitative treatment effect modifier, with empagliflozin resulting in little or no improvement in patients categorised as low, moderate, and high risk</w:t>
      </w:r>
      <w:r w:rsidR="005E3212" w:rsidRPr="006056F2">
        <w:t>, or in patients with UACR &lt;200</w:t>
      </w:r>
      <w:r w:rsidR="00DC5DB6" w:rsidRPr="006056F2">
        <w:t> </w:t>
      </w:r>
      <w:r w:rsidR="005E3212" w:rsidRPr="006056F2">
        <w:t>mg/g (para 7.20, empagliflozin PSD, November 2023 PBAC meeting).</w:t>
      </w:r>
    </w:p>
    <w:p w14:paraId="4A1F3EC8" w14:textId="77777777" w:rsidR="00276253" w:rsidRDefault="00BD06AC" w:rsidP="006B1BCB">
      <w:pPr>
        <w:pStyle w:val="COMexecsummnumbered"/>
      </w:pPr>
      <w:r w:rsidRPr="006056F2">
        <w:t xml:space="preserve">The resubmission acknowledged the diversity of the incremental </w:t>
      </w:r>
      <w:proofErr w:type="gramStart"/>
      <w:r w:rsidRPr="006056F2">
        <w:t>population, but</w:t>
      </w:r>
      <w:proofErr w:type="gramEnd"/>
      <w:r w:rsidRPr="006056F2">
        <w:t xml:space="preserve"> suggested that almost all patients in the subgroup had a high to very high</w:t>
      </w:r>
      <w:r w:rsidR="005D7FF8" w:rsidRPr="006056F2">
        <w:t xml:space="preserve"> </w:t>
      </w:r>
      <w:r w:rsidRPr="006056F2">
        <w:t>risk of kidney disease progression, and on that basis, were sufficiently homogeneous for meaningful subgroup analyses.</w:t>
      </w:r>
      <w:r w:rsidR="005552F1" w:rsidRPr="006056F2">
        <w:rPr>
          <w:rFonts w:cs="Calibri"/>
          <w:i/>
          <w:iCs/>
        </w:rPr>
        <w:t xml:space="preserve"> </w:t>
      </w:r>
      <w:r w:rsidR="005D07CD" w:rsidRPr="006056F2">
        <w:rPr>
          <w:rFonts w:cs="Calibri"/>
        </w:rPr>
        <w:t xml:space="preserve">The incremental population </w:t>
      </w:r>
      <w:r w:rsidR="005D07CD" w:rsidRPr="006056F2">
        <w:t>included a broad amalgam of patients with substantially variable baseline risk of CKD progression (moderate to very high risk</w:t>
      </w:r>
      <w:r w:rsidR="00AB5852" w:rsidRPr="006056F2">
        <w:t>) and</w:t>
      </w:r>
      <w:r w:rsidR="005D07CD" w:rsidRPr="006056F2">
        <w:t xml:space="preserve"> was not homogeneous in terms of risk of disease progression. Compared to the ITT population, there were more patients with moderate to high risk and fewer patients with very high risk</w:t>
      </w:r>
      <w:r w:rsidR="00AB5852" w:rsidRPr="006056F2">
        <w:t xml:space="preserve"> in the incremental </w:t>
      </w:r>
      <w:r w:rsidR="00693376" w:rsidRPr="006056F2">
        <w:t>subgroup</w:t>
      </w:r>
      <w:r w:rsidR="005D07CD" w:rsidRPr="006056F2">
        <w:t>.</w:t>
      </w:r>
    </w:p>
    <w:p w14:paraId="0263F579" w14:textId="072165C9" w:rsidR="00FB5AB1" w:rsidRDefault="00FB5AB1" w:rsidP="00FB5AB1">
      <w:pPr>
        <w:pStyle w:val="COMexecsummnumbered"/>
      </w:pPr>
      <w:r>
        <w:fldChar w:fldCharType="begin"/>
      </w:r>
      <w:r>
        <w:instrText xml:space="preserve"> REF _Ref190698877 \h </w:instrText>
      </w:r>
      <w:r>
        <w:fldChar w:fldCharType="separate"/>
      </w:r>
      <w:r w:rsidR="004A7850" w:rsidRPr="001153AC">
        <w:t xml:space="preserve">Table </w:t>
      </w:r>
      <w:r w:rsidR="004A7850">
        <w:rPr>
          <w:noProof/>
        </w:rPr>
        <w:t>7</w:t>
      </w:r>
      <w:r>
        <w:fldChar w:fldCharType="end"/>
      </w:r>
      <w:r>
        <w:t xml:space="preserve"> </w:t>
      </w:r>
      <w:r w:rsidRPr="00E62BB6">
        <w:t xml:space="preserve">presents the results of </w:t>
      </w:r>
      <w:r w:rsidRPr="009C2454">
        <w:rPr>
          <w:i/>
          <w:iCs/>
        </w:rPr>
        <w:t>post hoc</w:t>
      </w:r>
      <w:r w:rsidRPr="00E62BB6">
        <w:t xml:space="preserve"> subgroup analyses by KDIGO baseline risk category for the primary composite outcome in the EMPA-KIDNEY ITT population.</w:t>
      </w:r>
    </w:p>
    <w:p w14:paraId="4FCCE4AB" w14:textId="7E574043" w:rsidR="00FB5AB1" w:rsidRPr="001153AC" w:rsidRDefault="00FB5AB1" w:rsidP="00FB5AB1">
      <w:pPr>
        <w:pStyle w:val="Caption"/>
      </w:pPr>
      <w:bookmarkStart w:id="31" w:name="_Ref190698877"/>
      <w:r w:rsidRPr="001153AC">
        <w:t xml:space="preserve">Table </w:t>
      </w:r>
      <w:r w:rsidR="001154A7">
        <w:fldChar w:fldCharType="begin"/>
      </w:r>
      <w:r w:rsidR="001154A7">
        <w:instrText xml:space="preserve"> SEQ Table \* ARABIC </w:instrText>
      </w:r>
      <w:r w:rsidR="001154A7">
        <w:fldChar w:fldCharType="separate"/>
      </w:r>
      <w:r w:rsidR="004A7850">
        <w:rPr>
          <w:noProof/>
        </w:rPr>
        <w:t>7</w:t>
      </w:r>
      <w:r w:rsidR="001154A7">
        <w:rPr>
          <w:noProof/>
        </w:rPr>
        <w:fldChar w:fldCharType="end"/>
      </w:r>
      <w:bookmarkEnd w:id="31"/>
      <w:r w:rsidRPr="001153AC">
        <w:t xml:space="preserve">: Results of the </w:t>
      </w:r>
      <w:r w:rsidRPr="00C84DE5">
        <w:t>post hoc</w:t>
      </w:r>
      <w:r w:rsidRPr="001153AC">
        <w:t xml:space="preserve"> </w:t>
      </w:r>
      <w:r>
        <w:t xml:space="preserve">subgroup analyses by </w:t>
      </w:r>
      <w:r w:rsidRPr="001153AC">
        <w:t>KDIGO baseline risk categor</w:t>
      </w:r>
      <w:r>
        <w:t>y</w:t>
      </w:r>
      <w:r w:rsidRPr="001153AC">
        <w:t xml:space="preserve"> for the primary composite outcome in </w:t>
      </w:r>
      <w:r>
        <w:t xml:space="preserve">the </w:t>
      </w:r>
      <w:r w:rsidRPr="001153AC">
        <w:t>EMPA-KIDNEY ITT</w:t>
      </w:r>
      <w:r>
        <w:t xml:space="preserve"> population</w:t>
      </w:r>
    </w:p>
    <w:tbl>
      <w:tblPr>
        <w:tblStyle w:val="TableGrid"/>
        <w:tblW w:w="5000" w:type="pct"/>
        <w:tblLayout w:type="fixed"/>
        <w:tblCellMar>
          <w:left w:w="28" w:type="dxa"/>
          <w:right w:w="28" w:type="dxa"/>
        </w:tblCellMar>
        <w:tblLook w:val="04A0" w:firstRow="1" w:lastRow="0" w:firstColumn="1" w:lastColumn="0" w:noHBand="0" w:noVBand="1"/>
      </w:tblPr>
      <w:tblGrid>
        <w:gridCol w:w="1271"/>
        <w:gridCol w:w="1418"/>
        <w:gridCol w:w="1275"/>
        <w:gridCol w:w="1684"/>
        <w:gridCol w:w="1684"/>
        <w:gridCol w:w="1685"/>
      </w:tblGrid>
      <w:tr w:rsidR="00FB5AB1" w:rsidRPr="00426EF0" w14:paraId="66568F40" w14:textId="77777777" w:rsidTr="006B1BCB">
        <w:trPr>
          <w:trHeight w:val="101"/>
        </w:trPr>
        <w:tc>
          <w:tcPr>
            <w:tcW w:w="1270" w:type="dxa"/>
            <w:vAlign w:val="center"/>
          </w:tcPr>
          <w:p w14:paraId="026D596E" w14:textId="77777777" w:rsidR="00FB5AB1" w:rsidRPr="00426EF0" w:rsidRDefault="00FB5AB1" w:rsidP="006B1BCB">
            <w:pPr>
              <w:pStyle w:val="COMTableheadingrow"/>
            </w:pPr>
            <w:r w:rsidRPr="00426EF0">
              <w:t>Population or</w:t>
            </w:r>
          </w:p>
          <w:p w14:paraId="380C8B42" w14:textId="77777777" w:rsidR="00FB5AB1" w:rsidRPr="00426EF0" w:rsidRDefault="00FB5AB1" w:rsidP="006B1BCB">
            <w:pPr>
              <w:pStyle w:val="COMTableheadingrow"/>
            </w:pPr>
            <w:r w:rsidRPr="00426EF0">
              <w:t xml:space="preserve">subgroup </w:t>
            </w:r>
          </w:p>
        </w:tc>
        <w:tc>
          <w:tcPr>
            <w:tcW w:w="1418" w:type="dxa"/>
            <w:vAlign w:val="center"/>
          </w:tcPr>
          <w:p w14:paraId="54472298" w14:textId="77777777" w:rsidR="00FB5AB1" w:rsidRPr="00426EF0" w:rsidRDefault="00FB5AB1" w:rsidP="006B1BCB">
            <w:pPr>
              <w:pStyle w:val="COMTableheadingrow"/>
              <w:jc w:val="center"/>
            </w:pPr>
            <w:r w:rsidRPr="00426EF0">
              <w:t>eGFR</w:t>
            </w:r>
          </w:p>
          <w:p w14:paraId="4806F3DD" w14:textId="77777777" w:rsidR="00FB5AB1" w:rsidRPr="00426EF0" w:rsidRDefault="00FB5AB1" w:rsidP="006B1BCB">
            <w:pPr>
              <w:pStyle w:val="COMTableheadingrow"/>
              <w:jc w:val="center"/>
            </w:pPr>
            <w:r w:rsidRPr="00426EF0">
              <w:t>(mL/min/1.73 m</w:t>
            </w:r>
            <w:r w:rsidRPr="009F6EFC">
              <w:rPr>
                <w:vertAlign w:val="superscript"/>
              </w:rPr>
              <w:t>2</w:t>
            </w:r>
            <w:r w:rsidRPr="00426EF0">
              <w:t>)</w:t>
            </w:r>
          </w:p>
        </w:tc>
        <w:tc>
          <w:tcPr>
            <w:tcW w:w="1275" w:type="dxa"/>
            <w:vAlign w:val="center"/>
          </w:tcPr>
          <w:p w14:paraId="4DC64C89" w14:textId="77777777" w:rsidR="00FB5AB1" w:rsidRPr="00426EF0" w:rsidRDefault="00FB5AB1" w:rsidP="006B1BCB">
            <w:pPr>
              <w:pStyle w:val="COMTableheadingrow"/>
              <w:jc w:val="center"/>
            </w:pPr>
            <w:r>
              <w:t>UACR</w:t>
            </w:r>
          </w:p>
          <w:p w14:paraId="4B730926" w14:textId="77777777" w:rsidR="00FB5AB1" w:rsidRPr="00426EF0" w:rsidRDefault="00FB5AB1" w:rsidP="006B1BCB">
            <w:pPr>
              <w:pStyle w:val="COMTableheadingrow"/>
              <w:jc w:val="center"/>
            </w:pPr>
            <w:r w:rsidRPr="00426EF0">
              <w:t>(mg/g)</w:t>
            </w:r>
          </w:p>
        </w:tc>
        <w:tc>
          <w:tcPr>
            <w:tcW w:w="1684" w:type="dxa"/>
            <w:vAlign w:val="center"/>
          </w:tcPr>
          <w:p w14:paraId="1732C76E" w14:textId="77777777" w:rsidR="00FB5AB1" w:rsidRPr="00426EF0" w:rsidRDefault="00FB5AB1" w:rsidP="006B1BCB">
            <w:pPr>
              <w:pStyle w:val="COMTableheadingrow"/>
              <w:jc w:val="center"/>
            </w:pPr>
            <w:r w:rsidRPr="00426EF0">
              <w:t>Empagliflozin + SC</w:t>
            </w:r>
          </w:p>
          <w:p w14:paraId="12198B86" w14:textId="77777777" w:rsidR="00FB5AB1" w:rsidRPr="00426EF0" w:rsidRDefault="00FB5AB1" w:rsidP="006B1BCB">
            <w:pPr>
              <w:pStyle w:val="COMTableheadingrow"/>
              <w:jc w:val="center"/>
            </w:pPr>
            <w:r w:rsidRPr="00426EF0">
              <w:t>n/N (%)</w:t>
            </w:r>
          </w:p>
        </w:tc>
        <w:tc>
          <w:tcPr>
            <w:tcW w:w="1684" w:type="dxa"/>
            <w:vAlign w:val="center"/>
          </w:tcPr>
          <w:p w14:paraId="790A4EDF" w14:textId="77777777" w:rsidR="00FB5AB1" w:rsidRPr="00426EF0" w:rsidRDefault="00FB5AB1" w:rsidP="006B1BCB">
            <w:pPr>
              <w:pStyle w:val="COMTableheadingrow"/>
              <w:jc w:val="center"/>
            </w:pPr>
            <w:r w:rsidRPr="00426EF0">
              <w:t>Placebo + SC</w:t>
            </w:r>
          </w:p>
          <w:p w14:paraId="1B80ADE3" w14:textId="77777777" w:rsidR="00FB5AB1" w:rsidRPr="00426EF0" w:rsidRDefault="00FB5AB1" w:rsidP="006B1BCB">
            <w:pPr>
              <w:pStyle w:val="COMTableheadingrow"/>
              <w:jc w:val="center"/>
            </w:pPr>
            <w:r w:rsidRPr="00426EF0">
              <w:t>n/N (%)</w:t>
            </w:r>
          </w:p>
        </w:tc>
        <w:tc>
          <w:tcPr>
            <w:tcW w:w="1685" w:type="dxa"/>
            <w:vAlign w:val="center"/>
          </w:tcPr>
          <w:p w14:paraId="329B8E18" w14:textId="77777777" w:rsidR="00FB5AB1" w:rsidRPr="00426EF0" w:rsidRDefault="00FB5AB1" w:rsidP="006B1BCB">
            <w:pPr>
              <w:pStyle w:val="COMTableheadingrow"/>
              <w:jc w:val="center"/>
            </w:pPr>
            <w:r w:rsidRPr="00426EF0">
              <w:t>Hazard ratio</w:t>
            </w:r>
          </w:p>
          <w:p w14:paraId="14A70424" w14:textId="77777777" w:rsidR="00FB5AB1" w:rsidRPr="00426EF0" w:rsidRDefault="00FB5AB1" w:rsidP="006B1BCB">
            <w:pPr>
              <w:pStyle w:val="COMTableheadingrow"/>
              <w:jc w:val="center"/>
            </w:pPr>
            <w:r w:rsidRPr="00426EF0">
              <w:t>(95% CI)</w:t>
            </w:r>
          </w:p>
        </w:tc>
      </w:tr>
      <w:tr w:rsidR="00FB5AB1" w:rsidRPr="00426EF0" w14:paraId="3B66A26E" w14:textId="77777777" w:rsidTr="006B1BCB">
        <w:trPr>
          <w:trHeight w:val="101"/>
        </w:trPr>
        <w:tc>
          <w:tcPr>
            <w:tcW w:w="9016" w:type="dxa"/>
            <w:gridSpan w:val="6"/>
            <w:shd w:val="clear" w:color="auto" w:fill="FFFF93"/>
            <w:vAlign w:val="center"/>
          </w:tcPr>
          <w:p w14:paraId="21C2709B" w14:textId="77777777" w:rsidR="00FB5AB1" w:rsidRPr="00BA725D" w:rsidRDefault="00FB5AB1" w:rsidP="006B1BCB">
            <w:pPr>
              <w:pStyle w:val="COMTabletext"/>
              <w:rPr>
                <w:b/>
                <w:bCs w:val="0"/>
              </w:rPr>
            </w:pPr>
            <w:r w:rsidRPr="00BA725D">
              <w:rPr>
                <w:b/>
                <w:bCs w:val="0"/>
              </w:rPr>
              <w:t>Moderate risk</w:t>
            </w:r>
          </w:p>
        </w:tc>
      </w:tr>
      <w:tr w:rsidR="00FB5AB1" w:rsidRPr="00426EF0" w14:paraId="0A88923A" w14:textId="77777777" w:rsidTr="006B1BCB">
        <w:trPr>
          <w:trHeight w:val="101"/>
        </w:trPr>
        <w:tc>
          <w:tcPr>
            <w:tcW w:w="1270" w:type="dxa"/>
            <w:shd w:val="clear" w:color="auto" w:fill="FFFF93"/>
          </w:tcPr>
          <w:p w14:paraId="6B7231AC" w14:textId="77777777" w:rsidR="00FB5AB1" w:rsidRPr="00426EF0" w:rsidRDefault="00FB5AB1" w:rsidP="006B1BCB">
            <w:pPr>
              <w:pStyle w:val="COMTabletext"/>
            </w:pPr>
            <w:r w:rsidRPr="00426EF0">
              <w:t>G2A2</w:t>
            </w:r>
          </w:p>
        </w:tc>
        <w:tc>
          <w:tcPr>
            <w:tcW w:w="1418" w:type="dxa"/>
            <w:shd w:val="clear" w:color="auto" w:fill="FFFF93"/>
            <w:vAlign w:val="center"/>
          </w:tcPr>
          <w:p w14:paraId="16E879EA" w14:textId="77777777" w:rsidR="00FB5AB1" w:rsidRPr="00426EF0" w:rsidRDefault="00FB5AB1" w:rsidP="006B1BCB">
            <w:pPr>
              <w:pStyle w:val="COMTabletext"/>
              <w:jc w:val="center"/>
            </w:pPr>
            <w:r w:rsidRPr="00426EF0">
              <w:t>60-89</w:t>
            </w:r>
          </w:p>
        </w:tc>
        <w:tc>
          <w:tcPr>
            <w:tcW w:w="1275" w:type="dxa"/>
            <w:shd w:val="clear" w:color="auto" w:fill="FFFF93"/>
            <w:vAlign w:val="center"/>
          </w:tcPr>
          <w:p w14:paraId="6F99C52B" w14:textId="77777777" w:rsidR="00FB5AB1" w:rsidRPr="00426EF0" w:rsidRDefault="00FB5AB1" w:rsidP="006B1BCB">
            <w:pPr>
              <w:pStyle w:val="COMTabletext"/>
              <w:jc w:val="center"/>
            </w:pPr>
            <w:r w:rsidRPr="00426EF0">
              <w:t>30-300</w:t>
            </w:r>
          </w:p>
        </w:tc>
        <w:tc>
          <w:tcPr>
            <w:tcW w:w="1684" w:type="dxa"/>
            <w:shd w:val="clear" w:color="auto" w:fill="FFFF93"/>
          </w:tcPr>
          <w:p w14:paraId="792E078A" w14:textId="77777777" w:rsidR="00FB5AB1" w:rsidRPr="00426EF0" w:rsidRDefault="00FB5AB1" w:rsidP="006B1BCB">
            <w:pPr>
              <w:pStyle w:val="COMTabletext"/>
              <w:jc w:val="center"/>
            </w:pPr>
            <w:r w:rsidRPr="00426EF0">
              <w:t>1/55 (1.8%)</w:t>
            </w:r>
          </w:p>
        </w:tc>
        <w:tc>
          <w:tcPr>
            <w:tcW w:w="1684" w:type="dxa"/>
            <w:shd w:val="clear" w:color="auto" w:fill="FFFF93"/>
          </w:tcPr>
          <w:p w14:paraId="75E44253" w14:textId="77777777" w:rsidR="00FB5AB1" w:rsidRPr="00426EF0" w:rsidRDefault="00FB5AB1" w:rsidP="006B1BCB">
            <w:pPr>
              <w:pStyle w:val="COMTabletext"/>
              <w:jc w:val="center"/>
            </w:pPr>
            <w:r w:rsidRPr="00426EF0">
              <w:t>1/43 (2.3%)</w:t>
            </w:r>
          </w:p>
        </w:tc>
        <w:tc>
          <w:tcPr>
            <w:tcW w:w="1685" w:type="dxa"/>
            <w:shd w:val="clear" w:color="auto" w:fill="FFFF93"/>
          </w:tcPr>
          <w:p w14:paraId="50D15A78" w14:textId="77777777" w:rsidR="00FB5AB1" w:rsidRPr="00426EF0" w:rsidRDefault="00FB5AB1" w:rsidP="006B1BCB">
            <w:pPr>
              <w:pStyle w:val="COMTabletext"/>
              <w:jc w:val="center"/>
            </w:pPr>
            <w:r w:rsidRPr="00426EF0">
              <w:t>NR</w:t>
            </w:r>
          </w:p>
        </w:tc>
      </w:tr>
      <w:tr w:rsidR="00FB5AB1" w:rsidRPr="00426EF0" w14:paraId="10458F2F" w14:textId="77777777" w:rsidTr="006B1BCB">
        <w:trPr>
          <w:trHeight w:val="101"/>
        </w:trPr>
        <w:tc>
          <w:tcPr>
            <w:tcW w:w="1270" w:type="dxa"/>
            <w:shd w:val="clear" w:color="auto" w:fill="FFFF93"/>
          </w:tcPr>
          <w:p w14:paraId="345E6C60" w14:textId="77777777" w:rsidR="00FB5AB1" w:rsidRPr="00426EF0" w:rsidRDefault="00FB5AB1" w:rsidP="006B1BCB">
            <w:pPr>
              <w:pStyle w:val="COMTabletext"/>
            </w:pPr>
            <w:r w:rsidRPr="00426EF0">
              <w:t>G3aA1</w:t>
            </w:r>
          </w:p>
        </w:tc>
        <w:tc>
          <w:tcPr>
            <w:tcW w:w="1418" w:type="dxa"/>
            <w:shd w:val="clear" w:color="auto" w:fill="FFFF93"/>
            <w:vAlign w:val="center"/>
          </w:tcPr>
          <w:p w14:paraId="25706649" w14:textId="77777777" w:rsidR="00FB5AB1" w:rsidRPr="00426EF0" w:rsidRDefault="00FB5AB1" w:rsidP="006B1BCB">
            <w:pPr>
              <w:pStyle w:val="COMTabletext"/>
              <w:jc w:val="center"/>
            </w:pPr>
            <w:r w:rsidRPr="00426EF0">
              <w:t>45-59</w:t>
            </w:r>
          </w:p>
        </w:tc>
        <w:tc>
          <w:tcPr>
            <w:tcW w:w="1275" w:type="dxa"/>
            <w:shd w:val="clear" w:color="auto" w:fill="FFFF93"/>
            <w:vAlign w:val="center"/>
          </w:tcPr>
          <w:p w14:paraId="6410B5F7" w14:textId="77777777" w:rsidR="00FB5AB1" w:rsidRPr="00426EF0" w:rsidRDefault="00FB5AB1" w:rsidP="006B1BCB">
            <w:pPr>
              <w:pStyle w:val="COMTabletext"/>
              <w:jc w:val="center"/>
            </w:pPr>
            <w:r w:rsidRPr="00426EF0">
              <w:t>&lt;30</w:t>
            </w:r>
          </w:p>
        </w:tc>
        <w:tc>
          <w:tcPr>
            <w:tcW w:w="1684" w:type="dxa"/>
            <w:shd w:val="clear" w:color="auto" w:fill="FFFF93"/>
            <w:vAlign w:val="center"/>
          </w:tcPr>
          <w:p w14:paraId="7021AE74" w14:textId="77777777" w:rsidR="00FB5AB1" w:rsidRPr="00426EF0" w:rsidRDefault="00FB5AB1" w:rsidP="006B1BCB">
            <w:pPr>
              <w:pStyle w:val="COMTabletext"/>
              <w:jc w:val="center"/>
            </w:pPr>
            <w:r>
              <w:t>NR (N=78)</w:t>
            </w:r>
          </w:p>
        </w:tc>
        <w:tc>
          <w:tcPr>
            <w:tcW w:w="1684" w:type="dxa"/>
            <w:shd w:val="clear" w:color="auto" w:fill="FFFF93"/>
            <w:vAlign w:val="center"/>
          </w:tcPr>
          <w:p w14:paraId="572E7D4B" w14:textId="77777777" w:rsidR="00FB5AB1" w:rsidRPr="00426EF0" w:rsidRDefault="00FB5AB1" w:rsidP="006B1BCB">
            <w:pPr>
              <w:pStyle w:val="COMTabletext"/>
              <w:jc w:val="center"/>
            </w:pPr>
            <w:r>
              <w:t>NR (N=71)</w:t>
            </w:r>
          </w:p>
        </w:tc>
        <w:tc>
          <w:tcPr>
            <w:tcW w:w="1685" w:type="dxa"/>
            <w:shd w:val="clear" w:color="auto" w:fill="FFFF93"/>
            <w:vAlign w:val="center"/>
          </w:tcPr>
          <w:p w14:paraId="2D89887B" w14:textId="77777777" w:rsidR="00FB5AB1" w:rsidRPr="00426EF0" w:rsidRDefault="00FB5AB1" w:rsidP="006B1BCB">
            <w:pPr>
              <w:pStyle w:val="COMTabletext"/>
              <w:jc w:val="center"/>
            </w:pPr>
            <w:r>
              <w:t>NR</w:t>
            </w:r>
          </w:p>
        </w:tc>
      </w:tr>
      <w:tr w:rsidR="00FB5AB1" w:rsidRPr="00426EF0" w14:paraId="317302BE" w14:textId="77777777" w:rsidTr="006B1BCB">
        <w:trPr>
          <w:trHeight w:val="101"/>
        </w:trPr>
        <w:tc>
          <w:tcPr>
            <w:tcW w:w="9016" w:type="dxa"/>
            <w:gridSpan w:val="6"/>
            <w:shd w:val="clear" w:color="auto" w:fill="FCBD84"/>
          </w:tcPr>
          <w:p w14:paraId="5792AFE7" w14:textId="77777777" w:rsidR="00FB5AB1" w:rsidRPr="00BA725D" w:rsidRDefault="00FB5AB1" w:rsidP="006B1BCB">
            <w:pPr>
              <w:pStyle w:val="COMTabletext"/>
              <w:rPr>
                <w:b/>
                <w:bCs w:val="0"/>
              </w:rPr>
            </w:pPr>
            <w:r w:rsidRPr="00BA725D">
              <w:rPr>
                <w:b/>
                <w:bCs w:val="0"/>
              </w:rPr>
              <w:t>High risk</w:t>
            </w:r>
          </w:p>
        </w:tc>
      </w:tr>
      <w:tr w:rsidR="00FB5AB1" w:rsidRPr="00426EF0" w14:paraId="7C27867D" w14:textId="77777777" w:rsidTr="006B1BCB">
        <w:trPr>
          <w:trHeight w:val="101"/>
        </w:trPr>
        <w:tc>
          <w:tcPr>
            <w:tcW w:w="1270" w:type="dxa"/>
            <w:shd w:val="clear" w:color="auto" w:fill="FCBD84"/>
          </w:tcPr>
          <w:p w14:paraId="243CF3FD" w14:textId="77777777" w:rsidR="00FB5AB1" w:rsidRPr="00426EF0" w:rsidRDefault="00FB5AB1" w:rsidP="006B1BCB">
            <w:pPr>
              <w:pStyle w:val="COMTabletext"/>
            </w:pPr>
            <w:r w:rsidRPr="00426EF0">
              <w:t>G2A3</w:t>
            </w:r>
          </w:p>
        </w:tc>
        <w:tc>
          <w:tcPr>
            <w:tcW w:w="1418" w:type="dxa"/>
            <w:shd w:val="clear" w:color="auto" w:fill="FCBD84"/>
            <w:vAlign w:val="center"/>
          </w:tcPr>
          <w:p w14:paraId="5168F6E4" w14:textId="77777777" w:rsidR="00FB5AB1" w:rsidRPr="00426EF0" w:rsidRDefault="00FB5AB1" w:rsidP="006B1BCB">
            <w:pPr>
              <w:pStyle w:val="COMTabletext"/>
              <w:jc w:val="center"/>
            </w:pPr>
            <w:r w:rsidRPr="00426EF0">
              <w:t>60-89</w:t>
            </w:r>
          </w:p>
        </w:tc>
        <w:tc>
          <w:tcPr>
            <w:tcW w:w="1275" w:type="dxa"/>
            <w:shd w:val="clear" w:color="auto" w:fill="FCBD84"/>
            <w:vAlign w:val="center"/>
          </w:tcPr>
          <w:p w14:paraId="42D47BB1" w14:textId="77777777" w:rsidR="00FB5AB1" w:rsidRPr="00426EF0" w:rsidRDefault="00FB5AB1" w:rsidP="006B1BCB">
            <w:pPr>
              <w:pStyle w:val="COMTabletext"/>
              <w:jc w:val="center"/>
            </w:pPr>
            <w:r w:rsidRPr="00426EF0">
              <w:t>&gt;300</w:t>
            </w:r>
          </w:p>
        </w:tc>
        <w:tc>
          <w:tcPr>
            <w:tcW w:w="1684" w:type="dxa"/>
            <w:shd w:val="clear" w:color="auto" w:fill="FCBD84"/>
          </w:tcPr>
          <w:p w14:paraId="6C9A2098" w14:textId="77777777" w:rsidR="00FB5AB1" w:rsidRPr="00426EF0" w:rsidRDefault="00FB5AB1" w:rsidP="006B1BCB">
            <w:pPr>
              <w:pStyle w:val="COMTabletext"/>
              <w:jc w:val="center"/>
            </w:pPr>
            <w:r w:rsidRPr="00426EF0">
              <w:t>14/175 (8.0%)</w:t>
            </w:r>
          </w:p>
        </w:tc>
        <w:tc>
          <w:tcPr>
            <w:tcW w:w="1684" w:type="dxa"/>
            <w:shd w:val="clear" w:color="auto" w:fill="FCBD84"/>
          </w:tcPr>
          <w:p w14:paraId="6FE16B9D" w14:textId="77777777" w:rsidR="00FB5AB1" w:rsidRPr="00426EF0" w:rsidRDefault="00FB5AB1" w:rsidP="006B1BCB">
            <w:pPr>
              <w:pStyle w:val="COMTabletext"/>
              <w:jc w:val="center"/>
            </w:pPr>
            <w:r w:rsidRPr="00426EF0">
              <w:t>16/188 (8.5%)</w:t>
            </w:r>
          </w:p>
        </w:tc>
        <w:tc>
          <w:tcPr>
            <w:tcW w:w="1685" w:type="dxa"/>
            <w:shd w:val="clear" w:color="auto" w:fill="FCBD84"/>
          </w:tcPr>
          <w:p w14:paraId="35EA64BD" w14:textId="77777777" w:rsidR="00FB5AB1" w:rsidRPr="00426EF0" w:rsidRDefault="00FB5AB1" w:rsidP="006B1BCB">
            <w:pPr>
              <w:pStyle w:val="COMTabletext"/>
              <w:jc w:val="center"/>
            </w:pPr>
            <w:r w:rsidRPr="00426EF0">
              <w:t>0.83 (0.40, 1.69)</w:t>
            </w:r>
          </w:p>
        </w:tc>
      </w:tr>
      <w:tr w:rsidR="00FB5AB1" w:rsidRPr="00426EF0" w14:paraId="7F87C790" w14:textId="77777777" w:rsidTr="006B1BCB">
        <w:trPr>
          <w:trHeight w:val="101"/>
        </w:trPr>
        <w:tc>
          <w:tcPr>
            <w:tcW w:w="1270" w:type="dxa"/>
            <w:shd w:val="clear" w:color="auto" w:fill="FCBD84"/>
          </w:tcPr>
          <w:p w14:paraId="135F75D4" w14:textId="77777777" w:rsidR="00FB5AB1" w:rsidRPr="00426EF0" w:rsidRDefault="00FB5AB1" w:rsidP="006B1BCB">
            <w:pPr>
              <w:pStyle w:val="COMTabletext"/>
            </w:pPr>
            <w:r w:rsidRPr="00426EF0">
              <w:t>G3aA2</w:t>
            </w:r>
          </w:p>
        </w:tc>
        <w:tc>
          <w:tcPr>
            <w:tcW w:w="1418" w:type="dxa"/>
            <w:shd w:val="clear" w:color="auto" w:fill="FCBD84"/>
          </w:tcPr>
          <w:p w14:paraId="503808C7" w14:textId="77777777" w:rsidR="00FB5AB1" w:rsidRPr="00426EF0" w:rsidRDefault="00FB5AB1" w:rsidP="006B1BCB">
            <w:pPr>
              <w:pStyle w:val="COMTabletext"/>
              <w:jc w:val="center"/>
            </w:pPr>
            <w:r w:rsidRPr="00C81D2B">
              <w:t>45-59</w:t>
            </w:r>
          </w:p>
        </w:tc>
        <w:tc>
          <w:tcPr>
            <w:tcW w:w="1275" w:type="dxa"/>
            <w:shd w:val="clear" w:color="auto" w:fill="FCBD84"/>
            <w:vAlign w:val="center"/>
          </w:tcPr>
          <w:p w14:paraId="10B58E11" w14:textId="77777777" w:rsidR="00FB5AB1" w:rsidRPr="00426EF0" w:rsidRDefault="00FB5AB1" w:rsidP="006B1BCB">
            <w:pPr>
              <w:pStyle w:val="COMTabletext"/>
              <w:jc w:val="center"/>
            </w:pPr>
            <w:r w:rsidRPr="00426EF0">
              <w:t>30-300</w:t>
            </w:r>
          </w:p>
        </w:tc>
        <w:tc>
          <w:tcPr>
            <w:tcW w:w="1684" w:type="dxa"/>
            <w:shd w:val="clear" w:color="auto" w:fill="FCBD84"/>
          </w:tcPr>
          <w:p w14:paraId="2017D880" w14:textId="77777777" w:rsidR="00FB5AB1" w:rsidRPr="00426EF0" w:rsidRDefault="00FB5AB1" w:rsidP="006B1BCB">
            <w:pPr>
              <w:pStyle w:val="COMTabletext"/>
              <w:jc w:val="center"/>
            </w:pPr>
            <w:r w:rsidRPr="00426EF0">
              <w:t>5/112 (4.5%)</w:t>
            </w:r>
          </w:p>
        </w:tc>
        <w:tc>
          <w:tcPr>
            <w:tcW w:w="1684" w:type="dxa"/>
            <w:shd w:val="clear" w:color="auto" w:fill="FCBD84"/>
          </w:tcPr>
          <w:p w14:paraId="4DD9746D" w14:textId="77777777" w:rsidR="00FB5AB1" w:rsidRPr="00426EF0" w:rsidRDefault="00FB5AB1" w:rsidP="006B1BCB">
            <w:pPr>
              <w:pStyle w:val="COMTabletext"/>
              <w:jc w:val="center"/>
            </w:pPr>
            <w:r w:rsidRPr="00426EF0">
              <w:t>5/111 (4.5%)</w:t>
            </w:r>
          </w:p>
        </w:tc>
        <w:tc>
          <w:tcPr>
            <w:tcW w:w="1685" w:type="dxa"/>
            <w:shd w:val="clear" w:color="auto" w:fill="FCBD84"/>
          </w:tcPr>
          <w:p w14:paraId="2A544FD7" w14:textId="77777777" w:rsidR="00FB5AB1" w:rsidRPr="00426EF0" w:rsidRDefault="00FB5AB1" w:rsidP="006B1BCB">
            <w:pPr>
              <w:pStyle w:val="COMTabletext"/>
              <w:jc w:val="center"/>
            </w:pPr>
            <w:r w:rsidRPr="00426EF0">
              <w:t>NR</w:t>
            </w:r>
          </w:p>
        </w:tc>
      </w:tr>
      <w:tr w:rsidR="00FB5AB1" w:rsidRPr="00426EF0" w14:paraId="7C6AAA36" w14:textId="77777777" w:rsidTr="006B1BCB">
        <w:trPr>
          <w:trHeight w:val="101"/>
        </w:trPr>
        <w:tc>
          <w:tcPr>
            <w:tcW w:w="1270" w:type="dxa"/>
            <w:shd w:val="clear" w:color="auto" w:fill="FCBD84"/>
          </w:tcPr>
          <w:p w14:paraId="16FFE510" w14:textId="77777777" w:rsidR="00FB5AB1" w:rsidRPr="00426EF0" w:rsidRDefault="00FB5AB1" w:rsidP="006B1BCB">
            <w:pPr>
              <w:pStyle w:val="COMTabletext"/>
            </w:pPr>
            <w:r w:rsidRPr="00426EF0">
              <w:t>G3bA1</w:t>
            </w:r>
            <w:r w:rsidRPr="00426EF0">
              <w:tab/>
            </w:r>
          </w:p>
        </w:tc>
        <w:tc>
          <w:tcPr>
            <w:tcW w:w="1418" w:type="dxa"/>
            <w:shd w:val="clear" w:color="auto" w:fill="FCBD84"/>
            <w:vAlign w:val="center"/>
          </w:tcPr>
          <w:p w14:paraId="72035321" w14:textId="77777777" w:rsidR="00FB5AB1" w:rsidRPr="00426EF0" w:rsidRDefault="00FB5AB1" w:rsidP="006B1BCB">
            <w:pPr>
              <w:pStyle w:val="COMTabletext"/>
              <w:jc w:val="center"/>
            </w:pPr>
            <w:r w:rsidRPr="00426EF0">
              <w:t>30-44</w:t>
            </w:r>
          </w:p>
        </w:tc>
        <w:tc>
          <w:tcPr>
            <w:tcW w:w="1275" w:type="dxa"/>
            <w:shd w:val="clear" w:color="auto" w:fill="FCBD84"/>
            <w:vAlign w:val="center"/>
          </w:tcPr>
          <w:p w14:paraId="0498FB4C" w14:textId="77777777" w:rsidR="00FB5AB1" w:rsidRPr="00426EF0" w:rsidRDefault="00FB5AB1" w:rsidP="006B1BCB">
            <w:pPr>
              <w:pStyle w:val="COMTabletext"/>
              <w:jc w:val="center"/>
            </w:pPr>
            <w:r w:rsidRPr="00426EF0">
              <w:t>&lt;30</w:t>
            </w:r>
          </w:p>
        </w:tc>
        <w:tc>
          <w:tcPr>
            <w:tcW w:w="1684" w:type="dxa"/>
            <w:shd w:val="clear" w:color="auto" w:fill="FCBD84"/>
          </w:tcPr>
          <w:p w14:paraId="7BED5212" w14:textId="77777777" w:rsidR="00FB5AB1" w:rsidRPr="00426EF0" w:rsidRDefault="00FB5AB1" w:rsidP="006B1BCB">
            <w:pPr>
              <w:pStyle w:val="COMTabletext"/>
              <w:jc w:val="center"/>
            </w:pPr>
            <w:r w:rsidRPr="00426EF0">
              <w:t>19/389 (4.9%)</w:t>
            </w:r>
          </w:p>
        </w:tc>
        <w:tc>
          <w:tcPr>
            <w:tcW w:w="1684" w:type="dxa"/>
            <w:shd w:val="clear" w:color="auto" w:fill="FCBD84"/>
          </w:tcPr>
          <w:p w14:paraId="5A7276F8" w14:textId="77777777" w:rsidR="00FB5AB1" w:rsidRPr="00426EF0" w:rsidRDefault="00FB5AB1" w:rsidP="006B1BCB">
            <w:pPr>
              <w:pStyle w:val="COMTabletext"/>
              <w:jc w:val="center"/>
            </w:pPr>
            <w:r w:rsidRPr="00426EF0">
              <w:t>15/400 (3.8%)</w:t>
            </w:r>
          </w:p>
        </w:tc>
        <w:tc>
          <w:tcPr>
            <w:tcW w:w="1685" w:type="dxa"/>
            <w:shd w:val="clear" w:color="auto" w:fill="FCBD84"/>
          </w:tcPr>
          <w:p w14:paraId="744B00CD" w14:textId="77777777" w:rsidR="00FB5AB1" w:rsidRPr="00426EF0" w:rsidRDefault="00FB5AB1" w:rsidP="006B1BCB">
            <w:pPr>
              <w:pStyle w:val="COMTabletext"/>
              <w:jc w:val="center"/>
            </w:pPr>
            <w:r w:rsidRPr="00426EF0">
              <w:t>1.40 (0.71, 2.77)</w:t>
            </w:r>
          </w:p>
        </w:tc>
      </w:tr>
      <w:tr w:rsidR="00FB5AB1" w:rsidRPr="00426EF0" w14:paraId="56FA30A0" w14:textId="77777777" w:rsidTr="006B1BCB">
        <w:trPr>
          <w:trHeight w:val="101"/>
        </w:trPr>
        <w:tc>
          <w:tcPr>
            <w:tcW w:w="9016" w:type="dxa"/>
            <w:gridSpan w:val="6"/>
            <w:shd w:val="clear" w:color="auto" w:fill="FF8181"/>
          </w:tcPr>
          <w:p w14:paraId="2310CFA2" w14:textId="77777777" w:rsidR="00FB5AB1" w:rsidRPr="00BA725D" w:rsidRDefault="00FB5AB1" w:rsidP="006B1BCB">
            <w:pPr>
              <w:pStyle w:val="COMTabletext"/>
              <w:rPr>
                <w:b/>
                <w:bCs w:val="0"/>
              </w:rPr>
            </w:pPr>
            <w:r w:rsidRPr="00BA725D">
              <w:rPr>
                <w:b/>
                <w:bCs w:val="0"/>
              </w:rPr>
              <w:t>Very high risk</w:t>
            </w:r>
          </w:p>
        </w:tc>
      </w:tr>
      <w:tr w:rsidR="00FB5AB1" w:rsidRPr="00426EF0" w14:paraId="352489EA" w14:textId="77777777" w:rsidTr="006B1BCB">
        <w:trPr>
          <w:trHeight w:val="101"/>
        </w:trPr>
        <w:tc>
          <w:tcPr>
            <w:tcW w:w="1270" w:type="dxa"/>
            <w:shd w:val="clear" w:color="auto" w:fill="FF8181"/>
          </w:tcPr>
          <w:p w14:paraId="57283B7F" w14:textId="77777777" w:rsidR="00FB5AB1" w:rsidRPr="00426EF0" w:rsidRDefault="00FB5AB1" w:rsidP="006B1BCB">
            <w:pPr>
              <w:pStyle w:val="COMTabletext"/>
            </w:pPr>
            <w:r w:rsidRPr="00426EF0">
              <w:t>G3aA3</w:t>
            </w:r>
          </w:p>
        </w:tc>
        <w:tc>
          <w:tcPr>
            <w:tcW w:w="1418" w:type="dxa"/>
            <w:shd w:val="clear" w:color="auto" w:fill="FF8181"/>
          </w:tcPr>
          <w:p w14:paraId="3D7F5B04" w14:textId="77777777" w:rsidR="00FB5AB1" w:rsidRPr="00426EF0" w:rsidRDefault="00FB5AB1" w:rsidP="006B1BCB">
            <w:pPr>
              <w:pStyle w:val="COMTabletext"/>
              <w:jc w:val="center"/>
            </w:pPr>
            <w:r w:rsidRPr="00C81D2B">
              <w:t>45-59</w:t>
            </w:r>
          </w:p>
        </w:tc>
        <w:tc>
          <w:tcPr>
            <w:tcW w:w="1275" w:type="dxa"/>
            <w:shd w:val="clear" w:color="auto" w:fill="FF8181"/>
            <w:vAlign w:val="center"/>
          </w:tcPr>
          <w:p w14:paraId="59D38729" w14:textId="77777777" w:rsidR="00FB5AB1" w:rsidRPr="00426EF0" w:rsidRDefault="00FB5AB1" w:rsidP="006B1BCB">
            <w:pPr>
              <w:pStyle w:val="COMTabletext"/>
              <w:jc w:val="center"/>
            </w:pPr>
            <w:r w:rsidRPr="00426EF0">
              <w:t>&gt;300</w:t>
            </w:r>
          </w:p>
        </w:tc>
        <w:tc>
          <w:tcPr>
            <w:tcW w:w="1684" w:type="dxa"/>
            <w:shd w:val="clear" w:color="auto" w:fill="FF8181"/>
          </w:tcPr>
          <w:p w14:paraId="22F52084" w14:textId="77777777" w:rsidR="00FB5AB1" w:rsidRPr="00426EF0" w:rsidRDefault="00FB5AB1" w:rsidP="006B1BCB">
            <w:pPr>
              <w:pStyle w:val="COMTabletext"/>
              <w:jc w:val="center"/>
            </w:pPr>
            <w:r w:rsidRPr="00426EF0">
              <w:t>20/256 (7.8%)</w:t>
            </w:r>
          </w:p>
        </w:tc>
        <w:tc>
          <w:tcPr>
            <w:tcW w:w="1684" w:type="dxa"/>
            <w:shd w:val="clear" w:color="auto" w:fill="FF8181"/>
          </w:tcPr>
          <w:p w14:paraId="30ED1BA8" w14:textId="77777777" w:rsidR="00FB5AB1" w:rsidRPr="00426EF0" w:rsidRDefault="00FB5AB1" w:rsidP="006B1BCB">
            <w:pPr>
              <w:pStyle w:val="COMTabletext"/>
              <w:jc w:val="center"/>
            </w:pPr>
            <w:r w:rsidRPr="00426EF0">
              <w:t>40/260 (15.4%)</w:t>
            </w:r>
          </w:p>
        </w:tc>
        <w:tc>
          <w:tcPr>
            <w:tcW w:w="1685" w:type="dxa"/>
            <w:shd w:val="clear" w:color="auto" w:fill="FF8181"/>
          </w:tcPr>
          <w:p w14:paraId="134ABC3F" w14:textId="77777777" w:rsidR="00FB5AB1" w:rsidRPr="00057ECF" w:rsidRDefault="00FB5AB1" w:rsidP="006B1BCB">
            <w:pPr>
              <w:pStyle w:val="COMTabletext"/>
              <w:jc w:val="center"/>
              <w:rPr>
                <w:b/>
                <w:bCs w:val="0"/>
              </w:rPr>
            </w:pPr>
            <w:r w:rsidRPr="00057ECF">
              <w:rPr>
                <w:b/>
                <w:bCs w:val="0"/>
              </w:rPr>
              <w:t>0.47 (0.27, 0.80)</w:t>
            </w:r>
          </w:p>
        </w:tc>
      </w:tr>
      <w:tr w:rsidR="00FB5AB1" w:rsidRPr="00426EF0" w14:paraId="23383CD6" w14:textId="77777777" w:rsidTr="006B1BCB">
        <w:trPr>
          <w:trHeight w:val="101"/>
        </w:trPr>
        <w:tc>
          <w:tcPr>
            <w:tcW w:w="1270" w:type="dxa"/>
            <w:shd w:val="clear" w:color="auto" w:fill="FF8181"/>
          </w:tcPr>
          <w:p w14:paraId="55CBA55B" w14:textId="77777777" w:rsidR="00FB5AB1" w:rsidRPr="00426EF0" w:rsidRDefault="00FB5AB1" w:rsidP="006B1BCB">
            <w:pPr>
              <w:pStyle w:val="COMTabletext"/>
            </w:pPr>
            <w:r w:rsidRPr="00426EF0">
              <w:t>G3bA2</w:t>
            </w:r>
            <w:r w:rsidRPr="00426EF0">
              <w:tab/>
            </w:r>
          </w:p>
        </w:tc>
        <w:tc>
          <w:tcPr>
            <w:tcW w:w="1418" w:type="dxa"/>
            <w:shd w:val="clear" w:color="auto" w:fill="FF8181"/>
          </w:tcPr>
          <w:p w14:paraId="00937B9D" w14:textId="77777777" w:rsidR="00FB5AB1" w:rsidRPr="00C81D2B" w:rsidRDefault="00FB5AB1" w:rsidP="006B1BCB">
            <w:pPr>
              <w:pStyle w:val="COMTabletext"/>
              <w:jc w:val="center"/>
            </w:pPr>
            <w:r w:rsidRPr="008F6615">
              <w:t>30-44</w:t>
            </w:r>
          </w:p>
        </w:tc>
        <w:tc>
          <w:tcPr>
            <w:tcW w:w="1275" w:type="dxa"/>
            <w:shd w:val="clear" w:color="auto" w:fill="FF8181"/>
            <w:vAlign w:val="center"/>
          </w:tcPr>
          <w:p w14:paraId="34F9EA90" w14:textId="77777777" w:rsidR="00FB5AB1" w:rsidRPr="00426EF0" w:rsidRDefault="00FB5AB1" w:rsidP="006B1BCB">
            <w:pPr>
              <w:pStyle w:val="COMTabletext"/>
              <w:jc w:val="center"/>
            </w:pPr>
            <w:r w:rsidRPr="00426EF0">
              <w:t>30-300</w:t>
            </w:r>
          </w:p>
        </w:tc>
        <w:tc>
          <w:tcPr>
            <w:tcW w:w="1684" w:type="dxa"/>
            <w:shd w:val="clear" w:color="auto" w:fill="FF8181"/>
          </w:tcPr>
          <w:p w14:paraId="72A85673" w14:textId="77777777" w:rsidR="00FB5AB1" w:rsidRPr="00426EF0" w:rsidRDefault="00FB5AB1" w:rsidP="006B1BCB">
            <w:pPr>
              <w:pStyle w:val="COMTabletext"/>
              <w:jc w:val="center"/>
            </w:pPr>
            <w:r w:rsidRPr="00426EF0">
              <w:t>33/442 (7.5%)</w:t>
            </w:r>
          </w:p>
        </w:tc>
        <w:tc>
          <w:tcPr>
            <w:tcW w:w="1684" w:type="dxa"/>
            <w:shd w:val="clear" w:color="auto" w:fill="FF8181"/>
          </w:tcPr>
          <w:p w14:paraId="3F0971B3" w14:textId="77777777" w:rsidR="00FB5AB1" w:rsidRPr="00426EF0" w:rsidRDefault="00FB5AB1" w:rsidP="006B1BCB">
            <w:pPr>
              <w:pStyle w:val="COMTabletext"/>
              <w:jc w:val="center"/>
            </w:pPr>
            <w:r w:rsidRPr="00426EF0">
              <w:t>36/454 (7.9%)</w:t>
            </w:r>
          </w:p>
        </w:tc>
        <w:tc>
          <w:tcPr>
            <w:tcW w:w="1685" w:type="dxa"/>
            <w:shd w:val="clear" w:color="auto" w:fill="FF8181"/>
          </w:tcPr>
          <w:p w14:paraId="685BC242" w14:textId="77777777" w:rsidR="00FB5AB1" w:rsidRPr="00426EF0" w:rsidRDefault="00FB5AB1" w:rsidP="006B1BCB">
            <w:pPr>
              <w:pStyle w:val="COMTabletext"/>
              <w:jc w:val="center"/>
            </w:pPr>
            <w:r w:rsidRPr="00426EF0">
              <w:t>0.93 (0.58, 1.49)</w:t>
            </w:r>
          </w:p>
        </w:tc>
      </w:tr>
      <w:tr w:rsidR="00FB5AB1" w:rsidRPr="00426EF0" w14:paraId="1D608267" w14:textId="77777777" w:rsidTr="006B1BCB">
        <w:trPr>
          <w:trHeight w:val="101"/>
        </w:trPr>
        <w:tc>
          <w:tcPr>
            <w:tcW w:w="1270" w:type="dxa"/>
            <w:shd w:val="clear" w:color="auto" w:fill="FF8181"/>
          </w:tcPr>
          <w:p w14:paraId="3F82B5EF" w14:textId="77777777" w:rsidR="00FB5AB1" w:rsidRPr="00426EF0" w:rsidRDefault="00FB5AB1" w:rsidP="006B1BCB">
            <w:pPr>
              <w:pStyle w:val="COMTabletext"/>
            </w:pPr>
            <w:r w:rsidRPr="00426EF0">
              <w:t>G3bA3</w:t>
            </w:r>
            <w:r w:rsidRPr="00426EF0">
              <w:tab/>
            </w:r>
          </w:p>
        </w:tc>
        <w:tc>
          <w:tcPr>
            <w:tcW w:w="1418" w:type="dxa"/>
            <w:shd w:val="clear" w:color="auto" w:fill="FF8181"/>
          </w:tcPr>
          <w:p w14:paraId="148A63A6" w14:textId="77777777" w:rsidR="00FB5AB1" w:rsidRPr="00426EF0" w:rsidRDefault="00FB5AB1" w:rsidP="006B1BCB">
            <w:pPr>
              <w:pStyle w:val="COMTabletext"/>
              <w:jc w:val="center"/>
            </w:pPr>
            <w:r w:rsidRPr="008F6615">
              <w:t>30-44</w:t>
            </w:r>
          </w:p>
        </w:tc>
        <w:tc>
          <w:tcPr>
            <w:tcW w:w="1275" w:type="dxa"/>
            <w:shd w:val="clear" w:color="auto" w:fill="FF8181"/>
            <w:vAlign w:val="center"/>
          </w:tcPr>
          <w:p w14:paraId="1C1D9845" w14:textId="77777777" w:rsidR="00FB5AB1" w:rsidRPr="00426EF0" w:rsidRDefault="00FB5AB1" w:rsidP="006B1BCB">
            <w:pPr>
              <w:pStyle w:val="COMTabletext"/>
              <w:jc w:val="center"/>
            </w:pPr>
            <w:r w:rsidRPr="00426EF0">
              <w:t>&gt;300</w:t>
            </w:r>
          </w:p>
        </w:tc>
        <w:tc>
          <w:tcPr>
            <w:tcW w:w="1684" w:type="dxa"/>
            <w:shd w:val="clear" w:color="auto" w:fill="FF8181"/>
          </w:tcPr>
          <w:p w14:paraId="3667550D" w14:textId="77777777" w:rsidR="00FB5AB1" w:rsidRPr="00426EF0" w:rsidRDefault="00FB5AB1" w:rsidP="006B1BCB">
            <w:pPr>
              <w:pStyle w:val="COMTabletext"/>
              <w:jc w:val="center"/>
            </w:pPr>
            <w:r w:rsidRPr="00426EF0">
              <w:t>88/636 (13.8%)</w:t>
            </w:r>
          </w:p>
        </w:tc>
        <w:tc>
          <w:tcPr>
            <w:tcW w:w="1684" w:type="dxa"/>
            <w:shd w:val="clear" w:color="auto" w:fill="FF8181"/>
          </w:tcPr>
          <w:p w14:paraId="3536A03A" w14:textId="77777777" w:rsidR="00FB5AB1" w:rsidRPr="00426EF0" w:rsidRDefault="00FB5AB1" w:rsidP="006B1BCB">
            <w:pPr>
              <w:pStyle w:val="COMTabletext"/>
              <w:jc w:val="center"/>
            </w:pPr>
            <w:r w:rsidRPr="00426EF0">
              <w:t>124/607 (20.4%)</w:t>
            </w:r>
          </w:p>
        </w:tc>
        <w:tc>
          <w:tcPr>
            <w:tcW w:w="1685" w:type="dxa"/>
            <w:shd w:val="clear" w:color="auto" w:fill="FF8181"/>
          </w:tcPr>
          <w:p w14:paraId="0BAD9602" w14:textId="77777777" w:rsidR="00FB5AB1" w:rsidRPr="00057ECF" w:rsidRDefault="00FB5AB1" w:rsidP="006B1BCB">
            <w:pPr>
              <w:pStyle w:val="COMTabletext"/>
              <w:jc w:val="center"/>
              <w:rPr>
                <w:b/>
                <w:bCs w:val="0"/>
              </w:rPr>
            </w:pPr>
            <w:r w:rsidRPr="00057ECF">
              <w:rPr>
                <w:b/>
                <w:bCs w:val="0"/>
              </w:rPr>
              <w:t>0.67 (0.51, 0.88)</w:t>
            </w:r>
          </w:p>
        </w:tc>
      </w:tr>
      <w:tr w:rsidR="00FB5AB1" w:rsidRPr="00426EF0" w14:paraId="5180D141" w14:textId="77777777" w:rsidTr="006B1BCB">
        <w:trPr>
          <w:trHeight w:val="101"/>
        </w:trPr>
        <w:tc>
          <w:tcPr>
            <w:tcW w:w="1270" w:type="dxa"/>
            <w:shd w:val="clear" w:color="auto" w:fill="FF8181"/>
          </w:tcPr>
          <w:p w14:paraId="1A775B53" w14:textId="77777777" w:rsidR="00FB5AB1" w:rsidRPr="00426EF0" w:rsidRDefault="00FB5AB1" w:rsidP="006B1BCB">
            <w:pPr>
              <w:pStyle w:val="COMTabletext"/>
            </w:pPr>
            <w:r w:rsidRPr="00426EF0">
              <w:t>G4A1</w:t>
            </w:r>
            <w:r w:rsidRPr="00426EF0">
              <w:tab/>
            </w:r>
          </w:p>
        </w:tc>
        <w:tc>
          <w:tcPr>
            <w:tcW w:w="1418" w:type="dxa"/>
            <w:shd w:val="clear" w:color="auto" w:fill="FF8181"/>
            <w:vAlign w:val="center"/>
          </w:tcPr>
          <w:p w14:paraId="6FF73194" w14:textId="77777777" w:rsidR="00FB5AB1" w:rsidRPr="00426EF0" w:rsidRDefault="00FB5AB1" w:rsidP="006B1BCB">
            <w:pPr>
              <w:pStyle w:val="COMTabletext"/>
              <w:jc w:val="center"/>
            </w:pPr>
            <w:r w:rsidRPr="00426EF0">
              <w:t>15-29</w:t>
            </w:r>
          </w:p>
        </w:tc>
        <w:tc>
          <w:tcPr>
            <w:tcW w:w="1275" w:type="dxa"/>
            <w:shd w:val="clear" w:color="auto" w:fill="FF8181"/>
            <w:vAlign w:val="center"/>
          </w:tcPr>
          <w:p w14:paraId="7935DDF8" w14:textId="77777777" w:rsidR="00FB5AB1" w:rsidRPr="00426EF0" w:rsidRDefault="00FB5AB1" w:rsidP="006B1BCB">
            <w:pPr>
              <w:pStyle w:val="COMTabletext"/>
              <w:jc w:val="center"/>
            </w:pPr>
            <w:r w:rsidRPr="00426EF0">
              <w:t>&lt;30</w:t>
            </w:r>
          </w:p>
        </w:tc>
        <w:tc>
          <w:tcPr>
            <w:tcW w:w="1684" w:type="dxa"/>
            <w:shd w:val="clear" w:color="auto" w:fill="FF8181"/>
          </w:tcPr>
          <w:p w14:paraId="22915FD1" w14:textId="77777777" w:rsidR="00FB5AB1" w:rsidRPr="00426EF0" w:rsidRDefault="00FB5AB1" w:rsidP="006B1BCB">
            <w:pPr>
              <w:pStyle w:val="COMTabletext"/>
              <w:jc w:val="center"/>
            </w:pPr>
            <w:r w:rsidRPr="00426EF0">
              <w:t>21/196 (10.7%)</w:t>
            </w:r>
          </w:p>
        </w:tc>
        <w:tc>
          <w:tcPr>
            <w:tcW w:w="1684" w:type="dxa"/>
            <w:shd w:val="clear" w:color="auto" w:fill="FF8181"/>
          </w:tcPr>
          <w:p w14:paraId="3E159DFB" w14:textId="77777777" w:rsidR="00FB5AB1" w:rsidRPr="00426EF0" w:rsidRDefault="00FB5AB1" w:rsidP="006B1BCB">
            <w:pPr>
              <w:pStyle w:val="COMTabletext"/>
              <w:jc w:val="center"/>
            </w:pPr>
            <w:r w:rsidRPr="00426EF0">
              <w:t>23/189 (12.2%)</w:t>
            </w:r>
          </w:p>
        </w:tc>
        <w:tc>
          <w:tcPr>
            <w:tcW w:w="1685" w:type="dxa"/>
            <w:shd w:val="clear" w:color="auto" w:fill="FF8181"/>
          </w:tcPr>
          <w:p w14:paraId="5E5A83D8" w14:textId="77777777" w:rsidR="00FB5AB1" w:rsidRPr="00426EF0" w:rsidRDefault="00FB5AB1" w:rsidP="006B1BCB">
            <w:pPr>
              <w:pStyle w:val="COMTabletext"/>
              <w:jc w:val="center"/>
            </w:pPr>
            <w:r w:rsidRPr="00426EF0">
              <w:t>0.88 (0.49, 1.59)</w:t>
            </w:r>
          </w:p>
        </w:tc>
      </w:tr>
      <w:tr w:rsidR="00FB5AB1" w:rsidRPr="00426EF0" w14:paraId="25D889C8" w14:textId="77777777" w:rsidTr="006B1BCB">
        <w:trPr>
          <w:trHeight w:val="101"/>
        </w:trPr>
        <w:tc>
          <w:tcPr>
            <w:tcW w:w="1270" w:type="dxa"/>
            <w:shd w:val="clear" w:color="auto" w:fill="FF8181"/>
          </w:tcPr>
          <w:p w14:paraId="55E89802" w14:textId="77777777" w:rsidR="00FB5AB1" w:rsidRPr="00426EF0" w:rsidRDefault="00FB5AB1" w:rsidP="006B1BCB">
            <w:pPr>
              <w:pStyle w:val="COMTabletext"/>
            </w:pPr>
            <w:r w:rsidRPr="00426EF0">
              <w:t>G4A2</w:t>
            </w:r>
            <w:r w:rsidRPr="00426EF0">
              <w:tab/>
            </w:r>
          </w:p>
        </w:tc>
        <w:tc>
          <w:tcPr>
            <w:tcW w:w="1418" w:type="dxa"/>
            <w:shd w:val="clear" w:color="auto" w:fill="FF8181"/>
          </w:tcPr>
          <w:p w14:paraId="571C660F" w14:textId="77777777" w:rsidR="00FB5AB1" w:rsidRPr="00426EF0" w:rsidRDefault="00FB5AB1" w:rsidP="006B1BCB">
            <w:pPr>
              <w:pStyle w:val="COMTabletext"/>
              <w:jc w:val="center"/>
            </w:pPr>
            <w:r w:rsidRPr="00CB533A">
              <w:t>15-29</w:t>
            </w:r>
          </w:p>
        </w:tc>
        <w:tc>
          <w:tcPr>
            <w:tcW w:w="1275" w:type="dxa"/>
            <w:shd w:val="clear" w:color="auto" w:fill="FF8181"/>
            <w:vAlign w:val="center"/>
          </w:tcPr>
          <w:p w14:paraId="77842569" w14:textId="77777777" w:rsidR="00FB5AB1" w:rsidRPr="00426EF0" w:rsidRDefault="00FB5AB1" w:rsidP="006B1BCB">
            <w:pPr>
              <w:pStyle w:val="COMTabletext"/>
              <w:jc w:val="center"/>
            </w:pPr>
            <w:r w:rsidRPr="00426EF0">
              <w:t>30-300</w:t>
            </w:r>
          </w:p>
        </w:tc>
        <w:tc>
          <w:tcPr>
            <w:tcW w:w="1684" w:type="dxa"/>
            <w:shd w:val="clear" w:color="auto" w:fill="FF8181"/>
          </w:tcPr>
          <w:p w14:paraId="239C36CA" w14:textId="77777777" w:rsidR="00FB5AB1" w:rsidRPr="00426EF0" w:rsidRDefault="00FB5AB1" w:rsidP="006B1BCB">
            <w:pPr>
              <w:pStyle w:val="COMTabletext"/>
              <w:jc w:val="center"/>
            </w:pPr>
            <w:r w:rsidRPr="00426EF0">
              <w:t>28/308 (9.1%)</w:t>
            </w:r>
          </w:p>
        </w:tc>
        <w:tc>
          <w:tcPr>
            <w:tcW w:w="1684" w:type="dxa"/>
            <w:shd w:val="clear" w:color="auto" w:fill="FF8181"/>
          </w:tcPr>
          <w:p w14:paraId="3AEEB0C9" w14:textId="77777777" w:rsidR="00FB5AB1" w:rsidRPr="00426EF0" w:rsidRDefault="00FB5AB1" w:rsidP="006B1BCB">
            <w:pPr>
              <w:pStyle w:val="COMTabletext"/>
              <w:jc w:val="center"/>
            </w:pPr>
            <w:r w:rsidRPr="00426EF0">
              <w:t>36/327 (11.0%)</w:t>
            </w:r>
          </w:p>
        </w:tc>
        <w:tc>
          <w:tcPr>
            <w:tcW w:w="1685" w:type="dxa"/>
            <w:shd w:val="clear" w:color="auto" w:fill="FF8181"/>
          </w:tcPr>
          <w:p w14:paraId="7200DAD8" w14:textId="77777777" w:rsidR="00FB5AB1" w:rsidRPr="00426EF0" w:rsidRDefault="00FB5AB1" w:rsidP="006B1BCB">
            <w:pPr>
              <w:pStyle w:val="COMTabletext"/>
              <w:jc w:val="center"/>
            </w:pPr>
            <w:r w:rsidRPr="00426EF0">
              <w:t>0.85 (0.52, 1.40)</w:t>
            </w:r>
          </w:p>
        </w:tc>
      </w:tr>
      <w:tr w:rsidR="00FB5AB1" w:rsidRPr="00426EF0" w14:paraId="3A0D697C" w14:textId="77777777" w:rsidTr="006B1BCB">
        <w:trPr>
          <w:trHeight w:val="101"/>
        </w:trPr>
        <w:tc>
          <w:tcPr>
            <w:tcW w:w="1270" w:type="dxa"/>
            <w:shd w:val="clear" w:color="auto" w:fill="FF8181"/>
          </w:tcPr>
          <w:p w14:paraId="7F2A7420" w14:textId="77777777" w:rsidR="00FB5AB1" w:rsidRPr="00426EF0" w:rsidRDefault="00FB5AB1" w:rsidP="006B1BCB">
            <w:pPr>
              <w:pStyle w:val="COMTabletext"/>
            </w:pPr>
            <w:r w:rsidRPr="00426EF0">
              <w:t>G4A3</w:t>
            </w:r>
            <w:r w:rsidRPr="00426EF0">
              <w:tab/>
            </w:r>
          </w:p>
        </w:tc>
        <w:tc>
          <w:tcPr>
            <w:tcW w:w="1418" w:type="dxa"/>
            <w:shd w:val="clear" w:color="auto" w:fill="FF8181"/>
          </w:tcPr>
          <w:p w14:paraId="1AB5F1DA" w14:textId="77777777" w:rsidR="00FB5AB1" w:rsidRPr="00426EF0" w:rsidRDefault="00FB5AB1" w:rsidP="006B1BCB">
            <w:pPr>
              <w:pStyle w:val="COMTabletext"/>
              <w:jc w:val="center"/>
            </w:pPr>
            <w:r w:rsidRPr="00CB533A">
              <w:t>15-29</w:t>
            </w:r>
          </w:p>
        </w:tc>
        <w:tc>
          <w:tcPr>
            <w:tcW w:w="1275" w:type="dxa"/>
            <w:shd w:val="clear" w:color="auto" w:fill="FF8181"/>
            <w:vAlign w:val="center"/>
          </w:tcPr>
          <w:p w14:paraId="510C0658" w14:textId="77777777" w:rsidR="00FB5AB1" w:rsidRPr="00426EF0" w:rsidRDefault="00FB5AB1" w:rsidP="006B1BCB">
            <w:pPr>
              <w:pStyle w:val="COMTabletext"/>
              <w:jc w:val="center"/>
            </w:pPr>
            <w:r w:rsidRPr="00426EF0">
              <w:t>&gt;300</w:t>
            </w:r>
          </w:p>
        </w:tc>
        <w:tc>
          <w:tcPr>
            <w:tcW w:w="1684" w:type="dxa"/>
            <w:shd w:val="clear" w:color="auto" w:fill="FF8181"/>
          </w:tcPr>
          <w:p w14:paraId="555C491D" w14:textId="77777777" w:rsidR="00FB5AB1" w:rsidRPr="00426EF0" w:rsidRDefault="00FB5AB1" w:rsidP="006B1BCB">
            <w:pPr>
              <w:pStyle w:val="COMTabletext"/>
              <w:jc w:val="center"/>
            </w:pPr>
            <w:r w:rsidRPr="00426EF0">
              <w:t>193/618 (31.2%)</w:t>
            </w:r>
          </w:p>
        </w:tc>
        <w:tc>
          <w:tcPr>
            <w:tcW w:w="1684" w:type="dxa"/>
            <w:shd w:val="clear" w:color="auto" w:fill="FF8181"/>
          </w:tcPr>
          <w:p w14:paraId="506DD3FF" w14:textId="77777777" w:rsidR="00FB5AB1" w:rsidRPr="00426EF0" w:rsidRDefault="00FB5AB1" w:rsidP="006B1BCB">
            <w:pPr>
              <w:pStyle w:val="COMTabletext"/>
              <w:jc w:val="center"/>
            </w:pPr>
            <w:r w:rsidRPr="00426EF0">
              <w:t>253/627 (40.4%)</w:t>
            </w:r>
          </w:p>
        </w:tc>
        <w:tc>
          <w:tcPr>
            <w:tcW w:w="1685" w:type="dxa"/>
            <w:shd w:val="clear" w:color="auto" w:fill="FF8181"/>
          </w:tcPr>
          <w:p w14:paraId="206ABE26" w14:textId="77777777" w:rsidR="00FB5AB1" w:rsidRPr="00057ECF" w:rsidRDefault="00FB5AB1" w:rsidP="006B1BCB">
            <w:pPr>
              <w:pStyle w:val="COMTabletext"/>
              <w:jc w:val="center"/>
              <w:rPr>
                <w:b/>
                <w:bCs w:val="0"/>
              </w:rPr>
            </w:pPr>
            <w:r w:rsidRPr="00057ECF">
              <w:rPr>
                <w:b/>
                <w:bCs w:val="0"/>
              </w:rPr>
              <w:t>0.69 (0.57, 0.84)</w:t>
            </w:r>
          </w:p>
        </w:tc>
      </w:tr>
    </w:tbl>
    <w:p w14:paraId="2F947DEF" w14:textId="77777777" w:rsidR="00FB5AB1" w:rsidRPr="008A2C08" w:rsidRDefault="00FB5AB1" w:rsidP="00FB5AB1">
      <w:pPr>
        <w:pStyle w:val="COMTablefooter"/>
      </w:pPr>
      <w:r w:rsidRPr="008A2C08">
        <w:t>Source: Table 1.1.2.2, pp19-22 of Att_2_EMPA-KIDNEY post hoc analysis B.pdf, Attachment 2 of the resubmission.</w:t>
      </w:r>
    </w:p>
    <w:p w14:paraId="6EB00307" w14:textId="77777777" w:rsidR="00FB5AB1" w:rsidRPr="008A2C08" w:rsidRDefault="00FB5AB1" w:rsidP="00FB5AB1">
      <w:pPr>
        <w:pStyle w:val="COMTablefooter"/>
      </w:pPr>
      <w:r w:rsidRPr="008A2C08">
        <w:t xml:space="preserve">Abbreviations: CI, confidence interval; eGFR, estimated glomerular filtration rate; ITT, intention-to-treat; NA, not applicable; NR, not reported; SC, standard care; </w:t>
      </w:r>
      <w:r>
        <w:t>UACR</w:t>
      </w:r>
      <w:r w:rsidRPr="008A2C08">
        <w:t>, urine albumin to creatinine ratio.</w:t>
      </w:r>
    </w:p>
    <w:p w14:paraId="71710F23" w14:textId="77777777" w:rsidR="00FB5AB1" w:rsidRDefault="00FB5AB1" w:rsidP="00FB5AB1">
      <w:pPr>
        <w:pStyle w:val="COMTablefooter"/>
      </w:pPr>
      <w:r w:rsidRPr="008A2C08">
        <w:t>Based on a Cox regression model with terms for age (p&lt;0.0001), sex (p=0.1812), baseline diabetes status (p&lt;0.0001), region (p=0.0431), treatment (p=0.3867), baseline KDIGO risk (p=0.0039) and treatment by baseline KDIGO risk, interaction (p=0.5521).</w:t>
      </w:r>
    </w:p>
    <w:p w14:paraId="195EABA0" w14:textId="77777777" w:rsidR="00FB5AB1" w:rsidRDefault="00FB5AB1" w:rsidP="00FB5AB1">
      <w:pPr>
        <w:pStyle w:val="COMTablefooter"/>
      </w:pPr>
      <w:r w:rsidRPr="007E02FD">
        <w:t xml:space="preserve">Note: </w:t>
      </w:r>
      <w:r>
        <w:t>Statistically significant results in bold</w:t>
      </w:r>
      <w:r w:rsidRPr="007E02FD">
        <w:t>.</w:t>
      </w:r>
    </w:p>
    <w:p w14:paraId="5FEAE0FB" w14:textId="1DBC0CF3" w:rsidR="00FB5AB1" w:rsidRPr="006603E1" w:rsidRDefault="00FB5AB1" w:rsidP="00FB5AB1">
      <w:pPr>
        <w:pStyle w:val="COMTablefooter"/>
        <w:rPr>
          <w:i/>
          <w:iCs/>
        </w:rPr>
      </w:pPr>
      <w:r>
        <w:t xml:space="preserve">Note: The report for the </w:t>
      </w:r>
      <w:r>
        <w:rPr>
          <w:i/>
          <w:iCs/>
        </w:rPr>
        <w:t xml:space="preserve">post hoc </w:t>
      </w:r>
      <w:r>
        <w:t xml:space="preserve">subgroup analyses noted that 321 patients were excluded from the analyses, based on subgroups with </w:t>
      </w:r>
      <w:r w:rsidR="00E8288F">
        <w:t>fewer</w:t>
      </w:r>
      <w:r>
        <w:t xml:space="preserve"> than 14 events. </w:t>
      </w:r>
      <w:r>
        <w:rPr>
          <w:i/>
          <w:iCs/>
        </w:rPr>
        <w:t>This appears to be referring to patients informing the G2A2 and G3aA2 subgroups (total 321</w:t>
      </w:r>
      <w:r w:rsidR="00C861BF">
        <w:rPr>
          <w:i/>
          <w:iCs/>
        </w:rPr>
        <w:t xml:space="preserve"> </w:t>
      </w:r>
      <w:r>
        <w:rPr>
          <w:i/>
          <w:iCs/>
        </w:rPr>
        <w:t>patients</w:t>
      </w:r>
      <w:r w:rsidR="00C861BF">
        <w:rPr>
          <w:i/>
          <w:iCs/>
        </w:rPr>
        <w:t>)</w:t>
      </w:r>
      <w:r>
        <w:rPr>
          <w:i/>
          <w:iCs/>
        </w:rPr>
        <w:t>. Estimates for the G3aA1 subgroup were not presented, with no explanation provided in the resubmission.</w:t>
      </w:r>
    </w:p>
    <w:p w14:paraId="318226D6" w14:textId="77777777" w:rsidR="00276253" w:rsidRDefault="00D01083" w:rsidP="0037791D">
      <w:pPr>
        <w:pStyle w:val="COMexecsummnumbered"/>
      </w:pPr>
      <w:r w:rsidRPr="00D01083">
        <w:t xml:space="preserve">The resubmission argued that the subgroup analyses by KDIGO risk categories may not be reliable as they were insufficiently powered to show statistically significant </w:t>
      </w:r>
      <w:r w:rsidRPr="00D01083">
        <w:lastRenderedPageBreak/>
        <w:t xml:space="preserve">differences between arms. The resubmission acknowledged that results in the lower risk subgroups were less favourable to empagliflozin but claimed that the trial duration was short and may not reflect longer term effects in </w:t>
      </w:r>
      <w:r w:rsidR="00D27158">
        <w:t>cohorts</w:t>
      </w:r>
      <w:r w:rsidR="00D27158" w:rsidRPr="00D01083">
        <w:t xml:space="preserve"> </w:t>
      </w:r>
      <w:r w:rsidRPr="00D01083">
        <w:t>with slower disease progression.</w:t>
      </w:r>
    </w:p>
    <w:p w14:paraId="1FBF6ED2" w14:textId="59F1EF9C" w:rsidR="009F76E5" w:rsidRPr="00C84DE5" w:rsidRDefault="005D108F" w:rsidP="006A5117">
      <w:pPr>
        <w:pStyle w:val="COMexecsummnumbered"/>
      </w:pPr>
      <w:r w:rsidRPr="00C84DE5">
        <w:t>While the results generally favoured empagliflozin in the ITT population, it was unclear whether the treatment effects were representative of patients in the incremental subgroup or overlap population who are already eligible on the PBS. The disaggregation of the incremental subgroup according to KDIGO categories may result in relatively small sample sizes and potentially unreliable results.</w:t>
      </w:r>
    </w:p>
    <w:p w14:paraId="3D19221B" w14:textId="31FAA821" w:rsidR="00B036B3" w:rsidRPr="00253E27" w:rsidRDefault="00497F4C" w:rsidP="00253E27">
      <w:pPr>
        <w:pStyle w:val="COMexecsummnumbered"/>
        <w:rPr>
          <w:i/>
          <w:iCs/>
        </w:rPr>
      </w:pPr>
      <w:r>
        <w:t>T</w:t>
      </w:r>
      <w:r w:rsidRPr="00E63EC5">
        <w:t xml:space="preserve">he resubmission </w:t>
      </w:r>
      <w:r>
        <w:t xml:space="preserve">also </w:t>
      </w:r>
      <w:r w:rsidRPr="00E63EC5">
        <w:t xml:space="preserve">argued that </w:t>
      </w:r>
      <w:r>
        <w:t>some of the moderate to high</w:t>
      </w:r>
      <w:r w:rsidRPr="00E63EC5">
        <w:t xml:space="preserve"> KDIGO risk category subgroups </w:t>
      </w:r>
      <w:r>
        <w:t xml:space="preserve">had results that were less </w:t>
      </w:r>
      <w:r w:rsidRPr="00E63EC5">
        <w:t xml:space="preserve">favourable to empagliflozin (i.e. subgroups with </w:t>
      </w:r>
      <w:proofErr w:type="spellStart"/>
      <w:r w:rsidRPr="00E63EC5">
        <w:t>normoalbuminuria</w:t>
      </w:r>
      <w:proofErr w:type="spellEnd"/>
      <w:r w:rsidRPr="00E63EC5">
        <w:t xml:space="preserve">, </w:t>
      </w:r>
      <w:r>
        <w:t>UACR</w:t>
      </w:r>
      <w:r w:rsidRPr="00E63EC5">
        <w:t xml:space="preserve"> &lt;30</w:t>
      </w:r>
      <w:r>
        <w:t> </w:t>
      </w:r>
      <w:r w:rsidRPr="00E63EC5">
        <w:t>mg/g)</w:t>
      </w:r>
      <w:r>
        <w:t xml:space="preserve"> as these patients</w:t>
      </w:r>
      <w:r w:rsidRPr="00E63EC5">
        <w:t xml:space="preserve"> experienced slower disease progression, and it was unlikely that the categorical outcomes informing the primary composite endpoint would capture statistically significant benefits of empagliflozin in these patients</w:t>
      </w:r>
      <w:r>
        <w:t xml:space="preserve"> given</w:t>
      </w:r>
      <w:r w:rsidRPr="00E63EC5">
        <w:t xml:space="preserve"> the short EMPA-KIDNEY trial duration and follow up</w:t>
      </w:r>
      <w:r>
        <w:t xml:space="preserve">. </w:t>
      </w:r>
      <w:r w:rsidRPr="00C84DE5">
        <w:t>The argument suggests little or no improvement from empagliflozin treatment in these patients over the trial duration, with significant uncertainty regarding longer term effects.</w:t>
      </w:r>
    </w:p>
    <w:p w14:paraId="1582848E" w14:textId="720B06FE" w:rsidR="00CE5906" w:rsidRPr="00CE5906" w:rsidRDefault="00CE5906" w:rsidP="00CE5906">
      <w:pPr>
        <w:pStyle w:val="COMH3"/>
        <w:rPr>
          <w:sz w:val="24"/>
          <w:szCs w:val="22"/>
        </w:rPr>
      </w:pPr>
      <w:r w:rsidRPr="00C84DE5">
        <w:rPr>
          <w:sz w:val="24"/>
          <w:szCs w:val="22"/>
        </w:rPr>
        <w:t>Post hoc</w:t>
      </w:r>
      <w:r w:rsidRPr="00CE5906">
        <w:rPr>
          <w:sz w:val="24"/>
          <w:szCs w:val="22"/>
        </w:rPr>
        <w:t xml:space="preserve"> analyses </w:t>
      </w:r>
      <w:r>
        <w:rPr>
          <w:sz w:val="24"/>
          <w:szCs w:val="22"/>
        </w:rPr>
        <w:t xml:space="preserve">of the EMPA-KIDNEY trial </w:t>
      </w:r>
      <w:r w:rsidRPr="00CE5906">
        <w:rPr>
          <w:sz w:val="24"/>
          <w:szCs w:val="22"/>
        </w:rPr>
        <w:t>used to inform the economic model</w:t>
      </w:r>
    </w:p>
    <w:p w14:paraId="1859BF00" w14:textId="792723BA" w:rsidR="006A5117" w:rsidRDefault="006A5117" w:rsidP="006A5117">
      <w:pPr>
        <w:pStyle w:val="COMexecsummnumbered"/>
      </w:pPr>
      <w:r w:rsidRPr="000E00A5">
        <w:t xml:space="preserve">The resubmission presented the results of </w:t>
      </w:r>
      <w:r w:rsidRPr="000E00A5">
        <w:rPr>
          <w:i/>
          <w:iCs/>
        </w:rPr>
        <w:t>post hoc</w:t>
      </w:r>
      <w:r w:rsidRPr="000E00A5">
        <w:t xml:space="preserve"> subgroup analyses used to inform the economic model for time to ESKD (excluding patients who died without ESKD), time to adjudicated death from any cause (for patients without ESKD), and time from ESKD to adjudicated death from any cause (for patients with ESKD).</w:t>
      </w:r>
    </w:p>
    <w:p w14:paraId="23B0A8F9" w14:textId="7810C49D" w:rsidR="00502F63" w:rsidRPr="0085577F" w:rsidRDefault="00502F63" w:rsidP="00502F63">
      <w:pPr>
        <w:pStyle w:val="COMexecsummnumbered"/>
        <w:rPr>
          <w:i/>
          <w:iCs/>
        </w:rPr>
      </w:pPr>
      <w:r>
        <w:t>The economic model base case was based on the results for the incremental population, with sensitivity analyses presented using the ITT, UACR &lt;200 mg/g and UACR ≥200 mg/g population</w:t>
      </w:r>
      <w:r w:rsidR="00442C4B">
        <w:t>s</w:t>
      </w:r>
      <w:r>
        <w:t xml:space="preserve">. </w:t>
      </w:r>
      <w:r w:rsidRPr="00C84DE5">
        <w:t xml:space="preserve">The alternative </w:t>
      </w:r>
      <w:r w:rsidR="00766424" w:rsidRPr="00C84DE5">
        <w:t>data</w:t>
      </w:r>
      <w:r w:rsidRPr="00C84DE5">
        <w:t xml:space="preserve"> used in sensitivity analyses did not appear informative as the ITT population includes patients who are eligible under the existing CKD listing (overlap population)</w:t>
      </w:r>
      <w:r w:rsidR="00442C4B" w:rsidRPr="00C84DE5">
        <w:t>,</w:t>
      </w:r>
      <w:r w:rsidRPr="00C84DE5">
        <w:t xml:space="preserve"> while the UACR &lt;200 mg/g only partially covers the requested incremental population (eGFR 25 to 45 mL/min/1.</w:t>
      </w:r>
      <w:r w:rsidR="00253E27" w:rsidRPr="00C84DE5">
        <w:t>73</w:t>
      </w:r>
      <w:r w:rsidR="00253E27">
        <w:t> </w:t>
      </w:r>
      <w:r w:rsidRPr="00C84DE5">
        <w:t>m</w:t>
      </w:r>
      <w:r w:rsidRPr="00C84DE5">
        <w:rPr>
          <w:vertAlign w:val="superscript"/>
        </w:rPr>
        <w:t>2</w:t>
      </w:r>
      <w:r w:rsidRPr="00C84DE5">
        <w:t xml:space="preserve"> with UACR &lt;200 mg/g and potentially eGFR 20 to 25 mL/min/1.73 m</w:t>
      </w:r>
      <w:r w:rsidRPr="00C84DE5">
        <w:rPr>
          <w:vertAlign w:val="superscript"/>
        </w:rPr>
        <w:t>2</w:t>
      </w:r>
      <w:r w:rsidRPr="00C84DE5">
        <w:t>).</w:t>
      </w:r>
    </w:p>
    <w:p w14:paraId="7FFFA771" w14:textId="6923CD07" w:rsidR="003A6314" w:rsidRPr="00EA2CB3" w:rsidRDefault="00276D72" w:rsidP="00EC5836">
      <w:pPr>
        <w:pStyle w:val="COMexecsummnumbered"/>
      </w:pPr>
      <w:r w:rsidRPr="00EA2CB3">
        <w:t xml:space="preserve">Results of the </w:t>
      </w:r>
      <w:r w:rsidRPr="00C84DE5">
        <w:t>post hoc</w:t>
      </w:r>
      <w:r w:rsidRPr="00EA2CB3">
        <w:t xml:space="preserve"> subgroup analyses used to inform the economic model are summarised in </w:t>
      </w:r>
      <w:r w:rsidRPr="00EA2CB3">
        <w:fldChar w:fldCharType="begin"/>
      </w:r>
      <w:r w:rsidRPr="00EA2CB3">
        <w:instrText xml:space="preserve"> REF _Ref190353403 \h </w:instrText>
      </w:r>
      <w:r w:rsidRPr="00EA2CB3">
        <w:fldChar w:fldCharType="separate"/>
      </w:r>
      <w:r w:rsidR="004A7850" w:rsidRPr="007E02FD">
        <w:t xml:space="preserve">Table </w:t>
      </w:r>
      <w:r w:rsidR="004A7850">
        <w:rPr>
          <w:noProof/>
        </w:rPr>
        <w:t>8</w:t>
      </w:r>
      <w:r w:rsidRPr="00EA2CB3">
        <w:fldChar w:fldCharType="end"/>
      </w:r>
      <w:r w:rsidRPr="00EA2CB3">
        <w:t>.</w:t>
      </w:r>
    </w:p>
    <w:p w14:paraId="029C103D" w14:textId="45C2B2FA" w:rsidR="0063453D" w:rsidRDefault="0063453D" w:rsidP="00253E27">
      <w:pPr>
        <w:pStyle w:val="Caption"/>
        <w:keepLines/>
      </w:pPr>
      <w:bookmarkStart w:id="32" w:name="_Ref190353403"/>
      <w:r w:rsidRPr="007E02FD">
        <w:lastRenderedPageBreak/>
        <w:t xml:space="preserve">Table </w:t>
      </w:r>
      <w:r w:rsidR="001154A7">
        <w:fldChar w:fldCharType="begin"/>
      </w:r>
      <w:r w:rsidR="001154A7">
        <w:instrText xml:space="preserve"> SEQ Table \* ARABIC </w:instrText>
      </w:r>
      <w:r w:rsidR="001154A7">
        <w:fldChar w:fldCharType="separate"/>
      </w:r>
      <w:r w:rsidR="004A7850">
        <w:rPr>
          <w:noProof/>
        </w:rPr>
        <w:t>8</w:t>
      </w:r>
      <w:r w:rsidR="001154A7">
        <w:rPr>
          <w:noProof/>
        </w:rPr>
        <w:fldChar w:fldCharType="end"/>
      </w:r>
      <w:bookmarkEnd w:id="32"/>
      <w:r w:rsidRPr="007E02FD">
        <w:t xml:space="preserve">: </w:t>
      </w:r>
      <w:r w:rsidRPr="002E180E">
        <w:t>Post hoc</w:t>
      </w:r>
      <w:r w:rsidRPr="007E02FD">
        <w:t xml:space="preserve"> subgroup analyses </w:t>
      </w:r>
      <w:r>
        <w:t xml:space="preserve">of </w:t>
      </w:r>
      <w:r w:rsidRPr="007E02FD">
        <w:t>EMPA-KIDNEY</w:t>
      </w:r>
      <w:r>
        <w:t xml:space="preserve"> informing the economic model (incremental population)</w:t>
      </w:r>
      <w:r w:rsidRPr="007E02FD">
        <w:t xml:space="preserve"> </w:t>
      </w:r>
    </w:p>
    <w:tbl>
      <w:tblPr>
        <w:tblStyle w:val="TableGrid"/>
        <w:tblW w:w="5000" w:type="pct"/>
        <w:tblLook w:val="04A0" w:firstRow="1" w:lastRow="0" w:firstColumn="1" w:lastColumn="0" w:noHBand="0" w:noVBand="1"/>
      </w:tblPr>
      <w:tblGrid>
        <w:gridCol w:w="3682"/>
        <w:gridCol w:w="1778"/>
        <w:gridCol w:w="1778"/>
        <w:gridCol w:w="1779"/>
      </w:tblGrid>
      <w:tr w:rsidR="0063453D" w:rsidRPr="00440F08" w14:paraId="2DA41DC8" w14:textId="77777777" w:rsidTr="006B1BCB">
        <w:trPr>
          <w:trHeight w:val="101"/>
          <w:tblHeader/>
        </w:trPr>
        <w:tc>
          <w:tcPr>
            <w:tcW w:w="3681" w:type="dxa"/>
            <w:vAlign w:val="center"/>
          </w:tcPr>
          <w:p w14:paraId="3827AF81" w14:textId="77777777" w:rsidR="0063453D" w:rsidRPr="00440F08" w:rsidRDefault="0063453D" w:rsidP="00253E27">
            <w:pPr>
              <w:pStyle w:val="TableText"/>
              <w:ind w:right="-69"/>
              <w:rPr>
                <w:b/>
                <w:bCs w:val="0"/>
                <w:szCs w:val="20"/>
              </w:rPr>
            </w:pPr>
            <w:r w:rsidRPr="00440F08">
              <w:rPr>
                <w:b/>
                <w:bCs w:val="0"/>
                <w:szCs w:val="20"/>
              </w:rPr>
              <w:t>Population or</w:t>
            </w:r>
          </w:p>
          <w:p w14:paraId="6584BC4F" w14:textId="77777777" w:rsidR="0063453D" w:rsidRPr="00440F08" w:rsidRDefault="0063453D" w:rsidP="00253E27">
            <w:pPr>
              <w:pStyle w:val="TableText"/>
              <w:ind w:right="-69"/>
              <w:rPr>
                <w:b/>
                <w:bCs w:val="0"/>
                <w:szCs w:val="20"/>
              </w:rPr>
            </w:pPr>
            <w:r w:rsidRPr="00440F08">
              <w:rPr>
                <w:b/>
                <w:bCs w:val="0"/>
                <w:szCs w:val="20"/>
              </w:rPr>
              <w:t xml:space="preserve">subgroup </w:t>
            </w:r>
          </w:p>
        </w:tc>
        <w:tc>
          <w:tcPr>
            <w:tcW w:w="1778" w:type="dxa"/>
            <w:vAlign w:val="center"/>
          </w:tcPr>
          <w:p w14:paraId="30390861" w14:textId="77777777" w:rsidR="0063453D" w:rsidRPr="00440F08" w:rsidRDefault="0063453D" w:rsidP="00253E27">
            <w:pPr>
              <w:pStyle w:val="TableText"/>
              <w:ind w:left="-75" w:right="-69"/>
              <w:jc w:val="center"/>
              <w:rPr>
                <w:b/>
                <w:bCs w:val="0"/>
                <w:szCs w:val="20"/>
              </w:rPr>
            </w:pPr>
            <w:r w:rsidRPr="00440F08">
              <w:rPr>
                <w:b/>
                <w:bCs w:val="0"/>
                <w:szCs w:val="20"/>
              </w:rPr>
              <w:t>Empagliflozin + SC</w:t>
            </w:r>
          </w:p>
          <w:p w14:paraId="17033760" w14:textId="77777777" w:rsidR="0063453D" w:rsidRPr="00440F08" w:rsidRDefault="0063453D" w:rsidP="00253E27">
            <w:pPr>
              <w:pStyle w:val="TableText"/>
              <w:ind w:left="-75" w:right="-69"/>
              <w:jc w:val="center"/>
              <w:rPr>
                <w:b/>
                <w:bCs w:val="0"/>
                <w:szCs w:val="20"/>
              </w:rPr>
            </w:pPr>
            <w:r w:rsidRPr="00440F08">
              <w:rPr>
                <w:b/>
                <w:bCs w:val="0"/>
                <w:szCs w:val="20"/>
              </w:rPr>
              <w:t>n/N (%)</w:t>
            </w:r>
          </w:p>
        </w:tc>
        <w:tc>
          <w:tcPr>
            <w:tcW w:w="1778" w:type="dxa"/>
            <w:vAlign w:val="center"/>
          </w:tcPr>
          <w:p w14:paraId="717011F3" w14:textId="77777777" w:rsidR="0063453D" w:rsidRPr="00440F08" w:rsidRDefault="0063453D" w:rsidP="00253E27">
            <w:pPr>
              <w:keepNext/>
              <w:keepLines/>
              <w:ind w:left="-75" w:right="-69"/>
              <w:jc w:val="center"/>
              <w:rPr>
                <w:rFonts w:ascii="Arial Narrow" w:hAnsi="Arial Narrow"/>
                <w:b/>
                <w:sz w:val="20"/>
                <w:szCs w:val="20"/>
              </w:rPr>
            </w:pPr>
            <w:r w:rsidRPr="00440F08">
              <w:rPr>
                <w:rFonts w:ascii="Arial Narrow" w:hAnsi="Arial Narrow"/>
                <w:b/>
                <w:sz w:val="20"/>
                <w:szCs w:val="20"/>
              </w:rPr>
              <w:t>Placebo + SC</w:t>
            </w:r>
          </w:p>
          <w:p w14:paraId="736D7A54" w14:textId="77777777" w:rsidR="0063453D" w:rsidRPr="00440F08" w:rsidRDefault="0063453D" w:rsidP="00253E27">
            <w:pPr>
              <w:pStyle w:val="TableText"/>
              <w:ind w:left="-75" w:right="-69"/>
              <w:jc w:val="center"/>
              <w:rPr>
                <w:b/>
                <w:bCs w:val="0"/>
                <w:szCs w:val="20"/>
              </w:rPr>
            </w:pPr>
            <w:r w:rsidRPr="00440F08">
              <w:rPr>
                <w:b/>
                <w:bCs w:val="0"/>
                <w:szCs w:val="20"/>
              </w:rPr>
              <w:t>n/N (%)</w:t>
            </w:r>
          </w:p>
        </w:tc>
        <w:tc>
          <w:tcPr>
            <w:tcW w:w="1779" w:type="dxa"/>
            <w:vAlign w:val="center"/>
          </w:tcPr>
          <w:p w14:paraId="49FAEDD0" w14:textId="77777777" w:rsidR="0063453D" w:rsidRPr="00440F08" w:rsidRDefault="0063453D" w:rsidP="00253E27">
            <w:pPr>
              <w:pStyle w:val="TableText"/>
              <w:ind w:left="-75" w:right="-69"/>
              <w:jc w:val="center"/>
              <w:rPr>
                <w:b/>
                <w:bCs w:val="0"/>
                <w:szCs w:val="20"/>
              </w:rPr>
            </w:pPr>
            <w:r w:rsidRPr="00440F08">
              <w:rPr>
                <w:b/>
                <w:bCs w:val="0"/>
                <w:szCs w:val="20"/>
              </w:rPr>
              <w:t>Hazard ratio</w:t>
            </w:r>
          </w:p>
          <w:p w14:paraId="3A8223CC" w14:textId="77777777" w:rsidR="0063453D" w:rsidRPr="00440F08" w:rsidRDefault="0063453D" w:rsidP="00253E27">
            <w:pPr>
              <w:pStyle w:val="TableText"/>
              <w:ind w:left="-75" w:right="-69"/>
              <w:jc w:val="center"/>
              <w:rPr>
                <w:b/>
                <w:bCs w:val="0"/>
                <w:szCs w:val="20"/>
              </w:rPr>
            </w:pPr>
            <w:r w:rsidRPr="00440F08">
              <w:rPr>
                <w:b/>
                <w:bCs w:val="0"/>
                <w:szCs w:val="20"/>
              </w:rPr>
              <w:t>(95% CI)</w:t>
            </w:r>
          </w:p>
        </w:tc>
      </w:tr>
      <w:tr w:rsidR="0063453D" w:rsidRPr="00440F08" w14:paraId="18979B4C" w14:textId="77777777" w:rsidTr="006B1BCB">
        <w:trPr>
          <w:trHeight w:val="101"/>
        </w:trPr>
        <w:tc>
          <w:tcPr>
            <w:tcW w:w="3681" w:type="dxa"/>
          </w:tcPr>
          <w:p w14:paraId="0C173EE0" w14:textId="77777777" w:rsidR="0063453D" w:rsidRPr="00440F08" w:rsidRDefault="0063453D" w:rsidP="00253E27">
            <w:pPr>
              <w:pStyle w:val="TableText"/>
              <w:tabs>
                <w:tab w:val="right" w:pos="3180"/>
              </w:tabs>
              <w:rPr>
                <w:szCs w:val="20"/>
              </w:rPr>
            </w:pPr>
            <w:r w:rsidRPr="00440F08">
              <w:rPr>
                <w:szCs w:val="20"/>
              </w:rPr>
              <w:t>Time to first occurrence of ESKD (excluding patients who died without experiencing ESKD)</w:t>
            </w:r>
            <w:r w:rsidRPr="00440F08">
              <w:rPr>
                <w:szCs w:val="20"/>
                <w:vertAlign w:val="superscript"/>
              </w:rPr>
              <w:t>a</w:t>
            </w:r>
          </w:p>
        </w:tc>
        <w:tc>
          <w:tcPr>
            <w:tcW w:w="1778" w:type="dxa"/>
            <w:vAlign w:val="center"/>
          </w:tcPr>
          <w:p w14:paraId="72D3DA35" w14:textId="77777777" w:rsidR="0063453D" w:rsidRPr="00440F08" w:rsidRDefault="0063453D" w:rsidP="00253E27">
            <w:pPr>
              <w:pStyle w:val="TableText"/>
              <w:jc w:val="center"/>
              <w:rPr>
                <w:szCs w:val="20"/>
              </w:rPr>
            </w:pPr>
            <w:r w:rsidRPr="00440F08">
              <w:rPr>
                <w:szCs w:val="20"/>
              </w:rPr>
              <w:t>77/1,768 (4.4%)</w:t>
            </w:r>
          </w:p>
        </w:tc>
        <w:tc>
          <w:tcPr>
            <w:tcW w:w="1778" w:type="dxa"/>
            <w:vAlign w:val="center"/>
          </w:tcPr>
          <w:p w14:paraId="4467245B" w14:textId="77777777" w:rsidR="0063453D" w:rsidRPr="00440F08" w:rsidRDefault="0063453D" w:rsidP="00253E27">
            <w:pPr>
              <w:pStyle w:val="TableText"/>
              <w:jc w:val="center"/>
              <w:rPr>
                <w:szCs w:val="20"/>
              </w:rPr>
            </w:pPr>
            <w:r w:rsidRPr="00440F08">
              <w:rPr>
                <w:szCs w:val="20"/>
              </w:rPr>
              <w:t>125/1,809 (6.9%)</w:t>
            </w:r>
          </w:p>
        </w:tc>
        <w:tc>
          <w:tcPr>
            <w:tcW w:w="1779" w:type="dxa"/>
            <w:vAlign w:val="center"/>
          </w:tcPr>
          <w:p w14:paraId="43EA8FB3" w14:textId="77777777" w:rsidR="0063453D" w:rsidRPr="00440F08" w:rsidRDefault="0063453D" w:rsidP="00253E27">
            <w:pPr>
              <w:pStyle w:val="TableText"/>
              <w:jc w:val="center"/>
              <w:rPr>
                <w:b/>
                <w:bCs w:val="0"/>
                <w:szCs w:val="20"/>
              </w:rPr>
            </w:pPr>
            <w:r w:rsidRPr="00440F08">
              <w:rPr>
                <w:b/>
                <w:bCs w:val="0"/>
                <w:szCs w:val="20"/>
              </w:rPr>
              <w:t>0.64 (0.48, 0.85)</w:t>
            </w:r>
          </w:p>
        </w:tc>
      </w:tr>
      <w:tr w:rsidR="0063453D" w:rsidRPr="00440F08" w14:paraId="41AAEC1B" w14:textId="77777777" w:rsidTr="006B1BCB">
        <w:trPr>
          <w:trHeight w:val="101"/>
        </w:trPr>
        <w:tc>
          <w:tcPr>
            <w:tcW w:w="3681" w:type="dxa"/>
            <w:vAlign w:val="center"/>
          </w:tcPr>
          <w:p w14:paraId="0B2D8136" w14:textId="77777777" w:rsidR="0063453D" w:rsidRPr="00440F08" w:rsidRDefault="0063453D" w:rsidP="00253E27">
            <w:pPr>
              <w:pStyle w:val="TableText"/>
              <w:tabs>
                <w:tab w:val="right" w:pos="3180"/>
              </w:tabs>
              <w:rPr>
                <w:szCs w:val="20"/>
              </w:rPr>
            </w:pPr>
            <w:r w:rsidRPr="00440F08">
              <w:rPr>
                <w:szCs w:val="20"/>
              </w:rPr>
              <w:t>Time to adjudicated death from any cause (for patients without ESKD)</w:t>
            </w:r>
            <w:r w:rsidRPr="00440F08">
              <w:rPr>
                <w:szCs w:val="20"/>
                <w:vertAlign w:val="superscript"/>
              </w:rPr>
              <w:t>b</w:t>
            </w:r>
          </w:p>
        </w:tc>
        <w:tc>
          <w:tcPr>
            <w:tcW w:w="1778" w:type="dxa"/>
            <w:vAlign w:val="center"/>
          </w:tcPr>
          <w:p w14:paraId="6BC2BCD9" w14:textId="77777777" w:rsidR="0063453D" w:rsidRPr="00440F08" w:rsidRDefault="0063453D" w:rsidP="00253E27">
            <w:pPr>
              <w:pStyle w:val="TableText"/>
              <w:jc w:val="center"/>
              <w:rPr>
                <w:color w:val="808080" w:themeColor="background1" w:themeShade="80"/>
                <w:szCs w:val="20"/>
              </w:rPr>
            </w:pPr>
            <w:r w:rsidRPr="00440F08">
              <w:rPr>
                <w:szCs w:val="20"/>
              </w:rPr>
              <w:t>90/1,781 (5.1%)</w:t>
            </w:r>
          </w:p>
        </w:tc>
        <w:tc>
          <w:tcPr>
            <w:tcW w:w="1778" w:type="dxa"/>
            <w:vAlign w:val="center"/>
          </w:tcPr>
          <w:p w14:paraId="28D3AE92" w14:textId="77777777" w:rsidR="0063453D" w:rsidRPr="00440F08" w:rsidRDefault="0063453D" w:rsidP="00253E27">
            <w:pPr>
              <w:pStyle w:val="TableText"/>
              <w:jc w:val="center"/>
              <w:rPr>
                <w:color w:val="808080" w:themeColor="background1" w:themeShade="80"/>
                <w:szCs w:val="20"/>
              </w:rPr>
            </w:pPr>
            <w:r w:rsidRPr="00440F08">
              <w:rPr>
                <w:szCs w:val="20"/>
              </w:rPr>
              <w:t>99/1,783 (5.6%)</w:t>
            </w:r>
          </w:p>
        </w:tc>
        <w:tc>
          <w:tcPr>
            <w:tcW w:w="1779" w:type="dxa"/>
            <w:vAlign w:val="center"/>
          </w:tcPr>
          <w:p w14:paraId="5BDCD381" w14:textId="77777777" w:rsidR="0063453D" w:rsidRPr="00440F08" w:rsidRDefault="0063453D" w:rsidP="00253E27">
            <w:pPr>
              <w:pStyle w:val="TableText"/>
              <w:jc w:val="center"/>
              <w:rPr>
                <w:color w:val="808080" w:themeColor="background1" w:themeShade="80"/>
                <w:szCs w:val="20"/>
              </w:rPr>
            </w:pPr>
            <w:r w:rsidRPr="00440F08">
              <w:rPr>
                <w:szCs w:val="20"/>
              </w:rPr>
              <w:t>0.89 (0.67, 1.18)</w:t>
            </w:r>
          </w:p>
        </w:tc>
      </w:tr>
      <w:tr w:rsidR="0063453D" w:rsidRPr="00440F08" w14:paraId="213C21AD" w14:textId="77777777" w:rsidTr="006B1BCB">
        <w:trPr>
          <w:trHeight w:val="101"/>
        </w:trPr>
        <w:tc>
          <w:tcPr>
            <w:tcW w:w="3681" w:type="dxa"/>
            <w:vAlign w:val="center"/>
          </w:tcPr>
          <w:p w14:paraId="5530A565" w14:textId="77777777" w:rsidR="0063453D" w:rsidRPr="00440F08" w:rsidRDefault="0063453D" w:rsidP="00253E27">
            <w:pPr>
              <w:pStyle w:val="TableText"/>
              <w:tabs>
                <w:tab w:val="right" w:pos="3180"/>
              </w:tabs>
              <w:rPr>
                <w:color w:val="808080" w:themeColor="background1" w:themeShade="80"/>
                <w:szCs w:val="20"/>
              </w:rPr>
            </w:pPr>
            <w:r w:rsidRPr="00440F08">
              <w:rPr>
                <w:szCs w:val="20"/>
              </w:rPr>
              <w:t xml:space="preserve">Time from first occurrence of ESKD to adjudicated death from any </w:t>
            </w:r>
            <w:proofErr w:type="spellStart"/>
            <w:r w:rsidRPr="00440F08">
              <w:rPr>
                <w:szCs w:val="20"/>
              </w:rPr>
              <w:t>cause</w:t>
            </w:r>
            <w:r w:rsidRPr="00440F08">
              <w:rPr>
                <w:szCs w:val="20"/>
                <w:vertAlign w:val="superscript"/>
              </w:rPr>
              <w:t>b</w:t>
            </w:r>
            <w:proofErr w:type="spellEnd"/>
          </w:p>
        </w:tc>
        <w:tc>
          <w:tcPr>
            <w:tcW w:w="1778" w:type="dxa"/>
            <w:vAlign w:val="center"/>
          </w:tcPr>
          <w:p w14:paraId="4645E883" w14:textId="77777777" w:rsidR="0063453D" w:rsidRPr="00440F08" w:rsidRDefault="0063453D" w:rsidP="00253E27">
            <w:pPr>
              <w:pStyle w:val="TableText"/>
              <w:jc w:val="center"/>
              <w:rPr>
                <w:color w:val="808080" w:themeColor="background1" w:themeShade="80"/>
                <w:szCs w:val="20"/>
              </w:rPr>
            </w:pPr>
            <w:r w:rsidRPr="00440F08">
              <w:rPr>
                <w:szCs w:val="20"/>
              </w:rPr>
              <w:t>7/77 (9.1%)</w:t>
            </w:r>
          </w:p>
        </w:tc>
        <w:tc>
          <w:tcPr>
            <w:tcW w:w="1778" w:type="dxa"/>
            <w:vAlign w:val="center"/>
          </w:tcPr>
          <w:p w14:paraId="02F5B4BF" w14:textId="77777777" w:rsidR="0063453D" w:rsidRPr="00440F08" w:rsidRDefault="0063453D" w:rsidP="00253E27">
            <w:pPr>
              <w:pStyle w:val="TableText"/>
              <w:jc w:val="center"/>
              <w:rPr>
                <w:color w:val="808080" w:themeColor="background1" w:themeShade="80"/>
                <w:szCs w:val="20"/>
              </w:rPr>
            </w:pPr>
            <w:r w:rsidRPr="00440F08">
              <w:rPr>
                <w:szCs w:val="20"/>
              </w:rPr>
              <w:t>21/125 (16.8%)</w:t>
            </w:r>
          </w:p>
        </w:tc>
        <w:tc>
          <w:tcPr>
            <w:tcW w:w="1779" w:type="dxa"/>
            <w:vAlign w:val="center"/>
          </w:tcPr>
          <w:p w14:paraId="2723BDFC" w14:textId="77777777" w:rsidR="0063453D" w:rsidRPr="00440F08" w:rsidRDefault="0063453D" w:rsidP="00253E27">
            <w:pPr>
              <w:pStyle w:val="TableText"/>
              <w:jc w:val="center"/>
              <w:rPr>
                <w:color w:val="808080" w:themeColor="background1" w:themeShade="80"/>
                <w:szCs w:val="20"/>
              </w:rPr>
            </w:pPr>
            <w:r w:rsidRPr="00440F08">
              <w:rPr>
                <w:szCs w:val="20"/>
              </w:rPr>
              <w:t>0.53 (0.19, 1.44)</w:t>
            </w:r>
          </w:p>
        </w:tc>
      </w:tr>
    </w:tbl>
    <w:p w14:paraId="1AE4AC03" w14:textId="77777777" w:rsidR="0063453D" w:rsidRPr="007E02FD" w:rsidRDefault="0063453D" w:rsidP="00253E27">
      <w:pPr>
        <w:pStyle w:val="COMTablefooter"/>
        <w:keepNext/>
      </w:pPr>
      <w:r w:rsidRPr="007E02FD">
        <w:t xml:space="preserve">Source: </w:t>
      </w:r>
      <w:r w:rsidRPr="0062129C">
        <w:t>Additional analyses for CKD modelling R2524</w:t>
      </w:r>
      <w:r>
        <w:t>, Attachment 9 of the submission.</w:t>
      </w:r>
    </w:p>
    <w:p w14:paraId="51A7B17A" w14:textId="234CE375" w:rsidR="0063453D" w:rsidRPr="007E02FD" w:rsidRDefault="0063453D" w:rsidP="00253E27">
      <w:pPr>
        <w:pStyle w:val="COMTablefooter"/>
        <w:keepNext/>
      </w:pPr>
      <w:r w:rsidRPr="007E02FD">
        <w:t>Abbreviations: CI, confidence interval;</w:t>
      </w:r>
      <w:r w:rsidR="00B05EC7" w:rsidRPr="00B05EC7">
        <w:t xml:space="preserve"> </w:t>
      </w:r>
      <w:r w:rsidR="00B05EC7" w:rsidRPr="006C103A">
        <w:t xml:space="preserve">eGFR, estimated glomerular filtration rate; EPI, epidemiology collaboration formula; </w:t>
      </w:r>
      <w:r w:rsidRPr="007E02FD">
        <w:t>ESKD, end-stage kidney disease</w:t>
      </w:r>
      <w:r w:rsidR="00B05EC7">
        <w:t xml:space="preserve">; </w:t>
      </w:r>
      <w:r w:rsidR="00B05EC7" w:rsidRPr="006C103A">
        <w:t>UACR, urine albumin to creatinine ratio.</w:t>
      </w:r>
    </w:p>
    <w:p w14:paraId="29506C9D" w14:textId="77777777" w:rsidR="0063453D" w:rsidRPr="007E02FD" w:rsidRDefault="0063453D" w:rsidP="00253E27">
      <w:pPr>
        <w:pStyle w:val="COMTablefooter"/>
        <w:keepNext/>
      </w:pPr>
      <w:r w:rsidRPr="007E02FD">
        <w:rPr>
          <w:vertAlign w:val="superscript"/>
        </w:rPr>
        <w:t>a</w:t>
      </w:r>
      <w:r w:rsidRPr="007E02FD">
        <w:t xml:space="preserve"> </w:t>
      </w:r>
      <w:r w:rsidRPr="0081203F">
        <w:t xml:space="preserve">Cox regression model with terms for age, sex, screening diabetes status, local screening eGFR (CKD−EPI), region, treatment, baseline UACR and treatment by baseline </w:t>
      </w:r>
      <w:r>
        <w:t>U</w:t>
      </w:r>
      <w:r w:rsidRPr="0081203F">
        <w:t>ACR</w:t>
      </w:r>
      <w:r>
        <w:t>.</w:t>
      </w:r>
    </w:p>
    <w:p w14:paraId="0D638DF8" w14:textId="77777777" w:rsidR="0063453D" w:rsidRPr="007E02FD" w:rsidRDefault="0063453D" w:rsidP="0063453D">
      <w:pPr>
        <w:pStyle w:val="COMTablefooter"/>
      </w:pPr>
      <w:r w:rsidRPr="007E02FD">
        <w:rPr>
          <w:vertAlign w:val="superscript"/>
        </w:rPr>
        <w:t>b</w:t>
      </w:r>
      <w:r w:rsidRPr="007E02FD">
        <w:t xml:space="preserve"> </w:t>
      </w:r>
      <w:r>
        <w:t>Overall ITT population and i</w:t>
      </w:r>
      <w:r w:rsidRPr="007E02FD">
        <w:t xml:space="preserve">ncremental subgroup </w:t>
      </w:r>
      <w:r>
        <w:t xml:space="preserve">by </w:t>
      </w:r>
      <w:r w:rsidRPr="00040DB7">
        <w:t>Cox regression model with terms for age, sex,</w:t>
      </w:r>
      <w:r>
        <w:t xml:space="preserve"> </w:t>
      </w:r>
      <w:r w:rsidRPr="00040DB7">
        <w:t>screening diabetes status, local screening eGFR (CKD−EPI),</w:t>
      </w:r>
      <w:r>
        <w:t xml:space="preserve"> </w:t>
      </w:r>
      <w:r w:rsidRPr="00040DB7">
        <w:t xml:space="preserve">local screening </w:t>
      </w:r>
      <w:r>
        <w:t>U</w:t>
      </w:r>
      <w:r w:rsidRPr="00040DB7">
        <w:t>ACR, region and treatment</w:t>
      </w:r>
      <w:r w:rsidRPr="007E02FD">
        <w:t>.</w:t>
      </w:r>
      <w:r w:rsidRPr="00FC7AFF">
        <w:t xml:space="preserve"> </w:t>
      </w:r>
      <w:r>
        <w:t>UACR &lt; or ≥ 200 mg/g</w:t>
      </w:r>
      <w:r w:rsidRPr="007E02FD">
        <w:t xml:space="preserve"> subgroups by Cox regression model with terms for age, sex, diabetes status, </w:t>
      </w:r>
      <w:r>
        <w:t xml:space="preserve">screening </w:t>
      </w:r>
      <w:r w:rsidRPr="007E02FD">
        <w:t>eGFR</w:t>
      </w:r>
      <w:r>
        <w:t xml:space="preserve"> (CKD-EPI),</w:t>
      </w:r>
      <w:r w:rsidRPr="007E02FD">
        <w:t xml:space="preserve"> region, treatment, </w:t>
      </w:r>
      <w:r>
        <w:t>baseline U</w:t>
      </w:r>
      <w:r w:rsidRPr="007E02FD">
        <w:t xml:space="preserve">ACR </w:t>
      </w:r>
      <w:r>
        <w:t>and treatment by baseline U</w:t>
      </w:r>
      <w:r w:rsidRPr="007E02FD">
        <w:t>ACR</w:t>
      </w:r>
    </w:p>
    <w:p w14:paraId="30D8A76F" w14:textId="1F819725" w:rsidR="0063453D" w:rsidRDefault="0063453D" w:rsidP="0063453D">
      <w:pPr>
        <w:pStyle w:val="COMTablefooter"/>
        <w:rPr>
          <w:color w:val="0066FF"/>
        </w:rPr>
      </w:pPr>
      <w:r w:rsidRPr="007E02FD">
        <w:t xml:space="preserve">Note: </w:t>
      </w:r>
      <w:r>
        <w:t>Statistically significant results in bold</w:t>
      </w:r>
      <w:r w:rsidRPr="007E02FD">
        <w:t>.</w:t>
      </w:r>
    </w:p>
    <w:p w14:paraId="13AFE238" w14:textId="77777777" w:rsidR="00276253" w:rsidRDefault="00A8347E" w:rsidP="009B7560">
      <w:pPr>
        <w:pStyle w:val="COMexecsummnumbered"/>
      </w:pPr>
      <w:r w:rsidRPr="000E00A5">
        <w:t xml:space="preserve">Based on the </w:t>
      </w:r>
      <w:r w:rsidRPr="000E00A5">
        <w:rPr>
          <w:i/>
          <w:iCs/>
        </w:rPr>
        <w:t>post hoc</w:t>
      </w:r>
      <w:r w:rsidRPr="000E00A5">
        <w:t xml:space="preserve"> subgroup analys</w:t>
      </w:r>
      <w:r w:rsidR="005806DF">
        <w:t>i</w:t>
      </w:r>
      <w:r w:rsidRPr="000E00A5">
        <w:t>s, treatment with empagliflozin plus standard care was associated with statistically significantly longer time to first occurrence of ESKD (excluding patients who died without ESKD) compared to placebo plus standard care in the incremental population.</w:t>
      </w:r>
    </w:p>
    <w:p w14:paraId="03041B43" w14:textId="6991A690" w:rsidR="00A8347E" w:rsidRDefault="002D5224" w:rsidP="009B7560">
      <w:pPr>
        <w:pStyle w:val="COMexecsummnumbered"/>
      </w:pPr>
      <w:r w:rsidRPr="007F11DE">
        <w:t>For time to adjudicated death from any cause for patients without ESKD</w:t>
      </w:r>
      <w:r w:rsidR="00F17CCA">
        <w:t xml:space="preserve"> and </w:t>
      </w:r>
      <w:r w:rsidR="00F17CCA" w:rsidRPr="007F11DE">
        <w:t>time from first occurrence of ESKD to adjudicated death from any cause</w:t>
      </w:r>
      <w:r w:rsidR="00273AD4" w:rsidRPr="00273AD4">
        <w:t xml:space="preserve"> </w:t>
      </w:r>
      <w:r w:rsidR="00273AD4" w:rsidRPr="007F11DE">
        <w:t xml:space="preserve">the </w:t>
      </w:r>
      <w:r w:rsidR="00273AD4" w:rsidRPr="007F11DE">
        <w:rPr>
          <w:i/>
          <w:iCs/>
        </w:rPr>
        <w:t>post hoc</w:t>
      </w:r>
      <w:r w:rsidR="00273AD4" w:rsidRPr="007F11DE">
        <w:t xml:space="preserve"> subgroup analyses nominally favoured </w:t>
      </w:r>
      <w:proofErr w:type="gramStart"/>
      <w:r w:rsidR="00273AD4" w:rsidRPr="007F11DE">
        <w:t>empagliflozin, but</w:t>
      </w:r>
      <w:proofErr w:type="gramEnd"/>
      <w:r w:rsidR="00273AD4" w:rsidRPr="007F11DE">
        <w:t xml:space="preserve"> did not reach statistical significance.</w:t>
      </w:r>
    </w:p>
    <w:p w14:paraId="2D1E8FA4" w14:textId="68A9769B" w:rsidR="005E7B4E" w:rsidRPr="00692C68" w:rsidRDefault="005E7B4E" w:rsidP="005E7B4E">
      <w:pPr>
        <w:pStyle w:val="COMexecsummnumbered"/>
      </w:pPr>
      <w:r w:rsidRPr="00692C68">
        <w:t>Given the subgroup analyses were conducted post hoc, the results should be interpreted with caution. The resubmission did not adequately justify the non-standard</w:t>
      </w:r>
      <w:r w:rsidRPr="005E7B4E">
        <w:rPr>
          <w:i/>
          <w:iCs/>
        </w:rPr>
        <w:t xml:space="preserve"> </w:t>
      </w:r>
      <w:r w:rsidRPr="00692C68">
        <w:t xml:space="preserve">approach of excluding patients from time to event analyses rather than censoring. The selected approach did not appear robust as it would result in loss of information (i.e. time at risk) from excluded patients. During the evaluation, </w:t>
      </w:r>
      <w:r w:rsidR="003549F6" w:rsidRPr="00692C68">
        <w:t>analyses of time to event data censoring rather than removing patients without ESKD were requested and provided by the sponsor</w:t>
      </w:r>
      <w:r w:rsidR="005B4BE5" w:rsidRPr="00692C68">
        <w:t>. T</w:t>
      </w:r>
      <w:r w:rsidRPr="00692C68">
        <w:t>here were marginal differences in treatment effects (hazard ratios) and the incidence of events</w:t>
      </w:r>
      <w:r w:rsidR="005B4BE5" w:rsidRPr="00692C68">
        <w:t>,</w:t>
      </w:r>
      <w:r w:rsidRPr="00692C68">
        <w:t xml:space="preserve"> but this may be due to the relatively low number of events overall</w:t>
      </w:r>
      <w:r w:rsidR="00A55952" w:rsidRPr="00692C68">
        <w:t>,</w:t>
      </w:r>
      <w:r w:rsidRPr="00692C68">
        <w:t xml:space="preserve"> as most patients did not experience an event during the trial.</w:t>
      </w:r>
    </w:p>
    <w:p w14:paraId="1452C351" w14:textId="0D19F1B0" w:rsidR="00B60939" w:rsidRPr="0098262F" w:rsidRDefault="00B60939" w:rsidP="003D5DE7">
      <w:pPr>
        <w:pStyle w:val="COMH2-non-numbered"/>
      </w:pPr>
      <w:bookmarkStart w:id="33" w:name="_Toc22897642"/>
      <w:bookmarkStart w:id="34" w:name="_Toc193277449"/>
      <w:r w:rsidRPr="0098262F">
        <w:t>Comparative harms</w:t>
      </w:r>
      <w:bookmarkEnd w:id="33"/>
      <w:bookmarkEnd w:id="34"/>
    </w:p>
    <w:p w14:paraId="4C7C56E1" w14:textId="172F9AC6" w:rsidR="00844C49" w:rsidRPr="00692C68" w:rsidRDefault="00A4041F" w:rsidP="00D86231">
      <w:pPr>
        <w:pStyle w:val="COMexecsummnumbered"/>
      </w:pPr>
      <w:r>
        <w:fldChar w:fldCharType="begin"/>
      </w:r>
      <w:r>
        <w:instrText xml:space="preserve"> REF _Ref190604861 \h </w:instrText>
      </w:r>
      <w:r>
        <w:fldChar w:fldCharType="separate"/>
      </w:r>
      <w:r w:rsidR="004A7850" w:rsidRPr="009C7846">
        <w:t xml:space="preserve">Table </w:t>
      </w:r>
      <w:r w:rsidR="004A7850">
        <w:rPr>
          <w:noProof/>
        </w:rPr>
        <w:t>9</w:t>
      </w:r>
      <w:r>
        <w:fldChar w:fldCharType="end"/>
      </w:r>
      <w:r w:rsidR="005A3DE0" w:rsidRPr="00844C49">
        <w:t xml:space="preserve"> </w:t>
      </w:r>
      <w:r w:rsidR="00FB4A40" w:rsidRPr="00844C49">
        <w:t>summarises the proportions of patients reporting key adverse events in the EMPA-KIDNEY trial</w:t>
      </w:r>
      <w:r w:rsidR="002E44C9" w:rsidRPr="00844C49">
        <w:t xml:space="preserve">. </w:t>
      </w:r>
      <w:r w:rsidR="00844C49" w:rsidRPr="00844C49">
        <w:t xml:space="preserve">Adverse events reported were limited to serious adverse events and pre-specified non-serious adverse events of special interest. </w:t>
      </w:r>
      <w:r w:rsidR="00844C49" w:rsidRPr="00692C68">
        <w:t>The proportions of patients experiencing any adverse event were not reported.</w:t>
      </w:r>
    </w:p>
    <w:p w14:paraId="39BA63D9" w14:textId="7B302D54" w:rsidR="007D546B" w:rsidRPr="009C7846" w:rsidRDefault="007D546B" w:rsidP="00A4041F">
      <w:pPr>
        <w:pStyle w:val="Caption"/>
      </w:pPr>
      <w:bookmarkStart w:id="35" w:name="_Ref190604861"/>
      <w:r w:rsidRPr="009C7846">
        <w:lastRenderedPageBreak/>
        <w:t xml:space="preserve">Table </w:t>
      </w:r>
      <w:r w:rsidR="001154A7">
        <w:fldChar w:fldCharType="begin"/>
      </w:r>
      <w:r w:rsidR="001154A7">
        <w:instrText xml:space="preserve"> SEQ Table \* ARABIC </w:instrText>
      </w:r>
      <w:r w:rsidR="001154A7">
        <w:fldChar w:fldCharType="separate"/>
      </w:r>
      <w:r w:rsidR="004A7850">
        <w:rPr>
          <w:noProof/>
        </w:rPr>
        <w:t>9</w:t>
      </w:r>
      <w:r w:rsidR="001154A7">
        <w:rPr>
          <w:noProof/>
        </w:rPr>
        <w:fldChar w:fldCharType="end"/>
      </w:r>
      <w:bookmarkEnd w:id="35"/>
      <w:r w:rsidRPr="009C7846">
        <w:t>: Summary of key adverse events in EMPA-KIDNEY (treated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2243"/>
        <w:gridCol w:w="2243"/>
      </w:tblGrid>
      <w:tr w:rsidR="009C7846" w:rsidRPr="009C7846" w14:paraId="525415B6" w14:textId="77777777" w:rsidTr="006B1BCB">
        <w:trPr>
          <w:tblHeader/>
        </w:trPr>
        <w:tc>
          <w:tcPr>
            <w:tcW w:w="4531" w:type="dxa"/>
            <w:shd w:val="clear" w:color="auto" w:fill="auto"/>
            <w:vAlign w:val="center"/>
          </w:tcPr>
          <w:p w14:paraId="3E955DEA" w14:textId="77777777" w:rsidR="007D546B" w:rsidRPr="009C7846" w:rsidRDefault="007D546B" w:rsidP="006B1BCB">
            <w:pPr>
              <w:pStyle w:val="COMTableheadingrow"/>
              <w:ind w:right="-53"/>
              <w:rPr>
                <w:lang w:val="en-AU"/>
              </w:rPr>
            </w:pPr>
          </w:p>
        </w:tc>
        <w:tc>
          <w:tcPr>
            <w:tcW w:w="2243" w:type="dxa"/>
            <w:shd w:val="clear" w:color="auto" w:fill="auto"/>
          </w:tcPr>
          <w:p w14:paraId="0340AAEF" w14:textId="77777777" w:rsidR="007D546B" w:rsidRPr="009C7846" w:rsidRDefault="007D546B" w:rsidP="006B1BCB">
            <w:pPr>
              <w:pStyle w:val="COMTableheadingrow"/>
              <w:jc w:val="center"/>
              <w:rPr>
                <w:bCs/>
                <w:szCs w:val="20"/>
                <w:lang w:val="en-AU"/>
              </w:rPr>
            </w:pPr>
            <w:r w:rsidRPr="009C7846">
              <w:rPr>
                <w:bCs/>
                <w:szCs w:val="20"/>
                <w:lang w:val="en-AU"/>
              </w:rPr>
              <w:t>Empagliflozin + SC</w:t>
            </w:r>
          </w:p>
          <w:p w14:paraId="62EA4CE4" w14:textId="77777777" w:rsidR="007D546B" w:rsidRPr="009C7846" w:rsidRDefault="007D546B" w:rsidP="006B1BCB">
            <w:pPr>
              <w:pStyle w:val="COMTableheadingrow"/>
              <w:jc w:val="center"/>
              <w:rPr>
                <w:bCs/>
                <w:szCs w:val="20"/>
                <w:lang w:val="en-AU"/>
              </w:rPr>
            </w:pPr>
            <w:r w:rsidRPr="009C7846">
              <w:rPr>
                <w:bCs/>
                <w:szCs w:val="20"/>
                <w:lang w:val="en-AU"/>
              </w:rPr>
              <w:t>N=3,304</w:t>
            </w:r>
          </w:p>
        </w:tc>
        <w:tc>
          <w:tcPr>
            <w:tcW w:w="2243" w:type="dxa"/>
            <w:shd w:val="clear" w:color="auto" w:fill="auto"/>
          </w:tcPr>
          <w:p w14:paraId="5194BE44" w14:textId="77777777" w:rsidR="007D546B" w:rsidRPr="009C7846" w:rsidRDefault="007D546B" w:rsidP="006B1BCB">
            <w:pPr>
              <w:pStyle w:val="COMTableheadingrow"/>
              <w:jc w:val="center"/>
              <w:rPr>
                <w:lang w:val="en-AU"/>
              </w:rPr>
            </w:pPr>
            <w:r w:rsidRPr="009C7846">
              <w:rPr>
                <w:bCs/>
                <w:szCs w:val="20"/>
                <w:lang w:val="en-AU"/>
              </w:rPr>
              <w:t>Placebo + SC</w:t>
            </w:r>
            <w:r w:rsidRPr="009C7846">
              <w:rPr>
                <w:bCs/>
                <w:szCs w:val="20"/>
                <w:lang w:val="en-AU"/>
              </w:rPr>
              <w:br/>
              <w:t>N=3,305</w:t>
            </w:r>
          </w:p>
        </w:tc>
      </w:tr>
      <w:tr w:rsidR="009C7846" w:rsidRPr="009C7846" w14:paraId="51DD8961" w14:textId="77777777" w:rsidTr="009C7846">
        <w:tc>
          <w:tcPr>
            <w:tcW w:w="4531" w:type="dxa"/>
            <w:shd w:val="clear" w:color="auto" w:fill="B8CCE4" w:themeFill="accent1" w:themeFillTint="66"/>
            <w:vAlign w:val="center"/>
          </w:tcPr>
          <w:p w14:paraId="7ED1CD3E" w14:textId="32CBE0FB" w:rsidR="007D546B" w:rsidRPr="009C7846" w:rsidRDefault="007D546B" w:rsidP="006B1BCB">
            <w:pPr>
              <w:pStyle w:val="COMTabletext"/>
              <w:ind w:right="-53"/>
            </w:pPr>
            <w:r w:rsidRPr="009C7846">
              <w:rPr>
                <w:szCs w:val="20"/>
              </w:rPr>
              <w:t xml:space="preserve">Any pre-specified non-serious adverse </w:t>
            </w:r>
            <w:proofErr w:type="spellStart"/>
            <w:r w:rsidRPr="009C7846">
              <w:rPr>
                <w:szCs w:val="20"/>
              </w:rPr>
              <w:t>event</w:t>
            </w:r>
            <w:r w:rsidRPr="009C7846">
              <w:rPr>
                <w:szCs w:val="20"/>
                <w:vertAlign w:val="superscript"/>
              </w:rPr>
              <w:t>a</w:t>
            </w:r>
            <w:proofErr w:type="spellEnd"/>
            <w:r w:rsidRPr="009C7846">
              <w:rPr>
                <w:szCs w:val="20"/>
              </w:rPr>
              <w:t xml:space="preserve"> n (%)</w:t>
            </w:r>
          </w:p>
        </w:tc>
        <w:tc>
          <w:tcPr>
            <w:tcW w:w="2243" w:type="dxa"/>
            <w:shd w:val="clear" w:color="auto" w:fill="B8CCE4" w:themeFill="accent1" w:themeFillTint="66"/>
            <w:vAlign w:val="center"/>
          </w:tcPr>
          <w:p w14:paraId="51BBB377" w14:textId="77777777" w:rsidR="007D546B" w:rsidRPr="009C7846" w:rsidRDefault="007D546B" w:rsidP="006B1BCB">
            <w:pPr>
              <w:pStyle w:val="COMTabletext"/>
              <w:jc w:val="center"/>
            </w:pPr>
            <w:r w:rsidRPr="009C7846">
              <w:rPr>
                <w:szCs w:val="20"/>
              </w:rPr>
              <w:t>1,447 (43.8%)</w:t>
            </w:r>
          </w:p>
        </w:tc>
        <w:tc>
          <w:tcPr>
            <w:tcW w:w="2243" w:type="dxa"/>
            <w:shd w:val="clear" w:color="auto" w:fill="B8CCE4" w:themeFill="accent1" w:themeFillTint="66"/>
            <w:vAlign w:val="center"/>
          </w:tcPr>
          <w:p w14:paraId="28E0C475" w14:textId="77777777" w:rsidR="007D546B" w:rsidRPr="009C7846" w:rsidRDefault="007D546B" w:rsidP="006B1BCB">
            <w:pPr>
              <w:pStyle w:val="COMTabletext"/>
              <w:jc w:val="center"/>
            </w:pPr>
            <w:r w:rsidRPr="009C7846">
              <w:rPr>
                <w:szCs w:val="20"/>
              </w:rPr>
              <w:t>1,520 (46.0%)</w:t>
            </w:r>
          </w:p>
        </w:tc>
      </w:tr>
      <w:tr w:rsidR="009C7846" w:rsidRPr="009C7846" w14:paraId="5A07E9B4" w14:textId="77777777" w:rsidTr="009C7846">
        <w:tc>
          <w:tcPr>
            <w:tcW w:w="4531" w:type="dxa"/>
            <w:shd w:val="clear" w:color="auto" w:fill="B8CCE4" w:themeFill="accent1" w:themeFillTint="66"/>
            <w:vAlign w:val="center"/>
          </w:tcPr>
          <w:p w14:paraId="3AEC3604" w14:textId="77777777" w:rsidR="007D546B" w:rsidRPr="009C7846" w:rsidRDefault="007D546B" w:rsidP="00481597">
            <w:pPr>
              <w:pStyle w:val="COMTabletext"/>
              <w:numPr>
                <w:ilvl w:val="0"/>
                <w:numId w:val="8"/>
              </w:numPr>
              <w:tabs>
                <w:tab w:val="right" w:pos="3610"/>
              </w:tabs>
              <w:ind w:left="171" w:right="-53" w:hanging="142"/>
              <w:rPr>
                <w:szCs w:val="20"/>
              </w:rPr>
            </w:pPr>
            <w:r w:rsidRPr="009C7846">
              <w:rPr>
                <w:szCs w:val="20"/>
              </w:rPr>
              <w:t>Drug related adverse event, n (%)</w:t>
            </w:r>
          </w:p>
        </w:tc>
        <w:tc>
          <w:tcPr>
            <w:tcW w:w="2243" w:type="dxa"/>
            <w:shd w:val="clear" w:color="auto" w:fill="B8CCE4" w:themeFill="accent1" w:themeFillTint="66"/>
            <w:vAlign w:val="center"/>
          </w:tcPr>
          <w:p w14:paraId="12E100E3" w14:textId="77777777" w:rsidR="007D546B" w:rsidRPr="009C7846" w:rsidRDefault="007D546B" w:rsidP="006B1BCB">
            <w:pPr>
              <w:pStyle w:val="COMTabletext"/>
              <w:jc w:val="center"/>
            </w:pPr>
            <w:r w:rsidRPr="009C7846">
              <w:rPr>
                <w:szCs w:val="20"/>
              </w:rPr>
              <w:t>79 (2.4%)</w:t>
            </w:r>
          </w:p>
        </w:tc>
        <w:tc>
          <w:tcPr>
            <w:tcW w:w="2243" w:type="dxa"/>
            <w:shd w:val="clear" w:color="auto" w:fill="B8CCE4" w:themeFill="accent1" w:themeFillTint="66"/>
            <w:vAlign w:val="center"/>
          </w:tcPr>
          <w:p w14:paraId="5CEBB83D" w14:textId="77777777" w:rsidR="007D546B" w:rsidRPr="009C7846" w:rsidRDefault="007D546B" w:rsidP="006B1BCB">
            <w:pPr>
              <w:pStyle w:val="COMTabletext"/>
              <w:jc w:val="center"/>
            </w:pPr>
            <w:r w:rsidRPr="009C7846">
              <w:rPr>
                <w:szCs w:val="20"/>
              </w:rPr>
              <w:t>60 (1.8%)</w:t>
            </w:r>
          </w:p>
        </w:tc>
      </w:tr>
      <w:tr w:rsidR="009C7846" w:rsidRPr="009C7846" w14:paraId="571146BE" w14:textId="77777777" w:rsidTr="009C7846">
        <w:tc>
          <w:tcPr>
            <w:tcW w:w="4531" w:type="dxa"/>
            <w:shd w:val="clear" w:color="auto" w:fill="B8CCE4" w:themeFill="accent1" w:themeFillTint="66"/>
            <w:vAlign w:val="center"/>
          </w:tcPr>
          <w:p w14:paraId="7C9D8DA8" w14:textId="77777777" w:rsidR="007D546B" w:rsidRPr="009C7846" w:rsidRDefault="007D546B" w:rsidP="00481597">
            <w:pPr>
              <w:pStyle w:val="COMTabletext"/>
              <w:numPr>
                <w:ilvl w:val="0"/>
                <w:numId w:val="8"/>
              </w:numPr>
              <w:tabs>
                <w:tab w:val="right" w:pos="3610"/>
              </w:tabs>
              <w:ind w:left="171" w:right="-53" w:hanging="142"/>
              <w:rPr>
                <w:szCs w:val="20"/>
              </w:rPr>
            </w:pPr>
            <w:r w:rsidRPr="009C7846">
              <w:rPr>
                <w:szCs w:val="20"/>
              </w:rPr>
              <w:t>Discontinuation of treatment due to adverse event, n (%)</w:t>
            </w:r>
          </w:p>
        </w:tc>
        <w:tc>
          <w:tcPr>
            <w:tcW w:w="2243" w:type="dxa"/>
            <w:shd w:val="clear" w:color="auto" w:fill="B8CCE4" w:themeFill="accent1" w:themeFillTint="66"/>
            <w:vAlign w:val="center"/>
          </w:tcPr>
          <w:p w14:paraId="43505C1E" w14:textId="77777777" w:rsidR="007D546B" w:rsidRPr="009C7846" w:rsidRDefault="007D546B" w:rsidP="006B1BCB">
            <w:pPr>
              <w:pStyle w:val="COMTabletext"/>
              <w:jc w:val="center"/>
            </w:pPr>
            <w:r w:rsidRPr="009C7846">
              <w:rPr>
                <w:szCs w:val="20"/>
              </w:rPr>
              <w:t>232 (7.0%)</w:t>
            </w:r>
          </w:p>
        </w:tc>
        <w:tc>
          <w:tcPr>
            <w:tcW w:w="2243" w:type="dxa"/>
            <w:shd w:val="clear" w:color="auto" w:fill="B8CCE4" w:themeFill="accent1" w:themeFillTint="66"/>
            <w:vAlign w:val="center"/>
          </w:tcPr>
          <w:p w14:paraId="7CEACEED" w14:textId="77777777" w:rsidR="007D546B" w:rsidRPr="009C7846" w:rsidRDefault="007D546B" w:rsidP="006B1BCB">
            <w:pPr>
              <w:pStyle w:val="COMTabletext"/>
              <w:jc w:val="center"/>
            </w:pPr>
            <w:r w:rsidRPr="009C7846">
              <w:rPr>
                <w:szCs w:val="20"/>
              </w:rPr>
              <w:t>241 (7.3%)</w:t>
            </w:r>
          </w:p>
        </w:tc>
      </w:tr>
      <w:tr w:rsidR="009C7846" w:rsidRPr="009C7846" w14:paraId="1D910FBC" w14:textId="77777777" w:rsidTr="009C7846">
        <w:tc>
          <w:tcPr>
            <w:tcW w:w="4531" w:type="dxa"/>
            <w:shd w:val="clear" w:color="auto" w:fill="B8CCE4" w:themeFill="accent1" w:themeFillTint="66"/>
            <w:vAlign w:val="center"/>
          </w:tcPr>
          <w:p w14:paraId="4CD3CF8C" w14:textId="5282D5F9" w:rsidR="007D546B" w:rsidRPr="009C7846" w:rsidRDefault="007D546B" w:rsidP="006B1BCB">
            <w:pPr>
              <w:pStyle w:val="COMTabletext"/>
              <w:ind w:right="-53"/>
            </w:pPr>
            <w:r w:rsidRPr="009C7846">
              <w:rPr>
                <w:szCs w:val="20"/>
              </w:rPr>
              <w:t xml:space="preserve">Serious adverse </w:t>
            </w:r>
            <w:proofErr w:type="spellStart"/>
            <w:r w:rsidRPr="009C7846">
              <w:rPr>
                <w:szCs w:val="20"/>
              </w:rPr>
              <w:t>event</w:t>
            </w:r>
            <w:r w:rsidRPr="009C7846">
              <w:rPr>
                <w:szCs w:val="20"/>
                <w:vertAlign w:val="superscript"/>
              </w:rPr>
              <w:t>b</w:t>
            </w:r>
            <w:proofErr w:type="spellEnd"/>
            <w:r w:rsidRPr="009C7846">
              <w:rPr>
                <w:szCs w:val="20"/>
              </w:rPr>
              <w:t xml:space="preserve"> n (%)</w:t>
            </w:r>
          </w:p>
        </w:tc>
        <w:tc>
          <w:tcPr>
            <w:tcW w:w="2243" w:type="dxa"/>
            <w:shd w:val="clear" w:color="auto" w:fill="B8CCE4" w:themeFill="accent1" w:themeFillTint="66"/>
            <w:vAlign w:val="center"/>
          </w:tcPr>
          <w:p w14:paraId="74CE169B" w14:textId="77777777" w:rsidR="007D546B" w:rsidRPr="009C7846" w:rsidRDefault="007D546B" w:rsidP="006B1BCB">
            <w:pPr>
              <w:pStyle w:val="COMTabletext"/>
              <w:jc w:val="center"/>
            </w:pPr>
            <w:r w:rsidRPr="009C7846">
              <w:rPr>
                <w:szCs w:val="20"/>
              </w:rPr>
              <w:t>1,088 (32.9%)</w:t>
            </w:r>
          </w:p>
        </w:tc>
        <w:tc>
          <w:tcPr>
            <w:tcW w:w="2243" w:type="dxa"/>
            <w:shd w:val="clear" w:color="auto" w:fill="B8CCE4" w:themeFill="accent1" w:themeFillTint="66"/>
            <w:vAlign w:val="center"/>
          </w:tcPr>
          <w:p w14:paraId="214635F7" w14:textId="77777777" w:rsidR="007D546B" w:rsidRPr="009C7846" w:rsidRDefault="007D546B" w:rsidP="006B1BCB">
            <w:pPr>
              <w:pStyle w:val="COMTabletext"/>
              <w:jc w:val="center"/>
            </w:pPr>
            <w:r w:rsidRPr="009C7846">
              <w:rPr>
                <w:szCs w:val="20"/>
              </w:rPr>
              <w:t>1,167 (35.3%)</w:t>
            </w:r>
          </w:p>
        </w:tc>
      </w:tr>
      <w:tr w:rsidR="009C7846" w:rsidRPr="009C7846" w14:paraId="51F46ED5" w14:textId="77777777" w:rsidTr="009C7846">
        <w:tc>
          <w:tcPr>
            <w:tcW w:w="4531" w:type="dxa"/>
            <w:shd w:val="clear" w:color="auto" w:fill="B8CCE4" w:themeFill="accent1" w:themeFillTint="66"/>
            <w:vAlign w:val="center"/>
          </w:tcPr>
          <w:p w14:paraId="61157251" w14:textId="77777777" w:rsidR="007D546B" w:rsidRPr="009C7846" w:rsidRDefault="007D546B" w:rsidP="00481597">
            <w:pPr>
              <w:pStyle w:val="COMTabletext"/>
              <w:numPr>
                <w:ilvl w:val="0"/>
                <w:numId w:val="8"/>
              </w:numPr>
              <w:tabs>
                <w:tab w:val="right" w:pos="3610"/>
              </w:tabs>
              <w:ind w:left="171" w:right="-53" w:hanging="142"/>
              <w:rPr>
                <w:szCs w:val="20"/>
              </w:rPr>
            </w:pPr>
            <w:r w:rsidRPr="009C7846">
              <w:rPr>
                <w:szCs w:val="20"/>
              </w:rPr>
              <w:t>Serious adverse event resulting in hospitalisation, n (%)</w:t>
            </w:r>
          </w:p>
        </w:tc>
        <w:tc>
          <w:tcPr>
            <w:tcW w:w="2243" w:type="dxa"/>
            <w:shd w:val="clear" w:color="auto" w:fill="B8CCE4" w:themeFill="accent1" w:themeFillTint="66"/>
            <w:vAlign w:val="center"/>
          </w:tcPr>
          <w:p w14:paraId="0ECF7129" w14:textId="77777777" w:rsidR="007D546B" w:rsidRPr="009C7846" w:rsidRDefault="007D546B" w:rsidP="006B1BCB">
            <w:pPr>
              <w:pStyle w:val="COMTabletext"/>
              <w:jc w:val="center"/>
            </w:pPr>
            <w:r w:rsidRPr="009C7846">
              <w:rPr>
                <w:szCs w:val="20"/>
              </w:rPr>
              <w:t>852 (25.8%)</w:t>
            </w:r>
          </w:p>
        </w:tc>
        <w:tc>
          <w:tcPr>
            <w:tcW w:w="2243" w:type="dxa"/>
            <w:shd w:val="clear" w:color="auto" w:fill="B8CCE4" w:themeFill="accent1" w:themeFillTint="66"/>
            <w:vAlign w:val="center"/>
          </w:tcPr>
          <w:p w14:paraId="4734DC4E" w14:textId="77777777" w:rsidR="007D546B" w:rsidRPr="009C7846" w:rsidRDefault="007D546B" w:rsidP="006B1BCB">
            <w:pPr>
              <w:pStyle w:val="COMTabletext"/>
              <w:jc w:val="center"/>
            </w:pPr>
            <w:r w:rsidRPr="009C7846">
              <w:rPr>
                <w:szCs w:val="20"/>
              </w:rPr>
              <w:t>937 (28.4%)</w:t>
            </w:r>
          </w:p>
        </w:tc>
      </w:tr>
      <w:tr w:rsidR="009C7846" w:rsidRPr="009C7846" w14:paraId="6F02726C" w14:textId="77777777" w:rsidTr="009C7846">
        <w:tc>
          <w:tcPr>
            <w:tcW w:w="4531" w:type="dxa"/>
            <w:shd w:val="clear" w:color="auto" w:fill="B8CCE4" w:themeFill="accent1" w:themeFillTint="66"/>
            <w:vAlign w:val="center"/>
          </w:tcPr>
          <w:p w14:paraId="294CBAB2" w14:textId="77777777" w:rsidR="007D546B" w:rsidRPr="009C7846" w:rsidRDefault="007D546B" w:rsidP="00481597">
            <w:pPr>
              <w:pStyle w:val="COMTabletext"/>
              <w:numPr>
                <w:ilvl w:val="0"/>
                <w:numId w:val="8"/>
              </w:numPr>
              <w:tabs>
                <w:tab w:val="right" w:pos="3610"/>
              </w:tabs>
              <w:ind w:left="171" w:right="-53" w:hanging="142"/>
              <w:rPr>
                <w:szCs w:val="20"/>
              </w:rPr>
            </w:pPr>
            <w:r w:rsidRPr="009C7846">
              <w:rPr>
                <w:szCs w:val="20"/>
              </w:rPr>
              <w:t>Serious adverse event resulting in death, n (%)</w:t>
            </w:r>
          </w:p>
        </w:tc>
        <w:tc>
          <w:tcPr>
            <w:tcW w:w="2243" w:type="dxa"/>
            <w:shd w:val="clear" w:color="auto" w:fill="B8CCE4" w:themeFill="accent1" w:themeFillTint="66"/>
            <w:vAlign w:val="center"/>
          </w:tcPr>
          <w:p w14:paraId="7FA305EB" w14:textId="77777777" w:rsidR="007D546B" w:rsidRPr="009C7846" w:rsidRDefault="007D546B" w:rsidP="006B1BCB">
            <w:pPr>
              <w:pStyle w:val="COMTabletext"/>
              <w:jc w:val="center"/>
            </w:pPr>
            <w:r w:rsidRPr="009C7846">
              <w:rPr>
                <w:szCs w:val="20"/>
              </w:rPr>
              <w:t>88 (2.7%)</w:t>
            </w:r>
          </w:p>
        </w:tc>
        <w:tc>
          <w:tcPr>
            <w:tcW w:w="2243" w:type="dxa"/>
            <w:shd w:val="clear" w:color="auto" w:fill="B8CCE4" w:themeFill="accent1" w:themeFillTint="66"/>
            <w:vAlign w:val="center"/>
          </w:tcPr>
          <w:p w14:paraId="2C26FE9C" w14:textId="77777777" w:rsidR="007D546B" w:rsidRPr="009C7846" w:rsidRDefault="007D546B" w:rsidP="006B1BCB">
            <w:pPr>
              <w:pStyle w:val="COMTabletext"/>
              <w:jc w:val="center"/>
            </w:pPr>
            <w:r w:rsidRPr="009C7846">
              <w:rPr>
                <w:szCs w:val="20"/>
              </w:rPr>
              <w:t>93 (2.8%)</w:t>
            </w:r>
          </w:p>
        </w:tc>
      </w:tr>
      <w:tr w:rsidR="009C7846" w:rsidRPr="009C7846" w14:paraId="5B62990E" w14:textId="77777777" w:rsidTr="009C7846">
        <w:tc>
          <w:tcPr>
            <w:tcW w:w="4531" w:type="dxa"/>
            <w:shd w:val="clear" w:color="auto" w:fill="B8CCE4" w:themeFill="accent1" w:themeFillTint="66"/>
            <w:vAlign w:val="center"/>
          </w:tcPr>
          <w:p w14:paraId="4BEC8B93" w14:textId="77777777" w:rsidR="007D546B" w:rsidRPr="009C7846" w:rsidRDefault="007D546B" w:rsidP="006B1BCB">
            <w:pPr>
              <w:pStyle w:val="COMTabletext"/>
              <w:tabs>
                <w:tab w:val="right" w:pos="3610"/>
              </w:tabs>
              <w:ind w:right="-53"/>
              <w:rPr>
                <w:szCs w:val="20"/>
              </w:rPr>
            </w:pPr>
            <w:r w:rsidRPr="009C7846">
              <w:rPr>
                <w:szCs w:val="20"/>
              </w:rPr>
              <w:t>Deaths, n (%)</w:t>
            </w:r>
          </w:p>
        </w:tc>
        <w:tc>
          <w:tcPr>
            <w:tcW w:w="2243" w:type="dxa"/>
            <w:shd w:val="clear" w:color="auto" w:fill="B8CCE4" w:themeFill="accent1" w:themeFillTint="66"/>
            <w:vAlign w:val="center"/>
          </w:tcPr>
          <w:p w14:paraId="4CB3676F" w14:textId="77777777" w:rsidR="007D546B" w:rsidRPr="009C7846" w:rsidRDefault="007D546B" w:rsidP="006B1BCB">
            <w:pPr>
              <w:pStyle w:val="COMTabletext"/>
              <w:jc w:val="center"/>
              <w:rPr>
                <w:szCs w:val="20"/>
              </w:rPr>
            </w:pPr>
            <w:r w:rsidRPr="009C7846">
              <w:rPr>
                <w:szCs w:val="20"/>
              </w:rPr>
              <w:t>126 (3.8%)</w:t>
            </w:r>
          </w:p>
        </w:tc>
        <w:tc>
          <w:tcPr>
            <w:tcW w:w="2243" w:type="dxa"/>
            <w:shd w:val="clear" w:color="auto" w:fill="B8CCE4" w:themeFill="accent1" w:themeFillTint="66"/>
            <w:vAlign w:val="center"/>
          </w:tcPr>
          <w:p w14:paraId="1993EFC8" w14:textId="77777777" w:rsidR="007D546B" w:rsidRPr="009C7846" w:rsidRDefault="007D546B" w:rsidP="006B1BCB">
            <w:pPr>
              <w:pStyle w:val="COMTabletext"/>
              <w:jc w:val="center"/>
              <w:rPr>
                <w:szCs w:val="20"/>
              </w:rPr>
            </w:pPr>
            <w:r w:rsidRPr="009C7846">
              <w:rPr>
                <w:szCs w:val="20"/>
              </w:rPr>
              <w:t>135 (3.8%)</w:t>
            </w:r>
          </w:p>
        </w:tc>
      </w:tr>
    </w:tbl>
    <w:p w14:paraId="7096A046" w14:textId="77777777" w:rsidR="007D546B" w:rsidRPr="009C7846" w:rsidRDefault="007D546B" w:rsidP="007D546B">
      <w:pPr>
        <w:pStyle w:val="COMTablefooter"/>
        <w:rPr>
          <w:rFonts w:eastAsia="Calibri"/>
        </w:rPr>
      </w:pPr>
      <w:r w:rsidRPr="009C7846">
        <w:rPr>
          <w:rFonts w:eastAsia="Calibri"/>
        </w:rPr>
        <w:t>Source: Table 2.22, p120 of the resubmission.</w:t>
      </w:r>
    </w:p>
    <w:p w14:paraId="5D8F96BD" w14:textId="77777777" w:rsidR="007D546B" w:rsidRPr="009C7846" w:rsidRDefault="007D546B" w:rsidP="007D546B">
      <w:pPr>
        <w:pStyle w:val="COMTablefooter"/>
        <w:rPr>
          <w:rFonts w:eastAsia="Calibri"/>
        </w:rPr>
      </w:pPr>
      <w:r w:rsidRPr="009C7846">
        <w:rPr>
          <w:rFonts w:eastAsia="Calibri"/>
        </w:rPr>
        <w:t>Abbreviations: SC, standard care.</w:t>
      </w:r>
    </w:p>
    <w:p w14:paraId="6896AD7F" w14:textId="77777777" w:rsidR="007D546B" w:rsidRPr="009C7846" w:rsidRDefault="007D546B" w:rsidP="007D546B">
      <w:pPr>
        <w:pStyle w:val="COMTablefooter"/>
      </w:pPr>
      <w:r w:rsidRPr="009C7846">
        <w:rPr>
          <w:vertAlign w:val="superscript"/>
        </w:rPr>
        <w:t>a</w:t>
      </w:r>
      <w:r w:rsidRPr="009C7846">
        <w:t xml:space="preserve"> Pre-specified adverse events included adverse events resulting in discontinuation of study treatment, bone fractures, severe hypoglycaemia, gout, symptomatic dehydration, events leading to amputation, and any adverse event of special interest (serious liver disease, ketoacidosis, lower limb amputations).</w:t>
      </w:r>
    </w:p>
    <w:p w14:paraId="778ABCFF" w14:textId="77777777" w:rsidR="007D546B" w:rsidRDefault="007D546B" w:rsidP="007D546B">
      <w:pPr>
        <w:pStyle w:val="COMTablefooter"/>
      </w:pPr>
      <w:r w:rsidRPr="009C7846">
        <w:rPr>
          <w:vertAlign w:val="superscript"/>
        </w:rPr>
        <w:t>b</w:t>
      </w:r>
      <w:r w:rsidRPr="009C7846">
        <w:t xml:space="preserve"> Serious adverse events defined as events that resulted in death, were life-threatening, required hospitalisation resulted in persistent or significant disability or incapacity, resulted in congenital anomaly or birth defect, or were considered important by local Investigators. Serious adverse events according with the European Medicines Agency initiative on Important Medical Events were included.</w:t>
      </w:r>
    </w:p>
    <w:p w14:paraId="2E25A698" w14:textId="77777777" w:rsidR="009C7846" w:rsidRPr="00CA1643" w:rsidRDefault="009C7846" w:rsidP="009C7846">
      <w:pPr>
        <w:pStyle w:val="COMTablefooter"/>
      </w:pPr>
      <w:r>
        <w:t>Note: Results presented in the previous submission shaded blue.</w:t>
      </w:r>
    </w:p>
    <w:p w14:paraId="7C6D363E" w14:textId="77777777" w:rsidR="007E7872" w:rsidRPr="001153AC" w:rsidRDefault="007E7872" w:rsidP="007E7872">
      <w:pPr>
        <w:pStyle w:val="COMexecsummnumbered"/>
        <w:rPr>
          <w:color w:val="0066FF"/>
        </w:rPr>
      </w:pPr>
      <w:r w:rsidRPr="001153AC">
        <w:t>The proportions of patients reporting pre-specified non-serious adverse events and serious adverse events were similar between treatment arms.</w:t>
      </w:r>
    </w:p>
    <w:p w14:paraId="4F0BFAFD" w14:textId="77777777" w:rsidR="00276253" w:rsidRDefault="007E7872" w:rsidP="007E7872">
      <w:pPr>
        <w:pStyle w:val="COMexecsummnumbered"/>
      </w:pPr>
      <w:r w:rsidRPr="001153AC">
        <w:t>The most commonly reported pre-specified adverse events included gout (empagliflozin 8.2%, placebo 9.2%), bone fracture (3.7%, 3.2%), volume depletion (3.0%, 2.7%), symptomatic dehydration (2.4%, 2.1%), and hypoglycaemia (2.1%, 2.0%). The most commonly reported serious adverse events were acute kidney injury (empagliflozin 2.8%, placebo 3.5%), serious hyperkalaemia (2.6%, 2.9%), and serious hypoglycaemia (2.2%, 2.2%).</w:t>
      </w:r>
    </w:p>
    <w:p w14:paraId="359AB285" w14:textId="772E875D" w:rsidR="007706AE" w:rsidRPr="00CC5CCB" w:rsidRDefault="007706AE" w:rsidP="00D86231">
      <w:pPr>
        <w:pStyle w:val="COMexecsummnumbered"/>
      </w:pPr>
      <w:r w:rsidRPr="00CC5CCB">
        <w:t xml:space="preserve">The proportions of patients reporting adverse events in the </w:t>
      </w:r>
      <w:r w:rsidRPr="00692C68">
        <w:t>post hoc</w:t>
      </w:r>
      <w:r w:rsidRPr="00CC5CCB">
        <w:t xml:space="preserve"> incremental and overlap subgroups were similar to the EMPA-KIDNEY overall population.</w:t>
      </w:r>
    </w:p>
    <w:p w14:paraId="04908C7F" w14:textId="415B9B7D" w:rsidR="007F1017" w:rsidRPr="0098262F" w:rsidRDefault="007F1017" w:rsidP="003D5DE7">
      <w:pPr>
        <w:pStyle w:val="COMH2-non-numbered"/>
      </w:pPr>
      <w:bookmarkStart w:id="36" w:name="_Toc22897643"/>
      <w:bookmarkStart w:id="37" w:name="_Toc193277450"/>
      <w:r w:rsidRPr="0098262F">
        <w:t>Benefits/harms</w:t>
      </w:r>
      <w:bookmarkEnd w:id="36"/>
      <w:bookmarkEnd w:id="37"/>
    </w:p>
    <w:p w14:paraId="1FFF47AE" w14:textId="176841B0" w:rsidR="00627BD5" w:rsidRDefault="007908AF" w:rsidP="00D2155B">
      <w:pPr>
        <w:pStyle w:val="COMexecsummnumbered"/>
      </w:pPr>
      <w:r w:rsidRPr="00627BD5">
        <w:t xml:space="preserve">On the basis of the direct evidence presented in the EMPA-KIDNEY trial </w:t>
      </w:r>
      <w:r w:rsidRPr="00627BD5">
        <w:rPr>
          <w:i/>
          <w:iCs/>
        </w:rPr>
        <w:t xml:space="preserve">post hoc </w:t>
      </w:r>
      <w:r w:rsidRPr="00627BD5">
        <w:t>incremental subgroup, for every 100 patients with CKD</w:t>
      </w:r>
      <w:r w:rsidR="008B40F3" w:rsidRPr="00627BD5">
        <w:t xml:space="preserve"> treated with empagliflozin in addition to standard care in comparison with standard care alon</w:t>
      </w:r>
      <w:r w:rsidR="00DE1A5D">
        <w:t>e</w:t>
      </w:r>
      <w:r w:rsidR="008B40F3" w:rsidRPr="00627BD5">
        <w:t>, over a median of 24 months</w:t>
      </w:r>
      <w:r w:rsidR="00627BD5">
        <w:t>:</w:t>
      </w:r>
    </w:p>
    <w:p w14:paraId="55412233" w14:textId="03D2D9F0" w:rsidR="005C6425" w:rsidRPr="004A7296" w:rsidRDefault="00DE1A5D" w:rsidP="00253E27">
      <w:pPr>
        <w:pStyle w:val="COMexecsummbulletlist"/>
        <w:ind w:hanging="357"/>
      </w:pPr>
      <w:r>
        <w:t>A</w:t>
      </w:r>
      <w:r w:rsidR="008B40F3" w:rsidRPr="004A7296">
        <w:t xml:space="preserve">pproximately </w:t>
      </w:r>
      <w:r w:rsidR="00985416" w:rsidRPr="004A7296">
        <w:t xml:space="preserve">4 fewer patients would experience CKD progression </w:t>
      </w:r>
      <w:r w:rsidR="009C44BB" w:rsidRPr="004A7296">
        <w:t>(≥40% decline in kidney function, or progression to ESKD) or death related to cardiovascular causes.</w:t>
      </w:r>
    </w:p>
    <w:p w14:paraId="66CE53FF" w14:textId="77777777" w:rsidR="00ED6A4C" w:rsidRPr="004A7296" w:rsidRDefault="00ED6A4C" w:rsidP="00253E27">
      <w:pPr>
        <w:pStyle w:val="COMexecsummbulletlist"/>
      </w:pPr>
      <w:bookmarkStart w:id="38" w:name="_Toc22897644"/>
      <w:r w:rsidRPr="004A7296">
        <w:t xml:space="preserve">There would be </w:t>
      </w:r>
      <w:r>
        <w:t xml:space="preserve">a </w:t>
      </w:r>
      <w:r w:rsidRPr="004A7296">
        <w:t>similar incidence of adverse events.</w:t>
      </w:r>
    </w:p>
    <w:p w14:paraId="7A1772B6" w14:textId="23BB3145" w:rsidR="00B60939" w:rsidRPr="0098262F" w:rsidRDefault="00B60939" w:rsidP="003D5DE7">
      <w:pPr>
        <w:pStyle w:val="COMH2-non-numbered"/>
      </w:pPr>
      <w:bookmarkStart w:id="39" w:name="_Toc193277451"/>
      <w:r w:rsidRPr="0098262F">
        <w:t>Clinical claim</w:t>
      </w:r>
      <w:bookmarkEnd w:id="38"/>
      <w:bookmarkEnd w:id="39"/>
    </w:p>
    <w:p w14:paraId="57CBDFE4" w14:textId="77777777" w:rsidR="00457615" w:rsidRDefault="005F7588" w:rsidP="00E9094A">
      <w:pPr>
        <w:pStyle w:val="COMexecsummnumbered"/>
        <w:rPr>
          <w:rFonts w:eastAsia="Calibri"/>
        </w:rPr>
      </w:pPr>
      <w:r w:rsidRPr="0098262F">
        <w:rPr>
          <w:rFonts w:eastAsia="Calibri"/>
        </w:rPr>
        <w:t xml:space="preserve">The submission described </w:t>
      </w:r>
      <w:r w:rsidR="00457615">
        <w:rPr>
          <w:rFonts w:eastAsia="Calibri"/>
        </w:rPr>
        <w:t xml:space="preserve">empagliflozin plus standard care as </w:t>
      </w:r>
      <w:r w:rsidRPr="0098262F">
        <w:rPr>
          <w:rFonts w:eastAsia="Calibri"/>
        </w:rPr>
        <w:t xml:space="preserve">superior in terms of effectiveness </w:t>
      </w:r>
      <w:r w:rsidR="00457615">
        <w:rPr>
          <w:rFonts w:eastAsia="Calibri"/>
        </w:rPr>
        <w:t xml:space="preserve">and non-inferior in terms of safety </w:t>
      </w:r>
      <w:r w:rsidRPr="0098262F">
        <w:rPr>
          <w:rFonts w:eastAsia="Calibri"/>
        </w:rPr>
        <w:t xml:space="preserve">compared to </w:t>
      </w:r>
      <w:r w:rsidR="00457615">
        <w:rPr>
          <w:rFonts w:eastAsia="Calibri"/>
        </w:rPr>
        <w:t>placebo plus standard care</w:t>
      </w:r>
      <w:r w:rsidRPr="0098262F">
        <w:rPr>
          <w:rFonts w:eastAsia="Calibri"/>
        </w:rPr>
        <w:t>.</w:t>
      </w:r>
    </w:p>
    <w:p w14:paraId="106C91C1" w14:textId="77777777" w:rsidR="00276253" w:rsidRDefault="00DE59C7" w:rsidP="00DE59C7">
      <w:pPr>
        <w:pStyle w:val="COMexecsummnumbered"/>
      </w:pPr>
      <w:r w:rsidRPr="002676FF">
        <w:lastRenderedPageBreak/>
        <w:t>The PBAC previously considered the claim of superior efficacy against placebo in the incremental population was not adequately supported based on the post hoc subgroup analyses in the EMPA-KIDNEY trial which showed little or no improvement from empagliflozin in patients categorised as low, moderate and high risk (KDIGO staging) or in those patients with UACR &lt;200mg/g at baseline (para 6.49 and 7.16, empagliflozin PSD, November 2023 PBAC meeting).</w:t>
      </w:r>
    </w:p>
    <w:p w14:paraId="6802A8C5" w14:textId="3CA7E798" w:rsidR="00DE59C7" w:rsidRDefault="00DE59C7" w:rsidP="008551B0">
      <w:pPr>
        <w:pStyle w:val="COMexecsummnumbered"/>
      </w:pPr>
      <w:r w:rsidRPr="002676FF">
        <w:t xml:space="preserve">The ESC previously noted that the absolute magnitude of benefit associated with empagliflozin will vary substantially given the heterogeneous nature of the incremental population that was composed of a broad range of subpopulations with different baseline eGFR and UACR levels. The ESC was particularly concerned about the </w:t>
      </w:r>
      <w:r w:rsidR="00481597" w:rsidRPr="00933708">
        <w:t>absolute magnitude of benefit</w:t>
      </w:r>
      <w:r w:rsidR="00481597">
        <w:t xml:space="preserve"> in the</w:t>
      </w:r>
      <w:r w:rsidR="00481597" w:rsidRPr="00933708">
        <w:t xml:space="preserve"> </w:t>
      </w:r>
      <w:r w:rsidRPr="002676FF">
        <w:t>moderate to high KDIGO risk subgroup (eGFR 75 to &lt;90mL/min/1.73m</w:t>
      </w:r>
      <w:r w:rsidRPr="008551B0">
        <w:rPr>
          <w:vertAlign w:val="superscript"/>
        </w:rPr>
        <w:t>2</w:t>
      </w:r>
      <w:r w:rsidRPr="002676FF">
        <w:t xml:space="preserve"> and UACR ≥200 mg/g) that was sparsely populated in the trial (approximately 5%) (para 6.45, empagliflozin PSD, November 2023 PBAC meeting). The absolute magnitude of benefit in clinical practice remain</w:t>
      </w:r>
      <w:r w:rsidR="007B2CBC">
        <w:t>ed</w:t>
      </w:r>
      <w:r w:rsidRPr="002676FF">
        <w:t xml:space="preserve"> uncertain, with analyses in the resubmission indicating that the eGFR 75 to &lt;90 mL/min/1.73m</w:t>
      </w:r>
      <w:r w:rsidRPr="008551B0">
        <w:rPr>
          <w:vertAlign w:val="superscript"/>
        </w:rPr>
        <w:t>2</w:t>
      </w:r>
      <w:r w:rsidRPr="002676FF">
        <w:t xml:space="preserve"> and UACR ≥200 mg/g subgroup may be the largest group in clinical practice (46% of the incremental population).</w:t>
      </w:r>
    </w:p>
    <w:p w14:paraId="1E6C9FFD" w14:textId="21E1CCEE" w:rsidR="00276253" w:rsidRDefault="00231DE6" w:rsidP="008551B0">
      <w:pPr>
        <w:pStyle w:val="COMexecsummnumbered"/>
      </w:pPr>
      <w:r>
        <w:t xml:space="preserve">The </w:t>
      </w:r>
      <w:r w:rsidR="0089729D">
        <w:t>two-year follow up</w:t>
      </w:r>
      <w:r w:rsidR="00136FFD">
        <w:t xml:space="preserve"> </w:t>
      </w:r>
      <w:r w:rsidR="0009148E">
        <w:t>study of EMPA-KIDNEY</w:t>
      </w:r>
      <w:r w:rsidR="00136FFD">
        <w:t xml:space="preserve"> </w:t>
      </w:r>
      <w:r w:rsidR="0009148E">
        <w:t>signalled a benefit in the lower albuminuria subgroups</w:t>
      </w:r>
      <w:r w:rsidR="00187C7F">
        <w:t xml:space="preserve"> (see paragraph </w:t>
      </w:r>
      <w:r w:rsidR="004D4280">
        <w:fldChar w:fldCharType="begin"/>
      </w:r>
      <w:r w:rsidR="004D4280">
        <w:instrText xml:space="preserve"> REF _Ref198890933 \r \h </w:instrText>
      </w:r>
      <w:r w:rsidR="004D4280">
        <w:fldChar w:fldCharType="separate"/>
      </w:r>
      <w:r w:rsidR="004A7850">
        <w:t>6.19</w:t>
      </w:r>
      <w:r w:rsidR="004D4280">
        <w:fldChar w:fldCharType="end"/>
      </w:r>
      <w:r w:rsidR="00187C7F">
        <w:t>) and empagliflozin slowed the rate of progression of chronic kidney disease among all types of participant in the EMPA-KIDNEY trial, including those with little albuminuria</w:t>
      </w:r>
      <w:r w:rsidR="004D4280">
        <w:t xml:space="preserve"> (see paragraph</w:t>
      </w:r>
      <w:r w:rsidR="00926ACF">
        <w:t>s</w:t>
      </w:r>
      <w:r w:rsidR="004D4280">
        <w:t xml:space="preserve"> </w:t>
      </w:r>
      <w:r w:rsidR="00926ACF">
        <w:fldChar w:fldCharType="begin"/>
      </w:r>
      <w:r w:rsidR="00926ACF">
        <w:instrText xml:space="preserve"> REF _Ref198890985 \r \h </w:instrText>
      </w:r>
      <w:r w:rsidR="00926ACF">
        <w:fldChar w:fldCharType="separate"/>
      </w:r>
      <w:r w:rsidR="004A7850">
        <w:t>6.21</w:t>
      </w:r>
      <w:r w:rsidR="00926ACF">
        <w:fldChar w:fldCharType="end"/>
      </w:r>
      <w:r w:rsidR="00926ACF">
        <w:t xml:space="preserve"> and </w:t>
      </w:r>
      <w:r w:rsidR="00926ACF">
        <w:fldChar w:fldCharType="begin"/>
      </w:r>
      <w:r w:rsidR="00926ACF">
        <w:instrText xml:space="preserve"> REF _Ref198890987 \r \h </w:instrText>
      </w:r>
      <w:r w:rsidR="00926ACF">
        <w:fldChar w:fldCharType="separate"/>
      </w:r>
      <w:r w:rsidR="004A7850">
        <w:t>6.22</w:t>
      </w:r>
      <w:r w:rsidR="00926ACF">
        <w:fldChar w:fldCharType="end"/>
      </w:r>
      <w:r w:rsidR="00926ACF">
        <w:t>)</w:t>
      </w:r>
      <w:r w:rsidR="00187C7F">
        <w:t>.</w:t>
      </w:r>
    </w:p>
    <w:p w14:paraId="0C9C601A" w14:textId="14BC7F4E" w:rsidR="00542F0A" w:rsidRDefault="00542F0A" w:rsidP="00542F0A">
      <w:pPr>
        <w:pStyle w:val="COMexecsummnumbered"/>
      </w:pPr>
      <w:r w:rsidRPr="002676FF">
        <w:t>The PBAC previously considered that a claim of non-inferior comparative safety for empagliflozin versus placebo in the incremental population was reasonable (para 6.50, empagliflozin PSD, November 2023 PBAC meeting).</w:t>
      </w:r>
    </w:p>
    <w:p w14:paraId="15F40764" w14:textId="33293903" w:rsidR="002802DC" w:rsidRPr="00F878B4" w:rsidRDefault="002802DC" w:rsidP="002802DC">
      <w:pPr>
        <w:pStyle w:val="COMexecsummnumbered"/>
        <w:rPr>
          <w:iCs/>
          <w:snapToGrid w:val="0"/>
        </w:rPr>
      </w:pPr>
      <w:bookmarkStart w:id="40" w:name="_Hlk76376200"/>
      <w:r w:rsidRPr="004D431B">
        <w:rPr>
          <w:iCs/>
          <w:snapToGrid w:val="0"/>
        </w:rPr>
        <w:t>The PBAC considered that</w:t>
      </w:r>
      <w:r w:rsidR="004F0800">
        <w:rPr>
          <w:iCs/>
          <w:snapToGrid w:val="0"/>
        </w:rPr>
        <w:t>,</w:t>
      </w:r>
      <w:r w:rsidRPr="004D431B">
        <w:rPr>
          <w:iCs/>
          <w:snapToGrid w:val="0"/>
        </w:rPr>
        <w:t xml:space="preserve"> </w:t>
      </w:r>
      <w:r w:rsidR="002455D5">
        <w:rPr>
          <w:iCs/>
          <w:snapToGrid w:val="0"/>
        </w:rPr>
        <w:t xml:space="preserve">although there was uncertainty in magnitude of benefit, </w:t>
      </w:r>
      <w:r w:rsidRPr="004D431B">
        <w:rPr>
          <w:iCs/>
          <w:snapToGrid w:val="0"/>
        </w:rPr>
        <w:t xml:space="preserve">the claim of superior comparative effectiveness </w:t>
      </w:r>
      <w:r w:rsidR="0033681C">
        <w:rPr>
          <w:iCs/>
          <w:snapToGrid w:val="0"/>
        </w:rPr>
        <w:t xml:space="preserve">to placebo </w:t>
      </w:r>
      <w:r w:rsidR="0033681C">
        <w:rPr>
          <w:rFonts w:eastAsia="Calibri"/>
        </w:rPr>
        <w:t xml:space="preserve">plus standard care </w:t>
      </w:r>
      <w:r w:rsidRPr="004D431B">
        <w:rPr>
          <w:iCs/>
          <w:snapToGrid w:val="0"/>
        </w:rPr>
        <w:t xml:space="preserve">was </w:t>
      </w:r>
      <w:r w:rsidRPr="00F878B4">
        <w:rPr>
          <w:iCs/>
          <w:snapToGrid w:val="0"/>
        </w:rPr>
        <w:t>reasonable</w:t>
      </w:r>
      <w:r w:rsidR="00920950" w:rsidRPr="00F878B4">
        <w:rPr>
          <w:iCs/>
          <w:snapToGrid w:val="0"/>
        </w:rPr>
        <w:t xml:space="preserve"> and </w:t>
      </w:r>
      <w:r w:rsidRPr="00F878B4">
        <w:rPr>
          <w:iCs/>
          <w:snapToGrid w:val="0"/>
        </w:rPr>
        <w:t>was adequately supported by the data.</w:t>
      </w:r>
    </w:p>
    <w:p w14:paraId="6089CCEC" w14:textId="3E3A4573" w:rsidR="00C01B8A" w:rsidRPr="002676FF" w:rsidRDefault="002802DC" w:rsidP="00253E27">
      <w:pPr>
        <w:pStyle w:val="COMexecsummnumbered"/>
      </w:pPr>
      <w:r w:rsidRPr="00F878B4">
        <w:rPr>
          <w:iCs/>
          <w:snapToGrid w:val="0"/>
        </w:rPr>
        <w:t xml:space="preserve">The PBAC </w:t>
      </w:r>
      <w:r w:rsidR="00C45099" w:rsidRPr="00F878B4">
        <w:rPr>
          <w:iCs/>
          <w:snapToGrid w:val="0"/>
        </w:rPr>
        <w:t>consider</w:t>
      </w:r>
      <w:r w:rsidR="00F878B4">
        <w:rPr>
          <w:iCs/>
          <w:snapToGrid w:val="0"/>
        </w:rPr>
        <w:t>ed</w:t>
      </w:r>
      <w:r w:rsidR="00C45099" w:rsidRPr="00F878B4">
        <w:rPr>
          <w:iCs/>
          <w:snapToGrid w:val="0"/>
        </w:rPr>
        <w:t xml:space="preserve"> </w:t>
      </w:r>
      <w:r w:rsidRPr="00F878B4">
        <w:rPr>
          <w:iCs/>
          <w:snapToGrid w:val="0"/>
        </w:rPr>
        <w:t xml:space="preserve">that the claim of non-inferior comparative safety </w:t>
      </w:r>
      <w:r w:rsidR="004F0800">
        <w:rPr>
          <w:iCs/>
          <w:snapToGrid w:val="0"/>
        </w:rPr>
        <w:t xml:space="preserve">to placebo </w:t>
      </w:r>
      <w:r w:rsidR="004F0800">
        <w:rPr>
          <w:rFonts w:eastAsia="Calibri"/>
        </w:rPr>
        <w:t xml:space="preserve">plus standard care </w:t>
      </w:r>
      <w:r w:rsidRPr="00F878B4">
        <w:rPr>
          <w:iCs/>
          <w:snapToGrid w:val="0"/>
        </w:rPr>
        <w:t>was reasonable</w:t>
      </w:r>
      <w:r w:rsidR="00AE13BF" w:rsidRPr="00F878B4">
        <w:rPr>
          <w:iCs/>
          <w:snapToGrid w:val="0"/>
        </w:rPr>
        <w:t xml:space="preserve"> and</w:t>
      </w:r>
      <w:r w:rsidRPr="00F878B4">
        <w:rPr>
          <w:iCs/>
          <w:snapToGrid w:val="0"/>
        </w:rPr>
        <w:t xml:space="preserve"> adequately supported by the data.</w:t>
      </w:r>
      <w:bookmarkEnd w:id="40"/>
    </w:p>
    <w:p w14:paraId="1646BA7F" w14:textId="77777777" w:rsidR="00276253" w:rsidRDefault="00B60939" w:rsidP="003D5DE7">
      <w:pPr>
        <w:pStyle w:val="COMH2-non-numbered"/>
      </w:pPr>
      <w:bookmarkStart w:id="41" w:name="_Toc22897645"/>
      <w:bookmarkStart w:id="42" w:name="_Toc193277452"/>
      <w:r w:rsidRPr="00C805B4">
        <w:t>Economic analysis</w:t>
      </w:r>
      <w:bookmarkEnd w:id="41"/>
      <w:bookmarkEnd w:id="42"/>
    </w:p>
    <w:p w14:paraId="05106F64" w14:textId="6937A1CA" w:rsidR="00C840E1" w:rsidRDefault="00C840E1" w:rsidP="00C840E1">
      <w:pPr>
        <w:pStyle w:val="COMexecsummnumbered"/>
      </w:pPr>
      <w:r w:rsidRPr="00245B6C">
        <w:t>The resubmission acknowledged PBAC’s concerns regarding the economic evaluation presented in the November 2023 empagliflozin submission, and that the overall complexity and uncertainty of the cost-effectiveness analysis made it uninformative (para 7.16, empagliflozin PSD, November 2023 PBAC meeting).</w:t>
      </w:r>
    </w:p>
    <w:p w14:paraId="628DFA8F" w14:textId="77777777" w:rsidR="00C840E1" w:rsidRDefault="00C840E1" w:rsidP="00C840E1">
      <w:pPr>
        <w:pStyle w:val="COMexecsummnumbered"/>
      </w:pPr>
      <w:r w:rsidRPr="00245B6C">
        <w:t>Consequently, the economic evaluation in the current resubmission was completely revised based on the model structure used in the dapagliflozin submission previously considered by the PBAC at the July 2021 meeting.</w:t>
      </w:r>
    </w:p>
    <w:p w14:paraId="2A48A94F" w14:textId="77777777" w:rsidR="00276253" w:rsidRDefault="00C840E1" w:rsidP="00C840E1">
      <w:pPr>
        <w:pStyle w:val="COMexecsummnumbered"/>
      </w:pPr>
      <w:r w:rsidRPr="003547C1">
        <w:lastRenderedPageBreak/>
        <w:t xml:space="preserve">The </w:t>
      </w:r>
      <w:r>
        <w:t xml:space="preserve">modelled </w:t>
      </w:r>
      <w:r w:rsidRPr="001B0943">
        <w:t xml:space="preserve">economic evaluation compared empagliflozin plus </w:t>
      </w:r>
      <w:r w:rsidR="00E409C0">
        <w:t>standard care (</w:t>
      </w:r>
      <w:r w:rsidRPr="001B0943">
        <w:t>SC</w:t>
      </w:r>
      <w:r w:rsidR="00E409C0">
        <w:t>)</w:t>
      </w:r>
      <w:r w:rsidRPr="001B0943">
        <w:t xml:space="preserve"> versus SC alone for the treatment of patients with CKD. The economic evaluation was based on </w:t>
      </w:r>
      <w:r w:rsidRPr="000C4F6D">
        <w:rPr>
          <w:i/>
        </w:rPr>
        <w:t>post hoc</w:t>
      </w:r>
      <w:r w:rsidRPr="001B0943">
        <w:t xml:space="preserve"> analyses of the EMPA-KIDNEY trial for the incremental population, with additional modelled data.</w:t>
      </w:r>
    </w:p>
    <w:p w14:paraId="15A9AFA4" w14:textId="7A14A606" w:rsidR="00275C5A" w:rsidRDefault="00E16AD8" w:rsidP="00FF3ECD">
      <w:pPr>
        <w:pStyle w:val="COMtablefigcaption"/>
      </w:pPr>
      <w:r w:rsidRPr="0098262F">
        <w:t xml:space="preserve">Table </w:t>
      </w:r>
      <w:r w:rsidR="001154A7">
        <w:fldChar w:fldCharType="begin"/>
      </w:r>
      <w:r w:rsidR="001154A7">
        <w:instrText xml:space="preserve"> SEQ Table \* ARABIC </w:instrText>
      </w:r>
      <w:r w:rsidR="001154A7">
        <w:fldChar w:fldCharType="separate"/>
      </w:r>
      <w:r w:rsidR="004A7850">
        <w:rPr>
          <w:noProof/>
        </w:rPr>
        <w:t>10</w:t>
      </w:r>
      <w:r w:rsidR="001154A7">
        <w:rPr>
          <w:noProof/>
        </w:rPr>
        <w:fldChar w:fldCharType="end"/>
      </w:r>
      <w:r w:rsidRPr="0098262F">
        <w:t>:</w:t>
      </w:r>
      <w:r w:rsidR="00275C5A" w:rsidRPr="00FF3ECD">
        <w:t xml:space="preserve"> </w:t>
      </w:r>
      <w:r w:rsidR="00C840E1">
        <w:t>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367"/>
        <w:gridCol w:w="7650"/>
      </w:tblGrid>
      <w:tr w:rsidR="007A5E3C" w:rsidRPr="0098262F" w14:paraId="48A73F2A" w14:textId="77777777" w:rsidTr="006B1BCB">
        <w:trPr>
          <w:tblHeader/>
        </w:trPr>
        <w:tc>
          <w:tcPr>
            <w:tcW w:w="758" w:type="pct"/>
            <w:shd w:val="clear" w:color="auto" w:fill="auto"/>
            <w:vAlign w:val="center"/>
          </w:tcPr>
          <w:p w14:paraId="07D8F8B6" w14:textId="77777777" w:rsidR="007A5E3C" w:rsidRPr="0098262F" w:rsidRDefault="007A5E3C" w:rsidP="006B1BCB">
            <w:pPr>
              <w:pStyle w:val="COMTableheadingrow"/>
            </w:pPr>
            <w:r w:rsidRPr="0098262F">
              <w:t>Component</w:t>
            </w:r>
          </w:p>
        </w:tc>
        <w:tc>
          <w:tcPr>
            <w:tcW w:w="4242" w:type="pct"/>
            <w:shd w:val="clear" w:color="auto" w:fill="auto"/>
            <w:vAlign w:val="center"/>
          </w:tcPr>
          <w:p w14:paraId="29CA157E" w14:textId="77777777" w:rsidR="007A5E3C" w:rsidRPr="0098262F" w:rsidRDefault="007A5E3C" w:rsidP="006B1BCB">
            <w:pPr>
              <w:pStyle w:val="COMTableheadingrow"/>
            </w:pPr>
            <w:r>
              <w:t>Description</w:t>
            </w:r>
          </w:p>
        </w:tc>
      </w:tr>
      <w:tr w:rsidR="007A5E3C" w:rsidRPr="0098262F" w14:paraId="230C92FB" w14:textId="77777777" w:rsidTr="006B1BCB">
        <w:tc>
          <w:tcPr>
            <w:tcW w:w="758" w:type="pct"/>
            <w:shd w:val="clear" w:color="auto" w:fill="auto"/>
            <w:vAlign w:val="center"/>
          </w:tcPr>
          <w:p w14:paraId="532F1788" w14:textId="77777777" w:rsidR="007A5E3C" w:rsidRPr="0098262F" w:rsidRDefault="007A5E3C" w:rsidP="006B1BCB">
            <w:pPr>
              <w:pStyle w:val="COMTabletext"/>
            </w:pPr>
            <w:r w:rsidRPr="0098262F">
              <w:t>Treatments</w:t>
            </w:r>
          </w:p>
        </w:tc>
        <w:tc>
          <w:tcPr>
            <w:tcW w:w="4242" w:type="pct"/>
            <w:shd w:val="clear" w:color="auto" w:fill="auto"/>
            <w:vAlign w:val="center"/>
          </w:tcPr>
          <w:p w14:paraId="50A69E1D" w14:textId="77777777" w:rsidR="007A5E3C" w:rsidRPr="0098262F" w:rsidRDefault="007A5E3C" w:rsidP="006B1BCB">
            <w:pPr>
              <w:pStyle w:val="COMTabletext"/>
            </w:pPr>
            <w:r>
              <w:t>Empagliflozin plus standard care (</w:t>
            </w:r>
            <w:proofErr w:type="spellStart"/>
            <w:r>
              <w:t>ACEi</w:t>
            </w:r>
            <w:proofErr w:type="spellEnd"/>
            <w:r>
              <w:t>/ARB) versus standard care alone</w:t>
            </w:r>
          </w:p>
        </w:tc>
      </w:tr>
      <w:tr w:rsidR="007A5E3C" w:rsidRPr="0098262F" w14:paraId="0620A6E1" w14:textId="77777777" w:rsidTr="006B1BCB">
        <w:tc>
          <w:tcPr>
            <w:tcW w:w="758" w:type="pct"/>
            <w:shd w:val="clear" w:color="auto" w:fill="auto"/>
            <w:vAlign w:val="center"/>
          </w:tcPr>
          <w:p w14:paraId="346F75DC" w14:textId="77777777" w:rsidR="007A5E3C" w:rsidRPr="0098262F" w:rsidRDefault="007A5E3C" w:rsidP="006B1BCB">
            <w:pPr>
              <w:pStyle w:val="COMTabletext"/>
            </w:pPr>
            <w:r w:rsidRPr="0098262F">
              <w:t>Time horizon</w:t>
            </w:r>
          </w:p>
        </w:tc>
        <w:tc>
          <w:tcPr>
            <w:tcW w:w="4242" w:type="pct"/>
            <w:shd w:val="clear" w:color="auto" w:fill="auto"/>
            <w:vAlign w:val="center"/>
          </w:tcPr>
          <w:p w14:paraId="3309481F" w14:textId="77777777" w:rsidR="007A5E3C" w:rsidRPr="0098262F" w:rsidRDefault="007A5E3C" w:rsidP="006B1BCB">
            <w:pPr>
              <w:pStyle w:val="COMTabletext"/>
            </w:pPr>
            <w:r>
              <w:t>15 years versus mean follow-up of 23.9 months in EMPA-KIDNEY</w:t>
            </w:r>
          </w:p>
        </w:tc>
      </w:tr>
      <w:tr w:rsidR="007A5E3C" w:rsidRPr="0098262F" w14:paraId="5FE5DE7F" w14:textId="77777777" w:rsidTr="006B1BCB">
        <w:tc>
          <w:tcPr>
            <w:tcW w:w="758" w:type="pct"/>
            <w:shd w:val="clear" w:color="auto" w:fill="auto"/>
            <w:vAlign w:val="center"/>
          </w:tcPr>
          <w:p w14:paraId="2DAEC282" w14:textId="77777777" w:rsidR="007A5E3C" w:rsidRPr="0098262F" w:rsidRDefault="007A5E3C" w:rsidP="006B1BCB">
            <w:pPr>
              <w:pStyle w:val="COMTabletext"/>
            </w:pPr>
            <w:r w:rsidRPr="0098262F">
              <w:t>Outcomes</w:t>
            </w:r>
          </w:p>
        </w:tc>
        <w:tc>
          <w:tcPr>
            <w:tcW w:w="4242" w:type="pct"/>
            <w:shd w:val="clear" w:color="auto" w:fill="auto"/>
            <w:vAlign w:val="center"/>
          </w:tcPr>
          <w:p w14:paraId="2468B49E" w14:textId="77777777" w:rsidR="007A5E3C" w:rsidRPr="0098262F" w:rsidRDefault="007A5E3C" w:rsidP="006B1BCB">
            <w:pPr>
              <w:pStyle w:val="COMTabletext"/>
            </w:pPr>
            <w:r>
              <w:t>Life years, quality-adjusted life years</w:t>
            </w:r>
          </w:p>
        </w:tc>
      </w:tr>
      <w:tr w:rsidR="007A5E3C" w:rsidRPr="0098262F" w14:paraId="640C3952" w14:textId="77777777" w:rsidTr="006B1BCB">
        <w:tc>
          <w:tcPr>
            <w:tcW w:w="758" w:type="pct"/>
            <w:shd w:val="clear" w:color="auto" w:fill="auto"/>
            <w:vAlign w:val="center"/>
          </w:tcPr>
          <w:p w14:paraId="1095AAD2" w14:textId="77777777" w:rsidR="007A5E3C" w:rsidRPr="0098262F" w:rsidRDefault="007A5E3C" w:rsidP="006B1BCB">
            <w:pPr>
              <w:pStyle w:val="COMTabletext"/>
            </w:pPr>
            <w:r w:rsidRPr="0098262F">
              <w:t>Methods used to generate results</w:t>
            </w:r>
          </w:p>
        </w:tc>
        <w:tc>
          <w:tcPr>
            <w:tcW w:w="4242" w:type="pct"/>
            <w:shd w:val="clear" w:color="auto" w:fill="auto"/>
            <w:vAlign w:val="center"/>
          </w:tcPr>
          <w:p w14:paraId="58C6F75B" w14:textId="77777777" w:rsidR="007A5E3C" w:rsidRPr="0098262F" w:rsidRDefault="007A5E3C" w:rsidP="006B1BCB">
            <w:pPr>
              <w:pStyle w:val="COMTabletext"/>
            </w:pPr>
            <w:r>
              <w:t>Markov cohort state transition model with tunnel states</w:t>
            </w:r>
          </w:p>
        </w:tc>
      </w:tr>
      <w:tr w:rsidR="007A5E3C" w:rsidRPr="0098262F" w14:paraId="6F51F6F1" w14:textId="77777777" w:rsidTr="006B1BCB">
        <w:tc>
          <w:tcPr>
            <w:tcW w:w="758" w:type="pct"/>
            <w:shd w:val="clear" w:color="auto" w:fill="auto"/>
            <w:vAlign w:val="center"/>
          </w:tcPr>
          <w:p w14:paraId="43FFE1C5" w14:textId="77777777" w:rsidR="007A5E3C" w:rsidRPr="0098262F" w:rsidRDefault="007A5E3C" w:rsidP="006B1BCB">
            <w:pPr>
              <w:pStyle w:val="COMTabletext"/>
            </w:pPr>
            <w:r w:rsidRPr="0098262F">
              <w:t>Health states</w:t>
            </w:r>
          </w:p>
        </w:tc>
        <w:tc>
          <w:tcPr>
            <w:tcW w:w="4242" w:type="pct"/>
            <w:shd w:val="clear" w:color="auto" w:fill="auto"/>
            <w:vAlign w:val="center"/>
          </w:tcPr>
          <w:p w14:paraId="4A851A62" w14:textId="674C192F" w:rsidR="007A5E3C" w:rsidRPr="0098262F" w:rsidRDefault="007A5E3C" w:rsidP="006B1BCB">
            <w:pPr>
              <w:pStyle w:val="COMTabletext"/>
            </w:pPr>
            <w:r>
              <w:t>CKD (stage 2-4), ES</w:t>
            </w:r>
            <w:r w:rsidR="000F183B">
              <w:t>K</w:t>
            </w:r>
            <w:r>
              <w:t>D (conservative care, dialysis, transplant) and death</w:t>
            </w:r>
          </w:p>
        </w:tc>
      </w:tr>
      <w:tr w:rsidR="007A5E3C" w:rsidRPr="0098262F" w14:paraId="537D6062" w14:textId="77777777" w:rsidTr="006B1BCB">
        <w:tc>
          <w:tcPr>
            <w:tcW w:w="758" w:type="pct"/>
            <w:shd w:val="clear" w:color="auto" w:fill="auto"/>
            <w:vAlign w:val="center"/>
          </w:tcPr>
          <w:p w14:paraId="367B777C" w14:textId="77777777" w:rsidR="007A5E3C" w:rsidRPr="0098262F" w:rsidRDefault="007A5E3C" w:rsidP="006B1BCB">
            <w:pPr>
              <w:pStyle w:val="COMTabletext"/>
            </w:pPr>
            <w:r w:rsidRPr="0098262F">
              <w:t>Cycle length</w:t>
            </w:r>
          </w:p>
        </w:tc>
        <w:tc>
          <w:tcPr>
            <w:tcW w:w="4242" w:type="pct"/>
            <w:shd w:val="clear" w:color="auto" w:fill="auto"/>
            <w:vAlign w:val="center"/>
          </w:tcPr>
          <w:p w14:paraId="39A3944F" w14:textId="77777777" w:rsidR="007A5E3C" w:rsidRPr="0098262F" w:rsidRDefault="007A5E3C" w:rsidP="006B1BCB">
            <w:pPr>
              <w:pStyle w:val="COMTabletext"/>
            </w:pPr>
            <w:r>
              <w:t>One month with half-cycle correction</w:t>
            </w:r>
          </w:p>
        </w:tc>
      </w:tr>
      <w:tr w:rsidR="007A5E3C" w:rsidRPr="0098262F" w14:paraId="69B89E69" w14:textId="77777777" w:rsidTr="006B1BCB">
        <w:tc>
          <w:tcPr>
            <w:tcW w:w="758" w:type="pct"/>
            <w:shd w:val="clear" w:color="auto" w:fill="auto"/>
            <w:vAlign w:val="center"/>
          </w:tcPr>
          <w:p w14:paraId="0BE76699" w14:textId="77777777" w:rsidR="007A5E3C" w:rsidRPr="0098262F" w:rsidRDefault="007A5E3C" w:rsidP="006B1BCB">
            <w:pPr>
              <w:pStyle w:val="COMTabletext"/>
            </w:pPr>
            <w:r w:rsidRPr="0098262F">
              <w:t xml:space="preserve">Transition probabilities </w:t>
            </w:r>
          </w:p>
        </w:tc>
        <w:tc>
          <w:tcPr>
            <w:tcW w:w="4242" w:type="pct"/>
            <w:shd w:val="clear" w:color="auto" w:fill="auto"/>
            <w:vAlign w:val="center"/>
          </w:tcPr>
          <w:p w14:paraId="2DAEC299" w14:textId="77777777" w:rsidR="00276253" w:rsidRDefault="007A5E3C" w:rsidP="006B1BCB">
            <w:pPr>
              <w:pStyle w:val="COMTabletext"/>
              <w:spacing w:after="120"/>
            </w:pPr>
            <w:r>
              <w:t>EMPA-KIDNEY trial for the incremental population, extrapolated to 15 years using independent parametric functions.</w:t>
            </w:r>
          </w:p>
          <w:p w14:paraId="093A0BC1" w14:textId="2A2D7A04" w:rsidR="007A5E3C" w:rsidRDefault="007A5E3C" w:rsidP="006B1BCB">
            <w:pPr>
              <w:pStyle w:val="COMTabletext"/>
              <w:spacing w:after="120"/>
            </w:pPr>
            <w:r>
              <w:t>CKD to ESKD: based on Kaplan-Meier curves for time to ESKD (excluding patients who died without ESKD) for up to 31 months for empagliflozin + SC and 30 months for SC, extrapolated in both arms using the Weibull function.</w:t>
            </w:r>
          </w:p>
          <w:p w14:paraId="12E1AB1B" w14:textId="77777777" w:rsidR="007A5E3C" w:rsidRDefault="007A5E3C" w:rsidP="006B1BCB">
            <w:pPr>
              <w:pStyle w:val="COMTabletext"/>
              <w:spacing w:after="120"/>
            </w:pPr>
            <w:r>
              <w:t>CKD to death: based on Kaplan-Meier curves for time to death (excluding patients who reached ESKD) for up to 30 months in both arms, extrapolated in both arms using the Weibull function.</w:t>
            </w:r>
          </w:p>
          <w:p w14:paraId="25A644A5" w14:textId="77777777" w:rsidR="00276253" w:rsidRDefault="007A5E3C" w:rsidP="006B1BCB">
            <w:pPr>
              <w:pStyle w:val="COMTabletext"/>
              <w:spacing w:after="120"/>
            </w:pPr>
            <w:r>
              <w:t>ESKD to death: based on Kaplan-Meier curves for time from ESKD to death for up to 16 months for empagliflozin + SC and 13 months for SC, extrapolated in both arms using the exponential function.</w:t>
            </w:r>
          </w:p>
          <w:p w14:paraId="70A7A02C" w14:textId="6ECF66C3" w:rsidR="007A5E3C" w:rsidRPr="0098262F" w:rsidRDefault="007A5E3C" w:rsidP="006B1BCB">
            <w:pPr>
              <w:pStyle w:val="COMTabletext"/>
            </w:pPr>
            <w:r w:rsidRPr="003805EE">
              <w:t>Australian general population mortality (age- and sex-adjusted, sourced from the Australian Bureau of Statistics 2020-2022 life tables)</w:t>
            </w:r>
            <w:r>
              <w:t xml:space="preserve"> was</w:t>
            </w:r>
            <w:r w:rsidRPr="003805EE">
              <w:t xml:space="preserve"> applied to all patients who were alive in the model.</w:t>
            </w:r>
          </w:p>
        </w:tc>
      </w:tr>
      <w:tr w:rsidR="007A5E3C" w:rsidRPr="0098262F" w14:paraId="45F8F8AD" w14:textId="77777777" w:rsidTr="006B1BCB">
        <w:tc>
          <w:tcPr>
            <w:tcW w:w="758" w:type="pct"/>
            <w:shd w:val="clear" w:color="auto" w:fill="auto"/>
            <w:vAlign w:val="center"/>
          </w:tcPr>
          <w:p w14:paraId="6AA207AC" w14:textId="77777777" w:rsidR="007A5E3C" w:rsidRPr="0098262F" w:rsidRDefault="007A5E3C" w:rsidP="006B1BCB">
            <w:pPr>
              <w:pStyle w:val="COMTabletext"/>
            </w:pPr>
            <w:r>
              <w:t>Utility values</w:t>
            </w:r>
          </w:p>
        </w:tc>
        <w:tc>
          <w:tcPr>
            <w:tcW w:w="4242" w:type="pct"/>
            <w:shd w:val="clear" w:color="auto" w:fill="auto"/>
            <w:vAlign w:val="center"/>
          </w:tcPr>
          <w:p w14:paraId="650D300B" w14:textId="77777777" w:rsidR="007A5E3C" w:rsidRPr="0098262F" w:rsidRDefault="007A5E3C" w:rsidP="006B1BCB">
            <w:pPr>
              <w:pStyle w:val="COMTabletext"/>
            </w:pPr>
            <w:r>
              <w:t xml:space="preserve">Health state utility values (CKD, ESKD) were based on published estimates from </w:t>
            </w:r>
            <w:proofErr w:type="spellStart"/>
            <w:r>
              <w:t>Jesky</w:t>
            </w:r>
            <w:proofErr w:type="spellEnd"/>
            <w:r>
              <w:t xml:space="preserve"> 2016.</w:t>
            </w:r>
          </w:p>
        </w:tc>
      </w:tr>
      <w:tr w:rsidR="007A5E3C" w:rsidRPr="0098262F" w14:paraId="78AA6CB0" w14:textId="77777777" w:rsidTr="006B1BCB">
        <w:tc>
          <w:tcPr>
            <w:tcW w:w="758" w:type="pct"/>
            <w:shd w:val="clear" w:color="auto" w:fill="auto"/>
            <w:vAlign w:val="center"/>
          </w:tcPr>
          <w:p w14:paraId="7B68E726" w14:textId="77777777" w:rsidR="007A5E3C" w:rsidRPr="0098262F" w:rsidRDefault="007A5E3C" w:rsidP="006B1BCB">
            <w:pPr>
              <w:pStyle w:val="COMTabletext"/>
            </w:pPr>
            <w:r>
              <w:t>Costs</w:t>
            </w:r>
          </w:p>
        </w:tc>
        <w:tc>
          <w:tcPr>
            <w:tcW w:w="4242" w:type="pct"/>
            <w:shd w:val="clear" w:color="auto" w:fill="auto"/>
            <w:vAlign w:val="center"/>
          </w:tcPr>
          <w:p w14:paraId="61C0DFD0" w14:textId="77777777" w:rsidR="00276253" w:rsidRDefault="007A5E3C" w:rsidP="006B1BCB">
            <w:pPr>
              <w:pStyle w:val="COMTabletext"/>
              <w:spacing w:after="120"/>
            </w:pPr>
            <w:r>
              <w:t>The cost of empagliflozin was based on the proposed DPMQ; with a reduction in costs over time based on discontinuations in the EMPA-KIDNEY trial extrapolated using a Gompertz function.</w:t>
            </w:r>
          </w:p>
          <w:p w14:paraId="3FA1338C" w14:textId="77777777" w:rsidR="00276253" w:rsidRDefault="007A5E3C" w:rsidP="006B1BCB">
            <w:pPr>
              <w:pStyle w:val="COMTabletext"/>
              <w:spacing w:after="120"/>
            </w:pPr>
            <w:r>
              <w:t xml:space="preserve">The cost of standard care was based on the most frequently used </w:t>
            </w:r>
            <w:proofErr w:type="spellStart"/>
            <w:r>
              <w:t>ACEi</w:t>
            </w:r>
            <w:proofErr w:type="spellEnd"/>
            <w:r>
              <w:t>/ARBs in the EMPA-KIDNEY trial. The cost was applied to both treatment arms in patients who had not reached ESKD. Patients were assumed to be 100% compliant to therapy.</w:t>
            </w:r>
          </w:p>
          <w:p w14:paraId="6CF55BD2" w14:textId="2F6137AA" w:rsidR="007A5E3C" w:rsidRDefault="007A5E3C" w:rsidP="006B1BCB">
            <w:pPr>
              <w:pStyle w:val="COMTabletext"/>
              <w:spacing w:after="120"/>
            </w:pPr>
            <w:r>
              <w:t>Disease monitoring costs based on clinician review and monitoring tests required for patients with CKD and ESKD, as per estimates in the Deloitte Access Economics report on the cost of CKD (February 2023).</w:t>
            </w:r>
          </w:p>
          <w:p w14:paraId="18755468" w14:textId="77777777" w:rsidR="00276253" w:rsidRDefault="007A5E3C" w:rsidP="006B1BCB">
            <w:pPr>
              <w:pStyle w:val="COMTabletext"/>
              <w:spacing w:after="120"/>
            </w:pPr>
            <w:r>
              <w:t xml:space="preserve">ESKD treatment costs: the proportions of patients using each treatment modality were based on published estimates (Morton 2011; audit of Australian </w:t>
            </w:r>
            <w:proofErr w:type="spellStart"/>
            <w:r>
              <w:t>renal</w:t>
            </w:r>
            <w:proofErr w:type="spellEnd"/>
            <w:r>
              <w:t xml:space="preserve"> units). The costs of conservative management, dialysis and kidney transplant were based on costs reported in the Deloitte Access Economics report (February 2023).</w:t>
            </w:r>
          </w:p>
          <w:p w14:paraId="287DAEDF" w14:textId="67393363" w:rsidR="007A5E3C" w:rsidRPr="0098262F" w:rsidRDefault="007A5E3C" w:rsidP="006B1BCB">
            <w:pPr>
              <w:pStyle w:val="COMTabletext"/>
            </w:pPr>
            <w:r>
              <w:t>Terminal care costs were based on published estimates (Reeve 2018; health care use and costs in the last 6 months of life for elderly Australian DVA clients without a recorded cancer diagnosis).</w:t>
            </w:r>
          </w:p>
        </w:tc>
      </w:tr>
    </w:tbl>
    <w:p w14:paraId="3C387873" w14:textId="77777777" w:rsidR="00EF1E29" w:rsidRDefault="00EF1E29" w:rsidP="00EF1E29">
      <w:pPr>
        <w:pStyle w:val="COMTablefooter"/>
      </w:pPr>
      <w:r w:rsidRPr="0098262F">
        <w:t xml:space="preserve">Source: </w:t>
      </w:r>
      <w:r>
        <w:t>Section 3.3-3.6, pp290-331 of the resubmission</w:t>
      </w:r>
    </w:p>
    <w:p w14:paraId="5D71ACF1" w14:textId="77777777" w:rsidR="00EF1E29" w:rsidRDefault="00EF1E29" w:rsidP="00EF1E29">
      <w:pPr>
        <w:pStyle w:val="COMTablefooter"/>
      </w:pPr>
      <w:r>
        <w:t xml:space="preserve">Abbreviations: </w:t>
      </w:r>
      <w:proofErr w:type="spellStart"/>
      <w:r>
        <w:t>ACEi</w:t>
      </w:r>
      <w:proofErr w:type="spellEnd"/>
      <w:r>
        <w:t>, angiotensin converting enzyme inhibitor; ARB, angiotensin receptor blocker; CKD, chronic kidney disease; DPMQ, dispensed price maximum quantity; DVA, Department of Veteran’s Affairs; ESKD, end-stage kidney disease; SC, standard care</w:t>
      </w:r>
    </w:p>
    <w:p w14:paraId="6FABA885" w14:textId="77777777" w:rsidR="0077183E" w:rsidRDefault="0077183E" w:rsidP="0077183E">
      <w:pPr>
        <w:pStyle w:val="COMexecsummnumbered"/>
      </w:pPr>
      <w:r w:rsidRPr="003A30CE">
        <w:t>All patients begin the model in the CKD health state, with eGFR between 20 and 90</w:t>
      </w:r>
      <w:r>
        <w:t> </w:t>
      </w:r>
      <w:r w:rsidRPr="003A30CE">
        <w:t>mL/min/1.73 m</w:t>
      </w:r>
      <w:r w:rsidRPr="003A30CE">
        <w:rPr>
          <w:vertAlign w:val="superscript"/>
        </w:rPr>
        <w:t>2</w:t>
      </w:r>
      <w:r w:rsidRPr="003A30CE">
        <w:t xml:space="preserve">. Patients in the CKD health state can remain in their health state, progress to ESKD, or die prior to reaching ESKD. Patients with ESKD may either remain </w:t>
      </w:r>
      <w:r w:rsidRPr="003A30CE">
        <w:lastRenderedPageBreak/>
        <w:t>in their health state or die. The model included tunnel states to track time from entry into the ESKD health state, in order to apply transitions to death from ESKD.</w:t>
      </w:r>
    </w:p>
    <w:p w14:paraId="276CDA93" w14:textId="3B319A79" w:rsidR="0077183E" w:rsidRPr="009174B4" w:rsidRDefault="0077183E" w:rsidP="0077183E">
      <w:pPr>
        <w:pStyle w:val="COMexecsummnumbered"/>
        <w:rPr>
          <w:i/>
          <w:iCs/>
        </w:rPr>
      </w:pPr>
      <w:r w:rsidRPr="003B7C02">
        <w:t>The PBAC previously noted that the simple model structure in the July 2021 dapagliflozin submission combined different CKD stages into a single CKD health state and single ESKD health state, which did not allow for transitions through CKD stages</w:t>
      </w:r>
      <w:r w:rsidRPr="009174B4">
        <w:rPr>
          <w:i/>
          <w:iCs/>
        </w:rPr>
        <w:t xml:space="preserve"> </w:t>
      </w:r>
      <w:r w:rsidRPr="00567A64">
        <w:t xml:space="preserve">or between treatment modalities in ESKD. The PBAC considered that the </w:t>
      </w:r>
      <w:r w:rsidR="00E316D2" w:rsidRPr="003B7C02">
        <w:t xml:space="preserve">dapagliflozin submission </w:t>
      </w:r>
      <w:r w:rsidRPr="00567A64">
        <w:t>model structure was poorly justified and overly simple. The PBAC also considered the model had a number of other issues with respect to its time horizon, application of treatment persistence, ESKD transitions, ESKD survival and ESKD costs (para 7.8, dapagliflozin PSD, July 2021 PBAC meeting).</w:t>
      </w:r>
    </w:p>
    <w:p w14:paraId="5AE98EE4" w14:textId="77777777" w:rsidR="00276253" w:rsidRDefault="0077183E" w:rsidP="0077183E">
      <w:pPr>
        <w:pStyle w:val="COMexecsummnumbered"/>
      </w:pPr>
      <w:r w:rsidRPr="00DD43C8">
        <w:t>The resubmission acknowledged that there were several issues with the simple model structure, as noted by ESC and PBAC, but claimed that there are insufficient data from the EMPA-KIDNEY trial to reliably inform all possible transitions for each CKD stage for the proposed PBS incremental population. Despite the limitations of the approach, the resubmission claimed that using the same structure provides a relevant frame of reference for establishing the cost-effectiveness of empagliflozin in the proposed incremental population.</w:t>
      </w:r>
    </w:p>
    <w:p w14:paraId="160AC2D4" w14:textId="3E659A9F" w:rsidR="0077183E" w:rsidRPr="00567A64" w:rsidRDefault="0077183E" w:rsidP="0077183E">
      <w:pPr>
        <w:pStyle w:val="COMexecsummnumbered"/>
      </w:pPr>
      <w:r w:rsidRPr="00567A64">
        <w:t>The PBAC acknowledged various sensitivity analyses put forward in the July 2021 dapagliflozin pre-PBAC response (incorporating a price reduction and other adjustments) but considered that the analyses did not overcome the fundamental issues with the model structure that reduced confidence in the resulting ICERs. The PBAC remained concerned that the model structure was not robust but considered, at the time, that dapagliflozin would be cost-effective at the reduced price, comparable to other treatments for chronic conditions (para 7.8, dapagliflozin PSD, July 2021 PBAC meeting with September 2021 Addendum and November 2021 Addendum).</w:t>
      </w:r>
    </w:p>
    <w:p w14:paraId="10D7E80E" w14:textId="0A9F597E" w:rsidR="0077183E" w:rsidRPr="008F5BEF" w:rsidRDefault="0077183E" w:rsidP="0077183E">
      <w:pPr>
        <w:pStyle w:val="COMexecsummnumbered"/>
      </w:pPr>
      <w:r w:rsidRPr="008F5BEF">
        <w:t>Key drivers of the economic model are summarised in</w:t>
      </w:r>
      <w:r w:rsidR="001D0DE0">
        <w:t xml:space="preserve"> </w:t>
      </w:r>
      <w:r w:rsidR="001D0DE0">
        <w:fldChar w:fldCharType="begin"/>
      </w:r>
      <w:r w:rsidR="001D0DE0">
        <w:instrText xml:space="preserve"> REF _Ref190962178 \h </w:instrText>
      </w:r>
      <w:r w:rsidR="001D0DE0">
        <w:fldChar w:fldCharType="separate"/>
      </w:r>
      <w:r w:rsidR="004A7850" w:rsidRPr="0098262F">
        <w:t xml:space="preserve">Table </w:t>
      </w:r>
      <w:r w:rsidR="004A7850">
        <w:rPr>
          <w:noProof/>
        </w:rPr>
        <w:t>11</w:t>
      </w:r>
      <w:r w:rsidR="001D0DE0">
        <w:fldChar w:fldCharType="end"/>
      </w:r>
      <w:r w:rsidR="00240557">
        <w:t>,</w:t>
      </w:r>
      <w:r>
        <w:t xml:space="preserve"> </w:t>
      </w:r>
      <w:r w:rsidRPr="008F5BEF">
        <w:t>below.</w:t>
      </w:r>
    </w:p>
    <w:p w14:paraId="4927814C" w14:textId="3CBCFAAC" w:rsidR="008C2154" w:rsidRPr="00FF3ECD" w:rsidRDefault="008C2154" w:rsidP="008C2154">
      <w:pPr>
        <w:pStyle w:val="COMTableheadingrow"/>
      </w:pPr>
      <w:bookmarkStart w:id="43" w:name="_Ref190962178"/>
      <w:r w:rsidRPr="0098262F">
        <w:t xml:space="preserve">Table </w:t>
      </w:r>
      <w:r>
        <w:fldChar w:fldCharType="begin"/>
      </w:r>
      <w:r>
        <w:instrText xml:space="preserve"> SEQ Table \* ARABIC </w:instrText>
      </w:r>
      <w:r>
        <w:fldChar w:fldCharType="separate"/>
      </w:r>
      <w:r w:rsidR="004A7850">
        <w:rPr>
          <w:noProof/>
        </w:rPr>
        <w:t>11</w:t>
      </w:r>
      <w:r>
        <w:rPr>
          <w:noProof/>
        </w:rPr>
        <w:fldChar w:fldCharType="end"/>
      </w:r>
      <w:bookmarkEnd w:id="43"/>
      <w:r w:rsidRPr="0098262F">
        <w:t>:</w:t>
      </w:r>
      <w:r w:rsidRPr="00FF3ECD">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6523"/>
        <w:gridCol w:w="1365"/>
      </w:tblGrid>
      <w:tr w:rsidR="008C2154" w:rsidRPr="0098262F" w14:paraId="1D466F68" w14:textId="77777777" w:rsidTr="006B1BCB">
        <w:trPr>
          <w:cantSplit/>
          <w:tblHeader/>
        </w:trPr>
        <w:tc>
          <w:tcPr>
            <w:tcW w:w="626" w:type="pct"/>
            <w:shd w:val="clear" w:color="auto" w:fill="auto"/>
            <w:vAlign w:val="center"/>
          </w:tcPr>
          <w:p w14:paraId="0B982EFB" w14:textId="77777777" w:rsidR="008C2154" w:rsidRPr="0098262F" w:rsidRDefault="008C2154" w:rsidP="006B1BCB">
            <w:pPr>
              <w:pStyle w:val="COMTableheadingrow"/>
              <w:keepNext w:val="0"/>
              <w:widowControl w:val="0"/>
            </w:pPr>
            <w:r w:rsidRPr="0098262F">
              <w:t>Description</w:t>
            </w:r>
          </w:p>
        </w:tc>
        <w:tc>
          <w:tcPr>
            <w:tcW w:w="3617" w:type="pct"/>
            <w:shd w:val="clear" w:color="auto" w:fill="auto"/>
            <w:vAlign w:val="center"/>
          </w:tcPr>
          <w:p w14:paraId="684F1C03" w14:textId="77777777" w:rsidR="008C2154" w:rsidRPr="0098262F" w:rsidRDefault="008C2154" w:rsidP="006B1BCB">
            <w:pPr>
              <w:pStyle w:val="COMTableheadingrow"/>
              <w:keepNext w:val="0"/>
              <w:widowControl w:val="0"/>
            </w:pPr>
            <w:r w:rsidRPr="0098262F">
              <w:t>Method/Value</w:t>
            </w:r>
          </w:p>
        </w:tc>
        <w:tc>
          <w:tcPr>
            <w:tcW w:w="757" w:type="pct"/>
            <w:shd w:val="clear" w:color="auto" w:fill="auto"/>
            <w:vAlign w:val="center"/>
          </w:tcPr>
          <w:p w14:paraId="3DF28E35" w14:textId="77777777" w:rsidR="008C2154" w:rsidRPr="0098262F" w:rsidRDefault="008C2154" w:rsidP="006B1BCB">
            <w:pPr>
              <w:pStyle w:val="COMTableheadingrow"/>
              <w:keepNext w:val="0"/>
              <w:widowControl w:val="0"/>
              <w:jc w:val="center"/>
            </w:pPr>
            <w:r w:rsidRPr="0098262F">
              <w:t>Impact</w:t>
            </w:r>
          </w:p>
        </w:tc>
      </w:tr>
      <w:tr w:rsidR="008C2154" w:rsidRPr="0098262F" w14:paraId="4170433A" w14:textId="77777777" w:rsidTr="006B1BCB">
        <w:trPr>
          <w:cantSplit/>
        </w:trPr>
        <w:tc>
          <w:tcPr>
            <w:tcW w:w="626" w:type="pct"/>
            <w:shd w:val="clear" w:color="auto" w:fill="auto"/>
            <w:vAlign w:val="center"/>
          </w:tcPr>
          <w:p w14:paraId="322CAEB1" w14:textId="77777777" w:rsidR="008C2154" w:rsidRPr="0098262F" w:rsidRDefault="008C2154" w:rsidP="006B1BCB">
            <w:pPr>
              <w:pStyle w:val="COMTabletext"/>
              <w:keepNext w:val="0"/>
              <w:widowControl w:val="0"/>
            </w:pPr>
            <w:r>
              <w:t>Time horizon</w:t>
            </w:r>
          </w:p>
        </w:tc>
        <w:tc>
          <w:tcPr>
            <w:tcW w:w="3617" w:type="pct"/>
            <w:shd w:val="clear" w:color="auto" w:fill="auto"/>
            <w:vAlign w:val="center"/>
          </w:tcPr>
          <w:p w14:paraId="773681D5" w14:textId="77777777" w:rsidR="008C2154" w:rsidRPr="00567A64" w:rsidRDefault="008C2154" w:rsidP="006B1BCB">
            <w:pPr>
              <w:pStyle w:val="COMTabletext"/>
              <w:keepNext w:val="0"/>
              <w:widowControl w:val="0"/>
              <w:spacing w:after="120"/>
            </w:pPr>
            <w:r w:rsidRPr="006A695A">
              <w:t xml:space="preserve">The resubmission nominated a 15-year time horizon based on the time horizon in the dapagliflozin July 2021 submission. </w:t>
            </w:r>
            <w:r w:rsidRPr="00567A64">
              <w:t>The ESC previously considered that the 15-year time horizon in the dapagliflozin submission was too short and resulted in delayed ESKD and death events being converted into avoided events. The ESC considered that dapagliflozin may delay time to ESKD and therefore any impacts would be delayed rather than avoided (para 6.45, dapagliflozin PSD, July 2021 PBAC meeting).</w:t>
            </w:r>
          </w:p>
          <w:p w14:paraId="011FB7CD" w14:textId="77777777" w:rsidR="008C2154" w:rsidRPr="004148D2" w:rsidRDefault="008C2154" w:rsidP="006B1BCB">
            <w:pPr>
              <w:pStyle w:val="COMTabletext"/>
              <w:keepNext w:val="0"/>
              <w:widowControl w:val="0"/>
              <w:rPr>
                <w:i/>
                <w:iCs/>
              </w:rPr>
            </w:pPr>
            <w:r w:rsidRPr="00567A64">
              <w:t xml:space="preserve">The model estimated that 8.7% of SC patients and 28.1% of empagliflozin plus SC patients remain alive at 15 years, and any differences in the incidence of ESKD and deaths at this timepoint were translated into avoided events. </w:t>
            </w:r>
          </w:p>
        </w:tc>
        <w:tc>
          <w:tcPr>
            <w:tcW w:w="757" w:type="pct"/>
            <w:shd w:val="clear" w:color="auto" w:fill="auto"/>
            <w:vAlign w:val="center"/>
          </w:tcPr>
          <w:p w14:paraId="38DAEAD8" w14:textId="77777777" w:rsidR="008C2154" w:rsidRPr="00567A64" w:rsidRDefault="008C2154" w:rsidP="006B1BCB">
            <w:pPr>
              <w:pStyle w:val="COMTabletext"/>
              <w:keepNext w:val="0"/>
              <w:widowControl w:val="0"/>
              <w:jc w:val="center"/>
              <w:rPr>
                <w:iCs/>
              </w:rPr>
            </w:pPr>
            <w:r w:rsidRPr="00567A64">
              <w:rPr>
                <w:iCs/>
              </w:rPr>
              <w:t>High, favours empagliflozin</w:t>
            </w:r>
          </w:p>
        </w:tc>
      </w:tr>
      <w:tr w:rsidR="008C2154" w:rsidRPr="0098262F" w14:paraId="0A99FA43" w14:textId="77777777" w:rsidTr="006B1BCB">
        <w:trPr>
          <w:cantSplit/>
        </w:trPr>
        <w:tc>
          <w:tcPr>
            <w:tcW w:w="626" w:type="pct"/>
            <w:shd w:val="clear" w:color="auto" w:fill="auto"/>
            <w:vAlign w:val="center"/>
          </w:tcPr>
          <w:p w14:paraId="0ACFD673" w14:textId="77777777" w:rsidR="008C2154" w:rsidRPr="0098262F" w:rsidRDefault="008C2154" w:rsidP="006B1BCB">
            <w:pPr>
              <w:pStyle w:val="COMTabletext"/>
              <w:keepNext w:val="0"/>
              <w:widowControl w:val="0"/>
            </w:pPr>
            <w:r>
              <w:lastRenderedPageBreak/>
              <w:t>Transitions to ESKD</w:t>
            </w:r>
          </w:p>
        </w:tc>
        <w:tc>
          <w:tcPr>
            <w:tcW w:w="3617" w:type="pct"/>
            <w:shd w:val="clear" w:color="auto" w:fill="auto"/>
            <w:vAlign w:val="center"/>
          </w:tcPr>
          <w:p w14:paraId="5278C9BA" w14:textId="77777777" w:rsidR="00276253" w:rsidRDefault="008C2154" w:rsidP="006B1BCB">
            <w:pPr>
              <w:pStyle w:val="COMTabletext"/>
              <w:keepNext w:val="0"/>
              <w:widowControl w:val="0"/>
              <w:spacing w:after="120"/>
            </w:pPr>
            <w:r>
              <w:t>Transition probabilities from CKD to ESKD were informed by time to ESKD data from the incremental subgroup of EMPA-KIDNEY.</w:t>
            </w:r>
          </w:p>
          <w:p w14:paraId="7B196B77" w14:textId="77777777" w:rsidR="00276253" w:rsidRDefault="008C2154" w:rsidP="006B1BCB">
            <w:pPr>
              <w:pStyle w:val="COMTabletext"/>
              <w:keepNext w:val="0"/>
              <w:widowControl w:val="0"/>
              <w:spacing w:after="120"/>
            </w:pPr>
            <w:r w:rsidRPr="00567A64">
              <w:t>The applicability of the incremental subgroup in the trial to the PBS population is uncertain given the heterogeneity in baseline risk across the various subpopulations, with available data suggesting a substantially higher proportion of patients with milder disease in the Australian setting.</w:t>
            </w:r>
          </w:p>
          <w:p w14:paraId="1B29BE21" w14:textId="59DFD5C9" w:rsidR="008C2154" w:rsidRPr="00567A64" w:rsidRDefault="008C2154" w:rsidP="006B1BCB">
            <w:pPr>
              <w:pStyle w:val="COMTabletext"/>
              <w:keepNext w:val="0"/>
              <w:widowControl w:val="0"/>
            </w:pPr>
            <w:r w:rsidRPr="00567A64">
              <w:t>The modelled risks of ES</w:t>
            </w:r>
            <w:r w:rsidR="004F6975" w:rsidRPr="00567A64">
              <w:t>K</w:t>
            </w:r>
            <w:r w:rsidRPr="00567A64">
              <w:t>D were heavily weighted by patients with eGFR &lt;45 mL/min/1.73 m</w:t>
            </w:r>
            <w:r w:rsidRPr="00567A64">
              <w:rPr>
                <w:vertAlign w:val="superscript"/>
              </w:rPr>
              <w:t>2</w:t>
            </w:r>
            <w:r w:rsidRPr="00567A64">
              <w:t xml:space="preserve"> which are unlikely to be applicable to patients with milder disease.</w:t>
            </w:r>
          </w:p>
          <w:p w14:paraId="2B6FC58A" w14:textId="4C3E6F12" w:rsidR="008C2154" w:rsidRPr="006D3BA5" w:rsidRDefault="008C2154" w:rsidP="006B1BCB">
            <w:pPr>
              <w:rPr>
                <w:rFonts w:ascii="Arial Narrow" w:eastAsiaTheme="majorEastAsia" w:hAnsi="Arial Narrow" w:cstheme="majorBidi"/>
                <w:bCs/>
                <w:i/>
                <w:iCs/>
                <w:sz w:val="20"/>
              </w:rPr>
            </w:pPr>
            <w:r w:rsidRPr="00567A64">
              <w:rPr>
                <w:rFonts w:ascii="Arial Narrow" w:eastAsiaTheme="majorEastAsia" w:hAnsi="Arial Narrow" w:cstheme="majorBidi"/>
                <w:bCs/>
                <w:sz w:val="20"/>
              </w:rPr>
              <w:t>It is also unclear whether treatment effects associated with empagliflozin would be affected by differences in other characteristics such as age, sex, presence of comorbidities and UACR levels, with significant treatment interactions for diabetes status and UACR levels in the trial.</w:t>
            </w:r>
            <w:r w:rsidR="00276253">
              <w:rPr>
                <w:rFonts w:ascii="Arial Narrow" w:eastAsiaTheme="majorEastAsia" w:hAnsi="Arial Narrow" w:cstheme="majorBidi"/>
                <w:bCs/>
                <w:i/>
                <w:iCs/>
                <w:sz w:val="20"/>
              </w:rPr>
              <w:t xml:space="preserve"> </w:t>
            </w:r>
          </w:p>
        </w:tc>
        <w:tc>
          <w:tcPr>
            <w:tcW w:w="757" w:type="pct"/>
            <w:shd w:val="clear" w:color="auto" w:fill="auto"/>
            <w:vAlign w:val="center"/>
          </w:tcPr>
          <w:p w14:paraId="79FA18E5" w14:textId="77777777" w:rsidR="008C2154" w:rsidRPr="00567A64" w:rsidRDefault="008C2154" w:rsidP="006B1BCB">
            <w:pPr>
              <w:pStyle w:val="COMTabletext"/>
              <w:keepNext w:val="0"/>
              <w:widowControl w:val="0"/>
              <w:jc w:val="center"/>
            </w:pPr>
            <w:r w:rsidRPr="00567A64">
              <w:t>High, favours empagliflozin</w:t>
            </w:r>
          </w:p>
        </w:tc>
      </w:tr>
      <w:tr w:rsidR="008C2154" w:rsidRPr="0098262F" w14:paraId="63FFA6D0" w14:textId="77777777" w:rsidTr="006B1BCB">
        <w:trPr>
          <w:cantSplit/>
        </w:trPr>
        <w:tc>
          <w:tcPr>
            <w:tcW w:w="626" w:type="pct"/>
            <w:shd w:val="clear" w:color="auto" w:fill="auto"/>
            <w:vAlign w:val="center"/>
          </w:tcPr>
          <w:p w14:paraId="50229390" w14:textId="77777777" w:rsidR="008C2154" w:rsidRPr="0098262F" w:rsidRDefault="008C2154" w:rsidP="006B1BCB">
            <w:pPr>
              <w:pStyle w:val="COMTabletext"/>
              <w:keepNext w:val="0"/>
              <w:widowControl w:val="0"/>
            </w:pPr>
            <w:r>
              <w:t>ESKD survival</w:t>
            </w:r>
          </w:p>
        </w:tc>
        <w:tc>
          <w:tcPr>
            <w:tcW w:w="3617" w:type="pct"/>
            <w:shd w:val="clear" w:color="auto" w:fill="auto"/>
            <w:vAlign w:val="center"/>
          </w:tcPr>
          <w:p w14:paraId="5983D021" w14:textId="004D6D7D" w:rsidR="008C2154" w:rsidRDefault="008C2154" w:rsidP="006B1BCB">
            <w:pPr>
              <w:pStyle w:val="COMTabletext"/>
              <w:spacing w:after="120"/>
            </w:pPr>
            <w:r>
              <w:t>Transition probabilities from E</w:t>
            </w:r>
            <w:r w:rsidR="000F183B">
              <w:t>S</w:t>
            </w:r>
            <w:r>
              <w:t>KD to death were informed by time to ESKD data from the incremental subgroup of EMPA-KIDNEY. The resubmission assumed a fixed distribution of patients receiving different treatment modalities (conservative care, dialysis, transplant) and transitions between these treatments were not modelled.</w:t>
            </w:r>
          </w:p>
          <w:p w14:paraId="209A4CEA" w14:textId="77777777" w:rsidR="00276253" w:rsidRDefault="008C2154" w:rsidP="006B1BCB">
            <w:pPr>
              <w:pStyle w:val="COMTabletext"/>
              <w:spacing w:after="120"/>
            </w:pPr>
            <w:r w:rsidRPr="00567A64">
              <w:t xml:space="preserve">Trial-based ESKD survival estimates were informed by sparse data over a limited observation period, in which few patients had received a kidney transplant. Extrapolation of these data are unlikely to reflect longer term survival; or reflect Australian clinical practice given differences in the use of ESKD treatment modalities. Modelled overall survival in patients with ESKD in the standard care arm </w:t>
            </w:r>
            <w:r w:rsidR="00FD769B" w:rsidRPr="00567A64">
              <w:t>was</w:t>
            </w:r>
            <w:r w:rsidRPr="00567A64">
              <w:t xml:space="preserve"> substantially lower than Australian survival estimates among patients on renal replacement therapy.</w:t>
            </w:r>
          </w:p>
          <w:p w14:paraId="615FFCD2" w14:textId="73445C6A" w:rsidR="008C2154" w:rsidRPr="001B66B9" w:rsidRDefault="008C2154" w:rsidP="006B1BCB">
            <w:pPr>
              <w:pStyle w:val="COMTabletext"/>
            </w:pPr>
            <w:r w:rsidRPr="00567A64">
              <w:t>Further, the resubmission modelled a survival advantage for empagliflozin in patients with ESKD; which was inadequately supported by the available data that showed no statistically significant difference between empagliflozin and standard care.</w:t>
            </w:r>
            <w:r>
              <w:t xml:space="preserve"> </w:t>
            </w:r>
          </w:p>
        </w:tc>
        <w:tc>
          <w:tcPr>
            <w:tcW w:w="757" w:type="pct"/>
            <w:shd w:val="clear" w:color="auto" w:fill="auto"/>
            <w:vAlign w:val="center"/>
          </w:tcPr>
          <w:p w14:paraId="3A72DFC7" w14:textId="77777777" w:rsidR="008C2154" w:rsidRPr="00567A64" w:rsidRDefault="008C2154" w:rsidP="006B1BCB">
            <w:pPr>
              <w:pStyle w:val="COMTabletext"/>
              <w:jc w:val="center"/>
            </w:pPr>
            <w:r w:rsidRPr="00567A64">
              <w:t>Uncertain</w:t>
            </w:r>
          </w:p>
        </w:tc>
      </w:tr>
      <w:tr w:rsidR="008C2154" w:rsidRPr="0098262F" w14:paraId="64C1716B" w14:textId="77777777" w:rsidTr="006B1BCB">
        <w:trPr>
          <w:cantSplit/>
        </w:trPr>
        <w:tc>
          <w:tcPr>
            <w:tcW w:w="626" w:type="pct"/>
            <w:shd w:val="clear" w:color="auto" w:fill="auto"/>
            <w:vAlign w:val="center"/>
          </w:tcPr>
          <w:p w14:paraId="61AF6B60" w14:textId="77777777" w:rsidR="008C2154" w:rsidRDefault="008C2154" w:rsidP="006B1BCB">
            <w:pPr>
              <w:pStyle w:val="COMTabletext"/>
              <w:keepNext w:val="0"/>
              <w:widowControl w:val="0"/>
            </w:pPr>
            <w:r>
              <w:t>Treatment persistence</w:t>
            </w:r>
          </w:p>
        </w:tc>
        <w:tc>
          <w:tcPr>
            <w:tcW w:w="3617" w:type="pct"/>
            <w:shd w:val="clear" w:color="auto" w:fill="auto"/>
            <w:vAlign w:val="center"/>
          </w:tcPr>
          <w:p w14:paraId="79F1EAA1" w14:textId="77777777" w:rsidR="00276253" w:rsidRDefault="008C2154" w:rsidP="006B1BCB">
            <w:pPr>
              <w:pStyle w:val="COMTabletext"/>
              <w:spacing w:after="120"/>
            </w:pPr>
            <w:r>
              <w:t>The resubmission adjusted the cost of empagliflozin over time based on a Gompertz extrapolation of treatment persistence estimates from the EMPA-KIDNEY trial.</w:t>
            </w:r>
          </w:p>
          <w:p w14:paraId="7966608C" w14:textId="77777777" w:rsidR="00276253" w:rsidRDefault="008C2154" w:rsidP="006B1BCB">
            <w:pPr>
              <w:pStyle w:val="COMTabletext"/>
              <w:spacing w:after="120"/>
            </w:pPr>
            <w:r w:rsidRPr="00567A64">
              <w:t>The use of the Gompertz function was inadequately justified as it assumed an accelerating probability of treatment discontinuation over time which may not be representative of long-term persistence to treatment.</w:t>
            </w:r>
          </w:p>
          <w:p w14:paraId="690B957F" w14:textId="09D3F966" w:rsidR="008C2154" w:rsidRPr="00BF64F2" w:rsidRDefault="008C2154" w:rsidP="006B1BCB">
            <w:pPr>
              <w:pStyle w:val="COMTabletext"/>
            </w:pPr>
            <w:r w:rsidRPr="00567A64">
              <w:t>The model also inappropriately assume</w:t>
            </w:r>
            <w:r w:rsidR="00551411" w:rsidRPr="00567A64">
              <w:t>d</w:t>
            </w:r>
            <w:r w:rsidRPr="00567A64">
              <w:t xml:space="preserve"> ongoing treatment benefit despite few patients remaining on treatment over time (see </w:t>
            </w:r>
            <w:r w:rsidRPr="00567A64">
              <w:fldChar w:fldCharType="begin"/>
            </w:r>
            <w:r w:rsidRPr="00567A64">
              <w:instrText xml:space="preserve"> REF _Ref190423262 \h  \* MERGEFORMAT </w:instrText>
            </w:r>
            <w:r w:rsidRPr="00567A64">
              <w:fldChar w:fldCharType="separate"/>
            </w:r>
            <w:r w:rsidR="004A7850">
              <w:t>Figure 3</w:t>
            </w:r>
            <w:r w:rsidRPr="00567A64">
              <w:fldChar w:fldCharType="end"/>
            </w:r>
            <w:r w:rsidR="00240557">
              <w:t>,</w:t>
            </w:r>
            <w:r w:rsidRPr="00567A64">
              <w:t xml:space="preserve"> below).</w:t>
            </w:r>
            <w:r>
              <w:t xml:space="preserve"> </w:t>
            </w:r>
          </w:p>
        </w:tc>
        <w:tc>
          <w:tcPr>
            <w:tcW w:w="757" w:type="pct"/>
            <w:shd w:val="clear" w:color="auto" w:fill="auto"/>
            <w:vAlign w:val="center"/>
          </w:tcPr>
          <w:p w14:paraId="7C730CDD" w14:textId="77777777" w:rsidR="008C2154" w:rsidRPr="00D1358A" w:rsidRDefault="008C2154" w:rsidP="006B1BCB">
            <w:pPr>
              <w:pStyle w:val="COMTabletext"/>
              <w:jc w:val="center"/>
            </w:pPr>
            <w:r w:rsidRPr="00D1358A">
              <w:t>High, favours empagliflozin</w:t>
            </w:r>
          </w:p>
        </w:tc>
      </w:tr>
      <w:tr w:rsidR="008C2154" w:rsidRPr="0098262F" w14:paraId="69DFE970" w14:textId="77777777" w:rsidTr="006B1BCB">
        <w:trPr>
          <w:cantSplit/>
        </w:trPr>
        <w:tc>
          <w:tcPr>
            <w:tcW w:w="626" w:type="pct"/>
            <w:shd w:val="clear" w:color="auto" w:fill="auto"/>
            <w:vAlign w:val="center"/>
          </w:tcPr>
          <w:p w14:paraId="6C290EE1" w14:textId="77777777" w:rsidR="008C2154" w:rsidRDefault="008C2154" w:rsidP="006B1BCB">
            <w:pPr>
              <w:pStyle w:val="COMTabletext"/>
              <w:keepNext w:val="0"/>
              <w:widowControl w:val="0"/>
            </w:pPr>
            <w:r>
              <w:t>ESKD costs</w:t>
            </w:r>
          </w:p>
        </w:tc>
        <w:tc>
          <w:tcPr>
            <w:tcW w:w="3617" w:type="pct"/>
            <w:shd w:val="clear" w:color="auto" w:fill="auto"/>
            <w:vAlign w:val="center"/>
          </w:tcPr>
          <w:p w14:paraId="7E2CB4FC" w14:textId="77777777" w:rsidR="008C2154" w:rsidRPr="00D1358A" w:rsidRDefault="008C2154" w:rsidP="006B1BCB">
            <w:pPr>
              <w:pStyle w:val="COMTabletext"/>
              <w:spacing w:after="120"/>
            </w:pPr>
            <w:r w:rsidRPr="00D1358A">
              <w:t>The fixed distribution of ESKD treatment modalities is unlikely to reflect the relative exposure to each treatment modality as patients are likely to transition between treatments over time (e.g. conservative care may be used to temporarily delay the use of renal replacement therapies, dialysis may be used until a transplant becomes available).</w:t>
            </w:r>
          </w:p>
          <w:p w14:paraId="14283371" w14:textId="58B8A692" w:rsidR="008C2154" w:rsidRPr="00C06469" w:rsidRDefault="008C2154" w:rsidP="006B1BCB">
            <w:pPr>
              <w:pStyle w:val="COMTabletext"/>
            </w:pPr>
            <w:r w:rsidRPr="00D1358A">
              <w:t>The validity of E</w:t>
            </w:r>
            <w:r w:rsidR="000F183B" w:rsidRPr="00D1358A">
              <w:t>S</w:t>
            </w:r>
            <w:r w:rsidRPr="00D1358A">
              <w:t>KD treatment costs in the model could not be determined due to insufficient documentation in the cited sources. The inclusion of separately estimated ESKD monitoring costs was inadequately justified and may lead to duplication of costs already captured in ESKD treatment costs.</w:t>
            </w:r>
            <w:r>
              <w:t xml:space="preserve"> </w:t>
            </w:r>
          </w:p>
        </w:tc>
        <w:tc>
          <w:tcPr>
            <w:tcW w:w="757" w:type="pct"/>
            <w:shd w:val="clear" w:color="auto" w:fill="auto"/>
            <w:vAlign w:val="center"/>
          </w:tcPr>
          <w:p w14:paraId="654A2E52" w14:textId="77777777" w:rsidR="008C2154" w:rsidRPr="00D1358A" w:rsidRDefault="008C2154" w:rsidP="006B1BCB">
            <w:pPr>
              <w:pStyle w:val="COMTabletext"/>
              <w:jc w:val="center"/>
            </w:pPr>
            <w:r w:rsidRPr="00D1358A">
              <w:t>Variable due to ESKD survival assumptions</w:t>
            </w:r>
          </w:p>
        </w:tc>
      </w:tr>
    </w:tbl>
    <w:p w14:paraId="4E0B4BDF" w14:textId="77777777" w:rsidR="008C2154" w:rsidRDefault="008C2154" w:rsidP="008C2154">
      <w:pPr>
        <w:pStyle w:val="COMTablefooter"/>
      </w:pPr>
      <w:r w:rsidRPr="0098262F">
        <w:t>Source:</w:t>
      </w:r>
      <w:r>
        <w:t xml:space="preserve"> Constructed during the evaluation</w:t>
      </w:r>
    </w:p>
    <w:p w14:paraId="6C98DB39" w14:textId="77777777" w:rsidR="00276253" w:rsidRDefault="008C2154" w:rsidP="008C2154">
      <w:pPr>
        <w:pStyle w:val="COMTablefooter"/>
      </w:pPr>
      <w:r>
        <w:t>Abbreviations: CKD, chronic kidney disease; eGFR, estimated glomerular filtration rate; ESKD, end-stage kidney disease; SC, standard care; UACR, urinary albumin creatinine ratio</w:t>
      </w:r>
    </w:p>
    <w:p w14:paraId="39AB81A9" w14:textId="3866AB5F" w:rsidR="00276253" w:rsidRDefault="00F33F7E" w:rsidP="00F33F7E">
      <w:pPr>
        <w:pStyle w:val="COMexecsummnumbered"/>
      </w:pPr>
      <w:r>
        <w:fldChar w:fldCharType="begin"/>
      </w:r>
      <w:r>
        <w:instrText xml:space="preserve"> REF _Ref190423222 \h </w:instrText>
      </w:r>
      <w:r>
        <w:fldChar w:fldCharType="separate"/>
      </w:r>
      <w:r w:rsidR="004A7850">
        <w:t xml:space="preserve">Table </w:t>
      </w:r>
      <w:r w:rsidR="004A7850">
        <w:rPr>
          <w:noProof/>
        </w:rPr>
        <w:t>12</w:t>
      </w:r>
      <w:r>
        <w:fldChar w:fldCharType="end"/>
      </w:r>
      <w:r>
        <w:t xml:space="preserve"> summarises the incremental costs for health resource items used in the model.</w:t>
      </w:r>
    </w:p>
    <w:p w14:paraId="062DCB64" w14:textId="5617AE5A" w:rsidR="00F33F7E" w:rsidRDefault="00F33F7E" w:rsidP="00F33F7E">
      <w:pPr>
        <w:pStyle w:val="COMtablefigcaption"/>
      </w:pPr>
      <w:bookmarkStart w:id="44" w:name="_Ref190423222"/>
      <w:r>
        <w:lastRenderedPageBreak/>
        <w:t xml:space="preserve">Table </w:t>
      </w:r>
      <w:r w:rsidR="001154A7">
        <w:fldChar w:fldCharType="begin"/>
      </w:r>
      <w:r w:rsidR="001154A7">
        <w:instrText xml:space="preserve"> SEQ Table \* ARABIC </w:instrText>
      </w:r>
      <w:r w:rsidR="001154A7">
        <w:fldChar w:fldCharType="separate"/>
      </w:r>
      <w:r w:rsidR="004A7850">
        <w:rPr>
          <w:noProof/>
        </w:rPr>
        <w:t>12</w:t>
      </w:r>
      <w:r w:rsidR="001154A7">
        <w:rPr>
          <w:noProof/>
        </w:rPr>
        <w:fldChar w:fldCharType="end"/>
      </w:r>
      <w:bookmarkEnd w:id="44"/>
      <w:r>
        <w:t>: Health care resource items: disaggregated summary of cost impacts</w:t>
      </w:r>
    </w:p>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702"/>
        <w:gridCol w:w="1434"/>
        <w:gridCol w:w="1434"/>
        <w:gridCol w:w="1436"/>
      </w:tblGrid>
      <w:tr w:rsidR="00681146" w:rsidRPr="00595D9B" w14:paraId="1E7330C5" w14:textId="77777777" w:rsidTr="006B1BCB">
        <w:trPr>
          <w:trHeight w:val="469"/>
        </w:trPr>
        <w:tc>
          <w:tcPr>
            <w:tcW w:w="2610" w:type="pct"/>
            <w:vAlign w:val="center"/>
          </w:tcPr>
          <w:p w14:paraId="5E5CEEF4" w14:textId="77777777" w:rsidR="00681146" w:rsidRPr="00595D9B" w:rsidRDefault="00681146" w:rsidP="006B1BCB">
            <w:pPr>
              <w:pStyle w:val="COMTableheadingrow"/>
            </w:pPr>
            <w:r w:rsidRPr="00595D9B">
              <w:t>Type of resource item (discounted)</w:t>
            </w:r>
          </w:p>
        </w:tc>
        <w:tc>
          <w:tcPr>
            <w:tcW w:w="796" w:type="pct"/>
            <w:vAlign w:val="center"/>
          </w:tcPr>
          <w:p w14:paraId="2E47E341" w14:textId="77777777" w:rsidR="00681146" w:rsidRPr="00595D9B" w:rsidRDefault="00681146" w:rsidP="006B1BCB">
            <w:pPr>
              <w:pStyle w:val="COMTableheadingrow"/>
              <w:jc w:val="center"/>
            </w:pPr>
            <w:r>
              <w:t>Empagliflozin + SC</w:t>
            </w:r>
          </w:p>
        </w:tc>
        <w:tc>
          <w:tcPr>
            <w:tcW w:w="796" w:type="pct"/>
            <w:vAlign w:val="center"/>
          </w:tcPr>
          <w:p w14:paraId="16E5FB93" w14:textId="77777777" w:rsidR="00681146" w:rsidRPr="00595D9B" w:rsidRDefault="00681146" w:rsidP="006B1BCB">
            <w:pPr>
              <w:pStyle w:val="COMTableheadingrow"/>
              <w:jc w:val="center"/>
            </w:pPr>
            <w:r>
              <w:t>SC</w:t>
            </w:r>
          </w:p>
        </w:tc>
        <w:tc>
          <w:tcPr>
            <w:tcW w:w="797" w:type="pct"/>
            <w:vAlign w:val="center"/>
          </w:tcPr>
          <w:p w14:paraId="0FF0EA68" w14:textId="77777777" w:rsidR="00681146" w:rsidRPr="00595D9B" w:rsidRDefault="00681146" w:rsidP="006B1BCB">
            <w:pPr>
              <w:pStyle w:val="COMTableheadingrow"/>
              <w:jc w:val="center"/>
            </w:pPr>
            <w:r w:rsidRPr="00595D9B">
              <w:t>Incremental</w:t>
            </w:r>
          </w:p>
          <w:p w14:paraId="285D4D82" w14:textId="77777777" w:rsidR="00681146" w:rsidRPr="00595D9B" w:rsidRDefault="00681146" w:rsidP="006B1BCB">
            <w:pPr>
              <w:pStyle w:val="COMTableheadingrow"/>
              <w:jc w:val="center"/>
            </w:pPr>
            <w:r w:rsidRPr="00595D9B">
              <w:t>cost</w:t>
            </w:r>
          </w:p>
        </w:tc>
      </w:tr>
      <w:tr w:rsidR="00681146" w:rsidRPr="00595D9B" w14:paraId="07CD8654" w14:textId="77777777" w:rsidTr="006B1BCB">
        <w:tc>
          <w:tcPr>
            <w:tcW w:w="2610" w:type="pct"/>
          </w:tcPr>
          <w:p w14:paraId="4422C66A" w14:textId="77777777" w:rsidR="00681146" w:rsidRPr="00595D9B" w:rsidRDefault="00681146" w:rsidP="006B1BCB">
            <w:pPr>
              <w:pStyle w:val="COMTabletext"/>
            </w:pPr>
            <w:r>
              <w:t>Treatment costs</w:t>
            </w:r>
          </w:p>
        </w:tc>
        <w:tc>
          <w:tcPr>
            <w:tcW w:w="796" w:type="pct"/>
            <w:vAlign w:val="center"/>
          </w:tcPr>
          <w:p w14:paraId="0522A9FA" w14:textId="26DC0027" w:rsidR="00681146" w:rsidRPr="00A043BF" w:rsidRDefault="00681146" w:rsidP="006B1BCB">
            <w:pPr>
              <w:pStyle w:val="COMTabletext"/>
              <w:jc w:val="center"/>
            </w:pPr>
            <w:r w:rsidRPr="00A043BF">
              <w:t>$</w:t>
            </w:r>
            <w:r w:rsidR="003A33AB" w:rsidRPr="003A33AB">
              <w:rPr>
                <w:color w:val="000000"/>
                <w:spacing w:val="49"/>
                <w:shd w:val="solid" w:color="000000" w:fill="000000"/>
                <w:fitText w:val="320" w:id="-663469568"/>
                <w14:textFill>
                  <w14:solidFill>
                    <w14:srgbClr w14:val="000000">
                      <w14:alpha w14:val="100000"/>
                    </w14:srgbClr>
                  </w14:solidFill>
                </w14:textFill>
              </w:rPr>
              <w:t>|||</w:t>
            </w:r>
            <w:r w:rsidR="003A33AB" w:rsidRPr="003A33AB">
              <w:rPr>
                <w:color w:val="000000"/>
                <w:spacing w:val="3"/>
                <w:shd w:val="solid" w:color="000000" w:fill="000000"/>
                <w:fitText w:val="320" w:id="-663469568"/>
                <w14:textFill>
                  <w14:solidFill>
                    <w14:srgbClr w14:val="000000">
                      <w14:alpha w14:val="100000"/>
                    </w14:srgbClr>
                  </w14:solidFill>
                </w14:textFill>
              </w:rPr>
              <w:t>|</w:t>
            </w:r>
          </w:p>
        </w:tc>
        <w:tc>
          <w:tcPr>
            <w:tcW w:w="796" w:type="pct"/>
            <w:vAlign w:val="center"/>
          </w:tcPr>
          <w:p w14:paraId="1DDF8AA7" w14:textId="77777777" w:rsidR="00681146" w:rsidRPr="00A043BF" w:rsidRDefault="00681146" w:rsidP="006B1BCB">
            <w:pPr>
              <w:pStyle w:val="COMTabletext"/>
              <w:jc w:val="center"/>
            </w:pPr>
            <w:r w:rsidRPr="00A043BF">
              <w:t>$988</w:t>
            </w:r>
          </w:p>
        </w:tc>
        <w:tc>
          <w:tcPr>
            <w:tcW w:w="797" w:type="pct"/>
            <w:vAlign w:val="center"/>
          </w:tcPr>
          <w:p w14:paraId="23D6F04D" w14:textId="4C3D6E39" w:rsidR="00681146" w:rsidRPr="00A043BF" w:rsidRDefault="00681146" w:rsidP="006B1BCB">
            <w:pPr>
              <w:pStyle w:val="COMTabletext"/>
              <w:jc w:val="center"/>
            </w:pPr>
            <w:r w:rsidRPr="00A043BF">
              <w:t>$</w:t>
            </w:r>
            <w:r w:rsidR="003A33AB" w:rsidRPr="003A33AB">
              <w:rPr>
                <w:color w:val="000000"/>
                <w:spacing w:val="49"/>
                <w:shd w:val="solid" w:color="000000" w:fill="000000"/>
                <w:fitText w:val="320" w:id="-663469567"/>
                <w14:textFill>
                  <w14:solidFill>
                    <w14:srgbClr w14:val="000000">
                      <w14:alpha w14:val="100000"/>
                    </w14:srgbClr>
                  </w14:solidFill>
                </w14:textFill>
              </w:rPr>
              <w:t>|||</w:t>
            </w:r>
            <w:r w:rsidR="003A33AB" w:rsidRPr="003A33AB">
              <w:rPr>
                <w:color w:val="000000"/>
                <w:spacing w:val="3"/>
                <w:shd w:val="solid" w:color="000000" w:fill="000000"/>
                <w:fitText w:val="320" w:id="-663469567"/>
                <w14:textFill>
                  <w14:solidFill>
                    <w14:srgbClr w14:val="000000">
                      <w14:alpha w14:val="100000"/>
                    </w14:srgbClr>
                  </w14:solidFill>
                </w14:textFill>
              </w:rPr>
              <w:t>|</w:t>
            </w:r>
          </w:p>
        </w:tc>
      </w:tr>
      <w:tr w:rsidR="00681146" w:rsidRPr="00595D9B" w14:paraId="5CF9EB4C" w14:textId="77777777" w:rsidTr="006B1BCB">
        <w:tc>
          <w:tcPr>
            <w:tcW w:w="2610" w:type="pct"/>
          </w:tcPr>
          <w:p w14:paraId="72A6FB83" w14:textId="77777777" w:rsidR="00681146" w:rsidRPr="00595D9B" w:rsidRDefault="00681146" w:rsidP="006B1BCB">
            <w:pPr>
              <w:pStyle w:val="COMTabletext"/>
            </w:pPr>
            <w:r>
              <w:t>- Empagliflozin</w:t>
            </w:r>
          </w:p>
        </w:tc>
        <w:tc>
          <w:tcPr>
            <w:tcW w:w="796" w:type="pct"/>
            <w:vAlign w:val="center"/>
          </w:tcPr>
          <w:p w14:paraId="0B0BB6DF" w14:textId="5D43E4D7" w:rsidR="00681146" w:rsidRPr="00A043BF" w:rsidRDefault="00681146" w:rsidP="006B1BCB">
            <w:pPr>
              <w:pStyle w:val="COMTabletext"/>
              <w:jc w:val="center"/>
            </w:pPr>
            <w:r w:rsidRPr="00A043BF">
              <w:t>$</w:t>
            </w:r>
            <w:r w:rsidR="003A33AB" w:rsidRPr="003A33AB">
              <w:rPr>
                <w:color w:val="000000"/>
                <w:spacing w:val="49"/>
                <w:shd w:val="solid" w:color="000000" w:fill="000000"/>
                <w:fitText w:val="320" w:id="-663469566"/>
                <w14:textFill>
                  <w14:solidFill>
                    <w14:srgbClr w14:val="000000">
                      <w14:alpha w14:val="100000"/>
                    </w14:srgbClr>
                  </w14:solidFill>
                </w14:textFill>
              </w:rPr>
              <w:t>|||</w:t>
            </w:r>
            <w:r w:rsidR="003A33AB" w:rsidRPr="003A33AB">
              <w:rPr>
                <w:color w:val="000000"/>
                <w:spacing w:val="3"/>
                <w:shd w:val="solid" w:color="000000" w:fill="000000"/>
                <w:fitText w:val="320" w:id="-663469566"/>
                <w14:textFill>
                  <w14:solidFill>
                    <w14:srgbClr w14:val="000000">
                      <w14:alpha w14:val="100000"/>
                    </w14:srgbClr>
                  </w14:solidFill>
                </w14:textFill>
              </w:rPr>
              <w:t>|</w:t>
            </w:r>
          </w:p>
        </w:tc>
        <w:tc>
          <w:tcPr>
            <w:tcW w:w="796" w:type="pct"/>
            <w:vAlign w:val="center"/>
          </w:tcPr>
          <w:p w14:paraId="5B733A3D" w14:textId="77777777" w:rsidR="00681146" w:rsidRPr="00A043BF" w:rsidRDefault="00681146" w:rsidP="006B1BCB">
            <w:pPr>
              <w:pStyle w:val="COMTabletext"/>
              <w:jc w:val="center"/>
            </w:pPr>
            <w:r w:rsidRPr="00A043BF">
              <w:t>$0</w:t>
            </w:r>
          </w:p>
        </w:tc>
        <w:tc>
          <w:tcPr>
            <w:tcW w:w="797" w:type="pct"/>
            <w:vAlign w:val="center"/>
          </w:tcPr>
          <w:p w14:paraId="6E8E1CF6" w14:textId="1B3915C6" w:rsidR="00681146" w:rsidRPr="00A043BF" w:rsidRDefault="00681146" w:rsidP="006B1BCB">
            <w:pPr>
              <w:pStyle w:val="COMTabletext"/>
              <w:jc w:val="center"/>
            </w:pPr>
            <w:r w:rsidRPr="00A043BF">
              <w:t>$</w:t>
            </w:r>
            <w:r w:rsidR="003A33AB" w:rsidRPr="003A33AB">
              <w:rPr>
                <w:color w:val="000000"/>
                <w:spacing w:val="49"/>
                <w:shd w:val="solid" w:color="000000" w:fill="000000"/>
                <w:fitText w:val="320" w:id="-663469565"/>
                <w14:textFill>
                  <w14:solidFill>
                    <w14:srgbClr w14:val="000000">
                      <w14:alpha w14:val="100000"/>
                    </w14:srgbClr>
                  </w14:solidFill>
                </w14:textFill>
              </w:rPr>
              <w:t>|||</w:t>
            </w:r>
            <w:r w:rsidR="003A33AB" w:rsidRPr="003A33AB">
              <w:rPr>
                <w:color w:val="000000"/>
                <w:spacing w:val="3"/>
                <w:shd w:val="solid" w:color="000000" w:fill="000000"/>
                <w:fitText w:val="320" w:id="-663469565"/>
                <w14:textFill>
                  <w14:solidFill>
                    <w14:srgbClr w14:val="000000">
                      <w14:alpha w14:val="100000"/>
                    </w14:srgbClr>
                  </w14:solidFill>
                </w14:textFill>
              </w:rPr>
              <w:t>|</w:t>
            </w:r>
          </w:p>
        </w:tc>
      </w:tr>
      <w:tr w:rsidR="00681146" w:rsidRPr="00595D9B" w14:paraId="44E61E44" w14:textId="77777777" w:rsidTr="006B1BCB">
        <w:tc>
          <w:tcPr>
            <w:tcW w:w="2610" w:type="pct"/>
          </w:tcPr>
          <w:p w14:paraId="7AC4AC08" w14:textId="77777777" w:rsidR="00681146" w:rsidRPr="00595D9B" w:rsidRDefault="00681146" w:rsidP="006B1BCB">
            <w:pPr>
              <w:pStyle w:val="COMTabletext"/>
            </w:pPr>
            <w:r>
              <w:t>- Standard care</w:t>
            </w:r>
          </w:p>
        </w:tc>
        <w:tc>
          <w:tcPr>
            <w:tcW w:w="796" w:type="pct"/>
            <w:vAlign w:val="center"/>
          </w:tcPr>
          <w:p w14:paraId="66089E8C" w14:textId="77777777" w:rsidR="00681146" w:rsidRPr="00A043BF" w:rsidRDefault="00681146" w:rsidP="006B1BCB">
            <w:pPr>
              <w:pStyle w:val="COMTabletext"/>
              <w:jc w:val="center"/>
            </w:pPr>
            <w:r w:rsidRPr="00A043BF">
              <w:t>$1,228</w:t>
            </w:r>
          </w:p>
        </w:tc>
        <w:tc>
          <w:tcPr>
            <w:tcW w:w="796" w:type="pct"/>
            <w:vAlign w:val="center"/>
          </w:tcPr>
          <w:p w14:paraId="73B75392" w14:textId="77777777" w:rsidR="00681146" w:rsidRPr="00A043BF" w:rsidRDefault="00681146" w:rsidP="006B1BCB">
            <w:pPr>
              <w:pStyle w:val="COMTabletext"/>
              <w:jc w:val="center"/>
            </w:pPr>
            <w:r w:rsidRPr="00A043BF">
              <w:t>$988</w:t>
            </w:r>
          </w:p>
        </w:tc>
        <w:tc>
          <w:tcPr>
            <w:tcW w:w="797" w:type="pct"/>
            <w:vAlign w:val="center"/>
          </w:tcPr>
          <w:p w14:paraId="5B0E0BC3" w14:textId="77777777" w:rsidR="00681146" w:rsidRPr="00A043BF" w:rsidRDefault="00681146" w:rsidP="006B1BCB">
            <w:pPr>
              <w:pStyle w:val="COMTabletext"/>
              <w:jc w:val="center"/>
            </w:pPr>
            <w:r w:rsidRPr="00A043BF">
              <w:t>$240</w:t>
            </w:r>
          </w:p>
        </w:tc>
      </w:tr>
      <w:tr w:rsidR="00681146" w:rsidRPr="00595D9B" w14:paraId="50B6035F" w14:textId="77777777" w:rsidTr="006B1BCB">
        <w:tc>
          <w:tcPr>
            <w:tcW w:w="2610" w:type="pct"/>
          </w:tcPr>
          <w:p w14:paraId="4B23FC28" w14:textId="77777777" w:rsidR="00681146" w:rsidRPr="00595D9B" w:rsidRDefault="00681146" w:rsidP="006B1BCB">
            <w:pPr>
              <w:pStyle w:val="COMTabletext"/>
            </w:pPr>
            <w:r>
              <w:t>Monitoring</w:t>
            </w:r>
          </w:p>
        </w:tc>
        <w:tc>
          <w:tcPr>
            <w:tcW w:w="796" w:type="pct"/>
            <w:vAlign w:val="center"/>
          </w:tcPr>
          <w:p w14:paraId="3E8D621F" w14:textId="77777777" w:rsidR="00681146" w:rsidRPr="00A043BF" w:rsidRDefault="00681146" w:rsidP="006B1BCB">
            <w:pPr>
              <w:pStyle w:val="COMTabletext"/>
              <w:jc w:val="center"/>
            </w:pPr>
            <w:r w:rsidRPr="00A043BF">
              <w:t>$5,250</w:t>
            </w:r>
          </w:p>
        </w:tc>
        <w:tc>
          <w:tcPr>
            <w:tcW w:w="796" w:type="pct"/>
            <w:vAlign w:val="center"/>
          </w:tcPr>
          <w:p w14:paraId="50FA2610" w14:textId="77777777" w:rsidR="00681146" w:rsidRPr="00A043BF" w:rsidRDefault="00681146" w:rsidP="006B1BCB">
            <w:pPr>
              <w:pStyle w:val="COMTabletext"/>
              <w:jc w:val="center"/>
            </w:pPr>
            <w:r w:rsidRPr="00A043BF">
              <w:t>$4,318</w:t>
            </w:r>
          </w:p>
        </w:tc>
        <w:tc>
          <w:tcPr>
            <w:tcW w:w="797" w:type="pct"/>
            <w:vAlign w:val="center"/>
          </w:tcPr>
          <w:p w14:paraId="279315BF" w14:textId="77777777" w:rsidR="00681146" w:rsidRPr="00A043BF" w:rsidRDefault="00681146" w:rsidP="006B1BCB">
            <w:pPr>
              <w:pStyle w:val="COMTabletext"/>
              <w:jc w:val="center"/>
            </w:pPr>
            <w:r w:rsidRPr="00A043BF">
              <w:t>$933</w:t>
            </w:r>
          </w:p>
        </w:tc>
      </w:tr>
      <w:tr w:rsidR="00681146" w:rsidRPr="00595D9B" w14:paraId="1CCDFE1C" w14:textId="77777777" w:rsidTr="006B1BCB">
        <w:tc>
          <w:tcPr>
            <w:tcW w:w="2610" w:type="pct"/>
          </w:tcPr>
          <w:p w14:paraId="71AC3C2F" w14:textId="77777777" w:rsidR="00681146" w:rsidRPr="00595D9B" w:rsidRDefault="00681146" w:rsidP="006B1BCB">
            <w:pPr>
              <w:pStyle w:val="COMTabletext"/>
            </w:pPr>
            <w:r>
              <w:t>- CKD monitoring</w:t>
            </w:r>
          </w:p>
        </w:tc>
        <w:tc>
          <w:tcPr>
            <w:tcW w:w="796" w:type="pct"/>
            <w:vAlign w:val="center"/>
          </w:tcPr>
          <w:p w14:paraId="778DCDC2" w14:textId="77777777" w:rsidR="00681146" w:rsidRPr="00A043BF" w:rsidRDefault="00681146" w:rsidP="006B1BCB">
            <w:pPr>
              <w:pStyle w:val="COMTabletext"/>
              <w:jc w:val="center"/>
            </w:pPr>
            <w:r w:rsidRPr="00A043BF">
              <w:t>$4,535</w:t>
            </w:r>
          </w:p>
        </w:tc>
        <w:tc>
          <w:tcPr>
            <w:tcW w:w="796" w:type="pct"/>
            <w:vAlign w:val="center"/>
          </w:tcPr>
          <w:p w14:paraId="161B80E4" w14:textId="77777777" w:rsidR="00681146" w:rsidRPr="00A043BF" w:rsidRDefault="00681146" w:rsidP="006B1BCB">
            <w:pPr>
              <w:pStyle w:val="COMTabletext"/>
              <w:jc w:val="center"/>
            </w:pPr>
            <w:r w:rsidRPr="00A043BF">
              <w:t>$3,640</w:t>
            </w:r>
          </w:p>
        </w:tc>
        <w:tc>
          <w:tcPr>
            <w:tcW w:w="797" w:type="pct"/>
            <w:vAlign w:val="center"/>
          </w:tcPr>
          <w:p w14:paraId="382C7695" w14:textId="77777777" w:rsidR="00681146" w:rsidRPr="00A043BF" w:rsidRDefault="00681146" w:rsidP="006B1BCB">
            <w:pPr>
              <w:pStyle w:val="COMTabletext"/>
              <w:jc w:val="center"/>
            </w:pPr>
            <w:r w:rsidRPr="00A043BF">
              <w:t>$894</w:t>
            </w:r>
          </w:p>
        </w:tc>
      </w:tr>
      <w:tr w:rsidR="00681146" w:rsidRPr="00595D9B" w14:paraId="2190D00F" w14:textId="77777777" w:rsidTr="006B1BCB">
        <w:tc>
          <w:tcPr>
            <w:tcW w:w="2610" w:type="pct"/>
          </w:tcPr>
          <w:p w14:paraId="259A32B1" w14:textId="77777777" w:rsidR="00681146" w:rsidRPr="00595D9B" w:rsidRDefault="00681146" w:rsidP="006B1BCB">
            <w:pPr>
              <w:pStyle w:val="COMTabletext"/>
            </w:pPr>
            <w:r>
              <w:t>- ESKD monitoring</w:t>
            </w:r>
          </w:p>
        </w:tc>
        <w:tc>
          <w:tcPr>
            <w:tcW w:w="796" w:type="pct"/>
            <w:vAlign w:val="center"/>
          </w:tcPr>
          <w:p w14:paraId="279784D2" w14:textId="77777777" w:rsidR="00681146" w:rsidRPr="00A043BF" w:rsidRDefault="00681146" w:rsidP="006B1BCB">
            <w:pPr>
              <w:pStyle w:val="COMTabletext"/>
              <w:jc w:val="center"/>
            </w:pPr>
            <w:r w:rsidRPr="00A043BF">
              <w:t>$716</w:t>
            </w:r>
          </w:p>
        </w:tc>
        <w:tc>
          <w:tcPr>
            <w:tcW w:w="796" w:type="pct"/>
            <w:vAlign w:val="center"/>
          </w:tcPr>
          <w:p w14:paraId="7ACF41EE" w14:textId="77777777" w:rsidR="00681146" w:rsidRPr="00A043BF" w:rsidRDefault="00681146" w:rsidP="006B1BCB">
            <w:pPr>
              <w:pStyle w:val="COMTabletext"/>
              <w:jc w:val="center"/>
            </w:pPr>
            <w:r w:rsidRPr="00A043BF">
              <w:t>$677</w:t>
            </w:r>
          </w:p>
        </w:tc>
        <w:tc>
          <w:tcPr>
            <w:tcW w:w="797" w:type="pct"/>
            <w:vAlign w:val="center"/>
          </w:tcPr>
          <w:p w14:paraId="7C2138E6" w14:textId="77777777" w:rsidR="00681146" w:rsidRPr="00A043BF" w:rsidRDefault="00681146" w:rsidP="006B1BCB">
            <w:pPr>
              <w:pStyle w:val="COMTabletext"/>
              <w:jc w:val="center"/>
            </w:pPr>
            <w:r w:rsidRPr="00A043BF">
              <w:t>$38</w:t>
            </w:r>
          </w:p>
        </w:tc>
      </w:tr>
      <w:tr w:rsidR="00681146" w:rsidRPr="00595D9B" w14:paraId="6914A699" w14:textId="77777777" w:rsidTr="006B1BCB">
        <w:tc>
          <w:tcPr>
            <w:tcW w:w="2610" w:type="pct"/>
          </w:tcPr>
          <w:p w14:paraId="4B8A96B5" w14:textId="77777777" w:rsidR="00681146" w:rsidRPr="00595D9B" w:rsidRDefault="00681146" w:rsidP="006B1BCB">
            <w:pPr>
              <w:pStyle w:val="COMTabletext"/>
            </w:pPr>
            <w:r>
              <w:t>ESKD treatment</w:t>
            </w:r>
          </w:p>
        </w:tc>
        <w:tc>
          <w:tcPr>
            <w:tcW w:w="796" w:type="pct"/>
            <w:vAlign w:val="center"/>
          </w:tcPr>
          <w:p w14:paraId="1EC46DA1" w14:textId="77777777" w:rsidR="00681146" w:rsidRPr="00A043BF" w:rsidRDefault="00681146" w:rsidP="006B1BCB">
            <w:pPr>
              <w:pStyle w:val="COMTabletext"/>
              <w:jc w:val="center"/>
            </w:pPr>
            <w:r w:rsidRPr="00A043BF">
              <w:t>$79,712</w:t>
            </w:r>
          </w:p>
        </w:tc>
        <w:tc>
          <w:tcPr>
            <w:tcW w:w="796" w:type="pct"/>
            <w:vAlign w:val="center"/>
          </w:tcPr>
          <w:p w14:paraId="70AE8517" w14:textId="77777777" w:rsidR="00681146" w:rsidRPr="00A043BF" w:rsidRDefault="00681146" w:rsidP="006B1BCB">
            <w:pPr>
              <w:pStyle w:val="COMTabletext"/>
              <w:jc w:val="center"/>
            </w:pPr>
            <w:r w:rsidRPr="00A043BF">
              <w:t>$77,073</w:t>
            </w:r>
          </w:p>
        </w:tc>
        <w:tc>
          <w:tcPr>
            <w:tcW w:w="797" w:type="pct"/>
            <w:vAlign w:val="center"/>
          </w:tcPr>
          <w:p w14:paraId="7234A7C2" w14:textId="77777777" w:rsidR="00681146" w:rsidRPr="00A043BF" w:rsidRDefault="00681146" w:rsidP="006B1BCB">
            <w:pPr>
              <w:pStyle w:val="COMTabletext"/>
              <w:jc w:val="center"/>
            </w:pPr>
            <w:r w:rsidRPr="00A043BF">
              <w:t>$2,639</w:t>
            </w:r>
          </w:p>
        </w:tc>
      </w:tr>
      <w:tr w:rsidR="00681146" w:rsidRPr="00595D9B" w14:paraId="66B7AF46" w14:textId="77777777" w:rsidTr="006B1BCB">
        <w:tc>
          <w:tcPr>
            <w:tcW w:w="2610" w:type="pct"/>
          </w:tcPr>
          <w:p w14:paraId="584835CA" w14:textId="77777777" w:rsidR="00681146" w:rsidRPr="00595D9B" w:rsidRDefault="00681146" w:rsidP="006B1BCB">
            <w:pPr>
              <w:pStyle w:val="COMTabletext"/>
            </w:pPr>
            <w:r>
              <w:t>- Conservative care</w:t>
            </w:r>
          </w:p>
        </w:tc>
        <w:tc>
          <w:tcPr>
            <w:tcW w:w="796" w:type="pct"/>
            <w:vAlign w:val="center"/>
          </w:tcPr>
          <w:p w14:paraId="65446A09" w14:textId="77777777" w:rsidR="00681146" w:rsidRPr="00A043BF" w:rsidRDefault="00681146" w:rsidP="006B1BCB">
            <w:pPr>
              <w:pStyle w:val="COMTabletext"/>
              <w:jc w:val="center"/>
            </w:pPr>
            <w:r w:rsidRPr="00A043BF">
              <w:t>$161</w:t>
            </w:r>
          </w:p>
        </w:tc>
        <w:tc>
          <w:tcPr>
            <w:tcW w:w="796" w:type="pct"/>
            <w:vAlign w:val="center"/>
          </w:tcPr>
          <w:p w14:paraId="0CA4CB71" w14:textId="77777777" w:rsidR="00681146" w:rsidRPr="00A043BF" w:rsidRDefault="00681146" w:rsidP="006B1BCB">
            <w:pPr>
              <w:pStyle w:val="COMTabletext"/>
              <w:jc w:val="center"/>
            </w:pPr>
            <w:r w:rsidRPr="00A043BF">
              <w:t>$153</w:t>
            </w:r>
          </w:p>
        </w:tc>
        <w:tc>
          <w:tcPr>
            <w:tcW w:w="797" w:type="pct"/>
            <w:vAlign w:val="center"/>
          </w:tcPr>
          <w:p w14:paraId="291D5E4E" w14:textId="77777777" w:rsidR="00681146" w:rsidRPr="00A043BF" w:rsidRDefault="00681146" w:rsidP="006B1BCB">
            <w:pPr>
              <w:pStyle w:val="COMTabletext"/>
              <w:jc w:val="center"/>
            </w:pPr>
            <w:r w:rsidRPr="00A043BF">
              <w:t>$7</w:t>
            </w:r>
          </w:p>
        </w:tc>
      </w:tr>
      <w:tr w:rsidR="00681146" w:rsidRPr="00595D9B" w14:paraId="2195F7CB" w14:textId="77777777" w:rsidTr="006B1BCB">
        <w:tc>
          <w:tcPr>
            <w:tcW w:w="2610" w:type="pct"/>
          </w:tcPr>
          <w:p w14:paraId="2FCC0193" w14:textId="77777777" w:rsidR="00681146" w:rsidRPr="00595D9B" w:rsidRDefault="00681146" w:rsidP="006B1BCB">
            <w:pPr>
              <w:pStyle w:val="COMTabletext"/>
            </w:pPr>
            <w:r>
              <w:t>- Dialysis (initial)</w:t>
            </w:r>
          </w:p>
        </w:tc>
        <w:tc>
          <w:tcPr>
            <w:tcW w:w="796" w:type="pct"/>
            <w:vAlign w:val="center"/>
          </w:tcPr>
          <w:p w14:paraId="40652285" w14:textId="77777777" w:rsidR="00681146" w:rsidRPr="00A043BF" w:rsidRDefault="00681146" w:rsidP="006B1BCB">
            <w:pPr>
              <w:pStyle w:val="COMTabletext"/>
              <w:jc w:val="center"/>
            </w:pPr>
            <w:r w:rsidRPr="00A043BF">
              <w:t>$3,396</w:t>
            </w:r>
          </w:p>
        </w:tc>
        <w:tc>
          <w:tcPr>
            <w:tcW w:w="796" w:type="pct"/>
            <w:vAlign w:val="center"/>
          </w:tcPr>
          <w:p w14:paraId="02EA120D" w14:textId="77777777" w:rsidR="00681146" w:rsidRPr="00A043BF" w:rsidRDefault="00681146" w:rsidP="006B1BCB">
            <w:pPr>
              <w:pStyle w:val="COMTabletext"/>
              <w:jc w:val="center"/>
            </w:pPr>
            <w:r w:rsidRPr="00A043BF">
              <w:t>$4,554</w:t>
            </w:r>
          </w:p>
        </w:tc>
        <w:tc>
          <w:tcPr>
            <w:tcW w:w="797" w:type="pct"/>
            <w:vAlign w:val="center"/>
          </w:tcPr>
          <w:p w14:paraId="68C32602" w14:textId="77777777" w:rsidR="00681146" w:rsidRPr="00A043BF" w:rsidRDefault="00681146" w:rsidP="006B1BCB">
            <w:pPr>
              <w:pStyle w:val="COMTabletext"/>
              <w:jc w:val="center"/>
            </w:pPr>
            <w:r w:rsidRPr="00A043BF">
              <w:t>-$1,158</w:t>
            </w:r>
          </w:p>
        </w:tc>
      </w:tr>
      <w:tr w:rsidR="00681146" w:rsidRPr="00595D9B" w14:paraId="3C675E81" w14:textId="77777777" w:rsidTr="006B1BCB">
        <w:tc>
          <w:tcPr>
            <w:tcW w:w="2610" w:type="pct"/>
          </w:tcPr>
          <w:p w14:paraId="114FE1CB" w14:textId="77777777" w:rsidR="00681146" w:rsidRDefault="00681146" w:rsidP="006B1BCB">
            <w:pPr>
              <w:pStyle w:val="COMTabletext"/>
            </w:pPr>
            <w:r>
              <w:t>- Dialysis (ongoing)</w:t>
            </w:r>
          </w:p>
        </w:tc>
        <w:tc>
          <w:tcPr>
            <w:tcW w:w="796" w:type="pct"/>
            <w:vAlign w:val="center"/>
          </w:tcPr>
          <w:p w14:paraId="4095E151" w14:textId="77777777" w:rsidR="00681146" w:rsidRPr="00A043BF" w:rsidRDefault="00681146" w:rsidP="006B1BCB">
            <w:pPr>
              <w:pStyle w:val="COMTabletext"/>
              <w:jc w:val="center"/>
            </w:pPr>
            <w:r w:rsidRPr="00A043BF">
              <w:t>$74,972</w:t>
            </w:r>
          </w:p>
        </w:tc>
        <w:tc>
          <w:tcPr>
            <w:tcW w:w="796" w:type="pct"/>
            <w:vAlign w:val="center"/>
          </w:tcPr>
          <w:p w14:paraId="50F1BF96" w14:textId="77777777" w:rsidR="00681146" w:rsidRPr="00A043BF" w:rsidRDefault="00681146" w:rsidP="006B1BCB">
            <w:pPr>
              <w:pStyle w:val="COMTabletext"/>
              <w:jc w:val="center"/>
            </w:pPr>
            <w:r w:rsidRPr="00A043BF">
              <w:t>$70,944</w:t>
            </w:r>
          </w:p>
        </w:tc>
        <w:tc>
          <w:tcPr>
            <w:tcW w:w="797" w:type="pct"/>
            <w:vAlign w:val="center"/>
          </w:tcPr>
          <w:p w14:paraId="654FAB31" w14:textId="77777777" w:rsidR="00681146" w:rsidRPr="00A043BF" w:rsidRDefault="00681146" w:rsidP="006B1BCB">
            <w:pPr>
              <w:pStyle w:val="COMTabletext"/>
              <w:jc w:val="center"/>
            </w:pPr>
            <w:r w:rsidRPr="00A043BF">
              <w:t>$4,027</w:t>
            </w:r>
          </w:p>
        </w:tc>
      </w:tr>
      <w:tr w:rsidR="00681146" w:rsidRPr="00595D9B" w14:paraId="6D986686" w14:textId="77777777" w:rsidTr="006B1BCB">
        <w:tc>
          <w:tcPr>
            <w:tcW w:w="2610" w:type="pct"/>
          </w:tcPr>
          <w:p w14:paraId="64A13D53" w14:textId="77777777" w:rsidR="00681146" w:rsidRDefault="00681146" w:rsidP="006B1BCB">
            <w:pPr>
              <w:pStyle w:val="COMTabletext"/>
            </w:pPr>
            <w:r>
              <w:t>- Kidney transplant (initial)</w:t>
            </w:r>
          </w:p>
        </w:tc>
        <w:tc>
          <w:tcPr>
            <w:tcW w:w="796" w:type="pct"/>
            <w:vAlign w:val="center"/>
          </w:tcPr>
          <w:p w14:paraId="18BA776A" w14:textId="77777777" w:rsidR="00681146" w:rsidRPr="00A043BF" w:rsidRDefault="00681146" w:rsidP="006B1BCB">
            <w:pPr>
              <w:pStyle w:val="COMTabletext"/>
              <w:jc w:val="center"/>
            </w:pPr>
            <w:r w:rsidRPr="00A043BF">
              <w:t>$603</w:t>
            </w:r>
          </w:p>
        </w:tc>
        <w:tc>
          <w:tcPr>
            <w:tcW w:w="796" w:type="pct"/>
            <w:vAlign w:val="center"/>
          </w:tcPr>
          <w:p w14:paraId="4483E451" w14:textId="77777777" w:rsidR="00681146" w:rsidRPr="00A043BF" w:rsidRDefault="00681146" w:rsidP="006B1BCB">
            <w:pPr>
              <w:pStyle w:val="COMTabletext"/>
              <w:jc w:val="center"/>
            </w:pPr>
            <w:r w:rsidRPr="00A043BF">
              <w:t>$808</w:t>
            </w:r>
          </w:p>
        </w:tc>
        <w:tc>
          <w:tcPr>
            <w:tcW w:w="797" w:type="pct"/>
            <w:vAlign w:val="center"/>
          </w:tcPr>
          <w:p w14:paraId="12DAC3DB" w14:textId="77777777" w:rsidR="00681146" w:rsidRPr="00A043BF" w:rsidRDefault="00681146" w:rsidP="006B1BCB">
            <w:pPr>
              <w:pStyle w:val="COMTabletext"/>
              <w:jc w:val="center"/>
            </w:pPr>
            <w:r w:rsidRPr="00A043BF">
              <w:t>-$205</w:t>
            </w:r>
          </w:p>
        </w:tc>
      </w:tr>
      <w:tr w:rsidR="00681146" w:rsidRPr="00595D9B" w14:paraId="2CA2FCA5" w14:textId="77777777" w:rsidTr="006B1BCB">
        <w:tc>
          <w:tcPr>
            <w:tcW w:w="2610" w:type="pct"/>
          </w:tcPr>
          <w:p w14:paraId="0AA204D7" w14:textId="77777777" w:rsidR="00681146" w:rsidRPr="00595D9B" w:rsidRDefault="00681146" w:rsidP="006B1BCB">
            <w:pPr>
              <w:pStyle w:val="COMTabletext"/>
            </w:pPr>
            <w:r>
              <w:t>- Kidney transplant (ongoing)</w:t>
            </w:r>
          </w:p>
        </w:tc>
        <w:tc>
          <w:tcPr>
            <w:tcW w:w="796" w:type="pct"/>
            <w:vAlign w:val="center"/>
          </w:tcPr>
          <w:p w14:paraId="04A05DC9" w14:textId="77777777" w:rsidR="00681146" w:rsidRPr="00A043BF" w:rsidRDefault="00681146" w:rsidP="006B1BCB">
            <w:pPr>
              <w:pStyle w:val="COMTabletext"/>
              <w:jc w:val="center"/>
            </w:pPr>
            <w:r w:rsidRPr="00A043BF">
              <w:t>$580</w:t>
            </w:r>
          </w:p>
        </w:tc>
        <w:tc>
          <w:tcPr>
            <w:tcW w:w="796" w:type="pct"/>
            <w:vAlign w:val="center"/>
          </w:tcPr>
          <w:p w14:paraId="173AABE8" w14:textId="77777777" w:rsidR="00681146" w:rsidRPr="00A043BF" w:rsidRDefault="00681146" w:rsidP="006B1BCB">
            <w:pPr>
              <w:pStyle w:val="COMTabletext"/>
              <w:jc w:val="center"/>
            </w:pPr>
            <w:r w:rsidRPr="00A043BF">
              <w:t>$613</w:t>
            </w:r>
          </w:p>
        </w:tc>
        <w:tc>
          <w:tcPr>
            <w:tcW w:w="797" w:type="pct"/>
            <w:vAlign w:val="center"/>
          </w:tcPr>
          <w:p w14:paraId="40E1AC7D" w14:textId="77777777" w:rsidR="00681146" w:rsidRPr="00A043BF" w:rsidRDefault="00681146" w:rsidP="006B1BCB">
            <w:pPr>
              <w:pStyle w:val="COMTabletext"/>
              <w:jc w:val="center"/>
            </w:pPr>
            <w:r w:rsidRPr="00A043BF">
              <w:t>-$32</w:t>
            </w:r>
          </w:p>
        </w:tc>
      </w:tr>
      <w:tr w:rsidR="00681146" w:rsidRPr="00595D9B" w14:paraId="24A6EDDB" w14:textId="77777777" w:rsidTr="006B1BCB">
        <w:tc>
          <w:tcPr>
            <w:tcW w:w="2610" w:type="pct"/>
          </w:tcPr>
          <w:p w14:paraId="03C3197E" w14:textId="77777777" w:rsidR="00681146" w:rsidRPr="00595D9B" w:rsidRDefault="00681146" w:rsidP="006B1BCB">
            <w:pPr>
              <w:pStyle w:val="COMTabletext"/>
            </w:pPr>
            <w:r>
              <w:t>Terminal care</w:t>
            </w:r>
          </w:p>
        </w:tc>
        <w:tc>
          <w:tcPr>
            <w:tcW w:w="796" w:type="pct"/>
            <w:vAlign w:val="center"/>
          </w:tcPr>
          <w:p w14:paraId="6EB59830" w14:textId="77777777" w:rsidR="00681146" w:rsidRPr="00A043BF" w:rsidRDefault="00681146" w:rsidP="006B1BCB">
            <w:pPr>
              <w:pStyle w:val="COMTabletext"/>
              <w:jc w:val="center"/>
            </w:pPr>
            <w:r w:rsidRPr="00A043BF">
              <w:t>$13,501</w:t>
            </w:r>
          </w:p>
        </w:tc>
        <w:tc>
          <w:tcPr>
            <w:tcW w:w="796" w:type="pct"/>
            <w:vAlign w:val="center"/>
          </w:tcPr>
          <w:p w14:paraId="479C6A17" w14:textId="77777777" w:rsidR="00681146" w:rsidRPr="00A043BF" w:rsidRDefault="00681146" w:rsidP="006B1BCB">
            <w:pPr>
              <w:pStyle w:val="COMTabletext"/>
              <w:jc w:val="center"/>
            </w:pPr>
            <w:r w:rsidRPr="00A043BF">
              <w:t>$17,648</w:t>
            </w:r>
          </w:p>
        </w:tc>
        <w:tc>
          <w:tcPr>
            <w:tcW w:w="797" w:type="pct"/>
            <w:vAlign w:val="center"/>
          </w:tcPr>
          <w:p w14:paraId="569EC98C" w14:textId="77777777" w:rsidR="00681146" w:rsidRPr="00A043BF" w:rsidRDefault="00681146" w:rsidP="006B1BCB">
            <w:pPr>
              <w:pStyle w:val="COMTabletext"/>
              <w:jc w:val="center"/>
            </w:pPr>
            <w:r w:rsidRPr="00A043BF">
              <w:t>-$4,147</w:t>
            </w:r>
          </w:p>
        </w:tc>
      </w:tr>
      <w:tr w:rsidR="00681146" w:rsidRPr="00595D9B" w14:paraId="51D1418D" w14:textId="77777777" w:rsidTr="006B1BCB">
        <w:tc>
          <w:tcPr>
            <w:tcW w:w="2610" w:type="pct"/>
          </w:tcPr>
          <w:p w14:paraId="32FFB6E9" w14:textId="77777777" w:rsidR="00681146" w:rsidRPr="00595D9B" w:rsidRDefault="00681146" w:rsidP="006B1BCB">
            <w:pPr>
              <w:pStyle w:val="COMTabletext"/>
              <w:rPr>
                <w:b/>
              </w:rPr>
            </w:pPr>
            <w:r w:rsidRPr="00595D9B">
              <w:rPr>
                <w:b/>
              </w:rPr>
              <w:t>Total costs</w:t>
            </w:r>
          </w:p>
        </w:tc>
        <w:tc>
          <w:tcPr>
            <w:tcW w:w="796" w:type="pct"/>
            <w:vAlign w:val="center"/>
          </w:tcPr>
          <w:p w14:paraId="1718E602" w14:textId="7795A007" w:rsidR="00681146" w:rsidRPr="00A043BF" w:rsidRDefault="00681146" w:rsidP="006B1BCB">
            <w:pPr>
              <w:pStyle w:val="COMTabletext"/>
              <w:jc w:val="center"/>
              <w:rPr>
                <w:b/>
              </w:rPr>
            </w:pPr>
            <w:r w:rsidRPr="00A043BF">
              <w:rPr>
                <w:b/>
              </w:rPr>
              <w:t>$</w:t>
            </w:r>
            <w:r w:rsidR="003A33AB" w:rsidRPr="00577370">
              <w:rPr>
                <w:b/>
                <w:color w:val="000000"/>
                <w:spacing w:val="55"/>
                <w:shd w:val="solid" w:color="000000" w:fill="000000"/>
                <w:fitText w:val="350" w:id="-663469564"/>
                <w14:textFill>
                  <w14:solidFill>
                    <w14:srgbClr w14:val="000000">
                      <w14:alpha w14:val="100000"/>
                    </w14:srgbClr>
                  </w14:solidFill>
                </w14:textFill>
              </w:rPr>
              <w:t>|||</w:t>
            </w:r>
            <w:r w:rsidR="003A33AB" w:rsidRPr="00577370">
              <w:rPr>
                <w:b/>
                <w:color w:val="000000"/>
                <w:spacing w:val="2"/>
                <w:shd w:val="solid" w:color="000000" w:fill="000000"/>
                <w:fitText w:val="350" w:id="-663469564"/>
                <w14:textFill>
                  <w14:solidFill>
                    <w14:srgbClr w14:val="000000">
                      <w14:alpha w14:val="100000"/>
                    </w14:srgbClr>
                  </w14:solidFill>
                </w14:textFill>
              </w:rPr>
              <w:t>|</w:t>
            </w:r>
          </w:p>
        </w:tc>
        <w:tc>
          <w:tcPr>
            <w:tcW w:w="796" w:type="pct"/>
            <w:vAlign w:val="center"/>
          </w:tcPr>
          <w:p w14:paraId="313C9AA4" w14:textId="77777777" w:rsidR="00681146" w:rsidRPr="00A043BF" w:rsidRDefault="00681146" w:rsidP="006B1BCB">
            <w:pPr>
              <w:pStyle w:val="COMTabletext"/>
              <w:jc w:val="center"/>
              <w:rPr>
                <w:b/>
              </w:rPr>
            </w:pPr>
            <w:r w:rsidRPr="00A043BF">
              <w:rPr>
                <w:b/>
              </w:rPr>
              <w:t>$100,026</w:t>
            </w:r>
          </w:p>
        </w:tc>
        <w:tc>
          <w:tcPr>
            <w:tcW w:w="797" w:type="pct"/>
            <w:vAlign w:val="center"/>
          </w:tcPr>
          <w:p w14:paraId="7D055D17" w14:textId="53415A65" w:rsidR="00681146" w:rsidRPr="00A043BF" w:rsidRDefault="00681146" w:rsidP="006B1BCB">
            <w:pPr>
              <w:pStyle w:val="COMTabletext"/>
              <w:jc w:val="center"/>
              <w:rPr>
                <w:b/>
              </w:rPr>
            </w:pPr>
            <w:r w:rsidRPr="00A043BF">
              <w:rPr>
                <w:b/>
              </w:rPr>
              <w:t>$</w:t>
            </w:r>
            <w:r w:rsidR="003A33AB" w:rsidRPr="00577370">
              <w:rPr>
                <w:b/>
                <w:color w:val="000000"/>
                <w:spacing w:val="55"/>
                <w:shd w:val="solid" w:color="000000" w:fill="000000"/>
                <w:fitText w:val="350" w:id="-663469563"/>
                <w14:textFill>
                  <w14:solidFill>
                    <w14:srgbClr w14:val="000000">
                      <w14:alpha w14:val="100000"/>
                    </w14:srgbClr>
                  </w14:solidFill>
                </w14:textFill>
              </w:rPr>
              <w:t>|||</w:t>
            </w:r>
            <w:r w:rsidR="003A33AB" w:rsidRPr="00577370">
              <w:rPr>
                <w:b/>
                <w:color w:val="000000"/>
                <w:spacing w:val="2"/>
                <w:shd w:val="solid" w:color="000000" w:fill="000000"/>
                <w:fitText w:val="350" w:id="-663469563"/>
                <w14:textFill>
                  <w14:solidFill>
                    <w14:srgbClr w14:val="000000">
                      <w14:alpha w14:val="100000"/>
                    </w14:srgbClr>
                  </w14:solidFill>
                </w14:textFill>
              </w:rPr>
              <w:t>|</w:t>
            </w:r>
          </w:p>
        </w:tc>
      </w:tr>
    </w:tbl>
    <w:p w14:paraId="63CCA459" w14:textId="77777777" w:rsidR="00681146" w:rsidRDefault="00681146" w:rsidP="00681146">
      <w:pPr>
        <w:pStyle w:val="COMTablefooter"/>
      </w:pPr>
      <w:r>
        <w:t>Source: Table 3.25, p338 and the Section 3 economic model of the resubmission</w:t>
      </w:r>
    </w:p>
    <w:p w14:paraId="3CC9DA47" w14:textId="77777777" w:rsidR="00681146" w:rsidRDefault="00681146" w:rsidP="00681146">
      <w:pPr>
        <w:pStyle w:val="COMTablefooter"/>
      </w:pPr>
      <w:r>
        <w:t>Abbreviations: CKD, chronic kidney disease; ESKD, end-stage kidney disease; SC, standard care</w:t>
      </w:r>
    </w:p>
    <w:p w14:paraId="5A971EF9" w14:textId="77777777" w:rsidR="004A0657" w:rsidRPr="00D1358A" w:rsidRDefault="004A0657" w:rsidP="004A0657">
      <w:pPr>
        <w:pStyle w:val="COMexecsummnumbered"/>
      </w:pPr>
      <w:r w:rsidRPr="00D1358A">
        <w:t>In the model, fewer patients progressed to ESKD in the empagliflozin plus SC arm compared to the SC arm. However, there was an increase in time spent in the ESKD health state in the empagliflozin plus SC arm compared to the SC arm due to differences in survival in the ESKD health state.</w:t>
      </w:r>
    </w:p>
    <w:p w14:paraId="728C2858" w14:textId="77777777" w:rsidR="004A0657" w:rsidRPr="00D1358A" w:rsidRDefault="004A0657" w:rsidP="004A0657">
      <w:pPr>
        <w:pStyle w:val="COMexecsummnumbered"/>
      </w:pPr>
      <w:r w:rsidRPr="00D1358A">
        <w:t>Consequently, the difference in total cost between treatment arms was driven by a net increase in ESKD treatment costs (predominantly ongoing dialysis costs partially offset by initial dialysis costs) and additional costs of empagliflozin in the empagliflozin plus SC arm. These costs were partially offset by reduced terminal care costs in the empagliflozin plus SC arm.</w:t>
      </w:r>
    </w:p>
    <w:p w14:paraId="05F4BBC6" w14:textId="6B72A610" w:rsidR="004A0657" w:rsidRDefault="004A0657" w:rsidP="004A0657">
      <w:pPr>
        <w:pStyle w:val="COMexecsummnumbered"/>
      </w:pPr>
      <w:r>
        <w:fldChar w:fldCharType="begin"/>
      </w:r>
      <w:r>
        <w:instrText xml:space="preserve"> REF _Ref190423262 \h </w:instrText>
      </w:r>
      <w:r>
        <w:fldChar w:fldCharType="separate"/>
      </w:r>
      <w:r w:rsidR="004A7850">
        <w:t xml:space="preserve">Figure </w:t>
      </w:r>
      <w:r w:rsidR="004A7850">
        <w:rPr>
          <w:noProof/>
        </w:rPr>
        <w:t>3</w:t>
      </w:r>
      <w:r>
        <w:fldChar w:fldCharType="end"/>
      </w:r>
      <w:r>
        <w:t xml:space="preserve"> presents the model trace of empagliflozin plus SC versus SC alone.</w:t>
      </w:r>
    </w:p>
    <w:p w14:paraId="18D43B87" w14:textId="19ABFA17" w:rsidR="004A0657" w:rsidRDefault="004A0657" w:rsidP="004A0657">
      <w:pPr>
        <w:pStyle w:val="COMtablefigcaption"/>
      </w:pPr>
      <w:bookmarkStart w:id="45" w:name="_Ref190423262"/>
      <w:r>
        <w:lastRenderedPageBreak/>
        <w:t xml:space="preserve">Figure </w:t>
      </w:r>
      <w:r w:rsidR="001154A7">
        <w:fldChar w:fldCharType="begin"/>
      </w:r>
      <w:r w:rsidR="001154A7">
        <w:instrText xml:space="preserve"> SEQ Figure \* ARABIC </w:instrText>
      </w:r>
      <w:r w:rsidR="001154A7">
        <w:fldChar w:fldCharType="separate"/>
      </w:r>
      <w:r w:rsidR="004A7850">
        <w:rPr>
          <w:noProof/>
        </w:rPr>
        <w:t>3</w:t>
      </w:r>
      <w:r w:rsidR="001154A7">
        <w:rPr>
          <w:noProof/>
        </w:rPr>
        <w:fldChar w:fldCharType="end"/>
      </w:r>
      <w:bookmarkEnd w:id="45"/>
      <w:r>
        <w:t>: Model trace for health state membership</w:t>
      </w:r>
    </w:p>
    <w:p w14:paraId="788CA49D" w14:textId="6D6B89E3" w:rsidR="004A0657" w:rsidRPr="004A0657" w:rsidRDefault="003D42DA" w:rsidP="004A0657">
      <w:r>
        <w:rPr>
          <w:noProof/>
        </w:rPr>
        <w:drawing>
          <wp:inline distT="0" distB="0" distL="0" distR="0" wp14:anchorId="5195C5FF" wp14:editId="6B8EDE0C">
            <wp:extent cx="5582363" cy="3703955"/>
            <wp:effectExtent l="0" t="0" r="0" b="0"/>
            <wp:docPr id="1530409783" name="Picture 2" descr="Figure 3: Model trace for health state memb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09783" name="Picture 2" descr="Figure 3: Model trace for health state membership"/>
                    <pic:cNvPicPr>
                      <a:picLocks noChangeAspect="1" noChangeArrowheads="1"/>
                    </pic:cNvPicPr>
                  </pic:nvPicPr>
                  <pic:blipFill rotWithShape="1">
                    <a:blip r:embed="rId10">
                      <a:extLst>
                        <a:ext uri="{28A0092B-C50C-407E-A947-70E740481C1C}">
                          <a14:useLocalDpi xmlns:a14="http://schemas.microsoft.com/office/drawing/2010/main" val="0"/>
                        </a:ext>
                      </a:extLst>
                    </a:blip>
                    <a:srcRect/>
                    <a:stretch>
                      <a:fillRect/>
                    </a:stretch>
                  </pic:blipFill>
                  <pic:spPr bwMode="auto">
                    <a:xfrm>
                      <a:off x="0" y="0"/>
                      <a:ext cx="5606958" cy="3720274"/>
                    </a:xfrm>
                    <a:prstGeom prst="rect">
                      <a:avLst/>
                    </a:prstGeom>
                    <a:noFill/>
                    <a:ln>
                      <a:noFill/>
                    </a:ln>
                    <a:extLst>
                      <a:ext uri="{53640926-AAD7-44D8-BBD7-CCE9431645EC}">
                        <a14:shadowObscured xmlns:a14="http://schemas.microsoft.com/office/drawing/2010/main"/>
                      </a:ext>
                    </a:extLst>
                  </pic:spPr>
                </pic:pic>
              </a:graphicData>
            </a:graphic>
          </wp:inline>
        </w:drawing>
      </w:r>
    </w:p>
    <w:p w14:paraId="0A867972" w14:textId="77777777" w:rsidR="00F521B6" w:rsidRDefault="00F521B6" w:rsidP="00F521B6">
      <w:pPr>
        <w:pStyle w:val="COMTablefooter"/>
      </w:pPr>
      <w:r>
        <w:t>Source: Section 3 economic model of the resubmission</w:t>
      </w:r>
    </w:p>
    <w:p w14:paraId="63EDBE0A" w14:textId="77777777" w:rsidR="00F521B6" w:rsidRPr="00AC37ED" w:rsidRDefault="00F521B6" w:rsidP="00F521B6">
      <w:pPr>
        <w:pStyle w:val="COMTablefooter"/>
      </w:pPr>
      <w:r>
        <w:t>Abbreviations: CKD, chronic kidney disease; Empa, empagliflozin; ESKD, end-stage kidney disease; SC, standard care</w:t>
      </w:r>
    </w:p>
    <w:p w14:paraId="7C849FBF" w14:textId="545C8771" w:rsidR="00623933" w:rsidRPr="008060F3" w:rsidRDefault="00623933" w:rsidP="00623933">
      <w:pPr>
        <w:pStyle w:val="COMexecsummnumbered"/>
      </w:pPr>
      <w:r w:rsidRPr="008060F3">
        <w:t xml:space="preserve">Over the </w:t>
      </w:r>
      <w:r w:rsidR="001F0AB4" w:rsidRPr="008060F3">
        <w:t>15</w:t>
      </w:r>
      <w:r w:rsidR="001F0AB4">
        <w:t>-year</w:t>
      </w:r>
      <w:r w:rsidRPr="008060F3">
        <w:t xml:space="preserve"> time horizon, more patients in the empagliflozin plus SC arm remained alive compared to the SC arm. At 15 years, 28.1% of patients in the empagliflozin plus SC arm were alive compared to 8.7% in the SC arm. Modelled survival benefits in the empagliflozin plus SC arm compared to the SC arm were predominantly due to a greater proportion of patients remaining in the CKD state due to avoidance of ESKD and ESKD transitions to death.</w:t>
      </w:r>
    </w:p>
    <w:p w14:paraId="06F16597" w14:textId="77777777" w:rsidR="00623933" w:rsidRDefault="00623933" w:rsidP="00623933">
      <w:pPr>
        <w:pStyle w:val="COMexecsummnumbered"/>
        <w:rPr>
          <w:i/>
          <w:iCs/>
        </w:rPr>
      </w:pPr>
      <w:r w:rsidRPr="008060F3">
        <w:t>The traces show a declining proportion of patients remaining on empagliflozin treatment over time, with approximately 10% on treatment at 6 years in the model.</w:t>
      </w:r>
      <w:r w:rsidRPr="00452E47">
        <w:rPr>
          <w:i/>
          <w:iCs/>
        </w:rPr>
        <w:t xml:space="preserve"> </w:t>
      </w:r>
      <w:r w:rsidRPr="00D1358A">
        <w:t xml:space="preserve">The assumption </w:t>
      </w:r>
      <w:r w:rsidRPr="00F127E2">
        <w:t>that treatment benefits continue to persist despite few patients remaining on therapy over time may not be reasonable, with no data to support residual treatment benefits with empagliflozin</w:t>
      </w:r>
      <w:r w:rsidRPr="00D1358A">
        <w:t>. The impact of this assumption could not be tested in sensitivity analyses as modelled time on treatment was only used to reduce treatment costs, with no impact on treatment effects.</w:t>
      </w:r>
    </w:p>
    <w:p w14:paraId="75D3076D" w14:textId="0AEE1F7F" w:rsidR="00623933" w:rsidRPr="005447A7" w:rsidRDefault="00623933" w:rsidP="00623933">
      <w:pPr>
        <w:pStyle w:val="COMexecsummnumbered"/>
        <w:rPr>
          <w:i/>
          <w:iCs/>
        </w:rPr>
      </w:pPr>
      <w:r>
        <w:t xml:space="preserve">The results of the stepped economic evaluation are summarised in </w:t>
      </w:r>
      <w:r>
        <w:fldChar w:fldCharType="begin"/>
      </w:r>
      <w:r>
        <w:instrText xml:space="preserve"> REF _Ref190423346 \h </w:instrText>
      </w:r>
      <w:r>
        <w:fldChar w:fldCharType="separate"/>
      </w:r>
      <w:r w:rsidR="004A7850">
        <w:t xml:space="preserve">Table </w:t>
      </w:r>
      <w:r w:rsidR="004A7850">
        <w:rPr>
          <w:noProof/>
        </w:rPr>
        <w:t>13</w:t>
      </w:r>
      <w:r>
        <w:fldChar w:fldCharType="end"/>
      </w:r>
      <w:r>
        <w:t>.</w:t>
      </w:r>
    </w:p>
    <w:p w14:paraId="3BD0DBEE" w14:textId="56E37959" w:rsidR="00623933" w:rsidRPr="00FA296A" w:rsidRDefault="00623933" w:rsidP="00623933">
      <w:pPr>
        <w:pStyle w:val="COMtablefigcaption"/>
      </w:pPr>
      <w:bookmarkStart w:id="46" w:name="_Ref190423346"/>
      <w:r>
        <w:lastRenderedPageBreak/>
        <w:t xml:space="preserve">Table </w:t>
      </w:r>
      <w:r w:rsidR="001154A7">
        <w:fldChar w:fldCharType="begin"/>
      </w:r>
      <w:r w:rsidR="001154A7">
        <w:instrText xml:space="preserve"> SEQ Table \* ARABIC </w:instrText>
      </w:r>
      <w:r w:rsidR="001154A7">
        <w:fldChar w:fldCharType="separate"/>
      </w:r>
      <w:r w:rsidR="004A7850">
        <w:rPr>
          <w:noProof/>
        </w:rPr>
        <w:t>13</w:t>
      </w:r>
      <w:r w:rsidR="001154A7">
        <w:rPr>
          <w:noProof/>
        </w:rPr>
        <w:fldChar w:fldCharType="end"/>
      </w:r>
      <w:bookmarkEnd w:id="46"/>
      <w:r>
        <w:t xml:space="preserve">: </w:t>
      </w:r>
      <w:r w:rsidRPr="00FA296A">
        <w:t>Results of the stepped economic evaluation</w:t>
      </w:r>
      <w:r>
        <w:t xml:space="preserve"> for the incremental population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006021" w:rsidRPr="0098262F" w14:paraId="2BEC9097" w14:textId="77777777" w:rsidTr="006B1BCB">
        <w:trPr>
          <w:tblHeader/>
        </w:trPr>
        <w:tc>
          <w:tcPr>
            <w:tcW w:w="1529" w:type="pct"/>
            <w:vAlign w:val="center"/>
          </w:tcPr>
          <w:p w14:paraId="441B108B" w14:textId="77777777" w:rsidR="00006021" w:rsidRPr="0098262F" w:rsidRDefault="00006021" w:rsidP="006B1BCB">
            <w:pPr>
              <w:pStyle w:val="COMTableheadingrow"/>
            </w:pPr>
            <w:r w:rsidRPr="0098262F">
              <w:t>Step and component</w:t>
            </w:r>
          </w:p>
        </w:tc>
        <w:tc>
          <w:tcPr>
            <w:tcW w:w="1359" w:type="pct"/>
            <w:vAlign w:val="center"/>
          </w:tcPr>
          <w:p w14:paraId="5D566B9A" w14:textId="77777777" w:rsidR="00006021" w:rsidRPr="0098262F" w:rsidRDefault="00006021" w:rsidP="006B1BCB">
            <w:pPr>
              <w:pStyle w:val="COMTableheadingrow"/>
              <w:jc w:val="center"/>
            </w:pPr>
            <w:r>
              <w:t>Empagliflozin + SC</w:t>
            </w:r>
          </w:p>
        </w:tc>
        <w:tc>
          <w:tcPr>
            <w:tcW w:w="1274" w:type="pct"/>
            <w:vAlign w:val="center"/>
          </w:tcPr>
          <w:p w14:paraId="576ADB3F" w14:textId="77777777" w:rsidR="00006021" w:rsidRPr="0098262F" w:rsidRDefault="00006021" w:rsidP="006B1BCB">
            <w:pPr>
              <w:pStyle w:val="COMTableheadingrow"/>
              <w:jc w:val="center"/>
            </w:pPr>
            <w:r>
              <w:t>SC</w:t>
            </w:r>
          </w:p>
        </w:tc>
        <w:tc>
          <w:tcPr>
            <w:tcW w:w="838" w:type="pct"/>
            <w:vAlign w:val="center"/>
          </w:tcPr>
          <w:p w14:paraId="3969D3BB" w14:textId="77777777" w:rsidR="00006021" w:rsidRPr="0098262F" w:rsidRDefault="00006021" w:rsidP="006B1BCB">
            <w:pPr>
              <w:pStyle w:val="COMTableheadingrow"/>
              <w:jc w:val="center"/>
            </w:pPr>
            <w:r w:rsidRPr="0098262F">
              <w:t>Increment</w:t>
            </w:r>
          </w:p>
        </w:tc>
      </w:tr>
      <w:tr w:rsidR="00006021" w:rsidRPr="0098262F" w14:paraId="4BCCBC03" w14:textId="77777777" w:rsidTr="006B1BCB">
        <w:tc>
          <w:tcPr>
            <w:tcW w:w="5000" w:type="pct"/>
            <w:gridSpan w:val="4"/>
            <w:vAlign w:val="center"/>
          </w:tcPr>
          <w:p w14:paraId="2D73BAA9" w14:textId="77777777" w:rsidR="00006021" w:rsidRPr="00BB1C7E" w:rsidRDefault="00006021" w:rsidP="006B1BCB">
            <w:pPr>
              <w:pStyle w:val="COMTabletext"/>
              <w:rPr>
                <w:b/>
                <w:bCs w:val="0"/>
                <w:u w:val="single"/>
              </w:rPr>
            </w:pPr>
            <w:r w:rsidRPr="00BB1C7E">
              <w:rPr>
                <w:b/>
                <w:bCs w:val="0"/>
              </w:rPr>
              <w:t xml:space="preserve">Step 1: </w:t>
            </w:r>
            <w:r>
              <w:rPr>
                <w:b/>
                <w:bCs w:val="0"/>
              </w:rPr>
              <w:t>ITT population characteristics, time horizon 31 months, modelled transition probabilities, include treatment costs (empagliflozin and standard care), 5% discounting for costs and outcomes</w:t>
            </w:r>
          </w:p>
        </w:tc>
      </w:tr>
      <w:tr w:rsidR="00006021" w:rsidRPr="0098262F" w14:paraId="73F3D292" w14:textId="77777777" w:rsidTr="006B1BCB">
        <w:tc>
          <w:tcPr>
            <w:tcW w:w="1529" w:type="pct"/>
            <w:vAlign w:val="center"/>
          </w:tcPr>
          <w:p w14:paraId="08559809" w14:textId="77777777" w:rsidR="00006021" w:rsidRPr="004C0C54" w:rsidRDefault="00006021" w:rsidP="006B1BCB">
            <w:pPr>
              <w:pStyle w:val="COMTabletext"/>
            </w:pPr>
            <w:r w:rsidRPr="004C0C54">
              <w:t>Costs</w:t>
            </w:r>
          </w:p>
        </w:tc>
        <w:tc>
          <w:tcPr>
            <w:tcW w:w="1359" w:type="pct"/>
            <w:vAlign w:val="center"/>
          </w:tcPr>
          <w:p w14:paraId="56B635AF" w14:textId="2159D127" w:rsidR="00006021" w:rsidRPr="00832985" w:rsidRDefault="00006021" w:rsidP="006B1BCB">
            <w:pPr>
              <w:pStyle w:val="COMTabletext"/>
              <w:jc w:val="center"/>
            </w:pPr>
            <w:r>
              <w:t>$</w:t>
            </w:r>
            <w:r w:rsidR="003A33AB" w:rsidRPr="003A33AB">
              <w:rPr>
                <w:color w:val="000000"/>
                <w:spacing w:val="53"/>
                <w:shd w:val="solid" w:color="000000" w:fill="000000"/>
                <w:fitText w:val="330" w:id="-663469562"/>
                <w14:textFill>
                  <w14:solidFill>
                    <w14:srgbClr w14:val="000000">
                      <w14:alpha w14:val="100000"/>
                    </w14:srgbClr>
                  </w14:solidFill>
                </w14:textFill>
              </w:rPr>
              <w:t>|||</w:t>
            </w:r>
            <w:r w:rsidR="003A33AB" w:rsidRPr="003A33AB">
              <w:rPr>
                <w:color w:val="000000"/>
                <w:spacing w:val="1"/>
                <w:shd w:val="solid" w:color="000000" w:fill="000000"/>
                <w:fitText w:val="330" w:id="-663469562"/>
                <w14:textFill>
                  <w14:solidFill>
                    <w14:srgbClr w14:val="000000">
                      <w14:alpha w14:val="100000"/>
                    </w14:srgbClr>
                  </w14:solidFill>
                </w14:textFill>
              </w:rPr>
              <w:t>|</w:t>
            </w:r>
          </w:p>
        </w:tc>
        <w:tc>
          <w:tcPr>
            <w:tcW w:w="1274" w:type="pct"/>
            <w:vAlign w:val="center"/>
          </w:tcPr>
          <w:p w14:paraId="27365F0E" w14:textId="77777777" w:rsidR="00006021" w:rsidRPr="00832985" w:rsidRDefault="00006021" w:rsidP="006B1BCB">
            <w:pPr>
              <w:pStyle w:val="COMTabletext"/>
              <w:jc w:val="center"/>
            </w:pPr>
            <w:r>
              <w:t>$454</w:t>
            </w:r>
          </w:p>
        </w:tc>
        <w:tc>
          <w:tcPr>
            <w:tcW w:w="838" w:type="pct"/>
            <w:vAlign w:val="center"/>
          </w:tcPr>
          <w:p w14:paraId="6BE965D0" w14:textId="7669BC6B" w:rsidR="00006021" w:rsidRPr="00832985" w:rsidRDefault="00006021" w:rsidP="006B1BCB">
            <w:pPr>
              <w:pStyle w:val="COMTabletext"/>
              <w:jc w:val="center"/>
            </w:pPr>
            <w:r>
              <w:t>$</w:t>
            </w:r>
            <w:r w:rsidR="003A33AB" w:rsidRPr="003A33AB">
              <w:rPr>
                <w:color w:val="000000"/>
                <w:spacing w:val="53"/>
                <w:shd w:val="solid" w:color="000000" w:fill="000000"/>
                <w:fitText w:val="330" w:id="-663469561"/>
                <w14:textFill>
                  <w14:solidFill>
                    <w14:srgbClr w14:val="000000">
                      <w14:alpha w14:val="100000"/>
                    </w14:srgbClr>
                  </w14:solidFill>
                </w14:textFill>
              </w:rPr>
              <w:t>|||</w:t>
            </w:r>
            <w:r w:rsidR="003A33AB" w:rsidRPr="003A33AB">
              <w:rPr>
                <w:color w:val="000000"/>
                <w:spacing w:val="1"/>
                <w:shd w:val="solid" w:color="000000" w:fill="000000"/>
                <w:fitText w:val="330" w:id="-663469561"/>
                <w14:textFill>
                  <w14:solidFill>
                    <w14:srgbClr w14:val="000000">
                      <w14:alpha w14:val="100000"/>
                    </w14:srgbClr>
                  </w14:solidFill>
                </w14:textFill>
              </w:rPr>
              <w:t>|</w:t>
            </w:r>
          </w:p>
        </w:tc>
      </w:tr>
      <w:tr w:rsidR="00006021" w:rsidRPr="0098262F" w14:paraId="1F574CCC" w14:textId="77777777" w:rsidTr="006B1BCB">
        <w:tc>
          <w:tcPr>
            <w:tcW w:w="1529" w:type="pct"/>
            <w:vAlign w:val="center"/>
          </w:tcPr>
          <w:p w14:paraId="6BE22E89" w14:textId="77777777" w:rsidR="00006021" w:rsidRPr="004C0C54" w:rsidRDefault="00006021" w:rsidP="006B1BCB">
            <w:pPr>
              <w:pStyle w:val="COMTabletext"/>
            </w:pPr>
            <w:r>
              <w:t>Life years</w:t>
            </w:r>
          </w:p>
        </w:tc>
        <w:tc>
          <w:tcPr>
            <w:tcW w:w="1359" w:type="pct"/>
            <w:vAlign w:val="center"/>
          </w:tcPr>
          <w:p w14:paraId="5F203594" w14:textId="77777777" w:rsidR="00006021" w:rsidRPr="00832985" w:rsidRDefault="00006021" w:rsidP="006B1BCB">
            <w:pPr>
              <w:pStyle w:val="COMTabletext"/>
              <w:jc w:val="center"/>
            </w:pPr>
            <w:r>
              <w:t>2.3849</w:t>
            </w:r>
          </w:p>
        </w:tc>
        <w:tc>
          <w:tcPr>
            <w:tcW w:w="1274" w:type="pct"/>
            <w:vAlign w:val="center"/>
          </w:tcPr>
          <w:p w14:paraId="71B459B0" w14:textId="77777777" w:rsidR="00006021" w:rsidRPr="00832985" w:rsidRDefault="00006021" w:rsidP="006B1BCB">
            <w:pPr>
              <w:pStyle w:val="COMTabletext"/>
              <w:jc w:val="center"/>
            </w:pPr>
            <w:r>
              <w:t>2.3738</w:t>
            </w:r>
          </w:p>
        </w:tc>
        <w:tc>
          <w:tcPr>
            <w:tcW w:w="838" w:type="pct"/>
            <w:vAlign w:val="center"/>
          </w:tcPr>
          <w:p w14:paraId="2EE1967F" w14:textId="77777777" w:rsidR="00006021" w:rsidRPr="00832985" w:rsidRDefault="00006021" w:rsidP="006B1BCB">
            <w:pPr>
              <w:pStyle w:val="COMTabletext"/>
              <w:jc w:val="center"/>
            </w:pPr>
            <w:r>
              <w:t>0.0111</w:t>
            </w:r>
          </w:p>
        </w:tc>
      </w:tr>
      <w:tr w:rsidR="00006021" w:rsidRPr="0098262F" w14:paraId="3C9B37A6" w14:textId="77777777" w:rsidTr="006B1BCB">
        <w:tc>
          <w:tcPr>
            <w:tcW w:w="4162" w:type="pct"/>
            <w:gridSpan w:val="3"/>
            <w:vAlign w:val="center"/>
          </w:tcPr>
          <w:p w14:paraId="7329EC99" w14:textId="77777777" w:rsidR="00006021" w:rsidRPr="00071BBB" w:rsidRDefault="00006021" w:rsidP="006B1BCB">
            <w:pPr>
              <w:pStyle w:val="COMTabletext"/>
              <w:jc w:val="right"/>
              <w:rPr>
                <w:b/>
                <w:bCs w:val="0"/>
              </w:rPr>
            </w:pPr>
            <w:r w:rsidRPr="00071BBB">
              <w:rPr>
                <w:b/>
                <w:bCs w:val="0"/>
              </w:rPr>
              <w:t xml:space="preserve">Incremental cost per </w:t>
            </w:r>
            <w:r>
              <w:rPr>
                <w:b/>
                <w:bCs w:val="0"/>
              </w:rPr>
              <w:t>life year</w:t>
            </w:r>
            <w:r w:rsidRPr="00071BBB">
              <w:rPr>
                <w:b/>
                <w:bCs w:val="0"/>
              </w:rPr>
              <w:t xml:space="preserve"> gained</w:t>
            </w:r>
          </w:p>
        </w:tc>
        <w:tc>
          <w:tcPr>
            <w:tcW w:w="838" w:type="pct"/>
            <w:vAlign w:val="center"/>
          </w:tcPr>
          <w:p w14:paraId="2A669628" w14:textId="6A1085A2" w:rsidR="00006021" w:rsidRPr="0067759B" w:rsidRDefault="00006021" w:rsidP="006B1BCB">
            <w:pPr>
              <w:pStyle w:val="COMTabletext"/>
              <w:jc w:val="center"/>
              <w:rPr>
                <w:vertAlign w:val="superscript"/>
              </w:rPr>
            </w:pPr>
            <w:r>
              <w:t>$</w:t>
            </w:r>
            <w:r w:rsidR="003A33AB" w:rsidRPr="003A33AB">
              <w:rPr>
                <w:color w:val="000000"/>
                <w:spacing w:val="53"/>
                <w:shd w:val="solid" w:color="000000" w:fill="000000"/>
                <w:fitText w:val="330" w:id="-663469560"/>
                <w14:textFill>
                  <w14:solidFill>
                    <w14:srgbClr w14:val="000000">
                      <w14:alpha w14:val="100000"/>
                    </w14:srgbClr>
                  </w14:solidFill>
                </w14:textFill>
              </w:rPr>
              <w:t>|||</w:t>
            </w:r>
            <w:r w:rsidR="003A33AB" w:rsidRPr="003A33AB">
              <w:rPr>
                <w:color w:val="000000"/>
                <w:spacing w:val="1"/>
                <w:shd w:val="solid" w:color="000000" w:fill="000000"/>
                <w:fitText w:val="330" w:id="-663469560"/>
                <w14:textFill>
                  <w14:solidFill>
                    <w14:srgbClr w14:val="000000">
                      <w14:alpha w14:val="100000"/>
                    </w14:srgbClr>
                  </w14:solidFill>
                </w14:textFill>
              </w:rPr>
              <w:t>|</w:t>
            </w:r>
            <w:r w:rsidR="0067759B">
              <w:rPr>
                <w:vertAlign w:val="superscript"/>
              </w:rPr>
              <w:t xml:space="preserve"> 1</w:t>
            </w:r>
          </w:p>
        </w:tc>
      </w:tr>
      <w:tr w:rsidR="00006021" w:rsidRPr="0098262F" w14:paraId="49AAE94B" w14:textId="77777777" w:rsidTr="006B1BCB">
        <w:tc>
          <w:tcPr>
            <w:tcW w:w="5000" w:type="pct"/>
            <w:gridSpan w:val="4"/>
            <w:vAlign w:val="center"/>
          </w:tcPr>
          <w:p w14:paraId="29B2C135" w14:textId="77777777" w:rsidR="00006021" w:rsidRPr="0098262F" w:rsidRDefault="00006021" w:rsidP="006B1BCB">
            <w:pPr>
              <w:pStyle w:val="COMTableheadingrow"/>
            </w:pPr>
            <w:r w:rsidRPr="0098262F">
              <w:t xml:space="preserve">Step 2: </w:t>
            </w:r>
            <w:r>
              <w:t>Extrapolate to 15 years</w:t>
            </w:r>
          </w:p>
        </w:tc>
      </w:tr>
      <w:tr w:rsidR="00006021" w:rsidRPr="0098262F" w14:paraId="71BAA1CC" w14:textId="77777777" w:rsidTr="006B1BCB">
        <w:tc>
          <w:tcPr>
            <w:tcW w:w="1529" w:type="pct"/>
            <w:vAlign w:val="center"/>
          </w:tcPr>
          <w:p w14:paraId="3CC4B052" w14:textId="77777777" w:rsidR="00006021" w:rsidRPr="0098262F" w:rsidRDefault="00006021" w:rsidP="006B1BCB">
            <w:pPr>
              <w:pStyle w:val="COMTabletext"/>
              <w:rPr>
                <w:rFonts w:ascii="Times" w:hAnsi="Times"/>
              </w:rPr>
            </w:pPr>
            <w:r w:rsidRPr="004C0C54">
              <w:t>Costs</w:t>
            </w:r>
          </w:p>
        </w:tc>
        <w:tc>
          <w:tcPr>
            <w:tcW w:w="1359" w:type="pct"/>
            <w:vAlign w:val="center"/>
          </w:tcPr>
          <w:p w14:paraId="60AD1DF7" w14:textId="02816DEB" w:rsidR="00006021" w:rsidRPr="00832985" w:rsidRDefault="00006021" w:rsidP="006B1BCB">
            <w:pPr>
              <w:pStyle w:val="COMTabletext"/>
              <w:jc w:val="center"/>
            </w:pPr>
            <w:r w:rsidRPr="00104049">
              <w:t>$</w:t>
            </w:r>
            <w:r w:rsidR="003A33AB" w:rsidRPr="003A33AB">
              <w:rPr>
                <w:color w:val="000000"/>
                <w:spacing w:val="53"/>
                <w:shd w:val="solid" w:color="000000" w:fill="000000"/>
                <w:fitText w:val="330" w:id="-663469559"/>
                <w14:textFill>
                  <w14:solidFill>
                    <w14:srgbClr w14:val="000000">
                      <w14:alpha w14:val="100000"/>
                    </w14:srgbClr>
                  </w14:solidFill>
                </w14:textFill>
              </w:rPr>
              <w:t>|||</w:t>
            </w:r>
            <w:r w:rsidR="003A33AB" w:rsidRPr="003A33AB">
              <w:rPr>
                <w:color w:val="000000"/>
                <w:spacing w:val="1"/>
                <w:shd w:val="solid" w:color="000000" w:fill="000000"/>
                <w:fitText w:val="330" w:id="-663469559"/>
                <w14:textFill>
                  <w14:solidFill>
                    <w14:srgbClr w14:val="000000">
                      <w14:alpha w14:val="100000"/>
                    </w14:srgbClr>
                  </w14:solidFill>
                </w14:textFill>
              </w:rPr>
              <w:t>|</w:t>
            </w:r>
          </w:p>
        </w:tc>
        <w:tc>
          <w:tcPr>
            <w:tcW w:w="1274" w:type="pct"/>
            <w:vAlign w:val="center"/>
          </w:tcPr>
          <w:p w14:paraId="6C638750" w14:textId="77777777" w:rsidR="00006021" w:rsidRPr="00832985" w:rsidRDefault="00006021" w:rsidP="006B1BCB">
            <w:pPr>
              <w:pStyle w:val="COMTabletext"/>
              <w:jc w:val="center"/>
            </w:pPr>
            <w:r>
              <w:t>$988</w:t>
            </w:r>
          </w:p>
        </w:tc>
        <w:tc>
          <w:tcPr>
            <w:tcW w:w="838" w:type="pct"/>
            <w:vAlign w:val="center"/>
          </w:tcPr>
          <w:p w14:paraId="414AE832" w14:textId="386B2565" w:rsidR="00006021" w:rsidRPr="00832985" w:rsidRDefault="00006021" w:rsidP="006B1BCB">
            <w:pPr>
              <w:pStyle w:val="COMTabletext"/>
              <w:jc w:val="center"/>
            </w:pPr>
            <w:r>
              <w:t>$</w:t>
            </w:r>
            <w:r w:rsidR="003A33AB" w:rsidRPr="003A33AB">
              <w:rPr>
                <w:color w:val="000000"/>
                <w:spacing w:val="53"/>
                <w:shd w:val="solid" w:color="000000" w:fill="000000"/>
                <w:fitText w:val="330" w:id="-663469558"/>
                <w14:textFill>
                  <w14:solidFill>
                    <w14:srgbClr w14:val="000000">
                      <w14:alpha w14:val="100000"/>
                    </w14:srgbClr>
                  </w14:solidFill>
                </w14:textFill>
              </w:rPr>
              <w:t>|||</w:t>
            </w:r>
            <w:r w:rsidR="003A33AB" w:rsidRPr="003A33AB">
              <w:rPr>
                <w:color w:val="000000"/>
                <w:spacing w:val="1"/>
                <w:shd w:val="solid" w:color="000000" w:fill="000000"/>
                <w:fitText w:val="330" w:id="-663469558"/>
                <w14:textFill>
                  <w14:solidFill>
                    <w14:srgbClr w14:val="000000">
                      <w14:alpha w14:val="100000"/>
                    </w14:srgbClr>
                  </w14:solidFill>
                </w14:textFill>
              </w:rPr>
              <w:t>|</w:t>
            </w:r>
          </w:p>
        </w:tc>
      </w:tr>
      <w:tr w:rsidR="00006021" w:rsidRPr="0098262F" w14:paraId="067FB818" w14:textId="77777777" w:rsidTr="006B1BCB">
        <w:tc>
          <w:tcPr>
            <w:tcW w:w="1529" w:type="pct"/>
            <w:vAlign w:val="center"/>
          </w:tcPr>
          <w:p w14:paraId="1FDE14EF" w14:textId="77777777" w:rsidR="00006021" w:rsidRPr="0098262F" w:rsidRDefault="00006021" w:rsidP="006B1BCB">
            <w:pPr>
              <w:pStyle w:val="COMTabletext"/>
              <w:rPr>
                <w:rFonts w:ascii="Times" w:hAnsi="Times"/>
              </w:rPr>
            </w:pPr>
            <w:r>
              <w:t>Life years</w:t>
            </w:r>
          </w:p>
        </w:tc>
        <w:tc>
          <w:tcPr>
            <w:tcW w:w="1359" w:type="pct"/>
            <w:vAlign w:val="center"/>
          </w:tcPr>
          <w:p w14:paraId="25D5D830" w14:textId="77777777" w:rsidR="00006021" w:rsidRPr="00832985" w:rsidRDefault="00006021" w:rsidP="006B1BCB">
            <w:pPr>
              <w:pStyle w:val="COMTabletext"/>
              <w:jc w:val="center"/>
            </w:pPr>
            <w:r>
              <w:t>7.5246</w:t>
            </w:r>
          </w:p>
        </w:tc>
        <w:tc>
          <w:tcPr>
            <w:tcW w:w="1274" w:type="pct"/>
            <w:vAlign w:val="center"/>
          </w:tcPr>
          <w:p w14:paraId="17D3683B" w14:textId="77777777" w:rsidR="00006021" w:rsidRPr="00832985" w:rsidRDefault="00006021" w:rsidP="006B1BCB">
            <w:pPr>
              <w:pStyle w:val="COMTabletext"/>
              <w:jc w:val="center"/>
            </w:pPr>
            <w:r>
              <w:t>6.2292</w:t>
            </w:r>
          </w:p>
        </w:tc>
        <w:tc>
          <w:tcPr>
            <w:tcW w:w="838" w:type="pct"/>
            <w:vAlign w:val="center"/>
          </w:tcPr>
          <w:p w14:paraId="24525B27" w14:textId="77777777" w:rsidR="00006021" w:rsidRPr="00832985" w:rsidRDefault="00006021" w:rsidP="006B1BCB">
            <w:pPr>
              <w:pStyle w:val="COMTabletext"/>
              <w:jc w:val="center"/>
            </w:pPr>
            <w:r>
              <w:t>1.2955</w:t>
            </w:r>
          </w:p>
        </w:tc>
      </w:tr>
      <w:tr w:rsidR="00006021" w:rsidRPr="0098262F" w14:paraId="69A248A8" w14:textId="77777777" w:rsidTr="006B1BCB">
        <w:tc>
          <w:tcPr>
            <w:tcW w:w="4162" w:type="pct"/>
            <w:gridSpan w:val="3"/>
            <w:vAlign w:val="center"/>
          </w:tcPr>
          <w:p w14:paraId="6CC62AC9" w14:textId="77777777" w:rsidR="00006021" w:rsidRPr="0098262F" w:rsidRDefault="00006021" w:rsidP="006B1BCB">
            <w:pPr>
              <w:pStyle w:val="COMTabletext"/>
              <w:jc w:val="right"/>
              <w:rPr>
                <w:rFonts w:ascii="Times" w:hAnsi="Times"/>
              </w:rPr>
            </w:pPr>
            <w:r w:rsidRPr="00071BBB">
              <w:rPr>
                <w:b/>
                <w:bCs w:val="0"/>
              </w:rPr>
              <w:t xml:space="preserve">Incremental cost per </w:t>
            </w:r>
            <w:r>
              <w:rPr>
                <w:b/>
                <w:bCs w:val="0"/>
              </w:rPr>
              <w:t>life year</w:t>
            </w:r>
            <w:r w:rsidRPr="00071BBB">
              <w:rPr>
                <w:b/>
                <w:bCs w:val="0"/>
              </w:rPr>
              <w:t xml:space="preserve"> gained</w:t>
            </w:r>
          </w:p>
        </w:tc>
        <w:tc>
          <w:tcPr>
            <w:tcW w:w="838" w:type="pct"/>
            <w:vAlign w:val="center"/>
          </w:tcPr>
          <w:p w14:paraId="09645875" w14:textId="23C88182" w:rsidR="00006021" w:rsidRPr="00832985" w:rsidRDefault="00006021" w:rsidP="006B1BCB">
            <w:pPr>
              <w:pStyle w:val="COMTabletext"/>
              <w:jc w:val="center"/>
              <w:rPr>
                <w:rFonts w:ascii="Times" w:hAnsi="Times"/>
              </w:rPr>
            </w:pPr>
            <w:r w:rsidRPr="000D53CF">
              <w:t>$</w:t>
            </w:r>
            <w:r w:rsidR="003A33AB" w:rsidRPr="003A33AB">
              <w:rPr>
                <w:color w:val="000000"/>
                <w:spacing w:val="53"/>
                <w:shd w:val="solid" w:color="000000" w:fill="000000"/>
                <w:fitText w:val="330" w:id="-663469557"/>
                <w14:textFill>
                  <w14:solidFill>
                    <w14:srgbClr w14:val="000000">
                      <w14:alpha w14:val="100000"/>
                    </w14:srgbClr>
                  </w14:solidFill>
                </w14:textFill>
              </w:rPr>
              <w:t>|||</w:t>
            </w:r>
            <w:r w:rsidR="003A33AB" w:rsidRPr="003A33AB">
              <w:rPr>
                <w:color w:val="000000"/>
                <w:spacing w:val="1"/>
                <w:shd w:val="solid" w:color="000000" w:fill="000000"/>
                <w:fitText w:val="330" w:id="-663469557"/>
                <w14:textFill>
                  <w14:solidFill>
                    <w14:srgbClr w14:val="000000">
                      <w14:alpha w14:val="100000"/>
                    </w14:srgbClr>
                  </w14:solidFill>
                </w14:textFill>
              </w:rPr>
              <w:t>|</w:t>
            </w:r>
            <w:r w:rsidR="0067759B">
              <w:rPr>
                <w:vertAlign w:val="superscript"/>
              </w:rPr>
              <w:t xml:space="preserve"> 2</w:t>
            </w:r>
          </w:p>
        </w:tc>
      </w:tr>
      <w:tr w:rsidR="00006021" w:rsidRPr="0098262F" w14:paraId="19BED5C6" w14:textId="77777777" w:rsidTr="006B1BCB">
        <w:tc>
          <w:tcPr>
            <w:tcW w:w="5000" w:type="pct"/>
            <w:gridSpan w:val="4"/>
            <w:vAlign w:val="center"/>
          </w:tcPr>
          <w:p w14:paraId="11CA522A" w14:textId="77777777" w:rsidR="00006021" w:rsidRPr="0098262F" w:rsidRDefault="00006021" w:rsidP="006B1BCB">
            <w:pPr>
              <w:pStyle w:val="COMTableheadingrow"/>
            </w:pPr>
            <w:r w:rsidRPr="0098262F">
              <w:t xml:space="preserve">Step 3: </w:t>
            </w:r>
            <w:r>
              <w:t xml:space="preserve">Add disease monitoring costs, ESKD treatment costs and terminal care costs </w:t>
            </w:r>
          </w:p>
        </w:tc>
      </w:tr>
      <w:tr w:rsidR="00006021" w:rsidRPr="0098262F" w14:paraId="2FAF54C6" w14:textId="77777777" w:rsidTr="006B1BCB">
        <w:tc>
          <w:tcPr>
            <w:tcW w:w="1529" w:type="pct"/>
            <w:vAlign w:val="center"/>
          </w:tcPr>
          <w:p w14:paraId="491BCF77" w14:textId="77777777" w:rsidR="00006021" w:rsidRPr="0098262F" w:rsidRDefault="00006021" w:rsidP="006B1BCB">
            <w:pPr>
              <w:pStyle w:val="COMTabletext"/>
              <w:rPr>
                <w:rFonts w:ascii="Times" w:hAnsi="Times"/>
              </w:rPr>
            </w:pPr>
            <w:r w:rsidRPr="0098262F">
              <w:t>Costs</w:t>
            </w:r>
          </w:p>
        </w:tc>
        <w:tc>
          <w:tcPr>
            <w:tcW w:w="1359" w:type="pct"/>
            <w:vAlign w:val="center"/>
          </w:tcPr>
          <w:p w14:paraId="4AF2ED75" w14:textId="723F6881" w:rsidR="00006021" w:rsidRPr="00832985" w:rsidRDefault="00006021" w:rsidP="006B1BCB">
            <w:pPr>
              <w:pStyle w:val="COMTabletext"/>
              <w:jc w:val="center"/>
            </w:pPr>
            <w:r>
              <w:t>$</w:t>
            </w:r>
            <w:r w:rsidR="003A33AB" w:rsidRPr="003A33AB">
              <w:rPr>
                <w:color w:val="000000"/>
                <w:spacing w:val="53"/>
                <w:shd w:val="solid" w:color="000000" w:fill="000000"/>
                <w:fitText w:val="330" w:id="-663469556"/>
                <w14:textFill>
                  <w14:solidFill>
                    <w14:srgbClr w14:val="000000">
                      <w14:alpha w14:val="100000"/>
                    </w14:srgbClr>
                  </w14:solidFill>
                </w14:textFill>
              </w:rPr>
              <w:t>|||</w:t>
            </w:r>
            <w:r w:rsidR="003A33AB" w:rsidRPr="003A33AB">
              <w:rPr>
                <w:color w:val="000000"/>
                <w:spacing w:val="1"/>
                <w:shd w:val="solid" w:color="000000" w:fill="000000"/>
                <w:fitText w:val="330" w:id="-663469556"/>
                <w14:textFill>
                  <w14:solidFill>
                    <w14:srgbClr w14:val="000000">
                      <w14:alpha w14:val="100000"/>
                    </w14:srgbClr>
                  </w14:solidFill>
                </w14:textFill>
              </w:rPr>
              <w:t>|</w:t>
            </w:r>
          </w:p>
        </w:tc>
        <w:tc>
          <w:tcPr>
            <w:tcW w:w="1274" w:type="pct"/>
            <w:vAlign w:val="center"/>
          </w:tcPr>
          <w:p w14:paraId="648C8A8D" w14:textId="77777777" w:rsidR="00006021" w:rsidRPr="00832985" w:rsidRDefault="00006021" w:rsidP="006B1BCB">
            <w:pPr>
              <w:pStyle w:val="COMTabletext"/>
              <w:jc w:val="center"/>
            </w:pPr>
            <w:r>
              <w:t>$100,026</w:t>
            </w:r>
          </w:p>
        </w:tc>
        <w:tc>
          <w:tcPr>
            <w:tcW w:w="838" w:type="pct"/>
            <w:vAlign w:val="center"/>
          </w:tcPr>
          <w:p w14:paraId="7EAC3662" w14:textId="69E5EB97" w:rsidR="00006021" w:rsidRPr="00832985" w:rsidRDefault="00006021" w:rsidP="006B1BCB">
            <w:pPr>
              <w:pStyle w:val="COMTabletext"/>
              <w:jc w:val="center"/>
            </w:pPr>
            <w:r>
              <w:t>$</w:t>
            </w:r>
            <w:r w:rsidR="003A33AB" w:rsidRPr="003A33AB">
              <w:rPr>
                <w:color w:val="000000"/>
                <w:spacing w:val="53"/>
                <w:shd w:val="solid" w:color="000000" w:fill="000000"/>
                <w:fitText w:val="330" w:id="-663469555"/>
                <w14:textFill>
                  <w14:solidFill>
                    <w14:srgbClr w14:val="000000">
                      <w14:alpha w14:val="100000"/>
                    </w14:srgbClr>
                  </w14:solidFill>
                </w14:textFill>
              </w:rPr>
              <w:t>|||</w:t>
            </w:r>
            <w:r w:rsidR="003A33AB" w:rsidRPr="003A33AB">
              <w:rPr>
                <w:color w:val="000000"/>
                <w:spacing w:val="1"/>
                <w:shd w:val="solid" w:color="000000" w:fill="000000"/>
                <w:fitText w:val="330" w:id="-663469555"/>
                <w14:textFill>
                  <w14:solidFill>
                    <w14:srgbClr w14:val="000000">
                      <w14:alpha w14:val="100000"/>
                    </w14:srgbClr>
                  </w14:solidFill>
                </w14:textFill>
              </w:rPr>
              <w:t>|</w:t>
            </w:r>
          </w:p>
        </w:tc>
      </w:tr>
      <w:tr w:rsidR="00006021" w:rsidRPr="0098262F" w14:paraId="198166CC" w14:textId="77777777" w:rsidTr="006B1BCB">
        <w:tc>
          <w:tcPr>
            <w:tcW w:w="1529" w:type="pct"/>
            <w:vAlign w:val="center"/>
          </w:tcPr>
          <w:p w14:paraId="7453FD7A" w14:textId="77777777" w:rsidR="00006021" w:rsidRPr="0098262F" w:rsidRDefault="00006021" w:rsidP="006B1BCB">
            <w:pPr>
              <w:pStyle w:val="COMTabletext"/>
              <w:rPr>
                <w:rFonts w:ascii="Times" w:hAnsi="Times"/>
              </w:rPr>
            </w:pPr>
            <w:r>
              <w:t>Life years</w:t>
            </w:r>
          </w:p>
        </w:tc>
        <w:tc>
          <w:tcPr>
            <w:tcW w:w="1359" w:type="pct"/>
            <w:vAlign w:val="center"/>
          </w:tcPr>
          <w:p w14:paraId="55303172" w14:textId="77777777" w:rsidR="00006021" w:rsidRPr="00832985" w:rsidRDefault="00006021" w:rsidP="006B1BCB">
            <w:pPr>
              <w:pStyle w:val="COMTabletext"/>
              <w:jc w:val="center"/>
            </w:pPr>
            <w:r>
              <w:t>7.5246</w:t>
            </w:r>
          </w:p>
        </w:tc>
        <w:tc>
          <w:tcPr>
            <w:tcW w:w="1274" w:type="pct"/>
            <w:vAlign w:val="center"/>
          </w:tcPr>
          <w:p w14:paraId="34E5D3A2" w14:textId="77777777" w:rsidR="00006021" w:rsidRPr="00832985" w:rsidRDefault="00006021" w:rsidP="006B1BCB">
            <w:pPr>
              <w:pStyle w:val="COMTabletext"/>
              <w:jc w:val="center"/>
            </w:pPr>
            <w:r>
              <w:t>6.2292</w:t>
            </w:r>
          </w:p>
        </w:tc>
        <w:tc>
          <w:tcPr>
            <w:tcW w:w="838" w:type="pct"/>
            <w:vAlign w:val="center"/>
          </w:tcPr>
          <w:p w14:paraId="6FF4B2EF" w14:textId="77777777" w:rsidR="00006021" w:rsidRPr="00832985" w:rsidRDefault="00006021" w:rsidP="006B1BCB">
            <w:pPr>
              <w:pStyle w:val="COMTabletext"/>
              <w:jc w:val="center"/>
            </w:pPr>
            <w:r>
              <w:t>1.2955</w:t>
            </w:r>
          </w:p>
        </w:tc>
      </w:tr>
      <w:tr w:rsidR="00006021" w:rsidRPr="0098262F" w14:paraId="2C60EDE2" w14:textId="77777777" w:rsidTr="006B1BCB">
        <w:tc>
          <w:tcPr>
            <w:tcW w:w="4162" w:type="pct"/>
            <w:gridSpan w:val="3"/>
            <w:vAlign w:val="center"/>
          </w:tcPr>
          <w:p w14:paraId="14517036" w14:textId="77777777" w:rsidR="00006021" w:rsidRPr="0098262F" w:rsidRDefault="00006021" w:rsidP="006B1BCB">
            <w:pPr>
              <w:pStyle w:val="COMTabletext"/>
              <w:jc w:val="right"/>
              <w:rPr>
                <w:rFonts w:ascii="Times" w:hAnsi="Times"/>
              </w:rPr>
            </w:pPr>
            <w:r w:rsidRPr="00071BBB">
              <w:rPr>
                <w:b/>
                <w:bCs w:val="0"/>
              </w:rPr>
              <w:t xml:space="preserve">Incremental cost per </w:t>
            </w:r>
            <w:r>
              <w:rPr>
                <w:b/>
                <w:bCs w:val="0"/>
              </w:rPr>
              <w:t>life year</w:t>
            </w:r>
            <w:r w:rsidRPr="00071BBB">
              <w:rPr>
                <w:b/>
                <w:bCs w:val="0"/>
              </w:rPr>
              <w:t xml:space="preserve"> gained</w:t>
            </w:r>
          </w:p>
        </w:tc>
        <w:tc>
          <w:tcPr>
            <w:tcW w:w="838" w:type="pct"/>
            <w:vAlign w:val="center"/>
          </w:tcPr>
          <w:p w14:paraId="134A81C4" w14:textId="1C0BDF27" w:rsidR="00006021" w:rsidRPr="00832985" w:rsidRDefault="00006021" w:rsidP="006B1BCB">
            <w:pPr>
              <w:pStyle w:val="COMTabletext"/>
              <w:jc w:val="center"/>
            </w:pPr>
            <w:r>
              <w:t>$</w:t>
            </w:r>
            <w:r w:rsidR="003A33AB" w:rsidRPr="003A33AB">
              <w:rPr>
                <w:color w:val="000000"/>
                <w:spacing w:val="53"/>
                <w:shd w:val="solid" w:color="000000" w:fill="000000"/>
                <w:fitText w:val="330" w:id="-663469554"/>
                <w14:textFill>
                  <w14:solidFill>
                    <w14:srgbClr w14:val="000000">
                      <w14:alpha w14:val="100000"/>
                    </w14:srgbClr>
                  </w14:solidFill>
                </w14:textFill>
              </w:rPr>
              <w:t>|||</w:t>
            </w:r>
            <w:r w:rsidR="003A33AB" w:rsidRPr="003A33AB">
              <w:rPr>
                <w:color w:val="000000"/>
                <w:spacing w:val="1"/>
                <w:shd w:val="solid" w:color="000000" w:fill="000000"/>
                <w:fitText w:val="330" w:id="-663469554"/>
                <w14:textFill>
                  <w14:solidFill>
                    <w14:srgbClr w14:val="000000">
                      <w14:alpha w14:val="100000"/>
                    </w14:srgbClr>
                  </w14:solidFill>
                </w14:textFill>
              </w:rPr>
              <w:t>|</w:t>
            </w:r>
            <w:r w:rsidR="0067759B">
              <w:rPr>
                <w:vertAlign w:val="superscript"/>
              </w:rPr>
              <w:t xml:space="preserve"> 2</w:t>
            </w:r>
          </w:p>
        </w:tc>
      </w:tr>
      <w:tr w:rsidR="00006021" w:rsidRPr="0098262F" w14:paraId="211C451E" w14:textId="77777777" w:rsidTr="006B1BCB">
        <w:tc>
          <w:tcPr>
            <w:tcW w:w="5000" w:type="pct"/>
            <w:gridSpan w:val="4"/>
            <w:vAlign w:val="center"/>
          </w:tcPr>
          <w:p w14:paraId="1D92BAFD" w14:textId="77777777" w:rsidR="00006021" w:rsidRPr="0098262F" w:rsidRDefault="00006021" w:rsidP="006B1BCB">
            <w:pPr>
              <w:pStyle w:val="COMTableheadingrow"/>
            </w:pPr>
            <w:r w:rsidRPr="0098262F">
              <w:t xml:space="preserve">Step </w:t>
            </w:r>
            <w:r>
              <w:t>4</w:t>
            </w:r>
            <w:r w:rsidRPr="0098262F">
              <w:t xml:space="preserve">: </w:t>
            </w:r>
            <w:r>
              <w:t>Add CKD and ESKD health state utilities</w:t>
            </w:r>
          </w:p>
        </w:tc>
      </w:tr>
      <w:tr w:rsidR="00006021" w:rsidRPr="0098262F" w14:paraId="1362529A" w14:textId="77777777" w:rsidTr="006B1BCB">
        <w:tc>
          <w:tcPr>
            <w:tcW w:w="1529" w:type="pct"/>
            <w:vAlign w:val="center"/>
          </w:tcPr>
          <w:p w14:paraId="54945522" w14:textId="77777777" w:rsidR="00006021" w:rsidRPr="0098262F" w:rsidRDefault="00006021" w:rsidP="006B1BCB">
            <w:pPr>
              <w:pStyle w:val="COMTabletext"/>
              <w:rPr>
                <w:rFonts w:ascii="Times" w:hAnsi="Times"/>
              </w:rPr>
            </w:pPr>
            <w:r w:rsidRPr="0098262F">
              <w:t>Costs</w:t>
            </w:r>
          </w:p>
        </w:tc>
        <w:tc>
          <w:tcPr>
            <w:tcW w:w="1359" w:type="pct"/>
            <w:vAlign w:val="center"/>
          </w:tcPr>
          <w:p w14:paraId="5992CCE5" w14:textId="52D4B4DF" w:rsidR="00006021" w:rsidRPr="00F96BD8" w:rsidRDefault="00006021" w:rsidP="006B1BCB">
            <w:pPr>
              <w:pStyle w:val="COMTabletext"/>
              <w:jc w:val="center"/>
            </w:pPr>
            <w:r>
              <w:t>$</w:t>
            </w:r>
            <w:r w:rsidR="003A33AB" w:rsidRPr="003A33AB">
              <w:rPr>
                <w:color w:val="000000"/>
                <w:spacing w:val="53"/>
                <w:shd w:val="solid" w:color="000000" w:fill="000000"/>
                <w:fitText w:val="330" w:id="-663469553"/>
                <w14:textFill>
                  <w14:solidFill>
                    <w14:srgbClr w14:val="000000">
                      <w14:alpha w14:val="100000"/>
                    </w14:srgbClr>
                  </w14:solidFill>
                </w14:textFill>
              </w:rPr>
              <w:t>|||</w:t>
            </w:r>
            <w:r w:rsidR="003A33AB" w:rsidRPr="003A33AB">
              <w:rPr>
                <w:color w:val="000000"/>
                <w:spacing w:val="1"/>
                <w:shd w:val="solid" w:color="000000" w:fill="000000"/>
                <w:fitText w:val="330" w:id="-663469553"/>
                <w14:textFill>
                  <w14:solidFill>
                    <w14:srgbClr w14:val="000000">
                      <w14:alpha w14:val="100000"/>
                    </w14:srgbClr>
                  </w14:solidFill>
                </w14:textFill>
              </w:rPr>
              <w:t>|</w:t>
            </w:r>
          </w:p>
        </w:tc>
        <w:tc>
          <w:tcPr>
            <w:tcW w:w="1274" w:type="pct"/>
            <w:vAlign w:val="center"/>
          </w:tcPr>
          <w:p w14:paraId="6FCB5B55" w14:textId="77777777" w:rsidR="00006021" w:rsidRPr="00F96BD8" w:rsidRDefault="00006021" w:rsidP="006B1BCB">
            <w:pPr>
              <w:pStyle w:val="COMTabletext"/>
              <w:jc w:val="center"/>
            </w:pPr>
            <w:r>
              <w:t>$100,026</w:t>
            </w:r>
          </w:p>
        </w:tc>
        <w:tc>
          <w:tcPr>
            <w:tcW w:w="838" w:type="pct"/>
            <w:vAlign w:val="center"/>
          </w:tcPr>
          <w:p w14:paraId="677BCC87" w14:textId="781A5E97" w:rsidR="00006021" w:rsidRPr="00F96BD8" w:rsidRDefault="00006021" w:rsidP="006B1BCB">
            <w:pPr>
              <w:pStyle w:val="COMTabletext"/>
              <w:jc w:val="center"/>
            </w:pPr>
            <w:r>
              <w:t>$</w:t>
            </w:r>
            <w:r w:rsidR="003A33AB" w:rsidRPr="003A33AB">
              <w:rPr>
                <w:color w:val="000000"/>
                <w:spacing w:val="53"/>
                <w:shd w:val="solid" w:color="000000" w:fill="000000"/>
                <w:fitText w:val="330" w:id="-663469552"/>
                <w14:textFill>
                  <w14:solidFill>
                    <w14:srgbClr w14:val="000000">
                      <w14:alpha w14:val="100000"/>
                    </w14:srgbClr>
                  </w14:solidFill>
                </w14:textFill>
              </w:rPr>
              <w:t>|||</w:t>
            </w:r>
            <w:r w:rsidR="003A33AB" w:rsidRPr="003A33AB">
              <w:rPr>
                <w:color w:val="000000"/>
                <w:spacing w:val="1"/>
                <w:shd w:val="solid" w:color="000000" w:fill="000000"/>
                <w:fitText w:val="330" w:id="-663469552"/>
                <w14:textFill>
                  <w14:solidFill>
                    <w14:srgbClr w14:val="000000">
                      <w14:alpha w14:val="100000"/>
                    </w14:srgbClr>
                  </w14:solidFill>
                </w14:textFill>
              </w:rPr>
              <w:t>|</w:t>
            </w:r>
          </w:p>
        </w:tc>
      </w:tr>
      <w:tr w:rsidR="00006021" w:rsidRPr="0098262F" w14:paraId="4A86CA21" w14:textId="77777777" w:rsidTr="006B1BCB">
        <w:tc>
          <w:tcPr>
            <w:tcW w:w="1529" w:type="pct"/>
            <w:vAlign w:val="center"/>
          </w:tcPr>
          <w:p w14:paraId="3E07A594" w14:textId="77777777" w:rsidR="00006021" w:rsidRPr="0098262F" w:rsidRDefault="00006021" w:rsidP="006B1BCB">
            <w:pPr>
              <w:pStyle w:val="COMTabletext"/>
              <w:rPr>
                <w:rFonts w:ascii="Times" w:hAnsi="Times"/>
              </w:rPr>
            </w:pPr>
            <w:r w:rsidRPr="0098262F">
              <w:t>QALYs</w:t>
            </w:r>
          </w:p>
        </w:tc>
        <w:tc>
          <w:tcPr>
            <w:tcW w:w="1359" w:type="pct"/>
            <w:vAlign w:val="center"/>
          </w:tcPr>
          <w:p w14:paraId="4667EB1E" w14:textId="77777777" w:rsidR="00006021" w:rsidRPr="00F96BD8" w:rsidRDefault="00006021" w:rsidP="006B1BCB">
            <w:pPr>
              <w:pStyle w:val="COMTabletext"/>
              <w:jc w:val="center"/>
            </w:pPr>
            <w:r>
              <w:t>5.8230</w:t>
            </w:r>
          </w:p>
        </w:tc>
        <w:tc>
          <w:tcPr>
            <w:tcW w:w="1274" w:type="pct"/>
            <w:vAlign w:val="center"/>
          </w:tcPr>
          <w:p w14:paraId="1BB3BB43" w14:textId="77777777" w:rsidR="00006021" w:rsidRPr="00F96BD8" w:rsidRDefault="00006021" w:rsidP="006B1BCB">
            <w:pPr>
              <w:pStyle w:val="COMTabletext"/>
              <w:jc w:val="center"/>
            </w:pPr>
            <w:r>
              <w:t>4.8122</w:t>
            </w:r>
          </w:p>
        </w:tc>
        <w:tc>
          <w:tcPr>
            <w:tcW w:w="838" w:type="pct"/>
            <w:vAlign w:val="center"/>
          </w:tcPr>
          <w:p w14:paraId="5923B941" w14:textId="77777777" w:rsidR="00006021" w:rsidRPr="00F96BD8" w:rsidRDefault="00006021" w:rsidP="006B1BCB">
            <w:pPr>
              <w:pStyle w:val="COMTabletext"/>
              <w:jc w:val="center"/>
            </w:pPr>
            <w:r>
              <w:t>1.0108</w:t>
            </w:r>
          </w:p>
        </w:tc>
      </w:tr>
      <w:tr w:rsidR="00006021" w:rsidRPr="0098262F" w14:paraId="27E82395" w14:textId="77777777" w:rsidTr="006B1BCB">
        <w:tc>
          <w:tcPr>
            <w:tcW w:w="4162" w:type="pct"/>
            <w:gridSpan w:val="3"/>
            <w:vAlign w:val="center"/>
          </w:tcPr>
          <w:p w14:paraId="300533D3" w14:textId="77777777" w:rsidR="00006021" w:rsidRPr="0098262F" w:rsidRDefault="00006021" w:rsidP="006B1BCB">
            <w:pPr>
              <w:pStyle w:val="COMTabletext"/>
              <w:jc w:val="right"/>
              <w:rPr>
                <w:rFonts w:ascii="Times" w:hAnsi="Times"/>
              </w:rPr>
            </w:pPr>
            <w:r w:rsidRPr="00071BBB">
              <w:rPr>
                <w:b/>
                <w:bCs w:val="0"/>
              </w:rPr>
              <w:t>Incremental cost per QALY gained</w:t>
            </w:r>
          </w:p>
        </w:tc>
        <w:tc>
          <w:tcPr>
            <w:tcW w:w="838" w:type="pct"/>
            <w:vAlign w:val="center"/>
          </w:tcPr>
          <w:p w14:paraId="52A1E557" w14:textId="38239426" w:rsidR="00006021" w:rsidRPr="00346BE7" w:rsidRDefault="00006021" w:rsidP="006B1BCB">
            <w:pPr>
              <w:pStyle w:val="COMTabletext"/>
              <w:jc w:val="center"/>
            </w:pPr>
            <w:r w:rsidRPr="00104049">
              <w:t>$</w:t>
            </w:r>
            <w:r w:rsidR="003A33AB" w:rsidRPr="003A33AB">
              <w:rPr>
                <w:color w:val="000000"/>
                <w:spacing w:val="53"/>
                <w:shd w:val="solid" w:color="000000" w:fill="000000"/>
                <w:fitText w:val="330" w:id="-663469568"/>
                <w14:textFill>
                  <w14:solidFill>
                    <w14:srgbClr w14:val="000000">
                      <w14:alpha w14:val="100000"/>
                    </w14:srgbClr>
                  </w14:solidFill>
                </w14:textFill>
              </w:rPr>
              <w:t>|||</w:t>
            </w:r>
            <w:r w:rsidR="003A33AB" w:rsidRPr="003A33AB">
              <w:rPr>
                <w:color w:val="000000"/>
                <w:spacing w:val="1"/>
                <w:shd w:val="solid" w:color="000000" w:fill="000000"/>
                <w:fitText w:val="330" w:id="-663469568"/>
                <w14:textFill>
                  <w14:solidFill>
                    <w14:srgbClr w14:val="000000">
                      <w14:alpha w14:val="100000"/>
                    </w14:srgbClr>
                  </w14:solidFill>
                </w14:textFill>
              </w:rPr>
              <w:t>|</w:t>
            </w:r>
            <w:r w:rsidR="0067759B">
              <w:rPr>
                <w:vertAlign w:val="superscript"/>
              </w:rPr>
              <w:t xml:space="preserve"> 2</w:t>
            </w:r>
          </w:p>
        </w:tc>
      </w:tr>
    </w:tbl>
    <w:p w14:paraId="0FA9D0F7" w14:textId="77777777" w:rsidR="00006021" w:rsidRDefault="00006021" w:rsidP="00006021">
      <w:pPr>
        <w:pStyle w:val="COMTablefooter"/>
      </w:pPr>
      <w:r w:rsidRPr="0098262F">
        <w:t xml:space="preserve">Source: </w:t>
      </w:r>
      <w:r>
        <w:t>Table 3.24, p337 of the resubmission</w:t>
      </w:r>
    </w:p>
    <w:p w14:paraId="00C2524D" w14:textId="77777777" w:rsidR="00006021" w:rsidRDefault="00006021" w:rsidP="00660B61">
      <w:pPr>
        <w:pStyle w:val="COMTablefooter"/>
        <w:spacing w:after="0"/>
      </w:pPr>
      <w:r>
        <w:t>Abbreviations: CKD, chronic kidney disease; ESKD, end-stage kidney disease; ITT, intent to treat; QALY, quality-adjusted life year; SOC, standard care</w:t>
      </w:r>
    </w:p>
    <w:p w14:paraId="224C9D4B" w14:textId="77777777" w:rsidR="00660B61" w:rsidRPr="009A6D58" w:rsidRDefault="00660B61" w:rsidP="00660B61">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703B1C7C" w14:textId="6BFED68C" w:rsidR="00660B61" w:rsidRPr="009A6D58" w:rsidRDefault="00660B61" w:rsidP="00660B61">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94173B" w:rsidRPr="0094173B">
        <w:rPr>
          <w:rFonts w:ascii="Arial Narrow" w:hAnsi="Arial Narrow"/>
          <w:i/>
          <w:sz w:val="18"/>
          <w:szCs w:val="18"/>
        </w:rPr>
        <w:t>$135,000 to &lt; $155,000</w:t>
      </w:r>
    </w:p>
    <w:p w14:paraId="40347338" w14:textId="1A265336" w:rsidR="00660B61" w:rsidRPr="00660B61" w:rsidRDefault="00660B61" w:rsidP="00660B61">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D4166E" w:rsidRPr="00D4166E">
        <w:rPr>
          <w:rFonts w:ascii="Arial Narrow" w:hAnsi="Arial Narrow"/>
          <w:i/>
          <w:sz w:val="18"/>
          <w:szCs w:val="18"/>
        </w:rPr>
        <w:t>$0 to &lt; $5,000</w:t>
      </w:r>
    </w:p>
    <w:p w14:paraId="4A6D8A3A" w14:textId="461CD53A" w:rsidR="009D2681" w:rsidRDefault="009D2681" w:rsidP="009D2681">
      <w:pPr>
        <w:pStyle w:val="COMexecsummnumbered"/>
      </w:pPr>
      <w:r w:rsidRPr="005447A7">
        <w:t xml:space="preserve">Treatment with empagliflozin </w:t>
      </w:r>
      <w:r w:rsidR="00707D45">
        <w:t>plus</w:t>
      </w:r>
      <w:r w:rsidRPr="005447A7">
        <w:t xml:space="preserve"> SC was associated with an incremental cost per QALY gained of $</w:t>
      </w:r>
      <w:r w:rsidR="00D4166E" w:rsidRPr="00D4166E">
        <w:t>0 to &lt; $5,000</w:t>
      </w:r>
      <w:r w:rsidR="00D4166E">
        <w:t xml:space="preserve"> </w:t>
      </w:r>
      <w:r w:rsidRPr="005447A7">
        <w:t>compared to SC alone in the modelled PBS incremental population with chronic kidney disease.</w:t>
      </w:r>
    </w:p>
    <w:p w14:paraId="61B1EF27" w14:textId="77777777" w:rsidR="00276253" w:rsidRDefault="00F34D1E" w:rsidP="009D2681">
      <w:pPr>
        <w:pStyle w:val="COMexecsummnumbered"/>
      </w:pPr>
      <w:r w:rsidRPr="00D1358A">
        <w:t xml:space="preserve">The cost-effectiveness of patients with varying baseline disease severity (e.g. moderate, high and very high risk) could not be determined as the modelled population was based on the overall incremental population in the trial. The data suggest potential differences </w:t>
      </w:r>
      <w:r w:rsidR="00891158">
        <w:t>between</w:t>
      </w:r>
      <w:r w:rsidRPr="00D1358A">
        <w:t xml:space="preserve"> the composition of the incremental population in </w:t>
      </w:r>
      <w:r w:rsidR="00891158">
        <w:t xml:space="preserve">the trial and in </w:t>
      </w:r>
      <w:r w:rsidRPr="00D1358A">
        <w:t xml:space="preserve">clinical practice, with a higher proportion of patients with milder CKD </w:t>
      </w:r>
      <w:r w:rsidR="003C4909">
        <w:t xml:space="preserve">in clinical practice </w:t>
      </w:r>
      <w:r w:rsidRPr="00D1358A">
        <w:t>compared to the trial.</w:t>
      </w:r>
    </w:p>
    <w:p w14:paraId="675CB167" w14:textId="64E93562" w:rsidR="009D2681" w:rsidRPr="00D1358A" w:rsidRDefault="009D2681" w:rsidP="009D2681">
      <w:pPr>
        <w:pStyle w:val="COMexecsummnumbered"/>
      </w:pPr>
      <w:r w:rsidRPr="00D1358A">
        <w:t>During the evaluation, it was noted that 99.7% of incremental QALYs are accrued in the extrapolated period beyond 2 years. Incremental costs are accrued in the extrapolated period due to improved survival of patients in the ESKD state in the empagliflozin plus SC arm compared to the SC arm.</w:t>
      </w:r>
    </w:p>
    <w:p w14:paraId="6A0EB08E" w14:textId="7B07B55B" w:rsidR="009D2681" w:rsidRPr="0098262F" w:rsidRDefault="009D2681" w:rsidP="009D2681">
      <w:pPr>
        <w:pStyle w:val="COMexecsummnumbered"/>
      </w:pPr>
      <w:r w:rsidRPr="0098262F">
        <w:t>The results of key sensitivity analyses are summarised in</w:t>
      </w:r>
      <w:r w:rsidR="00A8566A">
        <w:t xml:space="preserve"> </w:t>
      </w:r>
      <w:r w:rsidR="00A8566A">
        <w:fldChar w:fldCharType="begin"/>
      </w:r>
      <w:r w:rsidR="00A8566A">
        <w:instrText xml:space="preserve"> REF _Ref190699515 \h </w:instrText>
      </w:r>
      <w:r w:rsidR="00A8566A">
        <w:fldChar w:fldCharType="separate"/>
      </w:r>
      <w:r w:rsidR="004A7850" w:rsidRPr="0098262F">
        <w:t xml:space="preserve">Table </w:t>
      </w:r>
      <w:r w:rsidR="004A7850">
        <w:rPr>
          <w:noProof/>
        </w:rPr>
        <w:t>14</w:t>
      </w:r>
      <w:r w:rsidR="00A8566A">
        <w:fldChar w:fldCharType="end"/>
      </w:r>
      <w:r w:rsidRPr="0098262F">
        <w:t>.</w:t>
      </w:r>
    </w:p>
    <w:p w14:paraId="50982641" w14:textId="742E194D" w:rsidR="009D2681" w:rsidRDefault="009D2681" w:rsidP="001027A3">
      <w:pPr>
        <w:pStyle w:val="COMtablefigcaption"/>
      </w:pPr>
      <w:bookmarkStart w:id="47" w:name="_Ref190699515"/>
      <w:r w:rsidRPr="0098262F">
        <w:lastRenderedPageBreak/>
        <w:t xml:space="preserve">Table </w:t>
      </w:r>
      <w:r w:rsidR="001154A7">
        <w:fldChar w:fldCharType="begin"/>
      </w:r>
      <w:r w:rsidR="001154A7">
        <w:instrText xml:space="preserve"> SEQ Table \* ARABIC </w:instrText>
      </w:r>
      <w:r w:rsidR="001154A7">
        <w:fldChar w:fldCharType="separate"/>
      </w:r>
      <w:r w:rsidR="004A7850">
        <w:rPr>
          <w:noProof/>
        </w:rPr>
        <w:t>14</w:t>
      </w:r>
      <w:r w:rsidR="001154A7">
        <w:rPr>
          <w:noProof/>
        </w:rPr>
        <w:fldChar w:fldCharType="end"/>
      </w:r>
      <w:bookmarkEnd w:id="47"/>
      <w:r w:rsidRPr="0098262F">
        <w:t>:</w:t>
      </w:r>
      <w:r w:rsidRPr="00FF3ECD">
        <w:t xml:space="preserve"> Sensitivity analyses</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62"/>
        <w:gridCol w:w="992"/>
        <w:gridCol w:w="992"/>
        <w:gridCol w:w="1043"/>
        <w:gridCol w:w="1040"/>
      </w:tblGrid>
      <w:tr w:rsidR="00781189" w:rsidRPr="003C4909" w14:paraId="16937755" w14:textId="77777777" w:rsidTr="001027A3">
        <w:trPr>
          <w:tblHeader/>
        </w:trPr>
        <w:tc>
          <w:tcPr>
            <w:tcW w:w="4962" w:type="dxa"/>
            <w:tcMar>
              <w:top w:w="0" w:type="dxa"/>
              <w:left w:w="28" w:type="dxa"/>
              <w:bottom w:w="0" w:type="dxa"/>
              <w:right w:w="28" w:type="dxa"/>
            </w:tcMar>
            <w:vAlign w:val="center"/>
            <w:hideMark/>
          </w:tcPr>
          <w:p w14:paraId="25D42888" w14:textId="77777777" w:rsidR="00781189" w:rsidRPr="00E22F87" w:rsidRDefault="00781189" w:rsidP="001027A3">
            <w:pPr>
              <w:pStyle w:val="COMTableheadingrow"/>
            </w:pPr>
            <w:r w:rsidRPr="00E22F87">
              <w:t>Analysis</w:t>
            </w:r>
          </w:p>
        </w:tc>
        <w:tc>
          <w:tcPr>
            <w:tcW w:w="992" w:type="dxa"/>
            <w:tcMar>
              <w:top w:w="0" w:type="dxa"/>
              <w:left w:w="28" w:type="dxa"/>
              <w:bottom w:w="0" w:type="dxa"/>
              <w:right w:w="28" w:type="dxa"/>
            </w:tcMar>
            <w:vAlign w:val="center"/>
            <w:hideMark/>
          </w:tcPr>
          <w:p w14:paraId="5723BA8D" w14:textId="77777777" w:rsidR="00781189" w:rsidRPr="00E22F87" w:rsidRDefault="00781189" w:rsidP="001027A3">
            <w:pPr>
              <w:pStyle w:val="COMTableheadingrow"/>
              <w:jc w:val="center"/>
            </w:pPr>
            <w:r w:rsidRPr="00E22F87">
              <w:t>Incremental cost</w:t>
            </w:r>
          </w:p>
        </w:tc>
        <w:tc>
          <w:tcPr>
            <w:tcW w:w="992" w:type="dxa"/>
            <w:tcMar>
              <w:top w:w="0" w:type="dxa"/>
              <w:left w:w="28" w:type="dxa"/>
              <w:bottom w:w="0" w:type="dxa"/>
              <w:right w:w="28" w:type="dxa"/>
            </w:tcMar>
            <w:vAlign w:val="center"/>
            <w:hideMark/>
          </w:tcPr>
          <w:p w14:paraId="10B8A890" w14:textId="77777777" w:rsidR="00781189" w:rsidRPr="00E22F87" w:rsidRDefault="00781189" w:rsidP="001027A3">
            <w:pPr>
              <w:pStyle w:val="COMTableheadingrow"/>
              <w:jc w:val="center"/>
            </w:pPr>
            <w:r w:rsidRPr="00E22F87">
              <w:t>Incremental QALY</w:t>
            </w:r>
          </w:p>
        </w:tc>
        <w:tc>
          <w:tcPr>
            <w:tcW w:w="1043" w:type="dxa"/>
            <w:tcMar>
              <w:top w:w="0" w:type="dxa"/>
              <w:left w:w="28" w:type="dxa"/>
              <w:bottom w:w="0" w:type="dxa"/>
              <w:right w:w="28" w:type="dxa"/>
            </w:tcMar>
            <w:vAlign w:val="center"/>
            <w:hideMark/>
          </w:tcPr>
          <w:p w14:paraId="17276106" w14:textId="7D7EB5BA" w:rsidR="00781189" w:rsidRPr="00E22F87" w:rsidRDefault="00781189" w:rsidP="001027A3">
            <w:pPr>
              <w:pStyle w:val="COMTableheadingrow"/>
              <w:jc w:val="center"/>
            </w:pPr>
            <w:r w:rsidRPr="00E22F87">
              <w:t>ICER</w:t>
            </w:r>
          </w:p>
        </w:tc>
        <w:tc>
          <w:tcPr>
            <w:tcW w:w="1040" w:type="dxa"/>
            <w:tcMar>
              <w:left w:w="28" w:type="dxa"/>
              <w:right w:w="28" w:type="dxa"/>
            </w:tcMar>
            <w:vAlign w:val="center"/>
          </w:tcPr>
          <w:p w14:paraId="5CC1EC4F" w14:textId="77777777" w:rsidR="00781189" w:rsidRPr="00E22F87" w:rsidRDefault="00781189" w:rsidP="001027A3">
            <w:pPr>
              <w:pStyle w:val="COMTableheadingrow"/>
              <w:jc w:val="center"/>
            </w:pPr>
            <w:r w:rsidRPr="00E22F87">
              <w:t>Change from base case ICER</w:t>
            </w:r>
          </w:p>
        </w:tc>
      </w:tr>
      <w:tr w:rsidR="00781189" w:rsidRPr="003C4909" w14:paraId="3FC6D7F7" w14:textId="77777777" w:rsidTr="001027A3">
        <w:tc>
          <w:tcPr>
            <w:tcW w:w="4962" w:type="dxa"/>
            <w:tcMar>
              <w:top w:w="0" w:type="dxa"/>
              <w:left w:w="28" w:type="dxa"/>
              <w:bottom w:w="0" w:type="dxa"/>
              <w:right w:w="28" w:type="dxa"/>
            </w:tcMar>
            <w:vAlign w:val="center"/>
            <w:hideMark/>
          </w:tcPr>
          <w:p w14:paraId="3255A92F" w14:textId="77777777" w:rsidR="00781189" w:rsidRPr="00E22F87" w:rsidRDefault="00781189" w:rsidP="001027A3">
            <w:pPr>
              <w:pStyle w:val="COMTabletext"/>
              <w:rPr>
                <w:b/>
                <w:bCs w:val="0"/>
              </w:rPr>
            </w:pPr>
            <w:r w:rsidRPr="00E22F87">
              <w:rPr>
                <w:b/>
                <w:bCs w:val="0"/>
              </w:rPr>
              <w:t>Base case</w:t>
            </w:r>
          </w:p>
        </w:tc>
        <w:tc>
          <w:tcPr>
            <w:tcW w:w="992" w:type="dxa"/>
            <w:tcMar>
              <w:top w:w="0" w:type="dxa"/>
              <w:left w:w="28" w:type="dxa"/>
              <w:bottom w:w="0" w:type="dxa"/>
              <w:right w:w="28" w:type="dxa"/>
            </w:tcMar>
            <w:vAlign w:val="center"/>
          </w:tcPr>
          <w:p w14:paraId="1B48377C" w14:textId="0198F3EB" w:rsidR="00781189" w:rsidRPr="00E22F87" w:rsidRDefault="00781189" w:rsidP="001027A3">
            <w:pPr>
              <w:pStyle w:val="COMTabletext"/>
              <w:jc w:val="center"/>
              <w:rPr>
                <w:b/>
                <w:bCs w:val="0"/>
              </w:rPr>
            </w:pPr>
            <w:r w:rsidRPr="00E22F87">
              <w:rPr>
                <w:b/>
                <w:bCs w:val="0"/>
              </w:rPr>
              <w:t>$</w:t>
            </w:r>
            <w:r w:rsidR="003A33AB" w:rsidRPr="003A33AB">
              <w:rPr>
                <w:b/>
                <w:bCs w:val="0"/>
                <w:color w:val="000000"/>
                <w:spacing w:val="55"/>
                <w:shd w:val="solid" w:color="000000" w:fill="000000"/>
                <w:fitText w:val="350" w:id="-663469567"/>
                <w14:textFill>
                  <w14:solidFill>
                    <w14:srgbClr w14:val="000000">
                      <w14:alpha w14:val="100000"/>
                    </w14:srgbClr>
                  </w14:solidFill>
                </w14:textFill>
              </w:rPr>
              <w:t>|||</w:t>
            </w:r>
            <w:r w:rsidR="003A33AB" w:rsidRPr="003A33AB">
              <w:rPr>
                <w:b/>
                <w:bCs w:val="0"/>
                <w:color w:val="000000"/>
                <w:spacing w:val="2"/>
                <w:shd w:val="solid" w:color="000000" w:fill="000000"/>
                <w:fitText w:val="350" w:id="-663469567"/>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3C85477F" w14:textId="77777777" w:rsidR="00781189" w:rsidRPr="00E22F87" w:rsidRDefault="00781189" w:rsidP="001027A3">
            <w:pPr>
              <w:pStyle w:val="COMTabletext"/>
              <w:jc w:val="center"/>
              <w:rPr>
                <w:b/>
                <w:bCs w:val="0"/>
              </w:rPr>
            </w:pPr>
            <w:r w:rsidRPr="00E22F87">
              <w:rPr>
                <w:b/>
                <w:bCs w:val="0"/>
              </w:rPr>
              <w:t>1.0108</w:t>
            </w:r>
          </w:p>
        </w:tc>
        <w:tc>
          <w:tcPr>
            <w:tcW w:w="1043" w:type="dxa"/>
            <w:tcMar>
              <w:top w:w="0" w:type="dxa"/>
              <w:left w:w="28" w:type="dxa"/>
              <w:bottom w:w="0" w:type="dxa"/>
              <w:right w:w="28" w:type="dxa"/>
            </w:tcMar>
            <w:vAlign w:val="center"/>
          </w:tcPr>
          <w:p w14:paraId="6014967F" w14:textId="18C7690B" w:rsidR="00781189" w:rsidRPr="00821A76" w:rsidRDefault="00781189" w:rsidP="001027A3">
            <w:pPr>
              <w:pStyle w:val="COMTabletext"/>
              <w:jc w:val="center"/>
              <w:rPr>
                <w:b/>
                <w:bCs w:val="0"/>
                <w:vertAlign w:val="superscript"/>
              </w:rPr>
            </w:pPr>
            <w:r w:rsidRPr="00E22F87">
              <w:rPr>
                <w:b/>
                <w:bCs w:val="0"/>
              </w:rPr>
              <w:t>$</w:t>
            </w:r>
            <w:r w:rsidR="003A33AB" w:rsidRPr="003A33AB">
              <w:rPr>
                <w:b/>
                <w:bCs w:val="0"/>
                <w:color w:val="000000"/>
                <w:spacing w:val="55"/>
                <w:shd w:val="solid" w:color="000000" w:fill="000000"/>
                <w:fitText w:val="350" w:id="-663469566"/>
                <w14:textFill>
                  <w14:solidFill>
                    <w14:srgbClr w14:val="000000">
                      <w14:alpha w14:val="100000"/>
                    </w14:srgbClr>
                  </w14:solidFill>
                </w14:textFill>
              </w:rPr>
              <w:t>|||</w:t>
            </w:r>
            <w:r w:rsidR="003A33AB" w:rsidRPr="003A33AB">
              <w:rPr>
                <w:b/>
                <w:bCs w:val="0"/>
                <w:color w:val="000000"/>
                <w:spacing w:val="2"/>
                <w:shd w:val="solid" w:color="000000" w:fill="000000"/>
                <w:fitText w:val="350" w:id="-663469566"/>
                <w14:textFill>
                  <w14:solidFill>
                    <w14:srgbClr w14:val="000000">
                      <w14:alpha w14:val="100000"/>
                    </w14:srgbClr>
                  </w14:solidFill>
                </w14:textFill>
              </w:rPr>
              <w:t>|</w:t>
            </w:r>
            <w:r w:rsidR="00821A76">
              <w:rPr>
                <w:b/>
                <w:bCs w:val="0"/>
              </w:rPr>
              <w:t xml:space="preserve"> </w:t>
            </w:r>
            <w:r w:rsidR="00821A76">
              <w:rPr>
                <w:b/>
                <w:bCs w:val="0"/>
                <w:vertAlign w:val="superscript"/>
              </w:rPr>
              <w:t>1</w:t>
            </w:r>
          </w:p>
        </w:tc>
        <w:tc>
          <w:tcPr>
            <w:tcW w:w="1040" w:type="dxa"/>
            <w:tcMar>
              <w:left w:w="28" w:type="dxa"/>
              <w:right w:w="28" w:type="dxa"/>
            </w:tcMar>
            <w:vAlign w:val="center"/>
          </w:tcPr>
          <w:p w14:paraId="10DE6B4B" w14:textId="77777777" w:rsidR="00781189" w:rsidRPr="00E22F87" w:rsidRDefault="00781189" w:rsidP="001027A3">
            <w:pPr>
              <w:pStyle w:val="COMTabletext"/>
              <w:jc w:val="center"/>
            </w:pPr>
            <w:r w:rsidRPr="00E22F87">
              <w:t>-</w:t>
            </w:r>
          </w:p>
        </w:tc>
      </w:tr>
      <w:tr w:rsidR="00781189" w:rsidRPr="003C4909" w14:paraId="2A91BA1A" w14:textId="77777777" w:rsidTr="00740CBB">
        <w:tc>
          <w:tcPr>
            <w:tcW w:w="9029" w:type="dxa"/>
            <w:gridSpan w:val="5"/>
            <w:tcMar>
              <w:top w:w="0" w:type="dxa"/>
              <w:left w:w="28" w:type="dxa"/>
              <w:bottom w:w="0" w:type="dxa"/>
              <w:right w:w="28" w:type="dxa"/>
            </w:tcMar>
            <w:vAlign w:val="center"/>
            <w:hideMark/>
          </w:tcPr>
          <w:p w14:paraId="4A57EFA7" w14:textId="77777777" w:rsidR="00781189" w:rsidRPr="00E22F87" w:rsidRDefault="00781189" w:rsidP="001027A3">
            <w:pPr>
              <w:pStyle w:val="Tabletext0"/>
              <w:keepNext/>
              <w:jc w:val="both"/>
              <w:rPr>
                <w:szCs w:val="20"/>
              </w:rPr>
            </w:pPr>
            <w:r w:rsidRPr="00E22F87">
              <w:rPr>
                <w:b/>
                <w:bCs/>
                <w:szCs w:val="20"/>
              </w:rPr>
              <w:t>Discount rate (base case 5% for benefits and costs)</w:t>
            </w:r>
          </w:p>
        </w:tc>
      </w:tr>
      <w:tr w:rsidR="00781189" w:rsidRPr="003C4909" w14:paraId="5F933D88" w14:textId="77777777" w:rsidTr="001027A3">
        <w:tc>
          <w:tcPr>
            <w:tcW w:w="4962" w:type="dxa"/>
            <w:tcMar>
              <w:top w:w="0" w:type="dxa"/>
              <w:left w:w="28" w:type="dxa"/>
              <w:bottom w:w="0" w:type="dxa"/>
              <w:right w:w="28" w:type="dxa"/>
            </w:tcMar>
            <w:vAlign w:val="center"/>
          </w:tcPr>
          <w:p w14:paraId="339D4885" w14:textId="77777777" w:rsidR="00781189" w:rsidRPr="00E22F87" w:rsidRDefault="00781189" w:rsidP="001027A3">
            <w:pPr>
              <w:pStyle w:val="COMTabletext"/>
            </w:pPr>
            <w:r w:rsidRPr="00E22F87">
              <w:t>3.5% discount rate</w:t>
            </w:r>
          </w:p>
        </w:tc>
        <w:tc>
          <w:tcPr>
            <w:tcW w:w="992" w:type="dxa"/>
            <w:tcMar>
              <w:top w:w="0" w:type="dxa"/>
              <w:left w:w="28" w:type="dxa"/>
              <w:bottom w:w="0" w:type="dxa"/>
              <w:right w:w="28" w:type="dxa"/>
            </w:tcMar>
            <w:vAlign w:val="center"/>
          </w:tcPr>
          <w:p w14:paraId="33F3DE53" w14:textId="5DFC070D" w:rsidR="00781189" w:rsidRPr="00E22F87" w:rsidRDefault="00781189" w:rsidP="001027A3">
            <w:pPr>
              <w:pStyle w:val="COMTabletext"/>
              <w:jc w:val="center"/>
            </w:pPr>
            <w:r w:rsidRPr="00E22F87">
              <w:t>$</w:t>
            </w:r>
            <w:r w:rsidR="003A33AB" w:rsidRPr="003A33AB">
              <w:rPr>
                <w:color w:val="000000"/>
                <w:spacing w:val="53"/>
                <w:shd w:val="solid" w:color="000000" w:fill="000000"/>
                <w:fitText w:val="330" w:id="-663469565"/>
                <w14:textFill>
                  <w14:solidFill>
                    <w14:srgbClr w14:val="000000">
                      <w14:alpha w14:val="100000"/>
                    </w14:srgbClr>
                  </w14:solidFill>
                </w14:textFill>
              </w:rPr>
              <w:t>|||</w:t>
            </w:r>
            <w:r w:rsidR="003A33AB" w:rsidRPr="003A33AB">
              <w:rPr>
                <w:color w:val="000000"/>
                <w:spacing w:val="1"/>
                <w:shd w:val="solid" w:color="000000" w:fill="000000"/>
                <w:fitText w:val="330" w:id="-663469565"/>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2DA4DEFC" w14:textId="77777777" w:rsidR="00781189" w:rsidRPr="00E22F87" w:rsidRDefault="00781189" w:rsidP="001027A3">
            <w:pPr>
              <w:pStyle w:val="COMTabletext"/>
              <w:jc w:val="center"/>
            </w:pPr>
            <w:r w:rsidRPr="00E22F87">
              <w:t>1.1506</w:t>
            </w:r>
          </w:p>
        </w:tc>
        <w:tc>
          <w:tcPr>
            <w:tcW w:w="1043" w:type="dxa"/>
            <w:tcMar>
              <w:top w:w="0" w:type="dxa"/>
              <w:left w:w="28" w:type="dxa"/>
              <w:bottom w:w="0" w:type="dxa"/>
              <w:right w:w="28" w:type="dxa"/>
            </w:tcMar>
            <w:vAlign w:val="center"/>
          </w:tcPr>
          <w:p w14:paraId="290B324E" w14:textId="14AE475A" w:rsidR="00781189" w:rsidRPr="00E22F87" w:rsidRDefault="00781189" w:rsidP="001027A3">
            <w:pPr>
              <w:pStyle w:val="COMTabletext"/>
              <w:jc w:val="center"/>
            </w:pPr>
            <w:r w:rsidRPr="00E22F87">
              <w:t>$</w:t>
            </w:r>
            <w:r w:rsidR="003A33AB" w:rsidRPr="003A33AB">
              <w:rPr>
                <w:color w:val="000000"/>
                <w:spacing w:val="53"/>
                <w:shd w:val="solid" w:color="000000" w:fill="000000"/>
                <w:fitText w:val="330" w:id="-663469564"/>
                <w14:textFill>
                  <w14:solidFill>
                    <w14:srgbClr w14:val="000000">
                      <w14:alpha w14:val="100000"/>
                    </w14:srgbClr>
                  </w14:solidFill>
                </w14:textFill>
              </w:rPr>
              <w:t>|||</w:t>
            </w:r>
            <w:r w:rsidR="003A33AB" w:rsidRPr="003A33AB">
              <w:rPr>
                <w:color w:val="000000"/>
                <w:spacing w:val="1"/>
                <w:shd w:val="solid" w:color="000000" w:fill="000000"/>
                <w:fitText w:val="330" w:id="-663469564"/>
                <w14:textFill>
                  <w14:solidFill>
                    <w14:srgbClr w14:val="000000">
                      <w14:alpha w14:val="100000"/>
                    </w14:srgbClr>
                  </w14:solidFill>
                </w14:textFill>
              </w:rPr>
              <w:t>|</w:t>
            </w:r>
            <w:r w:rsidR="00821A76">
              <w:rPr>
                <w:b/>
                <w:bCs w:val="0"/>
              </w:rPr>
              <w:t xml:space="preserve"> </w:t>
            </w:r>
            <w:r w:rsidR="00821A76">
              <w:rPr>
                <w:b/>
                <w:bCs w:val="0"/>
                <w:vertAlign w:val="superscript"/>
              </w:rPr>
              <w:t>1</w:t>
            </w:r>
          </w:p>
        </w:tc>
        <w:tc>
          <w:tcPr>
            <w:tcW w:w="1040" w:type="dxa"/>
            <w:tcMar>
              <w:left w:w="28" w:type="dxa"/>
              <w:right w:w="28" w:type="dxa"/>
            </w:tcMar>
          </w:tcPr>
          <w:p w14:paraId="2D959C20" w14:textId="72B25D8C" w:rsidR="00781189" w:rsidRPr="00E22F87" w:rsidRDefault="00781189" w:rsidP="001027A3">
            <w:pPr>
              <w:pStyle w:val="COMTabletext"/>
              <w:jc w:val="center"/>
            </w:pPr>
            <w:r w:rsidRPr="00E22F87">
              <w:t>+</w:t>
            </w:r>
            <w:r w:rsidR="003A33AB" w:rsidRPr="003A33AB">
              <w:rPr>
                <w:color w:val="000000"/>
                <w:spacing w:val="53"/>
                <w:shd w:val="solid" w:color="000000" w:fill="000000"/>
                <w:fitText w:val="330" w:id="-663469563"/>
                <w14:textFill>
                  <w14:solidFill>
                    <w14:srgbClr w14:val="000000">
                      <w14:alpha w14:val="100000"/>
                    </w14:srgbClr>
                  </w14:solidFill>
                </w14:textFill>
              </w:rPr>
              <w:t>|||</w:t>
            </w:r>
            <w:r w:rsidR="003A33AB" w:rsidRPr="003A33AB">
              <w:rPr>
                <w:color w:val="000000"/>
                <w:spacing w:val="1"/>
                <w:shd w:val="solid" w:color="000000" w:fill="000000"/>
                <w:fitText w:val="330" w:id="-663469563"/>
                <w14:textFill>
                  <w14:solidFill>
                    <w14:srgbClr w14:val="000000">
                      <w14:alpha w14:val="100000"/>
                    </w14:srgbClr>
                  </w14:solidFill>
                </w14:textFill>
              </w:rPr>
              <w:t>|</w:t>
            </w:r>
            <w:r w:rsidRPr="00E22F87">
              <w:t>%</w:t>
            </w:r>
          </w:p>
        </w:tc>
      </w:tr>
      <w:tr w:rsidR="00781189" w:rsidRPr="003C4909" w14:paraId="76AA03C7" w14:textId="77777777" w:rsidTr="001027A3">
        <w:tc>
          <w:tcPr>
            <w:tcW w:w="4962" w:type="dxa"/>
            <w:tcMar>
              <w:top w:w="0" w:type="dxa"/>
              <w:left w:w="28" w:type="dxa"/>
              <w:bottom w:w="0" w:type="dxa"/>
              <w:right w:w="28" w:type="dxa"/>
            </w:tcMar>
            <w:vAlign w:val="center"/>
            <w:hideMark/>
          </w:tcPr>
          <w:p w14:paraId="2EAC764E" w14:textId="77777777" w:rsidR="00781189" w:rsidRPr="00E22F87" w:rsidRDefault="00781189" w:rsidP="001027A3">
            <w:pPr>
              <w:pStyle w:val="COMTabletext"/>
            </w:pPr>
            <w:r w:rsidRPr="00E22F87">
              <w:t>0% discount rate</w:t>
            </w:r>
          </w:p>
        </w:tc>
        <w:tc>
          <w:tcPr>
            <w:tcW w:w="992" w:type="dxa"/>
            <w:tcMar>
              <w:top w:w="0" w:type="dxa"/>
              <w:left w:w="28" w:type="dxa"/>
              <w:bottom w:w="0" w:type="dxa"/>
              <w:right w:w="28" w:type="dxa"/>
            </w:tcMar>
            <w:vAlign w:val="center"/>
          </w:tcPr>
          <w:p w14:paraId="29435765" w14:textId="38C066C3" w:rsidR="00781189" w:rsidRPr="00E22F87" w:rsidRDefault="00781189" w:rsidP="001027A3">
            <w:pPr>
              <w:pStyle w:val="COMTabletext"/>
              <w:jc w:val="center"/>
            </w:pPr>
            <w:r w:rsidRPr="00E22F87">
              <w:t>$</w:t>
            </w:r>
            <w:r w:rsidR="003A33AB" w:rsidRPr="003A33AB">
              <w:rPr>
                <w:color w:val="000000"/>
                <w:spacing w:val="53"/>
                <w:shd w:val="solid" w:color="000000" w:fill="000000"/>
                <w:fitText w:val="330" w:id="-663469562"/>
                <w14:textFill>
                  <w14:solidFill>
                    <w14:srgbClr w14:val="000000">
                      <w14:alpha w14:val="100000"/>
                    </w14:srgbClr>
                  </w14:solidFill>
                </w14:textFill>
              </w:rPr>
              <w:t>|||</w:t>
            </w:r>
            <w:r w:rsidR="003A33AB" w:rsidRPr="003A33AB">
              <w:rPr>
                <w:color w:val="000000"/>
                <w:spacing w:val="1"/>
                <w:shd w:val="solid" w:color="000000" w:fill="000000"/>
                <w:fitText w:val="330" w:id="-663469562"/>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177C74FE" w14:textId="77777777" w:rsidR="00781189" w:rsidRPr="00E22F87" w:rsidRDefault="00781189" w:rsidP="001027A3">
            <w:pPr>
              <w:pStyle w:val="COMTabletext"/>
              <w:jc w:val="center"/>
            </w:pPr>
            <w:r w:rsidRPr="00E22F87">
              <w:t>1.5814</w:t>
            </w:r>
          </w:p>
        </w:tc>
        <w:tc>
          <w:tcPr>
            <w:tcW w:w="1043" w:type="dxa"/>
            <w:tcMar>
              <w:top w:w="0" w:type="dxa"/>
              <w:left w:w="28" w:type="dxa"/>
              <w:bottom w:w="0" w:type="dxa"/>
              <w:right w:w="28" w:type="dxa"/>
            </w:tcMar>
            <w:vAlign w:val="center"/>
          </w:tcPr>
          <w:p w14:paraId="1CA0E9B3" w14:textId="36BB8945" w:rsidR="00781189" w:rsidRPr="00E22F87" w:rsidRDefault="00781189" w:rsidP="001027A3">
            <w:pPr>
              <w:pStyle w:val="COMTabletext"/>
              <w:jc w:val="center"/>
            </w:pPr>
            <w:r w:rsidRPr="00E22F87">
              <w:t>$</w:t>
            </w:r>
            <w:r w:rsidR="003A33AB" w:rsidRPr="003A33AB">
              <w:rPr>
                <w:color w:val="000000"/>
                <w:spacing w:val="53"/>
                <w:shd w:val="solid" w:color="000000" w:fill="000000"/>
                <w:fitText w:val="330" w:id="-663469561"/>
                <w14:textFill>
                  <w14:solidFill>
                    <w14:srgbClr w14:val="000000">
                      <w14:alpha w14:val="100000"/>
                    </w14:srgbClr>
                  </w14:solidFill>
                </w14:textFill>
              </w:rPr>
              <w:t>|||</w:t>
            </w:r>
            <w:r w:rsidR="003A33AB" w:rsidRPr="003A33AB">
              <w:rPr>
                <w:color w:val="000000"/>
                <w:spacing w:val="1"/>
                <w:shd w:val="solid" w:color="000000" w:fill="000000"/>
                <w:fitText w:val="330" w:id="-663469561"/>
                <w14:textFill>
                  <w14:solidFill>
                    <w14:srgbClr w14:val="000000">
                      <w14:alpha w14:val="100000"/>
                    </w14:srgbClr>
                  </w14:solidFill>
                </w14:textFill>
              </w:rPr>
              <w:t>|</w:t>
            </w:r>
            <w:r w:rsidR="00821A76">
              <w:rPr>
                <w:b/>
                <w:bCs w:val="0"/>
              </w:rPr>
              <w:t xml:space="preserve"> </w:t>
            </w:r>
            <w:r w:rsidR="00821A76">
              <w:rPr>
                <w:b/>
                <w:bCs w:val="0"/>
                <w:vertAlign w:val="superscript"/>
              </w:rPr>
              <w:t>2</w:t>
            </w:r>
          </w:p>
        </w:tc>
        <w:tc>
          <w:tcPr>
            <w:tcW w:w="1040" w:type="dxa"/>
            <w:tcMar>
              <w:left w:w="28" w:type="dxa"/>
              <w:right w:w="28" w:type="dxa"/>
            </w:tcMar>
          </w:tcPr>
          <w:p w14:paraId="64323F0F" w14:textId="3948C20C" w:rsidR="00781189" w:rsidRPr="00E22F87" w:rsidRDefault="00781189" w:rsidP="001027A3">
            <w:pPr>
              <w:pStyle w:val="COMTabletext"/>
              <w:jc w:val="center"/>
            </w:pPr>
            <w:r w:rsidRPr="00E22F87">
              <w:t>+</w:t>
            </w:r>
            <w:r w:rsidR="003A33AB" w:rsidRPr="003A33AB">
              <w:rPr>
                <w:color w:val="000000"/>
                <w:spacing w:val="53"/>
                <w:shd w:val="solid" w:color="000000" w:fill="000000"/>
                <w:fitText w:val="330" w:id="-663469560"/>
                <w14:textFill>
                  <w14:solidFill>
                    <w14:srgbClr w14:val="000000">
                      <w14:alpha w14:val="100000"/>
                    </w14:srgbClr>
                  </w14:solidFill>
                </w14:textFill>
              </w:rPr>
              <w:t>|||</w:t>
            </w:r>
            <w:r w:rsidR="003A33AB" w:rsidRPr="003A33AB">
              <w:rPr>
                <w:color w:val="000000"/>
                <w:spacing w:val="1"/>
                <w:shd w:val="solid" w:color="000000" w:fill="000000"/>
                <w:fitText w:val="330" w:id="-663469560"/>
                <w14:textFill>
                  <w14:solidFill>
                    <w14:srgbClr w14:val="000000">
                      <w14:alpha w14:val="100000"/>
                    </w14:srgbClr>
                  </w14:solidFill>
                </w14:textFill>
              </w:rPr>
              <w:t>|</w:t>
            </w:r>
            <w:r w:rsidRPr="00E22F87">
              <w:t>%</w:t>
            </w:r>
          </w:p>
        </w:tc>
      </w:tr>
      <w:tr w:rsidR="00781189" w:rsidRPr="003C4909" w14:paraId="4145A231" w14:textId="77777777" w:rsidTr="00740CBB">
        <w:tc>
          <w:tcPr>
            <w:tcW w:w="9029" w:type="dxa"/>
            <w:gridSpan w:val="5"/>
            <w:tcMar>
              <w:top w:w="0" w:type="dxa"/>
              <w:left w:w="28" w:type="dxa"/>
              <w:bottom w:w="0" w:type="dxa"/>
              <w:right w:w="28" w:type="dxa"/>
            </w:tcMar>
            <w:vAlign w:val="center"/>
          </w:tcPr>
          <w:p w14:paraId="735FE79F" w14:textId="77777777" w:rsidR="00781189" w:rsidRPr="00E22F87" w:rsidRDefault="00781189" w:rsidP="006B1BCB">
            <w:pPr>
              <w:pStyle w:val="COMTabletext"/>
              <w:keepNext w:val="0"/>
              <w:rPr>
                <w:rFonts w:cs="Calibri"/>
                <w:color w:val="000000"/>
                <w:szCs w:val="20"/>
              </w:rPr>
            </w:pPr>
            <w:r w:rsidRPr="00E22F87">
              <w:rPr>
                <w:b/>
                <w:bCs w:val="0"/>
              </w:rPr>
              <w:t>Time horizon (base case 15 years)</w:t>
            </w:r>
          </w:p>
        </w:tc>
      </w:tr>
      <w:tr w:rsidR="00781189" w:rsidRPr="003C4909" w14:paraId="58AACFDA" w14:textId="77777777" w:rsidTr="001027A3">
        <w:tc>
          <w:tcPr>
            <w:tcW w:w="4962" w:type="dxa"/>
            <w:tcMar>
              <w:top w:w="0" w:type="dxa"/>
              <w:left w:w="28" w:type="dxa"/>
              <w:bottom w:w="0" w:type="dxa"/>
              <w:right w:w="28" w:type="dxa"/>
            </w:tcMar>
            <w:vAlign w:val="center"/>
          </w:tcPr>
          <w:p w14:paraId="276C0D24" w14:textId="77777777" w:rsidR="00781189" w:rsidRPr="00E22F87" w:rsidRDefault="00781189" w:rsidP="006B1BCB">
            <w:pPr>
              <w:pStyle w:val="COMTabletext"/>
              <w:keepNext w:val="0"/>
            </w:pPr>
            <w:r w:rsidRPr="00E22F87">
              <w:t>30 years</w:t>
            </w:r>
          </w:p>
        </w:tc>
        <w:tc>
          <w:tcPr>
            <w:tcW w:w="992" w:type="dxa"/>
            <w:tcMar>
              <w:top w:w="0" w:type="dxa"/>
              <w:left w:w="28" w:type="dxa"/>
              <w:bottom w:w="0" w:type="dxa"/>
              <w:right w:w="28" w:type="dxa"/>
            </w:tcMar>
            <w:vAlign w:val="center"/>
          </w:tcPr>
          <w:p w14:paraId="7740E1A9" w14:textId="0D82448C"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12"/>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12"/>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0F1E0A75"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1.3961</w:t>
            </w:r>
          </w:p>
        </w:tc>
        <w:tc>
          <w:tcPr>
            <w:tcW w:w="1043" w:type="dxa"/>
            <w:tcMar>
              <w:top w:w="0" w:type="dxa"/>
              <w:left w:w="28" w:type="dxa"/>
              <w:bottom w:w="0" w:type="dxa"/>
              <w:right w:w="28" w:type="dxa"/>
            </w:tcMar>
            <w:vAlign w:val="center"/>
          </w:tcPr>
          <w:p w14:paraId="0E83D9F0" w14:textId="2B21E720"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11"/>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11"/>
                <w14:textFill>
                  <w14:solidFill>
                    <w14:srgbClr w14:val="000000">
                      <w14:alpha w14:val="100000"/>
                    </w14:srgbClr>
                  </w14:solidFill>
                </w14:textFill>
              </w:rPr>
              <w:t>|</w:t>
            </w:r>
            <w:r w:rsidR="005E0E00">
              <w:rPr>
                <w:b/>
                <w:bCs w:val="0"/>
              </w:rPr>
              <w:t xml:space="preserve"> </w:t>
            </w:r>
            <w:r w:rsidR="005E0E00">
              <w:rPr>
                <w:b/>
                <w:bCs w:val="0"/>
                <w:vertAlign w:val="superscript"/>
              </w:rPr>
              <w:t>3</w:t>
            </w:r>
          </w:p>
        </w:tc>
        <w:tc>
          <w:tcPr>
            <w:tcW w:w="1040" w:type="dxa"/>
            <w:tcMar>
              <w:left w:w="28" w:type="dxa"/>
              <w:right w:w="28" w:type="dxa"/>
            </w:tcMar>
          </w:tcPr>
          <w:p w14:paraId="734C7ED6" w14:textId="0274DAE6" w:rsidR="00781189" w:rsidRPr="00E22F87" w:rsidRDefault="00781189" w:rsidP="006B1BCB">
            <w:pPr>
              <w:pStyle w:val="COMTabletext"/>
              <w:keepNext w:val="0"/>
              <w:jc w:val="center"/>
              <w:rPr>
                <w:rFonts w:cs="Calibri"/>
                <w:color w:val="000000"/>
                <w:szCs w:val="20"/>
              </w:rPr>
            </w:pPr>
            <w:r w:rsidRPr="00E22F87">
              <w:t>+</w:t>
            </w:r>
            <w:r w:rsidR="003A33AB" w:rsidRPr="003A33AB">
              <w:rPr>
                <w:color w:val="000000"/>
                <w:spacing w:val="53"/>
                <w:shd w:val="solid" w:color="000000" w:fill="000000"/>
                <w:fitText w:val="330" w:id="-663469310"/>
                <w14:textFill>
                  <w14:solidFill>
                    <w14:srgbClr w14:val="000000">
                      <w14:alpha w14:val="100000"/>
                    </w14:srgbClr>
                  </w14:solidFill>
                </w14:textFill>
              </w:rPr>
              <w:t>|||</w:t>
            </w:r>
            <w:r w:rsidR="003A33AB" w:rsidRPr="003A33AB">
              <w:rPr>
                <w:color w:val="000000"/>
                <w:spacing w:val="1"/>
                <w:shd w:val="solid" w:color="000000" w:fill="000000"/>
                <w:fitText w:val="330" w:id="-663469310"/>
                <w14:textFill>
                  <w14:solidFill>
                    <w14:srgbClr w14:val="000000">
                      <w14:alpha w14:val="100000"/>
                    </w14:srgbClr>
                  </w14:solidFill>
                </w14:textFill>
              </w:rPr>
              <w:t>|</w:t>
            </w:r>
            <w:r w:rsidRPr="00E22F87">
              <w:t>%</w:t>
            </w:r>
          </w:p>
        </w:tc>
      </w:tr>
      <w:tr w:rsidR="00781189" w:rsidRPr="003C4909" w14:paraId="0855F11B" w14:textId="77777777" w:rsidTr="001027A3">
        <w:tc>
          <w:tcPr>
            <w:tcW w:w="4962" w:type="dxa"/>
            <w:tcMar>
              <w:top w:w="0" w:type="dxa"/>
              <w:left w:w="28" w:type="dxa"/>
              <w:bottom w:w="0" w:type="dxa"/>
              <w:right w:w="28" w:type="dxa"/>
            </w:tcMar>
            <w:vAlign w:val="center"/>
          </w:tcPr>
          <w:p w14:paraId="2BF4BEA1" w14:textId="77777777" w:rsidR="00781189" w:rsidRPr="00E22F87" w:rsidRDefault="00781189" w:rsidP="006B1BCB">
            <w:pPr>
              <w:pStyle w:val="COMTabletext"/>
              <w:keepNext w:val="0"/>
            </w:pPr>
            <w:r w:rsidRPr="00E22F87">
              <w:t>20 years</w:t>
            </w:r>
          </w:p>
        </w:tc>
        <w:tc>
          <w:tcPr>
            <w:tcW w:w="992" w:type="dxa"/>
            <w:tcMar>
              <w:top w:w="0" w:type="dxa"/>
              <w:left w:w="28" w:type="dxa"/>
              <w:bottom w:w="0" w:type="dxa"/>
              <w:right w:w="28" w:type="dxa"/>
            </w:tcMar>
            <w:vAlign w:val="center"/>
          </w:tcPr>
          <w:p w14:paraId="6741F78F" w14:textId="57AFC323"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9"/>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9"/>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68C31751"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1.2666</w:t>
            </w:r>
          </w:p>
        </w:tc>
        <w:tc>
          <w:tcPr>
            <w:tcW w:w="1043" w:type="dxa"/>
            <w:tcMar>
              <w:top w:w="0" w:type="dxa"/>
              <w:left w:w="28" w:type="dxa"/>
              <w:bottom w:w="0" w:type="dxa"/>
              <w:right w:w="28" w:type="dxa"/>
            </w:tcMar>
            <w:vAlign w:val="center"/>
          </w:tcPr>
          <w:p w14:paraId="1F626D9F" w14:textId="052C6600"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8"/>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8"/>
                <w14:textFill>
                  <w14:solidFill>
                    <w14:srgbClr w14:val="000000">
                      <w14:alpha w14:val="100000"/>
                    </w14:srgbClr>
                  </w14:solidFill>
                </w14:textFill>
              </w:rPr>
              <w:t>|</w:t>
            </w:r>
            <w:r w:rsidR="00821A76">
              <w:rPr>
                <w:b/>
                <w:bCs w:val="0"/>
              </w:rPr>
              <w:t xml:space="preserve"> </w:t>
            </w:r>
            <w:r w:rsidR="00821A76">
              <w:rPr>
                <w:b/>
                <w:bCs w:val="0"/>
                <w:vertAlign w:val="superscript"/>
              </w:rPr>
              <w:t>2</w:t>
            </w:r>
          </w:p>
        </w:tc>
        <w:tc>
          <w:tcPr>
            <w:tcW w:w="1040" w:type="dxa"/>
            <w:tcMar>
              <w:left w:w="28" w:type="dxa"/>
              <w:right w:w="28" w:type="dxa"/>
            </w:tcMar>
          </w:tcPr>
          <w:p w14:paraId="1E143585" w14:textId="77E75CA6" w:rsidR="00781189" w:rsidRPr="00E22F87" w:rsidRDefault="00781189" w:rsidP="006B1BCB">
            <w:pPr>
              <w:pStyle w:val="COMTabletext"/>
              <w:keepNext w:val="0"/>
              <w:jc w:val="center"/>
              <w:rPr>
                <w:rFonts w:cs="Calibri"/>
                <w:color w:val="000000"/>
                <w:szCs w:val="20"/>
              </w:rPr>
            </w:pPr>
            <w:r w:rsidRPr="00E22F87">
              <w:t>+</w:t>
            </w:r>
            <w:r w:rsidR="003A33AB" w:rsidRPr="003A33AB">
              <w:rPr>
                <w:color w:val="000000"/>
                <w:spacing w:val="53"/>
                <w:shd w:val="solid" w:color="000000" w:fill="000000"/>
                <w:fitText w:val="330" w:id="-663469307"/>
                <w14:textFill>
                  <w14:solidFill>
                    <w14:srgbClr w14:val="000000">
                      <w14:alpha w14:val="100000"/>
                    </w14:srgbClr>
                  </w14:solidFill>
                </w14:textFill>
              </w:rPr>
              <w:t>|||</w:t>
            </w:r>
            <w:r w:rsidR="003A33AB" w:rsidRPr="003A33AB">
              <w:rPr>
                <w:color w:val="000000"/>
                <w:spacing w:val="1"/>
                <w:shd w:val="solid" w:color="000000" w:fill="000000"/>
                <w:fitText w:val="330" w:id="-663469307"/>
                <w14:textFill>
                  <w14:solidFill>
                    <w14:srgbClr w14:val="000000">
                      <w14:alpha w14:val="100000"/>
                    </w14:srgbClr>
                  </w14:solidFill>
                </w14:textFill>
              </w:rPr>
              <w:t>|</w:t>
            </w:r>
            <w:r w:rsidRPr="00E22F87">
              <w:t>%</w:t>
            </w:r>
          </w:p>
        </w:tc>
      </w:tr>
      <w:tr w:rsidR="00781189" w:rsidRPr="003C4909" w14:paraId="306D89F5" w14:textId="77777777" w:rsidTr="001027A3">
        <w:tc>
          <w:tcPr>
            <w:tcW w:w="4962" w:type="dxa"/>
            <w:tcMar>
              <w:top w:w="0" w:type="dxa"/>
              <w:left w:w="28" w:type="dxa"/>
              <w:bottom w:w="0" w:type="dxa"/>
              <w:right w:w="28" w:type="dxa"/>
            </w:tcMar>
            <w:vAlign w:val="center"/>
          </w:tcPr>
          <w:p w14:paraId="640F5EB7" w14:textId="77777777" w:rsidR="00781189" w:rsidRPr="00E22F87" w:rsidRDefault="00781189" w:rsidP="006B1BCB">
            <w:pPr>
              <w:pStyle w:val="COMTabletext"/>
              <w:keepNext w:val="0"/>
            </w:pPr>
            <w:r w:rsidRPr="00E22F87">
              <w:t>10 years</w:t>
            </w:r>
          </w:p>
        </w:tc>
        <w:tc>
          <w:tcPr>
            <w:tcW w:w="992" w:type="dxa"/>
            <w:tcMar>
              <w:top w:w="0" w:type="dxa"/>
              <w:left w:w="28" w:type="dxa"/>
              <w:bottom w:w="0" w:type="dxa"/>
              <w:right w:w="28" w:type="dxa"/>
            </w:tcMar>
            <w:vAlign w:val="center"/>
          </w:tcPr>
          <w:p w14:paraId="3CB17E61" w14:textId="645769E9"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6"/>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6"/>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004A184C"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0.5523</w:t>
            </w:r>
          </w:p>
        </w:tc>
        <w:tc>
          <w:tcPr>
            <w:tcW w:w="1043" w:type="dxa"/>
            <w:tcMar>
              <w:top w:w="0" w:type="dxa"/>
              <w:left w:w="28" w:type="dxa"/>
              <w:bottom w:w="0" w:type="dxa"/>
              <w:right w:w="28" w:type="dxa"/>
            </w:tcMar>
            <w:vAlign w:val="center"/>
          </w:tcPr>
          <w:p w14:paraId="3592D2E8"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Dominant</w:t>
            </w:r>
          </w:p>
        </w:tc>
        <w:tc>
          <w:tcPr>
            <w:tcW w:w="1040" w:type="dxa"/>
            <w:tcMar>
              <w:left w:w="28" w:type="dxa"/>
              <w:right w:w="28" w:type="dxa"/>
            </w:tcMar>
            <w:vAlign w:val="center"/>
          </w:tcPr>
          <w:p w14:paraId="5CB1EA12"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p>
        </w:tc>
      </w:tr>
      <w:tr w:rsidR="00781189" w:rsidRPr="003C4909" w14:paraId="731B8C7B" w14:textId="77777777" w:rsidTr="00740CBB">
        <w:tc>
          <w:tcPr>
            <w:tcW w:w="9029" w:type="dxa"/>
            <w:gridSpan w:val="5"/>
            <w:tcMar>
              <w:top w:w="0" w:type="dxa"/>
              <w:left w:w="28" w:type="dxa"/>
              <w:bottom w:w="0" w:type="dxa"/>
              <w:right w:w="28" w:type="dxa"/>
            </w:tcMar>
            <w:vAlign w:val="center"/>
          </w:tcPr>
          <w:p w14:paraId="7552588A" w14:textId="77777777" w:rsidR="00781189" w:rsidRPr="00E22F87" w:rsidRDefault="00781189" w:rsidP="006B1BCB">
            <w:pPr>
              <w:pStyle w:val="COMTableheadingrow"/>
              <w:rPr>
                <w:rFonts w:cs="Calibri"/>
                <w:color w:val="000000"/>
                <w:szCs w:val="20"/>
              </w:rPr>
            </w:pPr>
            <w:r w:rsidRPr="00E22F87">
              <w:t>Transition probabilities from CKD to ESKD (base case extrapolation using independent Weibull functions)</w:t>
            </w:r>
          </w:p>
        </w:tc>
      </w:tr>
      <w:tr w:rsidR="00781189" w:rsidRPr="003C4909" w14:paraId="4A418AF9" w14:textId="77777777" w:rsidTr="001027A3">
        <w:tc>
          <w:tcPr>
            <w:tcW w:w="4962" w:type="dxa"/>
            <w:tcMar>
              <w:top w:w="0" w:type="dxa"/>
              <w:left w:w="28" w:type="dxa"/>
              <w:bottom w:w="0" w:type="dxa"/>
              <w:right w:w="28" w:type="dxa"/>
            </w:tcMar>
            <w:vAlign w:val="center"/>
          </w:tcPr>
          <w:p w14:paraId="02E94FAF" w14:textId="77777777" w:rsidR="00781189" w:rsidRPr="00E22F87" w:rsidRDefault="00781189" w:rsidP="006B1BCB">
            <w:pPr>
              <w:pStyle w:val="COMTabletext"/>
              <w:keepNext w:val="0"/>
            </w:pPr>
            <w:r w:rsidRPr="00E22F87">
              <w:t>Independent exponential functions</w:t>
            </w:r>
          </w:p>
        </w:tc>
        <w:tc>
          <w:tcPr>
            <w:tcW w:w="992" w:type="dxa"/>
            <w:tcMar>
              <w:top w:w="0" w:type="dxa"/>
              <w:left w:w="28" w:type="dxa"/>
              <w:bottom w:w="0" w:type="dxa"/>
              <w:right w:w="28" w:type="dxa"/>
            </w:tcMar>
            <w:vAlign w:val="center"/>
          </w:tcPr>
          <w:p w14:paraId="4BA2AFEF" w14:textId="26561B04"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5"/>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5"/>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3B4448FB"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0.8539</w:t>
            </w:r>
          </w:p>
        </w:tc>
        <w:tc>
          <w:tcPr>
            <w:tcW w:w="1043" w:type="dxa"/>
            <w:tcMar>
              <w:top w:w="0" w:type="dxa"/>
              <w:left w:w="28" w:type="dxa"/>
              <w:bottom w:w="0" w:type="dxa"/>
              <w:right w:w="28" w:type="dxa"/>
            </w:tcMar>
            <w:vAlign w:val="center"/>
          </w:tcPr>
          <w:p w14:paraId="45B097E8" w14:textId="44FC8C40"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4"/>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4"/>
                <w14:textFill>
                  <w14:solidFill>
                    <w14:srgbClr w14:val="000000">
                      <w14:alpha w14:val="100000"/>
                    </w14:srgbClr>
                  </w14:solidFill>
                </w14:textFill>
              </w:rPr>
              <w:t>|</w:t>
            </w:r>
            <w:r w:rsidR="00821A76">
              <w:rPr>
                <w:b/>
                <w:bCs w:val="0"/>
              </w:rPr>
              <w:t xml:space="preserve"> </w:t>
            </w:r>
            <w:r w:rsidR="00821A76">
              <w:rPr>
                <w:b/>
                <w:bCs w:val="0"/>
                <w:vertAlign w:val="superscript"/>
              </w:rPr>
              <w:t>1</w:t>
            </w:r>
          </w:p>
        </w:tc>
        <w:tc>
          <w:tcPr>
            <w:tcW w:w="1040" w:type="dxa"/>
            <w:tcMar>
              <w:left w:w="28" w:type="dxa"/>
              <w:right w:w="28" w:type="dxa"/>
            </w:tcMar>
            <w:vAlign w:val="center"/>
          </w:tcPr>
          <w:p w14:paraId="22C06724" w14:textId="568BCF22" w:rsidR="00781189" w:rsidRPr="00E22F87" w:rsidRDefault="00781189" w:rsidP="006B1BCB">
            <w:pPr>
              <w:pStyle w:val="COMTabletext"/>
              <w:keepNext w:val="0"/>
              <w:jc w:val="center"/>
              <w:rPr>
                <w:rFonts w:cs="Calibri"/>
                <w:color w:val="000000"/>
                <w:szCs w:val="20"/>
              </w:rPr>
            </w:pPr>
            <w:r w:rsidRPr="00E22F87">
              <w:t>-</w:t>
            </w:r>
            <w:r w:rsidR="003A33AB" w:rsidRPr="003A33AB">
              <w:rPr>
                <w:color w:val="000000"/>
                <w:spacing w:val="53"/>
                <w:shd w:val="solid" w:color="000000" w:fill="000000"/>
                <w:fitText w:val="330" w:id="-663469303"/>
                <w14:textFill>
                  <w14:solidFill>
                    <w14:srgbClr w14:val="000000">
                      <w14:alpha w14:val="100000"/>
                    </w14:srgbClr>
                  </w14:solidFill>
                </w14:textFill>
              </w:rPr>
              <w:t>|||</w:t>
            </w:r>
            <w:r w:rsidR="003A33AB" w:rsidRPr="003A33AB">
              <w:rPr>
                <w:color w:val="000000"/>
                <w:spacing w:val="1"/>
                <w:shd w:val="solid" w:color="000000" w:fill="000000"/>
                <w:fitText w:val="330" w:id="-663469303"/>
                <w14:textFill>
                  <w14:solidFill>
                    <w14:srgbClr w14:val="000000">
                      <w14:alpha w14:val="100000"/>
                    </w14:srgbClr>
                  </w14:solidFill>
                </w14:textFill>
              </w:rPr>
              <w:t>|</w:t>
            </w:r>
            <w:r w:rsidRPr="00E22F87">
              <w:t>%</w:t>
            </w:r>
          </w:p>
        </w:tc>
      </w:tr>
      <w:tr w:rsidR="00781189" w:rsidRPr="003C4909" w14:paraId="40E89067" w14:textId="77777777" w:rsidTr="001027A3">
        <w:tc>
          <w:tcPr>
            <w:tcW w:w="4962" w:type="dxa"/>
            <w:tcMar>
              <w:top w:w="0" w:type="dxa"/>
              <w:left w:w="28" w:type="dxa"/>
              <w:bottom w:w="0" w:type="dxa"/>
              <w:right w:w="28" w:type="dxa"/>
            </w:tcMar>
            <w:vAlign w:val="center"/>
          </w:tcPr>
          <w:p w14:paraId="4F7D4374" w14:textId="77777777" w:rsidR="00781189" w:rsidRPr="00E22F87" w:rsidRDefault="00781189" w:rsidP="006B1BCB">
            <w:pPr>
              <w:pStyle w:val="COMTabletext"/>
              <w:keepNext w:val="0"/>
            </w:pPr>
            <w:r w:rsidRPr="00E22F87">
              <w:t>Independent Gompertz functions</w:t>
            </w:r>
          </w:p>
        </w:tc>
        <w:tc>
          <w:tcPr>
            <w:tcW w:w="992" w:type="dxa"/>
            <w:tcMar>
              <w:top w:w="0" w:type="dxa"/>
              <w:left w:w="28" w:type="dxa"/>
              <w:bottom w:w="0" w:type="dxa"/>
              <w:right w:w="28" w:type="dxa"/>
            </w:tcMar>
            <w:vAlign w:val="center"/>
          </w:tcPr>
          <w:p w14:paraId="1391A08B" w14:textId="6DA5A53A"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2"/>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2"/>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54C8C172"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1.0468</w:t>
            </w:r>
          </w:p>
        </w:tc>
        <w:tc>
          <w:tcPr>
            <w:tcW w:w="1043" w:type="dxa"/>
            <w:tcMar>
              <w:top w:w="0" w:type="dxa"/>
              <w:left w:w="28" w:type="dxa"/>
              <w:bottom w:w="0" w:type="dxa"/>
              <w:right w:w="28" w:type="dxa"/>
            </w:tcMar>
            <w:vAlign w:val="center"/>
          </w:tcPr>
          <w:p w14:paraId="34B22129" w14:textId="21B6BDE3"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1"/>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1"/>
                <w14:textFill>
                  <w14:solidFill>
                    <w14:srgbClr w14:val="000000">
                      <w14:alpha w14:val="100000"/>
                    </w14:srgbClr>
                  </w14:solidFill>
                </w14:textFill>
              </w:rPr>
              <w:t>|</w:t>
            </w:r>
            <w:r w:rsidR="005E0E00">
              <w:rPr>
                <w:b/>
                <w:bCs w:val="0"/>
              </w:rPr>
              <w:t xml:space="preserve"> </w:t>
            </w:r>
            <w:r w:rsidR="005E0E00">
              <w:rPr>
                <w:b/>
                <w:bCs w:val="0"/>
                <w:vertAlign w:val="superscript"/>
              </w:rPr>
              <w:t>4</w:t>
            </w:r>
          </w:p>
        </w:tc>
        <w:tc>
          <w:tcPr>
            <w:tcW w:w="1040" w:type="dxa"/>
            <w:tcMar>
              <w:left w:w="28" w:type="dxa"/>
              <w:right w:w="28" w:type="dxa"/>
            </w:tcMar>
            <w:vAlign w:val="center"/>
          </w:tcPr>
          <w:p w14:paraId="30AEE734" w14:textId="6F0C3611" w:rsidR="00781189" w:rsidRPr="00E22F87" w:rsidRDefault="00781189" w:rsidP="006B1BCB">
            <w:pPr>
              <w:pStyle w:val="COMTabletext"/>
              <w:keepNext w:val="0"/>
              <w:jc w:val="center"/>
              <w:rPr>
                <w:rFonts w:cs="Calibri"/>
                <w:color w:val="000000"/>
                <w:szCs w:val="20"/>
              </w:rPr>
            </w:pPr>
            <w:r w:rsidRPr="00E22F87">
              <w:t>+</w:t>
            </w:r>
            <w:r w:rsidR="003A33AB" w:rsidRPr="003A33AB">
              <w:rPr>
                <w:color w:val="000000"/>
                <w:spacing w:val="53"/>
                <w:shd w:val="solid" w:color="000000" w:fill="000000"/>
                <w:fitText w:val="330" w:id="-663469300"/>
                <w14:textFill>
                  <w14:solidFill>
                    <w14:srgbClr w14:val="000000">
                      <w14:alpha w14:val="100000"/>
                    </w14:srgbClr>
                  </w14:solidFill>
                </w14:textFill>
              </w:rPr>
              <w:t>|||</w:t>
            </w:r>
            <w:r w:rsidR="003A33AB" w:rsidRPr="003A33AB">
              <w:rPr>
                <w:color w:val="000000"/>
                <w:spacing w:val="1"/>
                <w:shd w:val="solid" w:color="000000" w:fill="000000"/>
                <w:fitText w:val="330" w:id="-663469300"/>
                <w14:textFill>
                  <w14:solidFill>
                    <w14:srgbClr w14:val="000000">
                      <w14:alpha w14:val="100000"/>
                    </w14:srgbClr>
                  </w14:solidFill>
                </w14:textFill>
              </w:rPr>
              <w:t>|</w:t>
            </w:r>
            <w:r w:rsidRPr="00E22F87">
              <w:t>%</w:t>
            </w:r>
          </w:p>
        </w:tc>
      </w:tr>
      <w:tr w:rsidR="00781189" w:rsidRPr="003C4909" w14:paraId="7B32C2E5" w14:textId="77777777" w:rsidTr="001027A3">
        <w:tc>
          <w:tcPr>
            <w:tcW w:w="4962" w:type="dxa"/>
            <w:tcMar>
              <w:top w:w="0" w:type="dxa"/>
              <w:left w:w="28" w:type="dxa"/>
              <w:bottom w:w="0" w:type="dxa"/>
              <w:right w:w="28" w:type="dxa"/>
            </w:tcMar>
            <w:vAlign w:val="center"/>
          </w:tcPr>
          <w:p w14:paraId="34F8A971" w14:textId="77777777" w:rsidR="00781189" w:rsidRPr="00E22F87" w:rsidRDefault="00781189" w:rsidP="006B1BCB">
            <w:pPr>
              <w:pStyle w:val="COMTabletext"/>
              <w:keepNext w:val="0"/>
            </w:pPr>
            <w:r w:rsidRPr="00E22F87">
              <w:t>Independent lognormal functions</w:t>
            </w:r>
          </w:p>
        </w:tc>
        <w:tc>
          <w:tcPr>
            <w:tcW w:w="992" w:type="dxa"/>
            <w:tcMar>
              <w:top w:w="0" w:type="dxa"/>
              <w:left w:w="28" w:type="dxa"/>
              <w:bottom w:w="0" w:type="dxa"/>
              <w:right w:w="28" w:type="dxa"/>
            </w:tcMar>
            <w:vAlign w:val="center"/>
          </w:tcPr>
          <w:p w14:paraId="42892EB7" w14:textId="116FF097"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299"/>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299"/>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23D1F414"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0.9144</w:t>
            </w:r>
          </w:p>
        </w:tc>
        <w:tc>
          <w:tcPr>
            <w:tcW w:w="1043" w:type="dxa"/>
            <w:tcMar>
              <w:top w:w="0" w:type="dxa"/>
              <w:left w:w="28" w:type="dxa"/>
              <w:bottom w:w="0" w:type="dxa"/>
              <w:right w:w="28" w:type="dxa"/>
            </w:tcMar>
            <w:vAlign w:val="center"/>
          </w:tcPr>
          <w:p w14:paraId="488D75B0"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Dominant</w:t>
            </w:r>
          </w:p>
        </w:tc>
        <w:tc>
          <w:tcPr>
            <w:tcW w:w="1040" w:type="dxa"/>
            <w:tcMar>
              <w:left w:w="28" w:type="dxa"/>
              <w:right w:w="28" w:type="dxa"/>
            </w:tcMar>
            <w:vAlign w:val="center"/>
          </w:tcPr>
          <w:p w14:paraId="75E8B348"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p>
        </w:tc>
      </w:tr>
      <w:tr w:rsidR="00781189" w:rsidRPr="003C4909" w14:paraId="3C058D62" w14:textId="77777777" w:rsidTr="001027A3">
        <w:tc>
          <w:tcPr>
            <w:tcW w:w="4962" w:type="dxa"/>
            <w:tcMar>
              <w:top w:w="0" w:type="dxa"/>
              <w:left w:w="28" w:type="dxa"/>
              <w:bottom w:w="0" w:type="dxa"/>
              <w:right w:w="28" w:type="dxa"/>
            </w:tcMar>
            <w:vAlign w:val="center"/>
          </w:tcPr>
          <w:p w14:paraId="656BC134" w14:textId="77777777" w:rsidR="00781189" w:rsidRPr="00E22F87" w:rsidRDefault="00781189" w:rsidP="006B1BCB">
            <w:pPr>
              <w:pStyle w:val="COMTabletext"/>
              <w:keepNext w:val="0"/>
            </w:pPr>
            <w:r w:rsidRPr="00E22F87">
              <w:t>Independent loglogistic functions</w:t>
            </w:r>
          </w:p>
        </w:tc>
        <w:tc>
          <w:tcPr>
            <w:tcW w:w="992" w:type="dxa"/>
            <w:tcMar>
              <w:top w:w="0" w:type="dxa"/>
              <w:left w:w="28" w:type="dxa"/>
              <w:bottom w:w="0" w:type="dxa"/>
              <w:right w:w="28" w:type="dxa"/>
            </w:tcMar>
            <w:vAlign w:val="center"/>
          </w:tcPr>
          <w:p w14:paraId="71DFC506" w14:textId="5758E5FE"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298"/>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298"/>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30966EEB"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0.9665</w:t>
            </w:r>
          </w:p>
        </w:tc>
        <w:tc>
          <w:tcPr>
            <w:tcW w:w="1043" w:type="dxa"/>
            <w:tcMar>
              <w:top w:w="0" w:type="dxa"/>
              <w:left w:w="28" w:type="dxa"/>
              <w:bottom w:w="0" w:type="dxa"/>
              <w:right w:w="28" w:type="dxa"/>
            </w:tcMar>
            <w:vAlign w:val="center"/>
          </w:tcPr>
          <w:p w14:paraId="1629EB0A" w14:textId="51855D00"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297"/>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297"/>
                <w14:textFill>
                  <w14:solidFill>
                    <w14:srgbClr w14:val="000000">
                      <w14:alpha w14:val="100000"/>
                    </w14:srgbClr>
                  </w14:solidFill>
                </w14:textFill>
              </w:rPr>
              <w:t>|</w:t>
            </w:r>
            <w:r w:rsidR="00821A76">
              <w:rPr>
                <w:b/>
                <w:bCs w:val="0"/>
              </w:rPr>
              <w:t xml:space="preserve"> </w:t>
            </w:r>
            <w:r w:rsidR="00821A76">
              <w:rPr>
                <w:b/>
                <w:bCs w:val="0"/>
                <w:vertAlign w:val="superscript"/>
              </w:rPr>
              <w:t>1</w:t>
            </w:r>
          </w:p>
        </w:tc>
        <w:tc>
          <w:tcPr>
            <w:tcW w:w="1040" w:type="dxa"/>
            <w:tcMar>
              <w:left w:w="28" w:type="dxa"/>
              <w:right w:w="28" w:type="dxa"/>
            </w:tcMar>
            <w:vAlign w:val="center"/>
          </w:tcPr>
          <w:p w14:paraId="612AA4EA" w14:textId="324BFF99" w:rsidR="00781189" w:rsidRPr="00E22F87" w:rsidRDefault="003A33AB" w:rsidP="006B1BCB">
            <w:pPr>
              <w:pStyle w:val="COMTabletext"/>
              <w:keepNext w:val="0"/>
              <w:jc w:val="center"/>
              <w:rPr>
                <w:rFonts w:cs="Calibri"/>
                <w:color w:val="000000"/>
                <w:szCs w:val="20"/>
              </w:rPr>
            </w:pPr>
            <w:r w:rsidRPr="003A33AB">
              <w:rPr>
                <w:color w:val="000000"/>
                <w:spacing w:val="53"/>
                <w:shd w:val="solid" w:color="000000" w:fill="000000"/>
                <w:fitText w:val="330" w:id="-663469296"/>
                <w14:textFill>
                  <w14:solidFill>
                    <w14:srgbClr w14:val="000000">
                      <w14:alpha w14:val="100000"/>
                    </w14:srgbClr>
                  </w14:solidFill>
                </w14:textFill>
              </w:rPr>
              <w:t>|||</w:t>
            </w:r>
            <w:r w:rsidRPr="003A33AB">
              <w:rPr>
                <w:color w:val="000000"/>
                <w:spacing w:val="1"/>
                <w:shd w:val="solid" w:color="000000" w:fill="000000"/>
                <w:fitText w:val="330" w:id="-663469296"/>
                <w14:textFill>
                  <w14:solidFill>
                    <w14:srgbClr w14:val="000000">
                      <w14:alpha w14:val="100000"/>
                    </w14:srgbClr>
                  </w14:solidFill>
                </w14:textFill>
              </w:rPr>
              <w:t>|</w:t>
            </w:r>
            <w:r w:rsidR="00781189" w:rsidRPr="00E22F87">
              <w:t>%</w:t>
            </w:r>
          </w:p>
        </w:tc>
      </w:tr>
      <w:tr w:rsidR="00781189" w:rsidRPr="003C4909" w14:paraId="74702D54" w14:textId="77777777" w:rsidTr="001027A3">
        <w:tc>
          <w:tcPr>
            <w:tcW w:w="4962" w:type="dxa"/>
            <w:tcMar>
              <w:top w:w="0" w:type="dxa"/>
              <w:left w:w="28" w:type="dxa"/>
              <w:bottom w:w="0" w:type="dxa"/>
              <w:right w:w="28" w:type="dxa"/>
            </w:tcMar>
            <w:vAlign w:val="center"/>
          </w:tcPr>
          <w:p w14:paraId="3C0DC36A" w14:textId="77777777" w:rsidR="00781189" w:rsidRPr="00E22F87" w:rsidRDefault="00781189" w:rsidP="006B1BCB">
            <w:pPr>
              <w:pStyle w:val="COMTabletext"/>
              <w:keepNext w:val="0"/>
            </w:pPr>
            <w:r w:rsidRPr="00E22F87">
              <w:t>Independent generalised gamma functions</w:t>
            </w:r>
          </w:p>
        </w:tc>
        <w:tc>
          <w:tcPr>
            <w:tcW w:w="992" w:type="dxa"/>
            <w:tcMar>
              <w:top w:w="0" w:type="dxa"/>
              <w:left w:w="28" w:type="dxa"/>
              <w:bottom w:w="0" w:type="dxa"/>
              <w:right w:w="28" w:type="dxa"/>
            </w:tcMar>
            <w:vAlign w:val="center"/>
          </w:tcPr>
          <w:p w14:paraId="770E990A" w14:textId="56EA7960"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12"/>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12"/>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0612052E"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0.8246</w:t>
            </w:r>
          </w:p>
        </w:tc>
        <w:tc>
          <w:tcPr>
            <w:tcW w:w="1043" w:type="dxa"/>
            <w:tcMar>
              <w:top w:w="0" w:type="dxa"/>
              <w:left w:w="28" w:type="dxa"/>
              <w:bottom w:w="0" w:type="dxa"/>
              <w:right w:w="28" w:type="dxa"/>
            </w:tcMar>
            <w:vAlign w:val="center"/>
          </w:tcPr>
          <w:p w14:paraId="7C5D6297" w14:textId="74EC8811"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11"/>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11"/>
                <w14:textFill>
                  <w14:solidFill>
                    <w14:srgbClr w14:val="000000">
                      <w14:alpha w14:val="100000"/>
                    </w14:srgbClr>
                  </w14:solidFill>
                </w14:textFill>
              </w:rPr>
              <w:t>|</w:t>
            </w:r>
            <w:r w:rsidR="005E0E00">
              <w:rPr>
                <w:b/>
                <w:bCs w:val="0"/>
              </w:rPr>
              <w:t xml:space="preserve"> </w:t>
            </w:r>
            <w:r w:rsidR="005E0E00">
              <w:rPr>
                <w:b/>
                <w:bCs w:val="0"/>
                <w:vertAlign w:val="superscript"/>
              </w:rPr>
              <w:t>4</w:t>
            </w:r>
          </w:p>
        </w:tc>
        <w:tc>
          <w:tcPr>
            <w:tcW w:w="1040" w:type="dxa"/>
            <w:tcMar>
              <w:left w:w="28" w:type="dxa"/>
              <w:right w:w="28" w:type="dxa"/>
            </w:tcMar>
            <w:vAlign w:val="center"/>
          </w:tcPr>
          <w:p w14:paraId="259C337E" w14:textId="32B7D45B" w:rsidR="00781189" w:rsidRPr="00E22F87" w:rsidRDefault="00781189" w:rsidP="006B1BCB">
            <w:pPr>
              <w:pStyle w:val="COMTabletext"/>
              <w:keepNext w:val="0"/>
              <w:jc w:val="center"/>
              <w:rPr>
                <w:rFonts w:cs="Calibri"/>
                <w:color w:val="000000"/>
                <w:szCs w:val="20"/>
              </w:rPr>
            </w:pPr>
            <w:r w:rsidRPr="00E22F87">
              <w:t>+</w:t>
            </w:r>
            <w:r w:rsidR="003A33AB" w:rsidRPr="003A33AB">
              <w:rPr>
                <w:color w:val="000000"/>
                <w:spacing w:val="53"/>
                <w:shd w:val="solid" w:color="000000" w:fill="000000"/>
                <w:fitText w:val="330" w:id="-663469310"/>
                <w14:textFill>
                  <w14:solidFill>
                    <w14:srgbClr w14:val="000000">
                      <w14:alpha w14:val="100000"/>
                    </w14:srgbClr>
                  </w14:solidFill>
                </w14:textFill>
              </w:rPr>
              <w:t>|||</w:t>
            </w:r>
            <w:r w:rsidR="003A33AB" w:rsidRPr="003A33AB">
              <w:rPr>
                <w:color w:val="000000"/>
                <w:spacing w:val="1"/>
                <w:shd w:val="solid" w:color="000000" w:fill="000000"/>
                <w:fitText w:val="330" w:id="-663469310"/>
                <w14:textFill>
                  <w14:solidFill>
                    <w14:srgbClr w14:val="000000">
                      <w14:alpha w14:val="100000"/>
                    </w14:srgbClr>
                  </w14:solidFill>
                </w14:textFill>
              </w:rPr>
              <w:t>|</w:t>
            </w:r>
            <w:r w:rsidRPr="00E22F87">
              <w:t>%</w:t>
            </w:r>
          </w:p>
        </w:tc>
      </w:tr>
      <w:tr w:rsidR="00781189" w:rsidRPr="003C4909" w14:paraId="7AB97C51" w14:textId="77777777" w:rsidTr="001027A3">
        <w:tc>
          <w:tcPr>
            <w:tcW w:w="4962" w:type="dxa"/>
            <w:tcMar>
              <w:top w:w="0" w:type="dxa"/>
              <w:left w:w="28" w:type="dxa"/>
              <w:bottom w:w="0" w:type="dxa"/>
              <w:right w:w="28" w:type="dxa"/>
            </w:tcMar>
            <w:vAlign w:val="center"/>
          </w:tcPr>
          <w:p w14:paraId="0E87F770" w14:textId="77777777" w:rsidR="00781189" w:rsidRPr="00E22F87" w:rsidRDefault="00781189" w:rsidP="006B1BCB">
            <w:pPr>
              <w:pStyle w:val="COMTabletext"/>
              <w:keepNext w:val="0"/>
            </w:pPr>
            <w:r w:rsidRPr="00E22F87">
              <w:t>Weibull function for empagliflozin + SC, lognormal function for SC (best statistical fit)</w:t>
            </w:r>
          </w:p>
        </w:tc>
        <w:tc>
          <w:tcPr>
            <w:tcW w:w="992" w:type="dxa"/>
            <w:tcMar>
              <w:top w:w="0" w:type="dxa"/>
              <w:left w:w="28" w:type="dxa"/>
              <w:bottom w:w="0" w:type="dxa"/>
              <w:right w:w="28" w:type="dxa"/>
            </w:tcMar>
            <w:vAlign w:val="center"/>
          </w:tcPr>
          <w:p w14:paraId="112C4A59" w14:textId="56B39D6A"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9"/>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9"/>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6B2CF6D2"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0.8234</w:t>
            </w:r>
          </w:p>
        </w:tc>
        <w:tc>
          <w:tcPr>
            <w:tcW w:w="1043" w:type="dxa"/>
            <w:tcMar>
              <w:top w:w="0" w:type="dxa"/>
              <w:left w:w="28" w:type="dxa"/>
              <w:bottom w:w="0" w:type="dxa"/>
              <w:right w:w="28" w:type="dxa"/>
            </w:tcMar>
            <w:vAlign w:val="center"/>
          </w:tcPr>
          <w:p w14:paraId="3705C2DC" w14:textId="7C0EA44F"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8"/>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8"/>
                <w14:textFill>
                  <w14:solidFill>
                    <w14:srgbClr w14:val="000000">
                      <w14:alpha w14:val="100000"/>
                    </w14:srgbClr>
                  </w14:solidFill>
                </w14:textFill>
              </w:rPr>
              <w:t>|</w:t>
            </w:r>
            <w:r w:rsidR="005E0E00">
              <w:rPr>
                <w:b/>
                <w:bCs w:val="0"/>
              </w:rPr>
              <w:t xml:space="preserve"> </w:t>
            </w:r>
            <w:r w:rsidR="005E0E00">
              <w:rPr>
                <w:b/>
                <w:bCs w:val="0"/>
                <w:vertAlign w:val="superscript"/>
              </w:rPr>
              <w:t>5</w:t>
            </w:r>
          </w:p>
        </w:tc>
        <w:tc>
          <w:tcPr>
            <w:tcW w:w="1040" w:type="dxa"/>
            <w:tcMar>
              <w:left w:w="28" w:type="dxa"/>
              <w:right w:w="28" w:type="dxa"/>
            </w:tcMar>
            <w:vAlign w:val="center"/>
          </w:tcPr>
          <w:p w14:paraId="73115367" w14:textId="7B2CCE6B" w:rsidR="00781189" w:rsidRPr="00E22F87" w:rsidRDefault="00781189" w:rsidP="006B1BCB">
            <w:pPr>
              <w:pStyle w:val="COMTabletext"/>
              <w:keepNext w:val="0"/>
              <w:jc w:val="center"/>
              <w:rPr>
                <w:rFonts w:cs="Calibri"/>
                <w:color w:val="000000"/>
                <w:szCs w:val="20"/>
              </w:rPr>
            </w:pPr>
            <w:r w:rsidRPr="00E22F87">
              <w:t>+</w:t>
            </w:r>
            <w:r w:rsidR="003A33AB" w:rsidRPr="003A33AB">
              <w:rPr>
                <w:color w:val="000000"/>
                <w:spacing w:val="53"/>
                <w:shd w:val="solid" w:color="000000" w:fill="000000"/>
                <w:fitText w:val="330" w:id="-663469307"/>
                <w14:textFill>
                  <w14:solidFill>
                    <w14:srgbClr w14:val="000000">
                      <w14:alpha w14:val="100000"/>
                    </w14:srgbClr>
                  </w14:solidFill>
                </w14:textFill>
              </w:rPr>
              <w:t>|||</w:t>
            </w:r>
            <w:r w:rsidR="003A33AB" w:rsidRPr="003A33AB">
              <w:rPr>
                <w:color w:val="000000"/>
                <w:spacing w:val="1"/>
                <w:shd w:val="solid" w:color="000000" w:fill="000000"/>
                <w:fitText w:val="330" w:id="-663469307"/>
                <w14:textFill>
                  <w14:solidFill>
                    <w14:srgbClr w14:val="000000">
                      <w14:alpha w14:val="100000"/>
                    </w14:srgbClr>
                  </w14:solidFill>
                </w14:textFill>
              </w:rPr>
              <w:t>|</w:t>
            </w:r>
            <w:r w:rsidRPr="00E22F87">
              <w:t>%</w:t>
            </w:r>
          </w:p>
        </w:tc>
      </w:tr>
      <w:tr w:rsidR="00781189" w:rsidRPr="003C4909" w14:paraId="7ED5032A" w14:textId="77777777" w:rsidTr="00740CBB">
        <w:tc>
          <w:tcPr>
            <w:tcW w:w="9029" w:type="dxa"/>
            <w:gridSpan w:val="5"/>
            <w:tcMar>
              <w:top w:w="0" w:type="dxa"/>
              <w:left w:w="28" w:type="dxa"/>
              <w:bottom w:w="0" w:type="dxa"/>
              <w:right w:w="28" w:type="dxa"/>
            </w:tcMar>
            <w:vAlign w:val="center"/>
          </w:tcPr>
          <w:p w14:paraId="38E330D4" w14:textId="77777777" w:rsidR="00781189" w:rsidRPr="00E22F87" w:rsidRDefault="00781189" w:rsidP="006B1BCB">
            <w:pPr>
              <w:pStyle w:val="COMTableheadingrow"/>
            </w:pPr>
            <w:r w:rsidRPr="00E22F87">
              <w:t>Transition probabilities from CKD to death (base case extrapolation using independent Weibull functions)</w:t>
            </w:r>
          </w:p>
        </w:tc>
      </w:tr>
      <w:tr w:rsidR="00781189" w:rsidRPr="003C4909" w14:paraId="73170246" w14:textId="77777777" w:rsidTr="001027A3">
        <w:tc>
          <w:tcPr>
            <w:tcW w:w="4962" w:type="dxa"/>
            <w:tcMar>
              <w:top w:w="0" w:type="dxa"/>
              <w:left w:w="28" w:type="dxa"/>
              <w:bottom w:w="0" w:type="dxa"/>
              <w:right w:w="28" w:type="dxa"/>
            </w:tcMar>
          </w:tcPr>
          <w:p w14:paraId="4CE74D68" w14:textId="77777777" w:rsidR="00781189" w:rsidRPr="00E22F87" w:rsidRDefault="00781189" w:rsidP="006B1BCB">
            <w:pPr>
              <w:pStyle w:val="COMTabletext"/>
              <w:keepNext w:val="0"/>
            </w:pPr>
            <w:r w:rsidRPr="00E22F87">
              <w:t>Independent exponential functions</w:t>
            </w:r>
          </w:p>
        </w:tc>
        <w:tc>
          <w:tcPr>
            <w:tcW w:w="992" w:type="dxa"/>
            <w:tcMar>
              <w:top w:w="0" w:type="dxa"/>
              <w:left w:w="28" w:type="dxa"/>
              <w:bottom w:w="0" w:type="dxa"/>
              <w:right w:w="28" w:type="dxa"/>
            </w:tcMar>
            <w:vAlign w:val="center"/>
          </w:tcPr>
          <w:p w14:paraId="60915F07" w14:textId="26500B73"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6"/>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6"/>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43F77DFD"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0.8983</w:t>
            </w:r>
          </w:p>
        </w:tc>
        <w:tc>
          <w:tcPr>
            <w:tcW w:w="1043" w:type="dxa"/>
            <w:tcMar>
              <w:top w:w="0" w:type="dxa"/>
              <w:left w:w="28" w:type="dxa"/>
              <w:bottom w:w="0" w:type="dxa"/>
              <w:right w:w="28" w:type="dxa"/>
            </w:tcMar>
            <w:vAlign w:val="center"/>
          </w:tcPr>
          <w:p w14:paraId="08A922B6"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Dominant</w:t>
            </w:r>
          </w:p>
        </w:tc>
        <w:tc>
          <w:tcPr>
            <w:tcW w:w="1040" w:type="dxa"/>
            <w:tcMar>
              <w:left w:w="28" w:type="dxa"/>
              <w:right w:w="28" w:type="dxa"/>
            </w:tcMar>
            <w:vAlign w:val="center"/>
          </w:tcPr>
          <w:p w14:paraId="5BA564C0"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p>
        </w:tc>
      </w:tr>
      <w:tr w:rsidR="00781189" w:rsidRPr="003C4909" w14:paraId="39934F01" w14:textId="77777777" w:rsidTr="001027A3">
        <w:tc>
          <w:tcPr>
            <w:tcW w:w="4962" w:type="dxa"/>
            <w:tcMar>
              <w:top w:w="0" w:type="dxa"/>
              <w:left w:w="28" w:type="dxa"/>
              <w:bottom w:w="0" w:type="dxa"/>
              <w:right w:w="28" w:type="dxa"/>
            </w:tcMar>
          </w:tcPr>
          <w:p w14:paraId="54BF202E" w14:textId="77777777" w:rsidR="00781189" w:rsidRPr="00E22F87" w:rsidRDefault="00781189" w:rsidP="006B1BCB">
            <w:pPr>
              <w:pStyle w:val="COMTabletext"/>
              <w:keepNext w:val="0"/>
            </w:pPr>
            <w:r w:rsidRPr="00E22F87">
              <w:t>Independent Gompertz functions</w:t>
            </w:r>
          </w:p>
        </w:tc>
        <w:tc>
          <w:tcPr>
            <w:tcW w:w="992" w:type="dxa"/>
            <w:tcMar>
              <w:top w:w="0" w:type="dxa"/>
              <w:left w:w="28" w:type="dxa"/>
              <w:bottom w:w="0" w:type="dxa"/>
              <w:right w:w="28" w:type="dxa"/>
            </w:tcMar>
            <w:vAlign w:val="center"/>
          </w:tcPr>
          <w:p w14:paraId="43425C27" w14:textId="79EE2D5B"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5"/>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5"/>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63D61D08"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0.8824</w:t>
            </w:r>
          </w:p>
        </w:tc>
        <w:tc>
          <w:tcPr>
            <w:tcW w:w="1043" w:type="dxa"/>
            <w:tcMar>
              <w:top w:w="0" w:type="dxa"/>
              <w:left w:w="28" w:type="dxa"/>
              <w:bottom w:w="0" w:type="dxa"/>
              <w:right w:w="28" w:type="dxa"/>
            </w:tcMar>
            <w:vAlign w:val="center"/>
          </w:tcPr>
          <w:p w14:paraId="2824A615" w14:textId="2EFB1F19"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4"/>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4"/>
                <w14:textFill>
                  <w14:solidFill>
                    <w14:srgbClr w14:val="000000">
                      <w14:alpha w14:val="100000"/>
                    </w14:srgbClr>
                  </w14:solidFill>
                </w14:textFill>
              </w:rPr>
              <w:t>|</w:t>
            </w:r>
            <w:r w:rsidR="00821A76">
              <w:rPr>
                <w:b/>
                <w:bCs w:val="0"/>
              </w:rPr>
              <w:t xml:space="preserve"> </w:t>
            </w:r>
            <w:r w:rsidR="00821A76">
              <w:rPr>
                <w:b/>
                <w:bCs w:val="0"/>
                <w:vertAlign w:val="superscript"/>
              </w:rPr>
              <w:t>2</w:t>
            </w:r>
          </w:p>
        </w:tc>
        <w:tc>
          <w:tcPr>
            <w:tcW w:w="1040" w:type="dxa"/>
            <w:tcMar>
              <w:left w:w="28" w:type="dxa"/>
              <w:right w:w="28" w:type="dxa"/>
            </w:tcMar>
            <w:vAlign w:val="center"/>
          </w:tcPr>
          <w:p w14:paraId="210435DE" w14:textId="7E1B8F02" w:rsidR="00781189" w:rsidRPr="00E22F87" w:rsidRDefault="00781189" w:rsidP="006B1BCB">
            <w:pPr>
              <w:pStyle w:val="COMTabletext"/>
              <w:keepNext w:val="0"/>
              <w:jc w:val="center"/>
              <w:rPr>
                <w:rFonts w:cs="Calibri"/>
                <w:color w:val="000000"/>
                <w:szCs w:val="20"/>
              </w:rPr>
            </w:pPr>
            <w:r w:rsidRPr="00E22F87">
              <w:t>+</w:t>
            </w:r>
            <w:r w:rsidR="003A33AB" w:rsidRPr="003A33AB">
              <w:rPr>
                <w:color w:val="000000"/>
                <w:spacing w:val="53"/>
                <w:shd w:val="solid" w:color="000000" w:fill="000000"/>
                <w:fitText w:val="330" w:id="-663469303"/>
                <w14:textFill>
                  <w14:solidFill>
                    <w14:srgbClr w14:val="000000">
                      <w14:alpha w14:val="100000"/>
                    </w14:srgbClr>
                  </w14:solidFill>
                </w14:textFill>
              </w:rPr>
              <w:t>|||</w:t>
            </w:r>
            <w:r w:rsidR="003A33AB" w:rsidRPr="003A33AB">
              <w:rPr>
                <w:color w:val="000000"/>
                <w:spacing w:val="1"/>
                <w:shd w:val="solid" w:color="000000" w:fill="000000"/>
                <w:fitText w:val="330" w:id="-663469303"/>
                <w14:textFill>
                  <w14:solidFill>
                    <w14:srgbClr w14:val="000000">
                      <w14:alpha w14:val="100000"/>
                    </w14:srgbClr>
                  </w14:solidFill>
                </w14:textFill>
              </w:rPr>
              <w:t>|</w:t>
            </w:r>
            <w:r w:rsidRPr="00E22F87">
              <w:t>%</w:t>
            </w:r>
          </w:p>
        </w:tc>
      </w:tr>
      <w:tr w:rsidR="00781189" w:rsidRPr="003C4909" w14:paraId="7AE8C978" w14:textId="77777777" w:rsidTr="001027A3">
        <w:tc>
          <w:tcPr>
            <w:tcW w:w="4962" w:type="dxa"/>
            <w:tcMar>
              <w:top w:w="0" w:type="dxa"/>
              <w:left w:w="28" w:type="dxa"/>
              <w:bottom w:w="0" w:type="dxa"/>
              <w:right w:w="28" w:type="dxa"/>
            </w:tcMar>
          </w:tcPr>
          <w:p w14:paraId="634AAC88" w14:textId="77777777" w:rsidR="00781189" w:rsidRPr="00E22F87" w:rsidRDefault="00781189" w:rsidP="006B1BCB">
            <w:pPr>
              <w:pStyle w:val="COMTabletext"/>
              <w:keepNext w:val="0"/>
            </w:pPr>
            <w:r w:rsidRPr="00E22F87">
              <w:t>Independent lognormal functions</w:t>
            </w:r>
          </w:p>
        </w:tc>
        <w:tc>
          <w:tcPr>
            <w:tcW w:w="992" w:type="dxa"/>
            <w:tcMar>
              <w:top w:w="0" w:type="dxa"/>
              <w:left w:w="28" w:type="dxa"/>
              <w:bottom w:w="0" w:type="dxa"/>
              <w:right w:w="28" w:type="dxa"/>
            </w:tcMar>
            <w:vAlign w:val="center"/>
          </w:tcPr>
          <w:p w14:paraId="42C9CF13" w14:textId="2DB4BB3E"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2"/>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2"/>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5319D46F"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0.9857</w:t>
            </w:r>
          </w:p>
        </w:tc>
        <w:tc>
          <w:tcPr>
            <w:tcW w:w="1043" w:type="dxa"/>
            <w:tcMar>
              <w:top w:w="0" w:type="dxa"/>
              <w:left w:w="28" w:type="dxa"/>
              <w:bottom w:w="0" w:type="dxa"/>
              <w:right w:w="28" w:type="dxa"/>
            </w:tcMar>
            <w:vAlign w:val="center"/>
          </w:tcPr>
          <w:p w14:paraId="20F77992"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Dominant</w:t>
            </w:r>
          </w:p>
        </w:tc>
        <w:tc>
          <w:tcPr>
            <w:tcW w:w="1040" w:type="dxa"/>
            <w:tcMar>
              <w:left w:w="28" w:type="dxa"/>
              <w:right w:w="28" w:type="dxa"/>
            </w:tcMar>
            <w:vAlign w:val="center"/>
          </w:tcPr>
          <w:p w14:paraId="50FFA84F"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p>
        </w:tc>
      </w:tr>
      <w:tr w:rsidR="00781189" w:rsidRPr="003C4909" w14:paraId="4280D0A1" w14:textId="77777777" w:rsidTr="001027A3">
        <w:tc>
          <w:tcPr>
            <w:tcW w:w="4962" w:type="dxa"/>
            <w:tcMar>
              <w:top w:w="0" w:type="dxa"/>
              <w:left w:w="28" w:type="dxa"/>
              <w:bottom w:w="0" w:type="dxa"/>
              <w:right w:w="28" w:type="dxa"/>
            </w:tcMar>
          </w:tcPr>
          <w:p w14:paraId="4F85FA94" w14:textId="77777777" w:rsidR="00781189" w:rsidRPr="00E22F87" w:rsidRDefault="00781189" w:rsidP="006B1BCB">
            <w:pPr>
              <w:pStyle w:val="COMTabletext"/>
              <w:keepNext w:val="0"/>
            </w:pPr>
            <w:r w:rsidRPr="00E22F87">
              <w:t>Independent loglogistic functions</w:t>
            </w:r>
          </w:p>
        </w:tc>
        <w:tc>
          <w:tcPr>
            <w:tcW w:w="992" w:type="dxa"/>
            <w:tcMar>
              <w:top w:w="0" w:type="dxa"/>
              <w:left w:w="28" w:type="dxa"/>
              <w:bottom w:w="0" w:type="dxa"/>
              <w:right w:w="28" w:type="dxa"/>
            </w:tcMar>
            <w:vAlign w:val="center"/>
          </w:tcPr>
          <w:p w14:paraId="61EACE83" w14:textId="0AC50950"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1"/>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1"/>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08017420"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0.9920</w:t>
            </w:r>
          </w:p>
        </w:tc>
        <w:tc>
          <w:tcPr>
            <w:tcW w:w="1043" w:type="dxa"/>
            <w:tcMar>
              <w:top w:w="0" w:type="dxa"/>
              <w:left w:w="28" w:type="dxa"/>
              <w:bottom w:w="0" w:type="dxa"/>
              <w:right w:w="28" w:type="dxa"/>
            </w:tcMar>
            <w:vAlign w:val="center"/>
          </w:tcPr>
          <w:p w14:paraId="3AD09EC1" w14:textId="00EF0903"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00"/>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0"/>
                <w14:textFill>
                  <w14:solidFill>
                    <w14:srgbClr w14:val="000000">
                      <w14:alpha w14:val="100000"/>
                    </w14:srgbClr>
                  </w14:solidFill>
                </w14:textFill>
              </w:rPr>
              <w:t>|</w:t>
            </w:r>
            <w:r w:rsidR="00821A76">
              <w:rPr>
                <w:b/>
                <w:bCs w:val="0"/>
              </w:rPr>
              <w:t xml:space="preserve"> </w:t>
            </w:r>
            <w:r w:rsidR="00821A76">
              <w:rPr>
                <w:b/>
                <w:bCs w:val="0"/>
                <w:vertAlign w:val="superscript"/>
              </w:rPr>
              <w:t>1</w:t>
            </w:r>
          </w:p>
        </w:tc>
        <w:tc>
          <w:tcPr>
            <w:tcW w:w="1040" w:type="dxa"/>
            <w:tcMar>
              <w:left w:w="28" w:type="dxa"/>
              <w:right w:w="28" w:type="dxa"/>
            </w:tcMar>
            <w:vAlign w:val="center"/>
          </w:tcPr>
          <w:p w14:paraId="7067359E" w14:textId="652BEF5C" w:rsidR="00781189" w:rsidRPr="00E22F87" w:rsidRDefault="00781189" w:rsidP="006B1BCB">
            <w:pPr>
              <w:pStyle w:val="COMTabletext"/>
              <w:keepNext w:val="0"/>
              <w:jc w:val="center"/>
              <w:rPr>
                <w:rFonts w:cs="Calibri"/>
                <w:color w:val="000000"/>
                <w:szCs w:val="20"/>
              </w:rPr>
            </w:pPr>
            <w:r w:rsidRPr="00E22F87">
              <w:t>-</w:t>
            </w:r>
            <w:r w:rsidR="003A33AB" w:rsidRPr="003A33AB">
              <w:rPr>
                <w:color w:val="000000"/>
                <w:spacing w:val="53"/>
                <w:shd w:val="solid" w:color="000000" w:fill="000000"/>
                <w:fitText w:val="330" w:id="-663469299"/>
                <w14:textFill>
                  <w14:solidFill>
                    <w14:srgbClr w14:val="000000">
                      <w14:alpha w14:val="100000"/>
                    </w14:srgbClr>
                  </w14:solidFill>
                </w14:textFill>
              </w:rPr>
              <w:t>|||</w:t>
            </w:r>
            <w:r w:rsidR="003A33AB" w:rsidRPr="003A33AB">
              <w:rPr>
                <w:color w:val="000000"/>
                <w:spacing w:val="1"/>
                <w:shd w:val="solid" w:color="000000" w:fill="000000"/>
                <w:fitText w:val="330" w:id="-663469299"/>
                <w14:textFill>
                  <w14:solidFill>
                    <w14:srgbClr w14:val="000000">
                      <w14:alpha w14:val="100000"/>
                    </w14:srgbClr>
                  </w14:solidFill>
                </w14:textFill>
              </w:rPr>
              <w:t>|</w:t>
            </w:r>
            <w:r w:rsidRPr="00E22F87">
              <w:t>%</w:t>
            </w:r>
          </w:p>
        </w:tc>
      </w:tr>
      <w:tr w:rsidR="00781189" w:rsidRPr="003C4909" w14:paraId="0089E44E" w14:textId="77777777" w:rsidTr="001027A3">
        <w:tc>
          <w:tcPr>
            <w:tcW w:w="4962" w:type="dxa"/>
            <w:tcMar>
              <w:top w:w="0" w:type="dxa"/>
              <w:left w:w="28" w:type="dxa"/>
              <w:bottom w:w="0" w:type="dxa"/>
              <w:right w:w="28" w:type="dxa"/>
            </w:tcMar>
          </w:tcPr>
          <w:p w14:paraId="62D08F6C" w14:textId="77777777" w:rsidR="00781189" w:rsidRPr="00E22F87" w:rsidRDefault="00781189" w:rsidP="006B1BCB">
            <w:pPr>
              <w:pStyle w:val="COMTabletext"/>
              <w:keepNext w:val="0"/>
            </w:pPr>
            <w:r w:rsidRPr="00E22F87">
              <w:t>Independent generalised gamma functions</w:t>
            </w:r>
          </w:p>
        </w:tc>
        <w:tc>
          <w:tcPr>
            <w:tcW w:w="992" w:type="dxa"/>
            <w:tcMar>
              <w:top w:w="0" w:type="dxa"/>
              <w:left w:w="28" w:type="dxa"/>
              <w:bottom w:w="0" w:type="dxa"/>
              <w:right w:w="28" w:type="dxa"/>
            </w:tcMar>
            <w:vAlign w:val="center"/>
          </w:tcPr>
          <w:p w14:paraId="761B0164" w14:textId="580EE3B1"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298"/>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298"/>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05114D65"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1.3346</w:t>
            </w:r>
          </w:p>
        </w:tc>
        <w:tc>
          <w:tcPr>
            <w:tcW w:w="1043" w:type="dxa"/>
            <w:tcMar>
              <w:top w:w="0" w:type="dxa"/>
              <w:left w:w="28" w:type="dxa"/>
              <w:bottom w:w="0" w:type="dxa"/>
              <w:right w:w="28" w:type="dxa"/>
            </w:tcMar>
            <w:vAlign w:val="center"/>
          </w:tcPr>
          <w:p w14:paraId="03D2DD1C" w14:textId="3267EE93"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297"/>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297"/>
                <w14:textFill>
                  <w14:solidFill>
                    <w14:srgbClr w14:val="000000">
                      <w14:alpha w14:val="100000"/>
                    </w14:srgbClr>
                  </w14:solidFill>
                </w14:textFill>
              </w:rPr>
              <w:t>|</w:t>
            </w:r>
            <w:r w:rsidR="00821A76">
              <w:rPr>
                <w:b/>
                <w:bCs w:val="0"/>
              </w:rPr>
              <w:t xml:space="preserve"> </w:t>
            </w:r>
            <w:r w:rsidR="00821A76">
              <w:rPr>
                <w:b/>
                <w:bCs w:val="0"/>
                <w:vertAlign w:val="superscript"/>
              </w:rPr>
              <w:t>1</w:t>
            </w:r>
          </w:p>
        </w:tc>
        <w:tc>
          <w:tcPr>
            <w:tcW w:w="1040" w:type="dxa"/>
            <w:tcMar>
              <w:left w:w="28" w:type="dxa"/>
              <w:right w:w="28" w:type="dxa"/>
            </w:tcMar>
            <w:vAlign w:val="center"/>
          </w:tcPr>
          <w:p w14:paraId="4B791E3D" w14:textId="34CD9BF8" w:rsidR="00781189" w:rsidRPr="00E22F87" w:rsidRDefault="00781189" w:rsidP="006B1BCB">
            <w:pPr>
              <w:pStyle w:val="COMTabletext"/>
              <w:keepNext w:val="0"/>
              <w:jc w:val="center"/>
              <w:rPr>
                <w:rFonts w:cs="Calibri"/>
                <w:color w:val="000000"/>
                <w:szCs w:val="20"/>
              </w:rPr>
            </w:pPr>
            <w:r w:rsidRPr="00E22F87">
              <w:t>+</w:t>
            </w:r>
            <w:r w:rsidR="003A33AB" w:rsidRPr="003A33AB">
              <w:rPr>
                <w:color w:val="000000"/>
                <w:spacing w:val="53"/>
                <w:shd w:val="solid" w:color="000000" w:fill="000000"/>
                <w:fitText w:val="330" w:id="-663469296"/>
                <w14:textFill>
                  <w14:solidFill>
                    <w14:srgbClr w14:val="000000">
                      <w14:alpha w14:val="100000"/>
                    </w14:srgbClr>
                  </w14:solidFill>
                </w14:textFill>
              </w:rPr>
              <w:t>|||</w:t>
            </w:r>
            <w:r w:rsidR="003A33AB" w:rsidRPr="003A33AB">
              <w:rPr>
                <w:color w:val="000000"/>
                <w:spacing w:val="1"/>
                <w:shd w:val="solid" w:color="000000" w:fill="000000"/>
                <w:fitText w:val="330" w:id="-663469296"/>
                <w14:textFill>
                  <w14:solidFill>
                    <w14:srgbClr w14:val="000000">
                      <w14:alpha w14:val="100000"/>
                    </w14:srgbClr>
                  </w14:solidFill>
                </w14:textFill>
              </w:rPr>
              <w:t>|</w:t>
            </w:r>
            <w:r w:rsidRPr="00E22F87">
              <w:t>%</w:t>
            </w:r>
          </w:p>
        </w:tc>
      </w:tr>
      <w:tr w:rsidR="00781189" w:rsidRPr="003C4909" w14:paraId="1B793BE4" w14:textId="77777777" w:rsidTr="001027A3">
        <w:tc>
          <w:tcPr>
            <w:tcW w:w="4962" w:type="dxa"/>
            <w:tcMar>
              <w:top w:w="0" w:type="dxa"/>
              <w:left w:w="28" w:type="dxa"/>
              <w:bottom w:w="0" w:type="dxa"/>
              <w:right w:w="28" w:type="dxa"/>
            </w:tcMar>
          </w:tcPr>
          <w:p w14:paraId="45082528" w14:textId="77777777" w:rsidR="00781189" w:rsidRPr="00E22F87" w:rsidRDefault="00781189" w:rsidP="006B1BCB">
            <w:pPr>
              <w:pStyle w:val="COMTabletext"/>
              <w:keepNext w:val="0"/>
            </w:pPr>
            <w:r w:rsidRPr="00E22F87">
              <w:t>No difference between arms (both based on modelled survival in the empagliflozin + SC arm)</w:t>
            </w:r>
          </w:p>
        </w:tc>
        <w:tc>
          <w:tcPr>
            <w:tcW w:w="992" w:type="dxa"/>
            <w:tcMar>
              <w:top w:w="0" w:type="dxa"/>
              <w:left w:w="28" w:type="dxa"/>
              <w:bottom w:w="0" w:type="dxa"/>
              <w:right w:w="28" w:type="dxa"/>
            </w:tcMar>
            <w:vAlign w:val="center"/>
          </w:tcPr>
          <w:p w14:paraId="64863870" w14:textId="455AC6C7"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12"/>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12"/>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0C2FFBE1"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0.6952</w:t>
            </w:r>
          </w:p>
        </w:tc>
        <w:tc>
          <w:tcPr>
            <w:tcW w:w="1043" w:type="dxa"/>
            <w:tcMar>
              <w:top w:w="0" w:type="dxa"/>
              <w:left w:w="28" w:type="dxa"/>
              <w:bottom w:w="0" w:type="dxa"/>
              <w:right w:w="28" w:type="dxa"/>
            </w:tcMar>
            <w:vAlign w:val="center"/>
          </w:tcPr>
          <w:p w14:paraId="27DE9C64"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Dominant</w:t>
            </w:r>
          </w:p>
        </w:tc>
        <w:tc>
          <w:tcPr>
            <w:tcW w:w="1040" w:type="dxa"/>
            <w:tcMar>
              <w:left w:w="28" w:type="dxa"/>
              <w:right w:w="28" w:type="dxa"/>
            </w:tcMar>
            <w:vAlign w:val="center"/>
          </w:tcPr>
          <w:p w14:paraId="22225DE7"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p>
        </w:tc>
      </w:tr>
      <w:tr w:rsidR="00781189" w:rsidRPr="003C4909" w14:paraId="5BCD3126" w14:textId="77777777" w:rsidTr="001027A3">
        <w:tc>
          <w:tcPr>
            <w:tcW w:w="4962" w:type="dxa"/>
            <w:tcMar>
              <w:top w:w="0" w:type="dxa"/>
              <w:left w:w="28" w:type="dxa"/>
              <w:bottom w:w="0" w:type="dxa"/>
              <w:right w:w="28" w:type="dxa"/>
            </w:tcMar>
            <w:vAlign w:val="center"/>
          </w:tcPr>
          <w:p w14:paraId="14FB4C8F" w14:textId="77777777" w:rsidR="00781189" w:rsidRPr="00E22F87" w:rsidRDefault="00781189" w:rsidP="006B1BCB">
            <w:pPr>
              <w:pStyle w:val="COMTabletext"/>
              <w:keepNext w:val="0"/>
            </w:pPr>
            <w:r w:rsidRPr="00E22F87">
              <w:t>No difference between arms (both based on modelled survival in the SC arm)</w:t>
            </w:r>
          </w:p>
        </w:tc>
        <w:tc>
          <w:tcPr>
            <w:tcW w:w="992" w:type="dxa"/>
            <w:tcMar>
              <w:top w:w="0" w:type="dxa"/>
              <w:left w:w="28" w:type="dxa"/>
              <w:bottom w:w="0" w:type="dxa"/>
              <w:right w:w="28" w:type="dxa"/>
            </w:tcMar>
            <w:vAlign w:val="center"/>
          </w:tcPr>
          <w:p w14:paraId="07B4BC4E" w14:textId="7003E3C4"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r w:rsidR="003A33AB" w:rsidRPr="003A33AB">
              <w:rPr>
                <w:rFonts w:cs="Calibri"/>
                <w:color w:val="000000"/>
                <w:spacing w:val="53"/>
                <w:szCs w:val="20"/>
                <w:shd w:val="solid" w:color="000000" w:fill="000000"/>
                <w:fitText w:val="330" w:id="-663469311"/>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11"/>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3BA8B236"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0.5508</w:t>
            </w:r>
          </w:p>
        </w:tc>
        <w:tc>
          <w:tcPr>
            <w:tcW w:w="1043" w:type="dxa"/>
            <w:tcMar>
              <w:top w:w="0" w:type="dxa"/>
              <w:left w:w="28" w:type="dxa"/>
              <w:bottom w:w="0" w:type="dxa"/>
              <w:right w:w="28" w:type="dxa"/>
            </w:tcMar>
            <w:vAlign w:val="center"/>
          </w:tcPr>
          <w:p w14:paraId="51C98C18"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Dominant</w:t>
            </w:r>
          </w:p>
        </w:tc>
        <w:tc>
          <w:tcPr>
            <w:tcW w:w="1040" w:type="dxa"/>
            <w:tcMar>
              <w:left w:w="28" w:type="dxa"/>
              <w:right w:w="28" w:type="dxa"/>
            </w:tcMar>
            <w:vAlign w:val="center"/>
          </w:tcPr>
          <w:p w14:paraId="3C1063B0" w14:textId="77777777" w:rsidR="00781189" w:rsidRPr="00E22F87" w:rsidRDefault="00781189" w:rsidP="006B1BCB">
            <w:pPr>
              <w:pStyle w:val="COMTabletext"/>
              <w:keepNext w:val="0"/>
              <w:jc w:val="center"/>
              <w:rPr>
                <w:rFonts w:cs="Calibri"/>
                <w:color w:val="000000"/>
                <w:szCs w:val="20"/>
              </w:rPr>
            </w:pPr>
            <w:r w:rsidRPr="00E22F87">
              <w:rPr>
                <w:rFonts w:cs="Calibri"/>
                <w:color w:val="000000"/>
                <w:szCs w:val="20"/>
              </w:rPr>
              <w:t>-</w:t>
            </w:r>
          </w:p>
        </w:tc>
      </w:tr>
      <w:tr w:rsidR="00781189" w:rsidRPr="003C4909" w14:paraId="55CBD592" w14:textId="77777777" w:rsidTr="00740CBB">
        <w:tc>
          <w:tcPr>
            <w:tcW w:w="9029" w:type="dxa"/>
            <w:gridSpan w:val="5"/>
            <w:tcMar>
              <w:top w:w="0" w:type="dxa"/>
              <w:left w:w="28" w:type="dxa"/>
              <w:bottom w:w="0" w:type="dxa"/>
              <w:right w:w="28" w:type="dxa"/>
            </w:tcMar>
            <w:vAlign w:val="center"/>
          </w:tcPr>
          <w:p w14:paraId="69E37351" w14:textId="77777777" w:rsidR="00781189" w:rsidRPr="003C4909" w:rsidRDefault="00781189" w:rsidP="006B1BCB">
            <w:pPr>
              <w:pStyle w:val="COMTableheadingrow"/>
            </w:pPr>
            <w:r w:rsidRPr="003C4909">
              <w:t>Transition probabilities from ESKD to death (base case extrapolation using independent exponential functions)</w:t>
            </w:r>
          </w:p>
        </w:tc>
      </w:tr>
      <w:tr w:rsidR="00781189" w:rsidRPr="003C4909" w14:paraId="533DD691" w14:textId="77777777" w:rsidTr="001027A3">
        <w:tc>
          <w:tcPr>
            <w:tcW w:w="4962" w:type="dxa"/>
            <w:tcMar>
              <w:top w:w="0" w:type="dxa"/>
              <w:left w:w="28" w:type="dxa"/>
              <w:bottom w:w="0" w:type="dxa"/>
              <w:right w:w="28" w:type="dxa"/>
            </w:tcMar>
            <w:vAlign w:val="center"/>
          </w:tcPr>
          <w:p w14:paraId="07CD3881" w14:textId="77777777" w:rsidR="00781189" w:rsidRPr="003C4909" w:rsidRDefault="00781189" w:rsidP="006B1BCB">
            <w:pPr>
              <w:pStyle w:val="COMTabletext"/>
              <w:keepNext w:val="0"/>
            </w:pPr>
            <w:r w:rsidRPr="003C4909">
              <w:t>Independent Weibull functions</w:t>
            </w:r>
          </w:p>
        </w:tc>
        <w:tc>
          <w:tcPr>
            <w:tcW w:w="992" w:type="dxa"/>
            <w:tcMar>
              <w:top w:w="0" w:type="dxa"/>
              <w:left w:w="28" w:type="dxa"/>
              <w:bottom w:w="0" w:type="dxa"/>
              <w:right w:w="28" w:type="dxa"/>
            </w:tcMar>
            <w:vAlign w:val="center"/>
          </w:tcPr>
          <w:p w14:paraId="66FD6701" w14:textId="1665DF3D"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310"/>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10"/>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22658FC5"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0.9181</w:t>
            </w:r>
          </w:p>
        </w:tc>
        <w:tc>
          <w:tcPr>
            <w:tcW w:w="1043" w:type="dxa"/>
            <w:tcMar>
              <w:top w:w="0" w:type="dxa"/>
              <w:left w:w="28" w:type="dxa"/>
              <w:bottom w:w="0" w:type="dxa"/>
              <w:right w:w="28" w:type="dxa"/>
            </w:tcMar>
            <w:vAlign w:val="center"/>
          </w:tcPr>
          <w:p w14:paraId="2D493C74"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Dominant</w:t>
            </w:r>
          </w:p>
        </w:tc>
        <w:tc>
          <w:tcPr>
            <w:tcW w:w="1040" w:type="dxa"/>
            <w:tcMar>
              <w:left w:w="28" w:type="dxa"/>
              <w:right w:w="28" w:type="dxa"/>
            </w:tcMar>
            <w:vAlign w:val="center"/>
          </w:tcPr>
          <w:p w14:paraId="6DA0F758"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p>
        </w:tc>
      </w:tr>
      <w:tr w:rsidR="00781189" w:rsidRPr="003C4909" w14:paraId="22845525" w14:textId="77777777" w:rsidTr="001027A3">
        <w:tc>
          <w:tcPr>
            <w:tcW w:w="4962" w:type="dxa"/>
            <w:tcMar>
              <w:top w:w="0" w:type="dxa"/>
              <w:left w:w="28" w:type="dxa"/>
              <w:bottom w:w="0" w:type="dxa"/>
              <w:right w:w="28" w:type="dxa"/>
            </w:tcMar>
          </w:tcPr>
          <w:p w14:paraId="065D4C3A" w14:textId="77777777" w:rsidR="00781189" w:rsidRPr="003C4909" w:rsidRDefault="00781189" w:rsidP="006B1BCB">
            <w:pPr>
              <w:pStyle w:val="COMTabletext"/>
              <w:keepNext w:val="0"/>
            </w:pPr>
            <w:r w:rsidRPr="003C4909">
              <w:t>Independent Gompertz functions</w:t>
            </w:r>
          </w:p>
        </w:tc>
        <w:tc>
          <w:tcPr>
            <w:tcW w:w="992" w:type="dxa"/>
            <w:tcMar>
              <w:top w:w="0" w:type="dxa"/>
              <w:left w:w="28" w:type="dxa"/>
              <w:bottom w:w="0" w:type="dxa"/>
              <w:right w:w="28" w:type="dxa"/>
            </w:tcMar>
            <w:vAlign w:val="center"/>
          </w:tcPr>
          <w:p w14:paraId="4441EE7D" w14:textId="6E421F72"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309"/>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9"/>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30670BB3"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0.5796</w:t>
            </w:r>
          </w:p>
        </w:tc>
        <w:tc>
          <w:tcPr>
            <w:tcW w:w="1043" w:type="dxa"/>
            <w:tcMar>
              <w:top w:w="0" w:type="dxa"/>
              <w:left w:w="28" w:type="dxa"/>
              <w:bottom w:w="0" w:type="dxa"/>
              <w:right w:w="28" w:type="dxa"/>
            </w:tcMar>
            <w:vAlign w:val="center"/>
          </w:tcPr>
          <w:p w14:paraId="7C38A724"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Dominant</w:t>
            </w:r>
          </w:p>
        </w:tc>
        <w:tc>
          <w:tcPr>
            <w:tcW w:w="1040" w:type="dxa"/>
            <w:tcMar>
              <w:left w:w="28" w:type="dxa"/>
              <w:right w:w="28" w:type="dxa"/>
            </w:tcMar>
            <w:vAlign w:val="center"/>
          </w:tcPr>
          <w:p w14:paraId="24711D78"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p>
        </w:tc>
      </w:tr>
      <w:tr w:rsidR="00781189" w:rsidRPr="003C4909" w14:paraId="7D185DEE" w14:textId="77777777" w:rsidTr="001027A3">
        <w:tc>
          <w:tcPr>
            <w:tcW w:w="4962" w:type="dxa"/>
            <w:tcMar>
              <w:top w:w="0" w:type="dxa"/>
              <w:left w:w="28" w:type="dxa"/>
              <w:bottom w:w="0" w:type="dxa"/>
              <w:right w:w="28" w:type="dxa"/>
            </w:tcMar>
          </w:tcPr>
          <w:p w14:paraId="49C32A08" w14:textId="77777777" w:rsidR="00781189" w:rsidRPr="003C4909" w:rsidRDefault="00781189" w:rsidP="006B1BCB">
            <w:pPr>
              <w:pStyle w:val="COMTabletext"/>
              <w:keepNext w:val="0"/>
            </w:pPr>
            <w:r w:rsidRPr="003C4909">
              <w:t>Independent lognormal functions</w:t>
            </w:r>
          </w:p>
        </w:tc>
        <w:tc>
          <w:tcPr>
            <w:tcW w:w="992" w:type="dxa"/>
            <w:tcMar>
              <w:top w:w="0" w:type="dxa"/>
              <w:left w:w="28" w:type="dxa"/>
              <w:bottom w:w="0" w:type="dxa"/>
              <w:right w:w="28" w:type="dxa"/>
            </w:tcMar>
            <w:vAlign w:val="center"/>
          </w:tcPr>
          <w:p w14:paraId="5F305A95" w14:textId="6BB430C4"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308"/>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8"/>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5D0FF2A0"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0.8197</w:t>
            </w:r>
          </w:p>
        </w:tc>
        <w:tc>
          <w:tcPr>
            <w:tcW w:w="1043" w:type="dxa"/>
            <w:tcMar>
              <w:top w:w="0" w:type="dxa"/>
              <w:left w:w="28" w:type="dxa"/>
              <w:bottom w:w="0" w:type="dxa"/>
              <w:right w:w="28" w:type="dxa"/>
            </w:tcMar>
            <w:vAlign w:val="center"/>
          </w:tcPr>
          <w:p w14:paraId="47DBBE90"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Dominant</w:t>
            </w:r>
          </w:p>
        </w:tc>
        <w:tc>
          <w:tcPr>
            <w:tcW w:w="1040" w:type="dxa"/>
            <w:tcMar>
              <w:left w:w="28" w:type="dxa"/>
              <w:right w:w="28" w:type="dxa"/>
            </w:tcMar>
            <w:vAlign w:val="center"/>
          </w:tcPr>
          <w:p w14:paraId="542A7D5E"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p>
        </w:tc>
      </w:tr>
      <w:tr w:rsidR="00781189" w:rsidRPr="003C4909" w14:paraId="3E4BD326" w14:textId="77777777" w:rsidTr="001027A3">
        <w:tc>
          <w:tcPr>
            <w:tcW w:w="4962" w:type="dxa"/>
            <w:tcMar>
              <w:top w:w="0" w:type="dxa"/>
              <w:left w:w="28" w:type="dxa"/>
              <w:bottom w:w="0" w:type="dxa"/>
              <w:right w:w="28" w:type="dxa"/>
            </w:tcMar>
          </w:tcPr>
          <w:p w14:paraId="2AD86B0C" w14:textId="77777777" w:rsidR="00781189" w:rsidRPr="003C4909" w:rsidRDefault="00781189" w:rsidP="006B1BCB">
            <w:pPr>
              <w:pStyle w:val="COMTabletext"/>
              <w:keepNext w:val="0"/>
            </w:pPr>
            <w:r w:rsidRPr="003C4909">
              <w:t>Independent loglogistic functions</w:t>
            </w:r>
          </w:p>
        </w:tc>
        <w:tc>
          <w:tcPr>
            <w:tcW w:w="992" w:type="dxa"/>
            <w:tcMar>
              <w:top w:w="0" w:type="dxa"/>
              <w:left w:w="28" w:type="dxa"/>
              <w:bottom w:w="0" w:type="dxa"/>
              <w:right w:w="28" w:type="dxa"/>
            </w:tcMar>
            <w:vAlign w:val="center"/>
          </w:tcPr>
          <w:p w14:paraId="4B8F814D" w14:textId="6F1DD766"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307"/>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7"/>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5B604DEC"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0.8515</w:t>
            </w:r>
          </w:p>
        </w:tc>
        <w:tc>
          <w:tcPr>
            <w:tcW w:w="1043" w:type="dxa"/>
            <w:tcMar>
              <w:top w:w="0" w:type="dxa"/>
              <w:left w:w="28" w:type="dxa"/>
              <w:bottom w:w="0" w:type="dxa"/>
              <w:right w:w="28" w:type="dxa"/>
            </w:tcMar>
            <w:vAlign w:val="center"/>
          </w:tcPr>
          <w:p w14:paraId="189A469B"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Dominant</w:t>
            </w:r>
          </w:p>
        </w:tc>
        <w:tc>
          <w:tcPr>
            <w:tcW w:w="1040" w:type="dxa"/>
            <w:tcMar>
              <w:left w:w="28" w:type="dxa"/>
              <w:right w:w="28" w:type="dxa"/>
            </w:tcMar>
            <w:vAlign w:val="center"/>
          </w:tcPr>
          <w:p w14:paraId="7193630D"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p>
        </w:tc>
      </w:tr>
      <w:tr w:rsidR="00781189" w:rsidRPr="003C4909" w14:paraId="7BF10BEA" w14:textId="77777777" w:rsidTr="001027A3">
        <w:tc>
          <w:tcPr>
            <w:tcW w:w="4962" w:type="dxa"/>
            <w:tcMar>
              <w:top w:w="0" w:type="dxa"/>
              <w:left w:w="28" w:type="dxa"/>
              <w:bottom w:w="0" w:type="dxa"/>
              <w:right w:w="28" w:type="dxa"/>
            </w:tcMar>
          </w:tcPr>
          <w:p w14:paraId="7DF02228" w14:textId="77777777" w:rsidR="00781189" w:rsidRPr="003C4909" w:rsidRDefault="00781189" w:rsidP="006B1BCB">
            <w:pPr>
              <w:pStyle w:val="COMTabletext"/>
              <w:keepNext w:val="0"/>
            </w:pPr>
            <w:r w:rsidRPr="003C4909">
              <w:t>Independent generalised gamma functions</w:t>
            </w:r>
          </w:p>
        </w:tc>
        <w:tc>
          <w:tcPr>
            <w:tcW w:w="992" w:type="dxa"/>
            <w:tcMar>
              <w:top w:w="0" w:type="dxa"/>
              <w:left w:w="28" w:type="dxa"/>
              <w:bottom w:w="0" w:type="dxa"/>
              <w:right w:w="28" w:type="dxa"/>
            </w:tcMar>
            <w:vAlign w:val="center"/>
          </w:tcPr>
          <w:p w14:paraId="005B5212" w14:textId="745A1BDE"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306"/>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6"/>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4A6821A1"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0.6355</w:t>
            </w:r>
          </w:p>
        </w:tc>
        <w:tc>
          <w:tcPr>
            <w:tcW w:w="1043" w:type="dxa"/>
            <w:tcMar>
              <w:top w:w="0" w:type="dxa"/>
              <w:left w:w="28" w:type="dxa"/>
              <w:bottom w:w="0" w:type="dxa"/>
              <w:right w:w="28" w:type="dxa"/>
            </w:tcMar>
            <w:vAlign w:val="center"/>
          </w:tcPr>
          <w:p w14:paraId="17DEF3F6"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Dominant</w:t>
            </w:r>
          </w:p>
        </w:tc>
        <w:tc>
          <w:tcPr>
            <w:tcW w:w="1040" w:type="dxa"/>
            <w:tcMar>
              <w:left w:w="28" w:type="dxa"/>
              <w:right w:w="28" w:type="dxa"/>
            </w:tcMar>
            <w:vAlign w:val="center"/>
          </w:tcPr>
          <w:p w14:paraId="5F41D764"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p>
        </w:tc>
      </w:tr>
      <w:tr w:rsidR="00781189" w:rsidRPr="003C4909" w14:paraId="443553F4" w14:textId="77777777" w:rsidTr="001027A3">
        <w:tc>
          <w:tcPr>
            <w:tcW w:w="4962" w:type="dxa"/>
            <w:tcMar>
              <w:top w:w="0" w:type="dxa"/>
              <w:left w:w="28" w:type="dxa"/>
              <w:bottom w:w="0" w:type="dxa"/>
              <w:right w:w="28" w:type="dxa"/>
            </w:tcMar>
            <w:vAlign w:val="center"/>
          </w:tcPr>
          <w:p w14:paraId="6963021F" w14:textId="77777777" w:rsidR="00781189" w:rsidRPr="003C4909" w:rsidRDefault="00781189" w:rsidP="006B1BCB">
            <w:pPr>
              <w:pStyle w:val="COMTabletext"/>
              <w:keepNext w:val="0"/>
            </w:pPr>
            <w:r w:rsidRPr="003C4909">
              <w:t>Weibull function for empagliflozin + SC, lognormal function for SC (best statistical fit)</w:t>
            </w:r>
          </w:p>
        </w:tc>
        <w:tc>
          <w:tcPr>
            <w:tcW w:w="992" w:type="dxa"/>
            <w:tcMar>
              <w:top w:w="0" w:type="dxa"/>
              <w:left w:w="28" w:type="dxa"/>
              <w:bottom w:w="0" w:type="dxa"/>
              <w:right w:w="28" w:type="dxa"/>
            </w:tcMar>
            <w:vAlign w:val="center"/>
          </w:tcPr>
          <w:p w14:paraId="165551AE" w14:textId="0A10B0BC"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305"/>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5"/>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622B41B2"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0.7605</w:t>
            </w:r>
          </w:p>
        </w:tc>
        <w:tc>
          <w:tcPr>
            <w:tcW w:w="1043" w:type="dxa"/>
            <w:tcMar>
              <w:top w:w="0" w:type="dxa"/>
              <w:left w:w="28" w:type="dxa"/>
              <w:bottom w:w="0" w:type="dxa"/>
              <w:right w:w="28" w:type="dxa"/>
            </w:tcMar>
            <w:vAlign w:val="center"/>
          </w:tcPr>
          <w:p w14:paraId="3084406D"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Dominant</w:t>
            </w:r>
          </w:p>
        </w:tc>
        <w:tc>
          <w:tcPr>
            <w:tcW w:w="1040" w:type="dxa"/>
            <w:tcMar>
              <w:left w:w="28" w:type="dxa"/>
              <w:right w:w="28" w:type="dxa"/>
            </w:tcMar>
            <w:vAlign w:val="center"/>
          </w:tcPr>
          <w:p w14:paraId="5CA86B9D"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p>
        </w:tc>
      </w:tr>
      <w:tr w:rsidR="00781189" w:rsidRPr="003C4909" w14:paraId="22056E84" w14:textId="77777777" w:rsidTr="001027A3">
        <w:tc>
          <w:tcPr>
            <w:tcW w:w="4962" w:type="dxa"/>
            <w:tcMar>
              <w:top w:w="0" w:type="dxa"/>
              <w:left w:w="28" w:type="dxa"/>
              <w:bottom w:w="0" w:type="dxa"/>
              <w:right w:w="28" w:type="dxa"/>
            </w:tcMar>
          </w:tcPr>
          <w:p w14:paraId="4CE2A363" w14:textId="77777777" w:rsidR="00781189" w:rsidRPr="003C4909" w:rsidRDefault="00781189" w:rsidP="006B1BCB">
            <w:pPr>
              <w:pStyle w:val="COMTabletext"/>
              <w:keepNext w:val="0"/>
            </w:pPr>
            <w:r w:rsidRPr="003C4909">
              <w:t>No difference between arms (both based on modelled survival in the empagliflozin + SC arm)</w:t>
            </w:r>
          </w:p>
        </w:tc>
        <w:tc>
          <w:tcPr>
            <w:tcW w:w="992" w:type="dxa"/>
            <w:tcMar>
              <w:top w:w="0" w:type="dxa"/>
              <w:left w:w="28" w:type="dxa"/>
              <w:bottom w:w="0" w:type="dxa"/>
              <w:right w:w="28" w:type="dxa"/>
            </w:tcMar>
            <w:vAlign w:val="center"/>
          </w:tcPr>
          <w:p w14:paraId="2DA2EE73" w14:textId="0746D154"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304"/>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4"/>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5EA27151"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0.5323</w:t>
            </w:r>
          </w:p>
        </w:tc>
        <w:tc>
          <w:tcPr>
            <w:tcW w:w="1043" w:type="dxa"/>
            <w:tcMar>
              <w:top w:w="0" w:type="dxa"/>
              <w:left w:w="28" w:type="dxa"/>
              <w:bottom w:w="0" w:type="dxa"/>
              <w:right w:w="28" w:type="dxa"/>
            </w:tcMar>
            <w:vAlign w:val="center"/>
          </w:tcPr>
          <w:p w14:paraId="18E20B77"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Dominant</w:t>
            </w:r>
          </w:p>
        </w:tc>
        <w:tc>
          <w:tcPr>
            <w:tcW w:w="1040" w:type="dxa"/>
            <w:tcMar>
              <w:left w:w="28" w:type="dxa"/>
              <w:right w:w="28" w:type="dxa"/>
            </w:tcMar>
            <w:vAlign w:val="center"/>
          </w:tcPr>
          <w:p w14:paraId="32DEA24F"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p>
        </w:tc>
      </w:tr>
      <w:tr w:rsidR="00781189" w:rsidRPr="003C4909" w14:paraId="204EF5F5" w14:textId="77777777" w:rsidTr="001027A3">
        <w:tc>
          <w:tcPr>
            <w:tcW w:w="4962" w:type="dxa"/>
            <w:tcMar>
              <w:top w:w="0" w:type="dxa"/>
              <w:left w:w="28" w:type="dxa"/>
              <w:bottom w:w="0" w:type="dxa"/>
              <w:right w:w="28" w:type="dxa"/>
            </w:tcMar>
            <w:vAlign w:val="center"/>
          </w:tcPr>
          <w:p w14:paraId="456D922C" w14:textId="77777777" w:rsidR="00781189" w:rsidRPr="003C4909" w:rsidRDefault="00781189" w:rsidP="006B1BCB">
            <w:pPr>
              <w:pStyle w:val="COMTabletext"/>
              <w:keepNext w:val="0"/>
            </w:pPr>
            <w:r w:rsidRPr="003C4909">
              <w:t>No difference between arms (both based on modelled survival in the SC arm)</w:t>
            </w:r>
          </w:p>
        </w:tc>
        <w:tc>
          <w:tcPr>
            <w:tcW w:w="992" w:type="dxa"/>
            <w:tcMar>
              <w:top w:w="0" w:type="dxa"/>
              <w:left w:w="28" w:type="dxa"/>
              <w:bottom w:w="0" w:type="dxa"/>
              <w:right w:w="28" w:type="dxa"/>
            </w:tcMar>
            <w:vAlign w:val="center"/>
          </w:tcPr>
          <w:p w14:paraId="178D821F" w14:textId="2CFA7D04"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303"/>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3"/>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2AC59476"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0.6925</w:t>
            </w:r>
          </w:p>
        </w:tc>
        <w:tc>
          <w:tcPr>
            <w:tcW w:w="1043" w:type="dxa"/>
            <w:tcMar>
              <w:top w:w="0" w:type="dxa"/>
              <w:left w:w="28" w:type="dxa"/>
              <w:bottom w:w="0" w:type="dxa"/>
              <w:right w:w="28" w:type="dxa"/>
            </w:tcMar>
            <w:vAlign w:val="center"/>
          </w:tcPr>
          <w:p w14:paraId="78DD4B5B"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Dominant</w:t>
            </w:r>
          </w:p>
        </w:tc>
        <w:tc>
          <w:tcPr>
            <w:tcW w:w="1040" w:type="dxa"/>
            <w:tcMar>
              <w:left w:w="28" w:type="dxa"/>
              <w:right w:w="28" w:type="dxa"/>
            </w:tcMar>
            <w:vAlign w:val="center"/>
          </w:tcPr>
          <w:p w14:paraId="5CA0CFC1"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p>
        </w:tc>
      </w:tr>
      <w:tr w:rsidR="00781189" w:rsidRPr="003C4909" w14:paraId="48AD9CD3" w14:textId="77777777" w:rsidTr="00740CBB">
        <w:tc>
          <w:tcPr>
            <w:tcW w:w="9029" w:type="dxa"/>
            <w:gridSpan w:val="5"/>
            <w:tcMar>
              <w:top w:w="0" w:type="dxa"/>
              <w:left w:w="28" w:type="dxa"/>
              <w:bottom w:w="0" w:type="dxa"/>
              <w:right w:w="28" w:type="dxa"/>
            </w:tcMar>
            <w:vAlign w:val="center"/>
          </w:tcPr>
          <w:p w14:paraId="103E7F7D" w14:textId="77777777" w:rsidR="00781189" w:rsidRPr="003C4909" w:rsidRDefault="00781189" w:rsidP="006B1BCB">
            <w:pPr>
              <w:pStyle w:val="COMTableheadingrow"/>
            </w:pPr>
            <w:r w:rsidRPr="003C4909">
              <w:t>ESKD treatment costs based on fixed distribution across treatment modalities (base case 14.8% conservative care, 81.7% dialysis, 3.5% kidney transplant based on Morton 2011; costs derived from the Deloitte Access Economics February 2023 report and other publications)</w:t>
            </w:r>
          </w:p>
        </w:tc>
      </w:tr>
      <w:tr w:rsidR="00781189" w:rsidRPr="003C4909" w14:paraId="2C134DF7" w14:textId="77777777" w:rsidTr="001027A3">
        <w:tc>
          <w:tcPr>
            <w:tcW w:w="4962" w:type="dxa"/>
            <w:tcMar>
              <w:top w:w="0" w:type="dxa"/>
              <w:left w:w="28" w:type="dxa"/>
              <w:bottom w:w="0" w:type="dxa"/>
              <w:right w:w="28" w:type="dxa"/>
            </w:tcMar>
            <w:vAlign w:val="center"/>
          </w:tcPr>
          <w:p w14:paraId="47663041" w14:textId="77777777" w:rsidR="00781189" w:rsidRPr="003C4909" w:rsidRDefault="00781189" w:rsidP="006B1BCB">
            <w:pPr>
              <w:pStyle w:val="COMTabletext"/>
              <w:keepNext w:val="0"/>
            </w:pPr>
            <w:r w:rsidRPr="003C4909">
              <w:t>Conservative management 50% (AIHW 2016; incidence); distribution between dialysis (37.7%) and transplant (12.3%) based on 2023 ANZDATA incidence estimates</w:t>
            </w:r>
          </w:p>
        </w:tc>
        <w:tc>
          <w:tcPr>
            <w:tcW w:w="992" w:type="dxa"/>
            <w:tcMar>
              <w:top w:w="0" w:type="dxa"/>
              <w:left w:w="28" w:type="dxa"/>
              <w:bottom w:w="0" w:type="dxa"/>
              <w:right w:w="28" w:type="dxa"/>
            </w:tcMar>
            <w:vAlign w:val="center"/>
          </w:tcPr>
          <w:p w14:paraId="36561324" w14:textId="5F75F298"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302"/>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2"/>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1F292AA4"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1.0108</w:t>
            </w:r>
          </w:p>
        </w:tc>
        <w:tc>
          <w:tcPr>
            <w:tcW w:w="1043" w:type="dxa"/>
            <w:tcMar>
              <w:top w:w="0" w:type="dxa"/>
              <w:left w:w="28" w:type="dxa"/>
              <w:bottom w:w="0" w:type="dxa"/>
              <w:right w:w="28" w:type="dxa"/>
            </w:tcMar>
            <w:vAlign w:val="center"/>
          </w:tcPr>
          <w:p w14:paraId="095591E6"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Dominant</w:t>
            </w:r>
          </w:p>
        </w:tc>
        <w:tc>
          <w:tcPr>
            <w:tcW w:w="1040" w:type="dxa"/>
            <w:tcMar>
              <w:left w:w="28" w:type="dxa"/>
              <w:right w:w="28" w:type="dxa"/>
            </w:tcMar>
            <w:vAlign w:val="center"/>
          </w:tcPr>
          <w:p w14:paraId="32CAE080"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p>
        </w:tc>
      </w:tr>
      <w:tr w:rsidR="00781189" w:rsidRPr="003C4909" w14:paraId="0E760294" w14:textId="77777777" w:rsidTr="001027A3">
        <w:tc>
          <w:tcPr>
            <w:tcW w:w="4962" w:type="dxa"/>
            <w:tcMar>
              <w:top w:w="0" w:type="dxa"/>
              <w:left w:w="28" w:type="dxa"/>
              <w:bottom w:w="0" w:type="dxa"/>
              <w:right w:w="28" w:type="dxa"/>
            </w:tcMar>
            <w:vAlign w:val="center"/>
          </w:tcPr>
          <w:p w14:paraId="7BA2D0CC" w14:textId="77777777" w:rsidR="00781189" w:rsidRPr="003C4909" w:rsidRDefault="00781189" w:rsidP="006B1BCB">
            <w:pPr>
              <w:pStyle w:val="COMTabletext"/>
              <w:keepNext w:val="0"/>
            </w:pPr>
            <w:r w:rsidRPr="003C4909">
              <w:t>EMPA-KIDNEY trial (0% conservative care, 94.6% dialysis, 5.4% transplant)</w:t>
            </w:r>
          </w:p>
        </w:tc>
        <w:tc>
          <w:tcPr>
            <w:tcW w:w="992" w:type="dxa"/>
            <w:tcMar>
              <w:top w:w="0" w:type="dxa"/>
              <w:left w:w="28" w:type="dxa"/>
              <w:bottom w:w="0" w:type="dxa"/>
              <w:right w:w="28" w:type="dxa"/>
            </w:tcMar>
            <w:vAlign w:val="center"/>
          </w:tcPr>
          <w:p w14:paraId="30311AAC" w14:textId="4861848A"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301"/>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1"/>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66D8F600"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1.0108</w:t>
            </w:r>
          </w:p>
        </w:tc>
        <w:tc>
          <w:tcPr>
            <w:tcW w:w="1043" w:type="dxa"/>
            <w:tcMar>
              <w:top w:w="0" w:type="dxa"/>
              <w:left w:w="28" w:type="dxa"/>
              <w:bottom w:w="0" w:type="dxa"/>
              <w:right w:w="28" w:type="dxa"/>
            </w:tcMar>
            <w:vAlign w:val="center"/>
          </w:tcPr>
          <w:p w14:paraId="2C623CB6" w14:textId="1164F64C"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300"/>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00"/>
                <w14:textFill>
                  <w14:solidFill>
                    <w14:srgbClr w14:val="000000">
                      <w14:alpha w14:val="100000"/>
                    </w14:srgbClr>
                  </w14:solidFill>
                </w14:textFill>
              </w:rPr>
              <w:t>|</w:t>
            </w:r>
            <w:r w:rsidR="00821A76">
              <w:rPr>
                <w:b/>
                <w:bCs w:val="0"/>
              </w:rPr>
              <w:t xml:space="preserve"> </w:t>
            </w:r>
            <w:r w:rsidR="00821A76">
              <w:rPr>
                <w:b/>
                <w:bCs w:val="0"/>
                <w:vertAlign w:val="superscript"/>
              </w:rPr>
              <w:t>1</w:t>
            </w:r>
          </w:p>
        </w:tc>
        <w:tc>
          <w:tcPr>
            <w:tcW w:w="1040" w:type="dxa"/>
            <w:tcMar>
              <w:left w:w="28" w:type="dxa"/>
              <w:right w:w="28" w:type="dxa"/>
            </w:tcMar>
            <w:vAlign w:val="center"/>
          </w:tcPr>
          <w:p w14:paraId="4FBFDC5F" w14:textId="178E5605"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299"/>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299"/>
                <w14:textFill>
                  <w14:solidFill>
                    <w14:srgbClr w14:val="000000">
                      <w14:alpha w14:val="100000"/>
                    </w14:srgbClr>
                  </w14:solidFill>
                </w14:textFill>
              </w:rPr>
              <w:t>|</w:t>
            </w:r>
            <w:r w:rsidRPr="003C4909">
              <w:rPr>
                <w:rFonts w:cs="Calibri"/>
                <w:color w:val="000000"/>
                <w:szCs w:val="20"/>
              </w:rPr>
              <w:t>%</w:t>
            </w:r>
          </w:p>
        </w:tc>
      </w:tr>
      <w:tr w:rsidR="00781189" w:rsidRPr="003C4909" w14:paraId="5942BA80" w14:textId="77777777" w:rsidTr="001027A3">
        <w:tc>
          <w:tcPr>
            <w:tcW w:w="4962" w:type="dxa"/>
            <w:tcMar>
              <w:top w:w="0" w:type="dxa"/>
              <w:left w:w="28" w:type="dxa"/>
              <w:bottom w:w="0" w:type="dxa"/>
              <w:right w:w="28" w:type="dxa"/>
            </w:tcMar>
            <w:vAlign w:val="center"/>
          </w:tcPr>
          <w:p w14:paraId="604DA7FA" w14:textId="77777777" w:rsidR="00781189" w:rsidRPr="003C4909" w:rsidRDefault="00781189" w:rsidP="006B1BCB">
            <w:pPr>
              <w:pStyle w:val="COMTabletext"/>
              <w:keepNext w:val="0"/>
            </w:pPr>
            <w:r w:rsidRPr="003C4909">
              <w:lastRenderedPageBreak/>
              <w:t>Double conservative management (30%), distribution between dialysis (37.4%) and transplant (32.6%) based on 2023 ANZDATA prevalence estimates.</w:t>
            </w:r>
          </w:p>
        </w:tc>
        <w:tc>
          <w:tcPr>
            <w:tcW w:w="992" w:type="dxa"/>
            <w:tcMar>
              <w:top w:w="0" w:type="dxa"/>
              <w:left w:w="28" w:type="dxa"/>
              <w:bottom w:w="0" w:type="dxa"/>
              <w:right w:w="28" w:type="dxa"/>
            </w:tcMar>
            <w:vAlign w:val="center"/>
          </w:tcPr>
          <w:p w14:paraId="1E321536" w14:textId="0F50D683"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298"/>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298"/>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026487F8"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1.0108</w:t>
            </w:r>
          </w:p>
        </w:tc>
        <w:tc>
          <w:tcPr>
            <w:tcW w:w="1043" w:type="dxa"/>
            <w:tcMar>
              <w:top w:w="0" w:type="dxa"/>
              <w:left w:w="28" w:type="dxa"/>
              <w:bottom w:w="0" w:type="dxa"/>
              <w:right w:w="28" w:type="dxa"/>
            </w:tcMar>
            <w:vAlign w:val="center"/>
          </w:tcPr>
          <w:p w14:paraId="65C0F648"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Dominant</w:t>
            </w:r>
          </w:p>
        </w:tc>
        <w:tc>
          <w:tcPr>
            <w:tcW w:w="1040" w:type="dxa"/>
            <w:tcMar>
              <w:left w:w="28" w:type="dxa"/>
              <w:right w:w="28" w:type="dxa"/>
            </w:tcMar>
            <w:vAlign w:val="center"/>
          </w:tcPr>
          <w:p w14:paraId="36B5030C"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p>
        </w:tc>
      </w:tr>
      <w:tr w:rsidR="00781189" w:rsidRPr="003C4909" w14:paraId="40F13CF2" w14:textId="77777777" w:rsidTr="001027A3">
        <w:tc>
          <w:tcPr>
            <w:tcW w:w="4962" w:type="dxa"/>
            <w:tcMar>
              <w:top w:w="0" w:type="dxa"/>
              <w:left w:w="28" w:type="dxa"/>
              <w:bottom w:w="0" w:type="dxa"/>
              <w:right w:w="28" w:type="dxa"/>
            </w:tcMar>
            <w:vAlign w:val="center"/>
          </w:tcPr>
          <w:p w14:paraId="6FF9A3DA" w14:textId="77777777" w:rsidR="00781189" w:rsidRPr="003C4909" w:rsidRDefault="00781189" w:rsidP="006B1BCB">
            <w:pPr>
              <w:pStyle w:val="COMTabletext"/>
              <w:keepNext w:val="0"/>
            </w:pPr>
            <w:r w:rsidRPr="003C4909">
              <w:t>Remove all ESKD treatment costs</w:t>
            </w:r>
          </w:p>
        </w:tc>
        <w:tc>
          <w:tcPr>
            <w:tcW w:w="992" w:type="dxa"/>
            <w:tcMar>
              <w:top w:w="0" w:type="dxa"/>
              <w:left w:w="28" w:type="dxa"/>
              <w:bottom w:w="0" w:type="dxa"/>
              <w:right w:w="28" w:type="dxa"/>
            </w:tcMar>
            <w:vAlign w:val="center"/>
          </w:tcPr>
          <w:p w14:paraId="570FDCDA" w14:textId="45891CA4"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297"/>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297"/>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16987E60"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1.0108</w:t>
            </w:r>
          </w:p>
        </w:tc>
        <w:tc>
          <w:tcPr>
            <w:tcW w:w="1043" w:type="dxa"/>
            <w:tcMar>
              <w:top w:w="0" w:type="dxa"/>
              <w:left w:w="28" w:type="dxa"/>
              <w:bottom w:w="0" w:type="dxa"/>
              <w:right w:w="28" w:type="dxa"/>
            </w:tcMar>
            <w:vAlign w:val="center"/>
          </w:tcPr>
          <w:p w14:paraId="7334E0EB"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Dominant</w:t>
            </w:r>
          </w:p>
        </w:tc>
        <w:tc>
          <w:tcPr>
            <w:tcW w:w="1040" w:type="dxa"/>
            <w:tcMar>
              <w:left w:w="28" w:type="dxa"/>
              <w:right w:w="28" w:type="dxa"/>
            </w:tcMar>
            <w:vAlign w:val="center"/>
          </w:tcPr>
          <w:p w14:paraId="4EA5927A"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p>
        </w:tc>
      </w:tr>
      <w:tr w:rsidR="00781189" w:rsidRPr="003C4909" w14:paraId="1DFE2594" w14:textId="77777777" w:rsidTr="00740CBB">
        <w:tc>
          <w:tcPr>
            <w:tcW w:w="9029" w:type="dxa"/>
            <w:gridSpan w:val="5"/>
            <w:tcMar>
              <w:top w:w="0" w:type="dxa"/>
              <w:left w:w="28" w:type="dxa"/>
              <w:bottom w:w="0" w:type="dxa"/>
              <w:right w:w="28" w:type="dxa"/>
            </w:tcMar>
            <w:vAlign w:val="center"/>
          </w:tcPr>
          <w:p w14:paraId="01BBD59A" w14:textId="77777777" w:rsidR="00781189" w:rsidRPr="003C4909" w:rsidRDefault="00781189" w:rsidP="006B1BCB">
            <w:pPr>
              <w:pStyle w:val="COMTableheadingrow"/>
              <w:rPr>
                <w:rFonts w:cs="Calibri"/>
                <w:color w:val="000000"/>
                <w:szCs w:val="20"/>
              </w:rPr>
            </w:pPr>
            <w:r w:rsidRPr="003C4909">
              <w:t>Terminal care costs (base case $26,112 based on Reeve 2018)</w:t>
            </w:r>
          </w:p>
        </w:tc>
      </w:tr>
      <w:tr w:rsidR="00781189" w:rsidRPr="003C4909" w14:paraId="46ACE518" w14:textId="77777777" w:rsidTr="001027A3">
        <w:tc>
          <w:tcPr>
            <w:tcW w:w="4962" w:type="dxa"/>
            <w:tcMar>
              <w:top w:w="0" w:type="dxa"/>
              <w:left w:w="28" w:type="dxa"/>
              <w:bottom w:w="0" w:type="dxa"/>
              <w:right w:w="28" w:type="dxa"/>
            </w:tcMar>
            <w:vAlign w:val="center"/>
          </w:tcPr>
          <w:p w14:paraId="39F44DD3" w14:textId="77777777" w:rsidR="00781189" w:rsidRPr="003C4909" w:rsidRDefault="00781189" w:rsidP="006B1BCB">
            <w:pPr>
              <w:pStyle w:val="COMTabletext"/>
              <w:keepNext w:val="0"/>
            </w:pPr>
            <w:r w:rsidRPr="003C4909">
              <w:t>$4,568 based on NHCDC 2021-22 AN-SNAP 5BT1</w:t>
            </w:r>
          </w:p>
        </w:tc>
        <w:tc>
          <w:tcPr>
            <w:tcW w:w="992" w:type="dxa"/>
            <w:tcMar>
              <w:top w:w="0" w:type="dxa"/>
              <w:left w:w="28" w:type="dxa"/>
              <w:bottom w:w="0" w:type="dxa"/>
              <w:right w:w="28" w:type="dxa"/>
            </w:tcMar>
            <w:vAlign w:val="center"/>
          </w:tcPr>
          <w:p w14:paraId="6C5A64D3" w14:textId="4FEB2E98"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3A33AB">
              <w:rPr>
                <w:rFonts w:cs="Calibri"/>
                <w:color w:val="000000"/>
                <w:spacing w:val="53"/>
                <w:szCs w:val="20"/>
                <w:shd w:val="solid" w:color="000000" w:fill="000000"/>
                <w:fitText w:val="330" w:id="-663469296"/>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296"/>
                <w14:textFill>
                  <w14:solidFill>
                    <w14:srgbClr w14:val="000000">
                      <w14:alpha w14:val="100000"/>
                    </w14:srgbClr>
                  </w14:solidFill>
                </w14:textFill>
              </w:rPr>
              <w:t>|</w:t>
            </w:r>
          </w:p>
        </w:tc>
        <w:tc>
          <w:tcPr>
            <w:tcW w:w="992" w:type="dxa"/>
            <w:tcMar>
              <w:top w:w="0" w:type="dxa"/>
              <w:left w:w="28" w:type="dxa"/>
              <w:bottom w:w="0" w:type="dxa"/>
              <w:right w:w="28" w:type="dxa"/>
            </w:tcMar>
            <w:vAlign w:val="center"/>
          </w:tcPr>
          <w:p w14:paraId="62DAF64D" w14:textId="77777777" w:rsidR="00781189" w:rsidRPr="003C4909" w:rsidRDefault="00781189" w:rsidP="006B1BCB">
            <w:pPr>
              <w:pStyle w:val="COMTabletext"/>
              <w:keepNext w:val="0"/>
              <w:jc w:val="center"/>
              <w:rPr>
                <w:rFonts w:cs="Calibri"/>
                <w:color w:val="000000"/>
                <w:szCs w:val="20"/>
              </w:rPr>
            </w:pPr>
            <w:r w:rsidRPr="003C4909">
              <w:rPr>
                <w:rFonts w:cs="Calibri"/>
                <w:color w:val="000000"/>
                <w:szCs w:val="20"/>
              </w:rPr>
              <w:t>1.0108</w:t>
            </w:r>
          </w:p>
        </w:tc>
        <w:tc>
          <w:tcPr>
            <w:tcW w:w="1043" w:type="dxa"/>
            <w:tcMar>
              <w:top w:w="0" w:type="dxa"/>
              <w:left w:w="28" w:type="dxa"/>
              <w:bottom w:w="0" w:type="dxa"/>
              <w:right w:w="28" w:type="dxa"/>
            </w:tcMar>
            <w:vAlign w:val="center"/>
          </w:tcPr>
          <w:p w14:paraId="0527C75C" w14:textId="76697009" w:rsidR="00781189" w:rsidRPr="00740CBB" w:rsidRDefault="00781189" w:rsidP="006B1BCB">
            <w:pPr>
              <w:pStyle w:val="COMTabletext"/>
              <w:keepNext w:val="0"/>
              <w:jc w:val="center"/>
              <w:rPr>
                <w:rFonts w:cs="Calibri"/>
                <w:color w:val="000000"/>
                <w:szCs w:val="20"/>
                <w:highlight w:val="darkGray"/>
              </w:rPr>
            </w:pPr>
            <w:r w:rsidRPr="0083741D">
              <w:rPr>
                <w:rFonts w:cs="Calibri"/>
                <w:color w:val="000000"/>
                <w:szCs w:val="20"/>
              </w:rPr>
              <w:t>$</w:t>
            </w:r>
            <w:r w:rsidR="003A33AB" w:rsidRPr="003A33AB">
              <w:rPr>
                <w:rFonts w:cs="Calibri"/>
                <w:color w:val="000000"/>
                <w:spacing w:val="53"/>
                <w:szCs w:val="20"/>
                <w:shd w:val="solid" w:color="000000" w:fill="000000"/>
                <w:fitText w:val="330" w:id="-663469312"/>
                <w14:textFill>
                  <w14:solidFill>
                    <w14:srgbClr w14:val="000000">
                      <w14:alpha w14:val="100000"/>
                    </w14:srgbClr>
                  </w14:solidFill>
                </w14:textFill>
              </w:rPr>
              <w:t>|||</w:t>
            </w:r>
            <w:r w:rsidR="003A33AB" w:rsidRPr="003A33AB">
              <w:rPr>
                <w:rFonts w:cs="Calibri"/>
                <w:color w:val="000000"/>
                <w:spacing w:val="1"/>
                <w:szCs w:val="20"/>
                <w:shd w:val="solid" w:color="000000" w:fill="000000"/>
                <w:fitText w:val="330" w:id="-663469312"/>
                <w14:textFill>
                  <w14:solidFill>
                    <w14:srgbClr w14:val="000000">
                      <w14:alpha w14:val="100000"/>
                    </w14:srgbClr>
                  </w14:solidFill>
                </w14:textFill>
              </w:rPr>
              <w:t>|</w:t>
            </w:r>
            <w:r w:rsidR="00821A76">
              <w:rPr>
                <w:b/>
                <w:bCs w:val="0"/>
              </w:rPr>
              <w:t xml:space="preserve"> </w:t>
            </w:r>
            <w:r w:rsidR="00821A76">
              <w:rPr>
                <w:b/>
                <w:bCs w:val="0"/>
                <w:vertAlign w:val="superscript"/>
              </w:rPr>
              <w:t>2</w:t>
            </w:r>
          </w:p>
        </w:tc>
        <w:tc>
          <w:tcPr>
            <w:tcW w:w="1040" w:type="dxa"/>
            <w:tcMar>
              <w:left w:w="28" w:type="dxa"/>
              <w:right w:w="28" w:type="dxa"/>
            </w:tcMar>
            <w:vAlign w:val="center"/>
          </w:tcPr>
          <w:p w14:paraId="6217D0AA" w14:textId="07A7B288" w:rsidR="00781189" w:rsidRPr="003C4909" w:rsidRDefault="00781189" w:rsidP="006B1BCB">
            <w:pPr>
              <w:pStyle w:val="COMTabletext"/>
              <w:keepNext w:val="0"/>
              <w:jc w:val="center"/>
              <w:rPr>
                <w:rFonts w:cs="Calibri"/>
                <w:color w:val="000000"/>
                <w:szCs w:val="20"/>
              </w:rPr>
            </w:pPr>
            <w:r w:rsidRPr="003C4909">
              <w:rPr>
                <w:rFonts w:cs="Calibri"/>
                <w:color w:val="000000"/>
                <w:szCs w:val="20"/>
              </w:rPr>
              <w:t>+</w:t>
            </w:r>
            <w:r w:rsidR="003A33AB" w:rsidRPr="00577370">
              <w:rPr>
                <w:rFonts w:cs="Calibri"/>
                <w:color w:val="000000"/>
                <w:spacing w:val="53"/>
                <w:szCs w:val="20"/>
                <w:shd w:val="solid" w:color="000000" w:fill="000000"/>
                <w:fitText w:val="330" w:id="-663469311"/>
                <w14:textFill>
                  <w14:solidFill>
                    <w14:srgbClr w14:val="000000">
                      <w14:alpha w14:val="100000"/>
                    </w14:srgbClr>
                  </w14:solidFill>
                </w14:textFill>
              </w:rPr>
              <w:t>|||</w:t>
            </w:r>
            <w:r w:rsidR="003A33AB" w:rsidRPr="00577370">
              <w:rPr>
                <w:rFonts w:cs="Calibri"/>
                <w:color w:val="000000"/>
                <w:spacing w:val="1"/>
                <w:szCs w:val="20"/>
                <w:shd w:val="solid" w:color="000000" w:fill="000000"/>
                <w:fitText w:val="330" w:id="-663469311"/>
                <w14:textFill>
                  <w14:solidFill>
                    <w14:srgbClr w14:val="000000">
                      <w14:alpha w14:val="100000"/>
                    </w14:srgbClr>
                  </w14:solidFill>
                </w14:textFill>
              </w:rPr>
              <w:t>|</w:t>
            </w:r>
            <w:r w:rsidRPr="003C4909">
              <w:rPr>
                <w:rFonts w:cs="Calibri"/>
                <w:color w:val="000000"/>
                <w:szCs w:val="20"/>
              </w:rPr>
              <w:t>%</w:t>
            </w:r>
          </w:p>
        </w:tc>
      </w:tr>
    </w:tbl>
    <w:p w14:paraId="71DDB3AA" w14:textId="77777777" w:rsidR="00781189" w:rsidRDefault="00781189" w:rsidP="00781189">
      <w:pPr>
        <w:pStyle w:val="COMTablefooter"/>
      </w:pPr>
      <w:r w:rsidRPr="0098262F">
        <w:t xml:space="preserve">Source: </w:t>
      </w:r>
      <w:r>
        <w:t>Table 3.27, p341 and the Section 3 economic model of the resubmission</w:t>
      </w:r>
    </w:p>
    <w:p w14:paraId="61427AD0" w14:textId="77777777" w:rsidR="00781189" w:rsidRDefault="00781189" w:rsidP="00A523BA">
      <w:pPr>
        <w:pStyle w:val="COMTablefooter"/>
        <w:spacing w:after="0"/>
      </w:pPr>
      <w:r>
        <w:t>Abbreviations: AIHW, Australian Institute of Health and Welfare; AN-SNAP, Australian National Subacute and Non-Acute Patient classification; ANZDATA, Australia and New Zealand Dialysis and Transplant Registry; CI, confidence interval; CKD, chronic kidney disease; ESKD, end-stage kidney disease; ICER, incremental cost-effectiveness ratio; ITT, intent to treat; QALY, quality adjusted life year; UACR, urinary albumin creatinine ratio</w:t>
      </w:r>
    </w:p>
    <w:p w14:paraId="7A82B785" w14:textId="77777777" w:rsidR="00A523BA" w:rsidRPr="009A6D58" w:rsidRDefault="00A523BA" w:rsidP="00A523B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03C7749D" w14:textId="44F36174" w:rsidR="00A523BA" w:rsidRPr="009A6D58" w:rsidRDefault="00A523BA" w:rsidP="00A523B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2E4793" w:rsidRPr="002E4793">
        <w:rPr>
          <w:rFonts w:ascii="Arial Narrow" w:hAnsi="Arial Narrow"/>
          <w:i/>
          <w:sz w:val="18"/>
          <w:szCs w:val="18"/>
        </w:rPr>
        <w:t>$0 to &lt; $5,000</w:t>
      </w:r>
    </w:p>
    <w:p w14:paraId="15D151ED" w14:textId="37E86B2F" w:rsidR="00A523BA" w:rsidRPr="009A6D58" w:rsidRDefault="00A523BA" w:rsidP="00A523BA">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00DD63B4" w:rsidRPr="00DD63B4">
        <w:rPr>
          <w:rFonts w:ascii="Arial Narrow" w:hAnsi="Arial Narrow"/>
          <w:i/>
          <w:sz w:val="18"/>
          <w:szCs w:val="18"/>
        </w:rPr>
        <w:t>$5,000 to &lt; $15,000</w:t>
      </w:r>
    </w:p>
    <w:p w14:paraId="1A40AEFE" w14:textId="010B2A6E" w:rsidR="00A523BA" w:rsidRDefault="00A523BA" w:rsidP="00A523BA">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00C74E4F" w:rsidRPr="00C74E4F">
        <w:rPr>
          <w:rFonts w:ascii="Arial Narrow" w:hAnsi="Arial Narrow"/>
          <w:i/>
          <w:sz w:val="18"/>
          <w:szCs w:val="18"/>
        </w:rPr>
        <w:t>$15,000 to &lt; $25,000</w:t>
      </w:r>
    </w:p>
    <w:p w14:paraId="3E85FB19" w14:textId="63E860DB" w:rsidR="00A523BA" w:rsidRDefault="00A523BA" w:rsidP="00A523BA">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1C1DA1" w:rsidRPr="001C1DA1">
        <w:rPr>
          <w:rFonts w:ascii="Arial Narrow" w:hAnsi="Arial Narrow"/>
          <w:i/>
          <w:sz w:val="18"/>
          <w:szCs w:val="18"/>
        </w:rPr>
        <w:t>$45,000 to &lt; $55,000</w:t>
      </w:r>
    </w:p>
    <w:p w14:paraId="21E0A758" w14:textId="10DF4ADF" w:rsidR="00F02961" w:rsidRPr="00A523BA" w:rsidRDefault="00A523BA" w:rsidP="00A523BA">
      <w:pPr>
        <w:spacing w:after="120"/>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D82AC4" w:rsidRPr="00D82AC4">
        <w:rPr>
          <w:rFonts w:ascii="Arial Narrow" w:hAnsi="Arial Narrow"/>
          <w:i/>
          <w:sz w:val="18"/>
          <w:szCs w:val="18"/>
        </w:rPr>
        <w:t>$35,000 to &lt; $45,000</w:t>
      </w:r>
    </w:p>
    <w:p w14:paraId="396A5DC3" w14:textId="77777777" w:rsidR="00276253" w:rsidRDefault="005A2164" w:rsidP="005A2164">
      <w:pPr>
        <w:pStyle w:val="COMexecsummnumbered"/>
      </w:pPr>
      <w:r w:rsidRPr="00C64E3E">
        <w:t>The model was most sensitive to transition probabilities from CKD to ESKD, time horizon, transition probabilities from CKD to death, the discount rate and terminal care costs.</w:t>
      </w:r>
    </w:p>
    <w:p w14:paraId="0C0C37D0" w14:textId="1C02FB2B" w:rsidR="005A2164" w:rsidRPr="00D1358A" w:rsidRDefault="005A2164" w:rsidP="005A2164">
      <w:pPr>
        <w:pStyle w:val="COMexecsummnumbered"/>
      </w:pPr>
      <w:r w:rsidRPr="00D1358A">
        <w:t>The removal of modelled survival benefits associated with empagliflozin in the CKD and ESKD health states (independent of avoidance of ESKD) resulted in a dominant result for empagliflozin plus SC compared to SC alone. The results appear counterintuitive but are primarily due to ongoing ESKD costs in the empagliflozin plus SC arm that shift from an increased cost in the base case (due to improved survival in the ESKD state) to a cost offset when survival probabilities are the same as the SC arm.</w:t>
      </w:r>
    </w:p>
    <w:p w14:paraId="4BC5CEE0" w14:textId="0A894D66" w:rsidR="005A2164" w:rsidRPr="00D1358A" w:rsidRDefault="005A2164" w:rsidP="005A2164">
      <w:pPr>
        <w:pStyle w:val="COMexecsummnumbered"/>
      </w:pPr>
      <w:r w:rsidRPr="00D1358A">
        <w:t>Due to structural limitations, the impact of other potentially more important parameters could not be adequately tested in sensitivity analyses. This included variations in baseline risk of disease progression and treatment effects, empagliflozin treatment persistence and the circumstances of use of treatment modalities (conservative care, dialysis, transplant) in end-stage kidney disease.</w:t>
      </w:r>
    </w:p>
    <w:p w14:paraId="7E9E3692" w14:textId="112AAE43" w:rsidR="005A2164" w:rsidRDefault="005A2164" w:rsidP="005A2164">
      <w:pPr>
        <w:pStyle w:val="COMexecsummnumbered"/>
      </w:pPr>
      <w:r>
        <w:t>The resubmission also presented scenario analyses based on alternative populations (</w:t>
      </w:r>
      <w:r w:rsidRPr="00944187">
        <w:t xml:space="preserve">ITT, UACR &lt;200 mg/g, UACR ≥200 mg/g) </w:t>
      </w:r>
      <w:r>
        <w:t xml:space="preserve">used </w:t>
      </w:r>
      <w:r w:rsidRPr="00944187">
        <w:t>to inform transition probabilities between health states</w:t>
      </w:r>
      <w:r w:rsidRPr="00D1358A">
        <w:t>. The analyses did not appear informative as the ITT population includes patients who are eligible under the existing CKD listing (overlap population) while the UACR &lt;200 mg/g only partially covers the requested incremental population (eGFR 25 to &lt;45 mL/min/1.73 m</w:t>
      </w:r>
      <w:r w:rsidRPr="00D1358A">
        <w:rPr>
          <w:vertAlign w:val="superscript"/>
        </w:rPr>
        <w:t>2</w:t>
      </w:r>
      <w:r w:rsidRPr="00D1358A">
        <w:t xml:space="preserve"> with UACR &lt;200 mg/g and potentially eGFR 20 to &lt;25 mL/min/1.73 m</w:t>
      </w:r>
      <w:r w:rsidRPr="00D1358A">
        <w:rPr>
          <w:vertAlign w:val="superscript"/>
        </w:rPr>
        <w:t>2</w:t>
      </w:r>
      <w:r w:rsidRPr="00D1358A">
        <w:t>).</w:t>
      </w:r>
    </w:p>
    <w:p w14:paraId="436D2F20" w14:textId="762A9F95" w:rsidR="00B61A70" w:rsidRDefault="00C41FFB" w:rsidP="00C11725">
      <w:pPr>
        <w:pStyle w:val="COMexecsummnumbered"/>
      </w:pPr>
      <w:r w:rsidRPr="000A0CFF">
        <w:t xml:space="preserve">The </w:t>
      </w:r>
      <w:r w:rsidR="00AC4011" w:rsidRPr="000A0CFF">
        <w:t xml:space="preserve">ESC noted that the economic issues </w:t>
      </w:r>
      <w:r w:rsidR="00965812">
        <w:t>were</w:t>
      </w:r>
      <w:r w:rsidR="00965812" w:rsidRPr="000A0CFF">
        <w:t xml:space="preserve"> </w:t>
      </w:r>
      <w:r w:rsidR="00AC4011" w:rsidRPr="000A0CFF">
        <w:t xml:space="preserve">largely driven by a lack of relevant clinical data. Although the resubmission updated the model based on the simplified structure used for dapagliflozin in July 2021, the PBAC had previously considered the </w:t>
      </w:r>
      <w:r w:rsidR="00AC4011" w:rsidRPr="000A0CFF">
        <w:lastRenderedPageBreak/>
        <w:t xml:space="preserve">model structure </w:t>
      </w:r>
      <w:r w:rsidR="00227C12" w:rsidRPr="000A0CFF">
        <w:t xml:space="preserve">overly simple </w:t>
      </w:r>
      <w:r w:rsidRPr="000A0CFF">
        <w:t xml:space="preserve">and </w:t>
      </w:r>
      <w:r w:rsidR="00AC4011" w:rsidRPr="000A0CFF">
        <w:t>not robust (paragraph 7.8, dapagliflozin (chronic kidney disease), PSD, July 2021 PBAC meeting)</w:t>
      </w:r>
      <w:r w:rsidR="002138CE" w:rsidRPr="000A0CFF">
        <w:t xml:space="preserve">. </w:t>
      </w:r>
      <w:r w:rsidR="00B61A70" w:rsidRPr="000A0CFF">
        <w:t>Although the ICER remains consistently low in sensitivity analyses, the ESC had little confidence in the base case result</w:t>
      </w:r>
      <w:r w:rsidR="00224671" w:rsidRPr="000A0CFF">
        <w:t>,</w:t>
      </w:r>
      <w:r w:rsidR="00B61A70" w:rsidRPr="000A0CFF">
        <w:t xml:space="preserve"> given </w:t>
      </w:r>
      <w:r w:rsidR="00224671" w:rsidRPr="000A0CFF">
        <w:t xml:space="preserve">concerns regarding </w:t>
      </w:r>
      <w:r w:rsidR="00B61A70" w:rsidRPr="000A0CFF">
        <w:t>the robustness of the model</w:t>
      </w:r>
      <w:r w:rsidR="00224671" w:rsidRPr="000A0CFF">
        <w:t xml:space="preserve"> because of</w:t>
      </w:r>
      <w:r w:rsidR="00B61A70" w:rsidRPr="000A0CFF">
        <w:t xml:space="preserve"> its structure.</w:t>
      </w:r>
    </w:p>
    <w:p w14:paraId="31DBCFD9" w14:textId="0470668F" w:rsidR="00B61A70" w:rsidRPr="00D1358A" w:rsidRDefault="00B76E67" w:rsidP="005C65BC">
      <w:pPr>
        <w:pStyle w:val="COMexecsummnumbered"/>
      </w:pPr>
      <w:r>
        <w:t xml:space="preserve">The pre-PBAC response presented univariate </w:t>
      </w:r>
      <w:r w:rsidRPr="00082305">
        <w:t>analyses</w:t>
      </w:r>
      <w:r>
        <w:t xml:space="preserve"> </w:t>
      </w:r>
      <w:r w:rsidR="00E06AEC">
        <w:t>using a revised lower price for empagliflozin (</w:t>
      </w:r>
      <w:r w:rsidR="00F75F02" w:rsidRPr="00F75F02">
        <w:t>1 April 2025 AEMP $39.02</w:t>
      </w:r>
      <w:r w:rsidR="00F75F02">
        <w:t xml:space="preserve">) </w:t>
      </w:r>
      <w:r w:rsidR="00086F77">
        <w:t xml:space="preserve">noting </w:t>
      </w:r>
      <w:r w:rsidR="00B4057C" w:rsidRPr="00B4057C">
        <w:t xml:space="preserve">the ICER remains consistently low even after significantly reducing the treatment benefit of empagliflozin, assuming no difference in risk of death in patients with CKD and ESKD, increasing treatment duration and reducing ESKD monitoring and end-of-life costs. </w:t>
      </w:r>
      <w:r w:rsidR="00086F77">
        <w:t>The sensitivity analys</w:t>
      </w:r>
      <w:r w:rsidR="009231DF">
        <w:t>e</w:t>
      </w:r>
      <w:r w:rsidR="00086F77">
        <w:t>s</w:t>
      </w:r>
      <w:r w:rsidRPr="00082305">
        <w:t xml:space="preserve"> aligning the duration of treatment with empagliflozin with the time to developing ESKD and reducing end-of-life cost to the estimate suggested </w:t>
      </w:r>
      <w:r>
        <w:t>during the evaluation</w:t>
      </w:r>
      <w:r w:rsidRPr="00082305">
        <w:t xml:space="preserve"> increase</w:t>
      </w:r>
      <w:r w:rsidR="00F75F02">
        <w:t>d</w:t>
      </w:r>
      <w:r w:rsidRPr="00082305">
        <w:t xml:space="preserve"> the ICER to </w:t>
      </w:r>
      <w:r w:rsidR="00F839AD" w:rsidRPr="00F839AD">
        <w:t>$0 to &lt; $5,000</w:t>
      </w:r>
      <w:r w:rsidR="00F839AD">
        <w:t xml:space="preserve"> </w:t>
      </w:r>
      <w:r w:rsidRPr="00082305">
        <w:t xml:space="preserve">and </w:t>
      </w:r>
      <w:r w:rsidR="009F1484" w:rsidRPr="009F1484">
        <w:t>$5,000 to &lt; $15,000</w:t>
      </w:r>
      <w:r w:rsidRPr="00082305">
        <w:t>/QALY, respectively.</w:t>
      </w:r>
      <w:r>
        <w:t xml:space="preserve"> The </w:t>
      </w:r>
      <w:r w:rsidR="0078772F">
        <w:t xml:space="preserve">sensitivity analysis </w:t>
      </w:r>
      <w:r w:rsidR="003B0A35">
        <w:t xml:space="preserve">with </w:t>
      </w:r>
      <w:r w:rsidR="003B0A35" w:rsidRPr="003B0A35">
        <w:t xml:space="preserve">risk of CKD to ESKD </w:t>
      </w:r>
      <w:r w:rsidR="00154990">
        <w:t>in the</w:t>
      </w:r>
      <w:r w:rsidR="00154990" w:rsidRPr="003B0A35">
        <w:t xml:space="preserve"> </w:t>
      </w:r>
      <w:r w:rsidR="00154990">
        <w:t xml:space="preserve">empagliflozin arm </w:t>
      </w:r>
      <w:r w:rsidR="009231DF">
        <w:t>converging</w:t>
      </w:r>
      <w:r w:rsidR="003B0A35" w:rsidRPr="003B0A35">
        <w:t xml:space="preserve"> to placebo </w:t>
      </w:r>
      <w:r w:rsidR="00993CA4">
        <w:t>plus</w:t>
      </w:r>
      <w:r w:rsidR="003B0A35" w:rsidRPr="003B0A35">
        <w:t xml:space="preserve"> SC starting at month 38 and full convergence at 180 months</w:t>
      </w:r>
      <w:r w:rsidR="006B2497">
        <w:t>, result</w:t>
      </w:r>
      <w:r w:rsidR="009231DF">
        <w:t>ed</w:t>
      </w:r>
      <w:r w:rsidR="006B2497">
        <w:t xml:space="preserve"> in an ICER of </w:t>
      </w:r>
      <w:r w:rsidR="009F1484" w:rsidRPr="009F1484">
        <w:t>$5,000 to &lt; $15,000</w:t>
      </w:r>
      <w:r w:rsidR="009723C7">
        <w:t>/QALY gained.</w:t>
      </w:r>
    </w:p>
    <w:p w14:paraId="472842D7" w14:textId="6382BB0B" w:rsidR="00C25D9C" w:rsidRPr="0098262F" w:rsidRDefault="00C25D9C" w:rsidP="003D5DE7">
      <w:pPr>
        <w:pStyle w:val="COMH2-non-numbered"/>
      </w:pPr>
      <w:bookmarkStart w:id="48" w:name="_Toc22897646"/>
      <w:bookmarkStart w:id="49" w:name="_Toc193277453"/>
      <w:r w:rsidRPr="0098262F">
        <w:t>Drug cost/patient/year</w:t>
      </w:r>
      <w:bookmarkEnd w:id="48"/>
      <w:bookmarkEnd w:id="49"/>
    </w:p>
    <w:p w14:paraId="51691BD3" w14:textId="6A11A9DA" w:rsidR="00494207" w:rsidRDefault="00E16AD8" w:rsidP="00FF3ECD">
      <w:pPr>
        <w:pStyle w:val="COMtablefigcaption"/>
      </w:pPr>
      <w:bookmarkStart w:id="50" w:name="_Ref104805102"/>
      <w:r w:rsidRPr="0098262F">
        <w:t xml:space="preserve">Table </w:t>
      </w:r>
      <w:r w:rsidR="001154A7">
        <w:fldChar w:fldCharType="begin"/>
      </w:r>
      <w:r w:rsidR="001154A7">
        <w:instrText xml:space="preserve"> SEQ Table \* ARABIC </w:instrText>
      </w:r>
      <w:r w:rsidR="001154A7">
        <w:fldChar w:fldCharType="separate"/>
      </w:r>
      <w:r w:rsidR="004A7850">
        <w:rPr>
          <w:noProof/>
        </w:rPr>
        <w:t>15</w:t>
      </w:r>
      <w:r w:rsidR="001154A7">
        <w:rPr>
          <w:noProof/>
        </w:rPr>
        <w:fldChar w:fldCharType="end"/>
      </w:r>
      <w:bookmarkEnd w:id="50"/>
      <w:r w:rsidRPr="0098262F">
        <w:t>:</w:t>
      </w:r>
      <w:r w:rsidR="00494207" w:rsidRPr="00FF3ECD">
        <w:t xml:space="preserve"> Drug cost per patient </w:t>
      </w:r>
      <w:r w:rsidR="005A2164">
        <w:t>per year for empagliflozin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1"/>
        <w:gridCol w:w="2344"/>
        <w:gridCol w:w="2346"/>
        <w:gridCol w:w="2346"/>
      </w:tblGrid>
      <w:tr w:rsidR="00E44F5E" w:rsidRPr="001153AC" w14:paraId="5D9B6129" w14:textId="77777777" w:rsidTr="006B1BCB">
        <w:trPr>
          <w:cantSplit/>
          <w:tblHeader/>
          <w:jc w:val="center"/>
        </w:trPr>
        <w:tc>
          <w:tcPr>
            <w:tcW w:w="1098" w:type="pct"/>
            <w:tcMar>
              <w:top w:w="0" w:type="dxa"/>
              <w:left w:w="28" w:type="dxa"/>
              <w:bottom w:w="0" w:type="dxa"/>
              <w:right w:w="28" w:type="dxa"/>
            </w:tcMar>
            <w:vAlign w:val="center"/>
          </w:tcPr>
          <w:p w14:paraId="19771845" w14:textId="77777777" w:rsidR="00E44F5E" w:rsidRPr="001153AC" w:rsidRDefault="00E44F5E" w:rsidP="006B1BCB">
            <w:pPr>
              <w:keepNext/>
              <w:jc w:val="left"/>
              <w:rPr>
                <w:rFonts w:ascii="Arial Narrow" w:eastAsiaTheme="majorEastAsia" w:hAnsi="Arial Narrow" w:cstheme="majorBidi"/>
                <w:bCs/>
                <w:sz w:val="20"/>
              </w:rPr>
            </w:pPr>
          </w:p>
        </w:tc>
        <w:tc>
          <w:tcPr>
            <w:tcW w:w="1300" w:type="pct"/>
            <w:tcMar>
              <w:top w:w="0" w:type="dxa"/>
              <w:left w:w="28" w:type="dxa"/>
              <w:bottom w:w="0" w:type="dxa"/>
              <w:right w:w="28" w:type="dxa"/>
            </w:tcMar>
            <w:vAlign w:val="center"/>
            <w:hideMark/>
          </w:tcPr>
          <w:p w14:paraId="08EACEAF" w14:textId="77777777" w:rsidR="00E44F5E" w:rsidRPr="001153AC" w:rsidRDefault="00E44F5E" w:rsidP="006B1BCB">
            <w:pPr>
              <w:keepNext/>
              <w:jc w:val="center"/>
              <w:rPr>
                <w:rFonts w:ascii="Arial Narrow" w:eastAsiaTheme="majorEastAsia" w:hAnsi="Arial Narrow" w:cstheme="majorBidi"/>
                <w:b/>
                <w:sz w:val="20"/>
              </w:rPr>
            </w:pPr>
            <w:r w:rsidRPr="001153AC">
              <w:rPr>
                <w:rFonts w:ascii="Arial Narrow" w:eastAsiaTheme="majorEastAsia" w:hAnsi="Arial Narrow" w:cstheme="majorBidi"/>
                <w:b/>
                <w:sz w:val="20"/>
              </w:rPr>
              <w:t>EMPA-KIDNEY trial</w:t>
            </w:r>
          </w:p>
        </w:tc>
        <w:tc>
          <w:tcPr>
            <w:tcW w:w="1301" w:type="pct"/>
            <w:tcMar>
              <w:top w:w="0" w:type="dxa"/>
              <w:left w:w="28" w:type="dxa"/>
              <w:bottom w:w="0" w:type="dxa"/>
              <w:right w:w="28" w:type="dxa"/>
            </w:tcMar>
            <w:vAlign w:val="center"/>
            <w:hideMark/>
          </w:tcPr>
          <w:p w14:paraId="3307CB38" w14:textId="77777777" w:rsidR="00E44F5E" w:rsidRPr="001153AC" w:rsidRDefault="00E44F5E" w:rsidP="006B1BCB">
            <w:pPr>
              <w:keepNext/>
              <w:jc w:val="center"/>
              <w:rPr>
                <w:rFonts w:ascii="Arial Narrow" w:eastAsiaTheme="majorEastAsia" w:hAnsi="Arial Narrow" w:cstheme="majorBidi"/>
                <w:b/>
                <w:sz w:val="20"/>
              </w:rPr>
            </w:pPr>
            <w:r w:rsidRPr="001153AC">
              <w:rPr>
                <w:rFonts w:ascii="Arial Narrow" w:eastAsiaTheme="majorEastAsia" w:hAnsi="Arial Narrow" w:cstheme="majorBidi"/>
                <w:b/>
                <w:sz w:val="20"/>
              </w:rPr>
              <w:t>Economic model</w:t>
            </w:r>
          </w:p>
        </w:tc>
        <w:tc>
          <w:tcPr>
            <w:tcW w:w="1301" w:type="pct"/>
            <w:tcMar>
              <w:top w:w="0" w:type="dxa"/>
              <w:left w:w="28" w:type="dxa"/>
              <w:bottom w:w="0" w:type="dxa"/>
              <w:right w:w="28" w:type="dxa"/>
            </w:tcMar>
            <w:vAlign w:val="center"/>
            <w:hideMark/>
          </w:tcPr>
          <w:p w14:paraId="4D0BED4C" w14:textId="77777777" w:rsidR="00E44F5E" w:rsidRPr="001153AC" w:rsidRDefault="00E44F5E" w:rsidP="006B1BCB">
            <w:pPr>
              <w:keepNext/>
              <w:jc w:val="center"/>
              <w:rPr>
                <w:rFonts w:ascii="Arial Narrow" w:eastAsiaTheme="majorEastAsia" w:hAnsi="Arial Narrow" w:cstheme="majorBidi"/>
                <w:b/>
                <w:sz w:val="20"/>
              </w:rPr>
            </w:pPr>
            <w:r w:rsidRPr="001153AC">
              <w:rPr>
                <w:rFonts w:ascii="Arial Narrow" w:eastAsiaTheme="majorEastAsia" w:hAnsi="Arial Narrow" w:cstheme="majorBidi"/>
                <w:b/>
                <w:sz w:val="20"/>
              </w:rPr>
              <w:t>Financial estimates</w:t>
            </w:r>
          </w:p>
        </w:tc>
      </w:tr>
      <w:tr w:rsidR="00E44F5E" w:rsidRPr="001153AC" w14:paraId="7FF0D117" w14:textId="77777777" w:rsidTr="006B1BCB">
        <w:trPr>
          <w:cantSplit/>
          <w:jc w:val="center"/>
        </w:trPr>
        <w:tc>
          <w:tcPr>
            <w:tcW w:w="1098" w:type="pct"/>
            <w:tcMar>
              <w:top w:w="0" w:type="dxa"/>
              <w:left w:w="28" w:type="dxa"/>
              <w:bottom w:w="0" w:type="dxa"/>
              <w:right w:w="28" w:type="dxa"/>
            </w:tcMar>
            <w:vAlign w:val="center"/>
            <w:hideMark/>
          </w:tcPr>
          <w:p w14:paraId="2CEB58F5" w14:textId="77777777" w:rsidR="00E44F5E" w:rsidRPr="001153AC" w:rsidRDefault="00E44F5E" w:rsidP="006B1BCB">
            <w:pPr>
              <w:pStyle w:val="COMTabletext"/>
            </w:pPr>
            <w:r w:rsidRPr="001153AC">
              <w:t>Daily dose</w:t>
            </w:r>
          </w:p>
        </w:tc>
        <w:tc>
          <w:tcPr>
            <w:tcW w:w="1300" w:type="pct"/>
            <w:tcMar>
              <w:top w:w="0" w:type="dxa"/>
              <w:left w:w="28" w:type="dxa"/>
              <w:bottom w:w="0" w:type="dxa"/>
              <w:right w:w="28" w:type="dxa"/>
            </w:tcMar>
            <w:vAlign w:val="center"/>
            <w:hideMark/>
          </w:tcPr>
          <w:p w14:paraId="5BC07A88" w14:textId="77777777" w:rsidR="00E44F5E" w:rsidRPr="001153AC" w:rsidRDefault="00E44F5E" w:rsidP="006B1BCB">
            <w:pPr>
              <w:pStyle w:val="COMTabletext"/>
              <w:jc w:val="center"/>
            </w:pPr>
            <w:r w:rsidRPr="001153AC">
              <w:t>10 mg daily</w:t>
            </w:r>
          </w:p>
        </w:tc>
        <w:tc>
          <w:tcPr>
            <w:tcW w:w="1301" w:type="pct"/>
            <w:tcMar>
              <w:top w:w="0" w:type="dxa"/>
              <w:left w:w="28" w:type="dxa"/>
              <w:bottom w:w="0" w:type="dxa"/>
              <w:right w:w="28" w:type="dxa"/>
            </w:tcMar>
            <w:vAlign w:val="center"/>
            <w:hideMark/>
          </w:tcPr>
          <w:p w14:paraId="022990D9" w14:textId="77777777" w:rsidR="00E44F5E" w:rsidRPr="001153AC" w:rsidRDefault="00E44F5E" w:rsidP="006B1BCB">
            <w:pPr>
              <w:pStyle w:val="COMTabletext"/>
              <w:jc w:val="center"/>
            </w:pPr>
            <w:r w:rsidRPr="001153AC">
              <w:t>10 mg daily</w:t>
            </w:r>
          </w:p>
        </w:tc>
        <w:tc>
          <w:tcPr>
            <w:tcW w:w="1301" w:type="pct"/>
            <w:tcMar>
              <w:top w:w="0" w:type="dxa"/>
              <w:left w:w="28" w:type="dxa"/>
              <w:bottom w:w="0" w:type="dxa"/>
              <w:right w:w="28" w:type="dxa"/>
            </w:tcMar>
            <w:vAlign w:val="center"/>
            <w:hideMark/>
          </w:tcPr>
          <w:p w14:paraId="0FA6755B" w14:textId="77777777" w:rsidR="00E44F5E" w:rsidRPr="001153AC" w:rsidRDefault="00E44F5E" w:rsidP="006B1BCB">
            <w:pPr>
              <w:pStyle w:val="COMTabletext"/>
              <w:jc w:val="center"/>
            </w:pPr>
            <w:r w:rsidRPr="001153AC">
              <w:t>10 mg daily</w:t>
            </w:r>
          </w:p>
        </w:tc>
      </w:tr>
      <w:tr w:rsidR="00E44F5E" w:rsidRPr="001153AC" w14:paraId="198E375F" w14:textId="77777777" w:rsidTr="006B1BCB">
        <w:trPr>
          <w:cantSplit/>
          <w:jc w:val="center"/>
        </w:trPr>
        <w:tc>
          <w:tcPr>
            <w:tcW w:w="1098" w:type="pct"/>
            <w:tcMar>
              <w:top w:w="0" w:type="dxa"/>
              <w:left w:w="28" w:type="dxa"/>
              <w:bottom w:w="0" w:type="dxa"/>
              <w:right w:w="28" w:type="dxa"/>
            </w:tcMar>
            <w:vAlign w:val="center"/>
            <w:hideMark/>
          </w:tcPr>
          <w:p w14:paraId="54925691" w14:textId="606E0D5D" w:rsidR="00E44F5E" w:rsidRPr="001153AC" w:rsidRDefault="00E44F5E" w:rsidP="006B1BCB">
            <w:pPr>
              <w:pStyle w:val="COMTabletext"/>
            </w:pPr>
            <w:r w:rsidRPr="001153AC">
              <w:t>Cost per pack of 30 tablets (proposed DPMQ)</w:t>
            </w:r>
            <w:r w:rsidR="00BF66BE">
              <w:t>*</w:t>
            </w:r>
          </w:p>
        </w:tc>
        <w:tc>
          <w:tcPr>
            <w:tcW w:w="1300" w:type="pct"/>
            <w:tcMar>
              <w:top w:w="0" w:type="dxa"/>
              <w:left w:w="28" w:type="dxa"/>
              <w:bottom w:w="0" w:type="dxa"/>
              <w:right w:w="28" w:type="dxa"/>
            </w:tcMar>
            <w:vAlign w:val="center"/>
            <w:hideMark/>
          </w:tcPr>
          <w:p w14:paraId="0D0FD238" w14:textId="77777777" w:rsidR="00E44F5E" w:rsidRPr="001153AC" w:rsidRDefault="00E44F5E" w:rsidP="006B1BCB">
            <w:pPr>
              <w:pStyle w:val="COMTabletext"/>
              <w:jc w:val="center"/>
            </w:pPr>
            <w:r w:rsidRPr="001153AC">
              <w:t>-</w:t>
            </w:r>
          </w:p>
        </w:tc>
        <w:tc>
          <w:tcPr>
            <w:tcW w:w="1301" w:type="pct"/>
            <w:tcMar>
              <w:top w:w="0" w:type="dxa"/>
              <w:left w:w="28" w:type="dxa"/>
              <w:bottom w:w="0" w:type="dxa"/>
              <w:right w:w="28" w:type="dxa"/>
            </w:tcMar>
            <w:vAlign w:val="center"/>
          </w:tcPr>
          <w:p w14:paraId="33006425" w14:textId="77777777" w:rsidR="00E44F5E" w:rsidRPr="00AC69C2" w:rsidRDefault="00E44F5E" w:rsidP="006B1BCB">
            <w:pPr>
              <w:pStyle w:val="COMTabletext"/>
              <w:jc w:val="center"/>
            </w:pPr>
            <w:r>
              <w:t>$58.85</w:t>
            </w:r>
          </w:p>
        </w:tc>
        <w:tc>
          <w:tcPr>
            <w:tcW w:w="1301" w:type="pct"/>
            <w:tcMar>
              <w:top w:w="0" w:type="dxa"/>
              <w:left w:w="28" w:type="dxa"/>
              <w:bottom w:w="0" w:type="dxa"/>
              <w:right w:w="28" w:type="dxa"/>
            </w:tcMar>
            <w:vAlign w:val="center"/>
          </w:tcPr>
          <w:p w14:paraId="310EA2F4" w14:textId="77777777" w:rsidR="00E44F5E" w:rsidRPr="00AC69C2" w:rsidRDefault="00E44F5E" w:rsidP="006B1BCB">
            <w:pPr>
              <w:pStyle w:val="COMTabletext"/>
              <w:jc w:val="center"/>
            </w:pPr>
            <w:r>
              <w:t>$58.85</w:t>
            </w:r>
          </w:p>
        </w:tc>
      </w:tr>
      <w:tr w:rsidR="00E44F5E" w:rsidRPr="001153AC" w14:paraId="259AC62F" w14:textId="77777777" w:rsidTr="006B1BCB">
        <w:trPr>
          <w:cantSplit/>
          <w:jc w:val="center"/>
        </w:trPr>
        <w:tc>
          <w:tcPr>
            <w:tcW w:w="1098" w:type="pct"/>
            <w:tcMar>
              <w:top w:w="0" w:type="dxa"/>
              <w:left w:w="28" w:type="dxa"/>
              <w:bottom w:w="0" w:type="dxa"/>
              <w:right w:w="28" w:type="dxa"/>
            </w:tcMar>
            <w:vAlign w:val="center"/>
          </w:tcPr>
          <w:p w14:paraId="7FEEEAFC" w14:textId="77777777" w:rsidR="00E44F5E" w:rsidRPr="001153AC" w:rsidRDefault="00E44F5E" w:rsidP="006B1BCB">
            <w:pPr>
              <w:pStyle w:val="COMTabletext"/>
            </w:pPr>
            <w:r w:rsidRPr="001153AC">
              <w:t>Adherence</w:t>
            </w:r>
          </w:p>
        </w:tc>
        <w:tc>
          <w:tcPr>
            <w:tcW w:w="1300" w:type="pct"/>
            <w:tcMar>
              <w:top w:w="0" w:type="dxa"/>
              <w:left w:w="28" w:type="dxa"/>
              <w:bottom w:w="0" w:type="dxa"/>
              <w:right w:w="28" w:type="dxa"/>
            </w:tcMar>
            <w:vAlign w:val="center"/>
          </w:tcPr>
          <w:p w14:paraId="0BB9BD96" w14:textId="77777777" w:rsidR="00E44F5E" w:rsidRPr="000438FD" w:rsidRDefault="00E44F5E" w:rsidP="006B1BCB">
            <w:pPr>
              <w:pStyle w:val="COMTabletext"/>
              <w:jc w:val="center"/>
              <w:rPr>
                <w:vertAlign w:val="superscript"/>
              </w:rPr>
            </w:pPr>
            <w:r>
              <w:t xml:space="preserve">Patient-reported, at least 94% took most of the study medication </w:t>
            </w:r>
            <w:r>
              <w:rPr>
                <w:vertAlign w:val="superscript"/>
              </w:rPr>
              <w:t>a</w:t>
            </w:r>
          </w:p>
        </w:tc>
        <w:tc>
          <w:tcPr>
            <w:tcW w:w="1301" w:type="pct"/>
            <w:tcMar>
              <w:top w:w="0" w:type="dxa"/>
              <w:left w:w="28" w:type="dxa"/>
              <w:bottom w:w="0" w:type="dxa"/>
              <w:right w:w="28" w:type="dxa"/>
            </w:tcMar>
            <w:vAlign w:val="center"/>
          </w:tcPr>
          <w:p w14:paraId="6FAAD6AA" w14:textId="77777777" w:rsidR="00E44F5E" w:rsidRPr="00AC69C2" w:rsidRDefault="00E44F5E" w:rsidP="006B1BCB">
            <w:pPr>
              <w:pStyle w:val="COMTabletext"/>
              <w:jc w:val="center"/>
            </w:pPr>
            <w:r>
              <w:t>100%</w:t>
            </w:r>
          </w:p>
        </w:tc>
        <w:tc>
          <w:tcPr>
            <w:tcW w:w="1301" w:type="pct"/>
            <w:tcMar>
              <w:top w:w="0" w:type="dxa"/>
              <w:left w:w="28" w:type="dxa"/>
              <w:bottom w:w="0" w:type="dxa"/>
              <w:right w:w="28" w:type="dxa"/>
            </w:tcMar>
            <w:vAlign w:val="center"/>
          </w:tcPr>
          <w:p w14:paraId="07FA3A49" w14:textId="77777777" w:rsidR="00E44F5E" w:rsidRPr="00AC69C2" w:rsidRDefault="00E44F5E" w:rsidP="006B1BCB">
            <w:pPr>
              <w:pStyle w:val="COMTabletext"/>
              <w:jc w:val="center"/>
            </w:pPr>
            <w:r>
              <w:t>90%</w:t>
            </w:r>
          </w:p>
        </w:tc>
      </w:tr>
      <w:tr w:rsidR="00E44F5E" w:rsidRPr="001153AC" w14:paraId="53D829DF" w14:textId="77777777" w:rsidTr="006B1BCB">
        <w:trPr>
          <w:cantSplit/>
          <w:jc w:val="center"/>
        </w:trPr>
        <w:tc>
          <w:tcPr>
            <w:tcW w:w="1098" w:type="pct"/>
            <w:tcMar>
              <w:top w:w="0" w:type="dxa"/>
              <w:left w:w="28" w:type="dxa"/>
              <w:bottom w:w="0" w:type="dxa"/>
              <w:right w:w="28" w:type="dxa"/>
            </w:tcMar>
            <w:vAlign w:val="center"/>
            <w:hideMark/>
          </w:tcPr>
          <w:p w14:paraId="3DB1AD60" w14:textId="77777777" w:rsidR="00E44F5E" w:rsidRPr="001153AC" w:rsidRDefault="00E44F5E" w:rsidP="006B1BCB">
            <w:pPr>
              <w:pStyle w:val="COMTabletext"/>
            </w:pPr>
            <w:r w:rsidRPr="001153AC">
              <w:t>No. scripts per year</w:t>
            </w:r>
          </w:p>
        </w:tc>
        <w:tc>
          <w:tcPr>
            <w:tcW w:w="1300" w:type="pct"/>
            <w:tcMar>
              <w:top w:w="0" w:type="dxa"/>
              <w:left w:w="28" w:type="dxa"/>
              <w:bottom w:w="0" w:type="dxa"/>
              <w:right w:w="28" w:type="dxa"/>
            </w:tcMar>
            <w:vAlign w:val="center"/>
            <w:hideMark/>
          </w:tcPr>
          <w:p w14:paraId="64550D78" w14:textId="77777777" w:rsidR="00E44F5E" w:rsidRPr="001153AC" w:rsidRDefault="00E44F5E" w:rsidP="006B1BCB">
            <w:pPr>
              <w:pStyle w:val="COMTabletext"/>
              <w:jc w:val="center"/>
            </w:pPr>
            <w:r w:rsidRPr="001153AC">
              <w:t>-</w:t>
            </w:r>
          </w:p>
        </w:tc>
        <w:tc>
          <w:tcPr>
            <w:tcW w:w="1301" w:type="pct"/>
            <w:tcMar>
              <w:top w:w="0" w:type="dxa"/>
              <w:left w:w="28" w:type="dxa"/>
              <w:bottom w:w="0" w:type="dxa"/>
              <w:right w:w="28" w:type="dxa"/>
            </w:tcMar>
            <w:vAlign w:val="center"/>
          </w:tcPr>
          <w:p w14:paraId="2DF2AD61" w14:textId="77777777" w:rsidR="00E44F5E" w:rsidRPr="000B4F0D" w:rsidRDefault="00E44F5E" w:rsidP="006B1BCB">
            <w:pPr>
              <w:pStyle w:val="COMTabletext"/>
              <w:jc w:val="center"/>
              <w:rPr>
                <w:vertAlign w:val="superscript"/>
              </w:rPr>
            </w:pPr>
            <w:r w:rsidRPr="000B4F0D">
              <w:t xml:space="preserve">12.1750 </w:t>
            </w:r>
            <w:r w:rsidRPr="000B4F0D">
              <w:rPr>
                <w:vertAlign w:val="superscript"/>
              </w:rPr>
              <w:t>b</w:t>
            </w:r>
          </w:p>
        </w:tc>
        <w:tc>
          <w:tcPr>
            <w:tcW w:w="1301" w:type="pct"/>
            <w:tcMar>
              <w:top w:w="0" w:type="dxa"/>
              <w:left w:w="28" w:type="dxa"/>
              <w:bottom w:w="0" w:type="dxa"/>
              <w:right w:w="28" w:type="dxa"/>
            </w:tcMar>
            <w:vAlign w:val="center"/>
          </w:tcPr>
          <w:p w14:paraId="51F23495" w14:textId="77777777" w:rsidR="00E44F5E" w:rsidRPr="000B4F0D" w:rsidRDefault="00E44F5E" w:rsidP="006B1BCB">
            <w:pPr>
              <w:pStyle w:val="COMTabletext"/>
              <w:jc w:val="center"/>
            </w:pPr>
            <w:r w:rsidRPr="000B4F0D">
              <w:t xml:space="preserve">10.9575 </w:t>
            </w:r>
            <w:r w:rsidRPr="000B4F0D">
              <w:rPr>
                <w:vertAlign w:val="superscript"/>
              </w:rPr>
              <w:t>b</w:t>
            </w:r>
          </w:p>
        </w:tc>
      </w:tr>
      <w:tr w:rsidR="00E44F5E" w:rsidRPr="001153AC" w14:paraId="0F9416C2" w14:textId="77777777" w:rsidTr="006B1BCB">
        <w:trPr>
          <w:cantSplit/>
          <w:jc w:val="center"/>
        </w:trPr>
        <w:tc>
          <w:tcPr>
            <w:tcW w:w="1098" w:type="pct"/>
            <w:tcMar>
              <w:top w:w="0" w:type="dxa"/>
              <w:left w:w="28" w:type="dxa"/>
              <w:bottom w:w="0" w:type="dxa"/>
              <w:right w:w="28" w:type="dxa"/>
            </w:tcMar>
            <w:vAlign w:val="center"/>
            <w:hideMark/>
          </w:tcPr>
          <w:p w14:paraId="26CB1F83" w14:textId="77777777" w:rsidR="00E44F5E" w:rsidRPr="001153AC" w:rsidRDefault="00E44F5E" w:rsidP="006B1BCB">
            <w:pPr>
              <w:pStyle w:val="COMTabletext"/>
            </w:pPr>
            <w:r w:rsidRPr="001153AC">
              <w:t>Cost per year</w:t>
            </w:r>
          </w:p>
        </w:tc>
        <w:tc>
          <w:tcPr>
            <w:tcW w:w="1300" w:type="pct"/>
            <w:tcMar>
              <w:top w:w="0" w:type="dxa"/>
              <w:left w:w="28" w:type="dxa"/>
              <w:bottom w:w="0" w:type="dxa"/>
              <w:right w:w="28" w:type="dxa"/>
            </w:tcMar>
            <w:vAlign w:val="center"/>
            <w:hideMark/>
          </w:tcPr>
          <w:p w14:paraId="5984B3B6" w14:textId="77777777" w:rsidR="00E44F5E" w:rsidRPr="001153AC" w:rsidRDefault="00E44F5E" w:rsidP="006B1BCB">
            <w:pPr>
              <w:pStyle w:val="COMTabletext"/>
              <w:jc w:val="center"/>
            </w:pPr>
            <w:r w:rsidRPr="001153AC">
              <w:t>-</w:t>
            </w:r>
          </w:p>
        </w:tc>
        <w:tc>
          <w:tcPr>
            <w:tcW w:w="1301" w:type="pct"/>
            <w:tcMar>
              <w:top w:w="0" w:type="dxa"/>
              <w:left w:w="28" w:type="dxa"/>
              <w:bottom w:w="0" w:type="dxa"/>
              <w:right w:w="28" w:type="dxa"/>
            </w:tcMar>
            <w:vAlign w:val="center"/>
          </w:tcPr>
          <w:p w14:paraId="52EF4620" w14:textId="2A5B5E69" w:rsidR="00E44F5E" w:rsidRPr="000B4F0D" w:rsidRDefault="00E44F5E" w:rsidP="006B1BCB">
            <w:pPr>
              <w:pStyle w:val="COMTabletext"/>
              <w:jc w:val="center"/>
              <w:rPr>
                <w:vertAlign w:val="superscript"/>
              </w:rPr>
            </w:pPr>
            <w:r w:rsidRPr="000B4F0D">
              <w:t xml:space="preserve">$716.53 </w:t>
            </w:r>
            <w:r w:rsidRPr="000B4F0D">
              <w:rPr>
                <w:vertAlign w:val="superscript"/>
              </w:rPr>
              <w:t>c</w:t>
            </w:r>
          </w:p>
        </w:tc>
        <w:tc>
          <w:tcPr>
            <w:tcW w:w="1301" w:type="pct"/>
            <w:tcMar>
              <w:top w:w="0" w:type="dxa"/>
              <w:left w:w="28" w:type="dxa"/>
              <w:bottom w:w="0" w:type="dxa"/>
              <w:right w:w="28" w:type="dxa"/>
            </w:tcMar>
            <w:vAlign w:val="center"/>
          </w:tcPr>
          <w:p w14:paraId="406220E0" w14:textId="6CE4F4BE" w:rsidR="00E44F5E" w:rsidRPr="000B4F0D" w:rsidRDefault="00E44F5E" w:rsidP="006B1BCB">
            <w:pPr>
              <w:pStyle w:val="COMTabletext"/>
              <w:jc w:val="center"/>
              <w:rPr>
                <w:vertAlign w:val="superscript"/>
              </w:rPr>
            </w:pPr>
            <w:r w:rsidRPr="000B4F0D">
              <w:t xml:space="preserve">$644.85 </w:t>
            </w:r>
            <w:r w:rsidRPr="000B4F0D">
              <w:rPr>
                <w:vertAlign w:val="superscript"/>
              </w:rPr>
              <w:t>c</w:t>
            </w:r>
          </w:p>
        </w:tc>
      </w:tr>
      <w:tr w:rsidR="00E44F5E" w:rsidRPr="001153AC" w14:paraId="558CA457" w14:textId="77777777" w:rsidTr="006B1BCB">
        <w:trPr>
          <w:cantSplit/>
          <w:trHeight w:val="1389"/>
          <w:jc w:val="center"/>
        </w:trPr>
        <w:tc>
          <w:tcPr>
            <w:tcW w:w="1098" w:type="pct"/>
            <w:tcMar>
              <w:top w:w="0" w:type="dxa"/>
              <w:left w:w="28" w:type="dxa"/>
              <w:bottom w:w="0" w:type="dxa"/>
              <w:right w:w="28" w:type="dxa"/>
            </w:tcMar>
            <w:vAlign w:val="center"/>
          </w:tcPr>
          <w:p w14:paraId="3F39BABD" w14:textId="77777777" w:rsidR="00E44F5E" w:rsidRPr="001153AC" w:rsidRDefault="00E44F5E" w:rsidP="006B1BCB">
            <w:pPr>
              <w:pStyle w:val="COMTabletext"/>
            </w:pPr>
            <w:r w:rsidRPr="001153AC">
              <w:t>Proportion of patients on treatment (persistence)</w:t>
            </w:r>
          </w:p>
        </w:tc>
        <w:tc>
          <w:tcPr>
            <w:tcW w:w="1300" w:type="pct"/>
            <w:tcMar>
              <w:top w:w="0" w:type="dxa"/>
              <w:left w:w="28" w:type="dxa"/>
              <w:bottom w:w="0" w:type="dxa"/>
              <w:right w:w="28" w:type="dxa"/>
            </w:tcMar>
            <w:vAlign w:val="center"/>
          </w:tcPr>
          <w:p w14:paraId="24BDA939" w14:textId="77777777" w:rsidR="00E44F5E" w:rsidRPr="007E34B3" w:rsidRDefault="00E44F5E" w:rsidP="006B1BCB">
            <w:pPr>
              <w:pStyle w:val="COMTabletext"/>
              <w:jc w:val="center"/>
              <w:rPr>
                <w:vertAlign w:val="superscript"/>
              </w:rPr>
            </w:pPr>
            <w:r w:rsidRPr="001153AC">
              <w:t>After a mean follow-up of 23.9 months, 7</w:t>
            </w:r>
            <w:r>
              <w:t>6.8</w:t>
            </w:r>
            <w:r w:rsidRPr="001153AC">
              <w:t>% of patients in the empagliflozin arm remained on treatment</w:t>
            </w:r>
            <w:r>
              <w:t xml:space="preserve"> </w:t>
            </w:r>
            <w:r>
              <w:rPr>
                <w:vertAlign w:val="superscript"/>
              </w:rPr>
              <w:t>d</w:t>
            </w:r>
          </w:p>
        </w:tc>
        <w:tc>
          <w:tcPr>
            <w:tcW w:w="1301" w:type="pct"/>
            <w:tcMar>
              <w:top w:w="0" w:type="dxa"/>
              <w:left w:w="28" w:type="dxa"/>
              <w:bottom w:w="0" w:type="dxa"/>
              <w:right w:w="28" w:type="dxa"/>
            </w:tcMar>
            <w:vAlign w:val="center"/>
          </w:tcPr>
          <w:p w14:paraId="1B11AAE7" w14:textId="77777777" w:rsidR="00E44F5E" w:rsidRPr="00B169F5" w:rsidRDefault="00E44F5E" w:rsidP="006B1BCB">
            <w:pPr>
              <w:pStyle w:val="COMTabletext"/>
              <w:jc w:val="center"/>
              <w:rPr>
                <w:vertAlign w:val="superscript"/>
              </w:rPr>
            </w:pPr>
            <w:r>
              <w:t xml:space="preserve">Year 1: 89.7% </w:t>
            </w:r>
            <w:r>
              <w:rPr>
                <w:vertAlign w:val="superscript"/>
              </w:rPr>
              <w:t>e</w:t>
            </w:r>
          </w:p>
          <w:p w14:paraId="0FD6266E" w14:textId="77777777" w:rsidR="00E44F5E" w:rsidRPr="005F7365" w:rsidRDefault="00E44F5E" w:rsidP="006B1BCB">
            <w:pPr>
              <w:pStyle w:val="COMTabletext"/>
              <w:jc w:val="center"/>
              <w:rPr>
                <w:vertAlign w:val="superscript"/>
              </w:rPr>
            </w:pPr>
            <w:r>
              <w:t xml:space="preserve">Year 2: 76.8% </w:t>
            </w:r>
            <w:r>
              <w:rPr>
                <w:vertAlign w:val="superscript"/>
              </w:rPr>
              <w:t>e</w:t>
            </w:r>
          </w:p>
          <w:p w14:paraId="258CFA84" w14:textId="77777777" w:rsidR="00E44F5E" w:rsidRPr="005F7365" w:rsidRDefault="00E44F5E" w:rsidP="006B1BCB">
            <w:pPr>
              <w:pStyle w:val="COMTabletext"/>
              <w:jc w:val="center"/>
              <w:rPr>
                <w:vertAlign w:val="superscript"/>
              </w:rPr>
            </w:pPr>
            <w:r>
              <w:t xml:space="preserve">Year 3: 59.7% </w:t>
            </w:r>
            <w:r>
              <w:rPr>
                <w:vertAlign w:val="superscript"/>
              </w:rPr>
              <w:t>e</w:t>
            </w:r>
          </w:p>
          <w:p w14:paraId="2C736868" w14:textId="77777777" w:rsidR="00E44F5E" w:rsidRPr="005F7365" w:rsidRDefault="00E44F5E" w:rsidP="006B1BCB">
            <w:pPr>
              <w:pStyle w:val="COMTabletext"/>
              <w:jc w:val="center"/>
              <w:rPr>
                <w:vertAlign w:val="superscript"/>
              </w:rPr>
            </w:pPr>
            <w:r>
              <w:t xml:space="preserve">Year 4: 41.6% </w:t>
            </w:r>
            <w:r>
              <w:rPr>
                <w:vertAlign w:val="superscript"/>
              </w:rPr>
              <w:t>e</w:t>
            </w:r>
          </w:p>
          <w:p w14:paraId="62791813" w14:textId="77777777" w:rsidR="00E44F5E" w:rsidRPr="005F7365" w:rsidRDefault="00E44F5E" w:rsidP="006B1BCB">
            <w:pPr>
              <w:pStyle w:val="COMTabletext"/>
              <w:jc w:val="center"/>
              <w:rPr>
                <w:vertAlign w:val="superscript"/>
              </w:rPr>
            </w:pPr>
            <w:r>
              <w:t xml:space="preserve">Year 5: 24.3% </w:t>
            </w:r>
            <w:r>
              <w:rPr>
                <w:vertAlign w:val="superscript"/>
              </w:rPr>
              <w:t>e</w:t>
            </w:r>
          </w:p>
          <w:p w14:paraId="5A9D76E1" w14:textId="77777777" w:rsidR="00E44F5E" w:rsidRPr="005F7365" w:rsidRDefault="00E44F5E" w:rsidP="006B1BCB">
            <w:pPr>
              <w:pStyle w:val="COMTabletext"/>
              <w:jc w:val="center"/>
              <w:rPr>
                <w:vertAlign w:val="superscript"/>
              </w:rPr>
            </w:pPr>
            <w:r>
              <w:t xml:space="preserve">Year 6: 10.9% </w:t>
            </w:r>
            <w:r>
              <w:rPr>
                <w:vertAlign w:val="superscript"/>
              </w:rPr>
              <w:t>e</w:t>
            </w:r>
          </w:p>
        </w:tc>
        <w:tc>
          <w:tcPr>
            <w:tcW w:w="1301" w:type="pct"/>
            <w:tcMar>
              <w:top w:w="0" w:type="dxa"/>
              <w:left w:w="28" w:type="dxa"/>
              <w:bottom w:w="0" w:type="dxa"/>
              <w:right w:w="28" w:type="dxa"/>
            </w:tcMar>
            <w:vAlign w:val="center"/>
          </w:tcPr>
          <w:p w14:paraId="65E677BE" w14:textId="77777777" w:rsidR="00E44F5E" w:rsidRPr="00AC69C2" w:rsidRDefault="00E44F5E" w:rsidP="006B1BCB">
            <w:pPr>
              <w:pStyle w:val="COMTabletext"/>
              <w:jc w:val="center"/>
            </w:pPr>
            <w:r>
              <w:t>Not estimated</w:t>
            </w:r>
          </w:p>
        </w:tc>
      </w:tr>
    </w:tbl>
    <w:p w14:paraId="0F89822A" w14:textId="77777777" w:rsidR="00E44F5E" w:rsidRDefault="00E44F5E" w:rsidP="00E44F5E">
      <w:pPr>
        <w:pStyle w:val="COMTablefooter"/>
      </w:pPr>
      <w:r w:rsidRPr="0098262F">
        <w:t xml:space="preserve">Source: </w:t>
      </w:r>
      <w:r>
        <w:t>Constructed during the evaluation</w:t>
      </w:r>
    </w:p>
    <w:p w14:paraId="29532F98" w14:textId="77777777" w:rsidR="00E44F5E" w:rsidRDefault="00E44F5E" w:rsidP="00E44F5E">
      <w:pPr>
        <w:pStyle w:val="COMTablefooter"/>
      </w:pPr>
      <w:r>
        <w:t>Abbreviation: DPMQ, dispensed price maximum quantity</w:t>
      </w:r>
    </w:p>
    <w:p w14:paraId="7755A5BE" w14:textId="77777777" w:rsidR="00E44F5E" w:rsidRDefault="00E44F5E" w:rsidP="00E44F5E">
      <w:pPr>
        <w:pStyle w:val="COMTablefooter"/>
      </w:pPr>
      <w:r>
        <w:rPr>
          <w:vertAlign w:val="superscript"/>
        </w:rPr>
        <w:t>a</w:t>
      </w:r>
      <w:r>
        <w:t xml:space="preserve"> Based on the EMPA-KIDNEY ITT population</w:t>
      </w:r>
    </w:p>
    <w:p w14:paraId="2BC46DD3" w14:textId="77777777" w:rsidR="00E44F5E" w:rsidRDefault="00E44F5E" w:rsidP="00E44F5E">
      <w:pPr>
        <w:pStyle w:val="COMTablefooter"/>
      </w:pPr>
      <w:r>
        <w:rPr>
          <w:vertAlign w:val="superscript"/>
        </w:rPr>
        <w:t>b</w:t>
      </w:r>
      <w:r>
        <w:t xml:space="preserve"> Calculated as the estimated number of scripts required per year (</w:t>
      </w:r>
      <w:r w:rsidRPr="000B4F0D">
        <w:t>365.25 ÷ 30</w:t>
      </w:r>
      <w:r>
        <w:t>) adjusted for treatment adherence</w:t>
      </w:r>
    </w:p>
    <w:p w14:paraId="29B5FE9C" w14:textId="77777777" w:rsidR="00E44F5E" w:rsidRDefault="00E44F5E" w:rsidP="00E44F5E">
      <w:pPr>
        <w:pStyle w:val="COMTablefooter"/>
      </w:pPr>
      <w:r>
        <w:rPr>
          <w:vertAlign w:val="superscript"/>
        </w:rPr>
        <w:t>c</w:t>
      </w:r>
      <w:r>
        <w:t xml:space="preserve"> Calculated based on proposed DPMQ and number of scripts per year</w:t>
      </w:r>
    </w:p>
    <w:p w14:paraId="45F58109" w14:textId="77777777" w:rsidR="00E44F5E" w:rsidRDefault="00E44F5E" w:rsidP="00E44F5E">
      <w:pPr>
        <w:pStyle w:val="COMTablefooter"/>
      </w:pPr>
      <w:r>
        <w:rPr>
          <w:vertAlign w:val="superscript"/>
        </w:rPr>
        <w:t>d</w:t>
      </w:r>
      <w:r>
        <w:t xml:space="preserve"> Based on time to treatment discontinuation for empagliflozin in the incremental subgroup of the EMPA-KIDNEY trial</w:t>
      </w:r>
    </w:p>
    <w:p w14:paraId="7664125A" w14:textId="77777777" w:rsidR="00E44F5E" w:rsidRDefault="00E44F5E" w:rsidP="00E44F5E">
      <w:pPr>
        <w:pStyle w:val="COMTablefooter"/>
      </w:pPr>
      <w:r w:rsidRPr="00BA2155">
        <w:t>e</w:t>
      </w:r>
      <w:r>
        <w:t xml:space="preserve"> Based on modelled treatment persistence unadjusted for deaths</w:t>
      </w:r>
    </w:p>
    <w:p w14:paraId="6EE46D4C" w14:textId="0B846CE8" w:rsidR="003D61B7" w:rsidRPr="00AA24B6" w:rsidRDefault="00BF66BE" w:rsidP="000B4F0D">
      <w:pPr>
        <w:pStyle w:val="COMTablefooter"/>
        <w:rPr>
          <w:i/>
          <w:iCs/>
        </w:rPr>
      </w:pPr>
      <w:r w:rsidRPr="001D0DE0">
        <w:t>*</w:t>
      </w:r>
      <w:proofErr w:type="spellStart"/>
      <w:r w:rsidRPr="001D0DE0">
        <w:t>nb</w:t>
      </w:r>
      <w:proofErr w:type="spellEnd"/>
      <w:r w:rsidRPr="001D0DE0">
        <w:t xml:space="preserve"> – the table is not updated with the revised DPMQ from 1 April 2025, </w:t>
      </w:r>
      <w:r w:rsidR="00BA2155" w:rsidRPr="001D0DE0">
        <w:t>$55.41</w:t>
      </w:r>
    </w:p>
    <w:p w14:paraId="1ADE960D" w14:textId="5FC3A68B" w:rsidR="000C72BD" w:rsidRPr="00A7772B" w:rsidRDefault="000C72BD" w:rsidP="000C72BD">
      <w:pPr>
        <w:pStyle w:val="COMexecsummnumbered"/>
      </w:pPr>
      <w:r w:rsidRPr="00A7772B">
        <w:t xml:space="preserve">The estimated </w:t>
      </w:r>
      <w:r>
        <w:t xml:space="preserve">empagliflozin </w:t>
      </w:r>
      <w:r w:rsidRPr="00A7772B">
        <w:t>drug costs differed between the economic analysis and financial estimates due to differences in assumptions relating to treatment compliance (adherence and persistence).</w:t>
      </w:r>
    </w:p>
    <w:p w14:paraId="268768EF" w14:textId="3626F292" w:rsidR="00B60939" w:rsidRPr="0098262F" w:rsidRDefault="00B60939" w:rsidP="003D5DE7">
      <w:pPr>
        <w:pStyle w:val="COMH2-non-numbered"/>
      </w:pPr>
      <w:bookmarkStart w:id="51" w:name="_Toc22897647"/>
      <w:bookmarkStart w:id="52" w:name="_Toc193277454"/>
      <w:r w:rsidRPr="0098262F">
        <w:lastRenderedPageBreak/>
        <w:t>Estimated PBS usage &amp; financial implications</w:t>
      </w:r>
      <w:bookmarkEnd w:id="51"/>
      <w:bookmarkEnd w:id="52"/>
    </w:p>
    <w:p w14:paraId="556BA4FD" w14:textId="2A822512" w:rsidR="00C1278C" w:rsidRPr="00D1358A" w:rsidRDefault="00C1278C" w:rsidP="00C1278C">
      <w:pPr>
        <w:pStyle w:val="COMexecsummnumbered"/>
        <w:rPr>
          <w:color w:val="0066FF"/>
        </w:rPr>
      </w:pPr>
      <w:r w:rsidRPr="00D1358A">
        <w:t xml:space="preserve">This </w:t>
      </w:r>
      <w:r w:rsidR="00BA7399" w:rsidRPr="00D1358A">
        <w:t>re</w:t>
      </w:r>
      <w:r w:rsidRPr="00D1358A">
        <w:t>submission w</w:t>
      </w:r>
      <w:r w:rsidR="00D508BA">
        <w:t>as</w:t>
      </w:r>
      <w:r w:rsidRPr="00D1358A">
        <w:t xml:space="preserve"> no</w:t>
      </w:r>
      <w:r w:rsidR="00D508BA">
        <w:t>t</w:t>
      </w:r>
      <w:r w:rsidRPr="00D1358A">
        <w:t xml:space="preserve"> considered by DUSC</w:t>
      </w:r>
      <w:r w:rsidRPr="00D1358A">
        <w:rPr>
          <w:color w:val="0070C0"/>
        </w:rPr>
        <w:t xml:space="preserve">. </w:t>
      </w:r>
      <w:r w:rsidRPr="00D1358A">
        <w:t xml:space="preserve">The </w:t>
      </w:r>
      <w:r w:rsidR="004246BE" w:rsidRPr="00D1358A">
        <w:t xml:space="preserve">original </w:t>
      </w:r>
      <w:r w:rsidRPr="00D1358A">
        <w:t>submission was considered by DUSC at the November 2023 meeting.</w:t>
      </w:r>
    </w:p>
    <w:p w14:paraId="1DA562FE" w14:textId="77777777" w:rsidR="00C1278C" w:rsidRDefault="00C1278C" w:rsidP="00C1278C">
      <w:pPr>
        <w:pStyle w:val="COMexecsummnumbered"/>
        <w:rPr>
          <w:color w:val="0066FF"/>
        </w:rPr>
      </w:pPr>
      <w:r w:rsidRPr="002337D9">
        <w:t>The resubmission used</w:t>
      </w:r>
      <w:r w:rsidRPr="00B4237E">
        <w:t xml:space="preserve"> </w:t>
      </w:r>
      <w:r>
        <w:t xml:space="preserve">an </w:t>
      </w:r>
      <w:r w:rsidRPr="00B4237E">
        <w:t>epidemiological approach to estimate the utilisation and financial impacts associated with the PBS listing of empagliflozin for the treatment</w:t>
      </w:r>
      <w:r>
        <w:t xml:space="preserve"> of adults with</w:t>
      </w:r>
      <w:r w:rsidRPr="00B4237E">
        <w:t xml:space="preserve"> CKD</w:t>
      </w:r>
      <w:r>
        <w:rPr>
          <w:rFonts w:eastAsiaTheme="minorEastAsia" w:hint="eastAsia"/>
          <w:lang w:eastAsia="zh-CN"/>
        </w:rPr>
        <w:t xml:space="preserve"> </w:t>
      </w:r>
      <w:r>
        <w:rPr>
          <w:rFonts w:eastAsiaTheme="minorEastAsia"/>
          <w:lang w:eastAsia="zh-CN"/>
        </w:rPr>
        <w:t xml:space="preserve">in the incremental </w:t>
      </w:r>
      <w:r>
        <w:rPr>
          <w:rFonts w:eastAsiaTheme="minorEastAsia" w:hint="eastAsia"/>
          <w:lang w:eastAsia="zh-CN"/>
        </w:rPr>
        <w:t>population</w:t>
      </w:r>
      <w:r>
        <w:rPr>
          <w:rFonts w:eastAsiaTheme="minorEastAsia"/>
          <w:lang w:eastAsia="zh-CN"/>
        </w:rPr>
        <w:t xml:space="preserve"> not currently eligible to receive dapagliflozin or empagliflozin on the PBS, using the same methodology and assumptions as the November 2023 submission, updated or adjusted as required.</w:t>
      </w:r>
    </w:p>
    <w:p w14:paraId="6CD35F05" w14:textId="5A54F02C" w:rsidR="00C1278C" w:rsidRPr="008B76F3" w:rsidRDefault="00C1278C" w:rsidP="00C1278C">
      <w:pPr>
        <w:pStyle w:val="COMexecsummnumbered"/>
        <w:rPr>
          <w:color w:val="0066FF"/>
        </w:rPr>
      </w:pPr>
      <w:r w:rsidRPr="00933708">
        <w:t xml:space="preserve">Key inputs used to derive the financial estimates </w:t>
      </w:r>
      <w:r w:rsidRPr="00933708">
        <w:rPr>
          <w:color w:val="000000" w:themeColor="text1"/>
        </w:rPr>
        <w:t>are presented in</w:t>
      </w:r>
      <w:r w:rsidR="00703E3A">
        <w:rPr>
          <w:color w:val="000000" w:themeColor="text1"/>
        </w:rPr>
        <w:t xml:space="preserve"> </w:t>
      </w:r>
      <w:r w:rsidR="00703E3A">
        <w:rPr>
          <w:color w:val="000000" w:themeColor="text1"/>
        </w:rPr>
        <w:fldChar w:fldCharType="begin"/>
      </w:r>
      <w:r w:rsidR="00703E3A">
        <w:rPr>
          <w:color w:val="000000" w:themeColor="text1"/>
        </w:rPr>
        <w:instrText xml:space="preserve"> REF _Ref190712032 \h </w:instrText>
      </w:r>
      <w:r w:rsidR="00703E3A">
        <w:rPr>
          <w:color w:val="000000" w:themeColor="text1"/>
        </w:rPr>
      </w:r>
      <w:r w:rsidR="00703E3A">
        <w:rPr>
          <w:color w:val="000000" w:themeColor="text1"/>
        </w:rPr>
        <w:fldChar w:fldCharType="separate"/>
      </w:r>
      <w:r w:rsidR="004A7850" w:rsidRPr="0098262F">
        <w:t xml:space="preserve">Table </w:t>
      </w:r>
      <w:r w:rsidR="004A7850">
        <w:rPr>
          <w:noProof/>
        </w:rPr>
        <w:t>16</w:t>
      </w:r>
      <w:r w:rsidR="00703E3A">
        <w:rPr>
          <w:color w:val="000000" w:themeColor="text1"/>
        </w:rPr>
        <w:fldChar w:fldCharType="end"/>
      </w:r>
      <w:r w:rsidR="0028414C">
        <w:rPr>
          <w:color w:val="000000" w:themeColor="text1"/>
        </w:rPr>
        <w:t>.</w:t>
      </w:r>
    </w:p>
    <w:p w14:paraId="03F13E3A" w14:textId="1787FB7F" w:rsidR="00C1278C" w:rsidRDefault="00C1278C" w:rsidP="007A639F">
      <w:pPr>
        <w:pStyle w:val="COMtablefigcaption"/>
      </w:pPr>
      <w:bookmarkStart w:id="53" w:name="_Ref190712032"/>
      <w:r w:rsidRPr="0098262F">
        <w:lastRenderedPageBreak/>
        <w:t xml:space="preserve">Table </w:t>
      </w:r>
      <w:r w:rsidR="001154A7">
        <w:fldChar w:fldCharType="begin"/>
      </w:r>
      <w:r w:rsidR="001154A7">
        <w:instrText xml:space="preserve"> SEQ Table \* ARABIC </w:instrText>
      </w:r>
      <w:r w:rsidR="001154A7">
        <w:fldChar w:fldCharType="separate"/>
      </w:r>
      <w:r w:rsidR="004A7850">
        <w:rPr>
          <w:noProof/>
        </w:rPr>
        <w:t>16</w:t>
      </w:r>
      <w:r w:rsidR="001154A7">
        <w:rPr>
          <w:noProof/>
        </w:rPr>
        <w:fldChar w:fldCharType="end"/>
      </w:r>
      <w:bookmarkEnd w:id="53"/>
      <w:r w:rsidRPr="0098262F">
        <w:t>:</w:t>
      </w:r>
      <w:r w:rsidRPr="00FF3ECD">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7"/>
        <w:gridCol w:w="3450"/>
        <w:gridCol w:w="4060"/>
      </w:tblGrid>
      <w:tr w:rsidR="00C1278C" w:rsidRPr="00D1358A" w14:paraId="2079815F" w14:textId="77777777" w:rsidTr="006B1BCB">
        <w:trPr>
          <w:tblHeader/>
        </w:trPr>
        <w:tc>
          <w:tcPr>
            <w:tcW w:w="1507" w:type="dxa"/>
            <w:vAlign w:val="center"/>
          </w:tcPr>
          <w:p w14:paraId="58ECF0D7" w14:textId="77777777" w:rsidR="00C1278C" w:rsidRPr="00D1358A" w:rsidRDefault="00C1278C" w:rsidP="007A639F">
            <w:pPr>
              <w:pStyle w:val="COMTableheadingrow"/>
              <w:jc w:val="center"/>
              <w:rPr>
                <w:lang w:val="en-AU"/>
              </w:rPr>
            </w:pPr>
            <w:r w:rsidRPr="00D1358A">
              <w:rPr>
                <w:lang w:val="en-AU"/>
              </w:rPr>
              <w:t>Data</w:t>
            </w:r>
          </w:p>
        </w:tc>
        <w:tc>
          <w:tcPr>
            <w:tcW w:w="3450" w:type="dxa"/>
            <w:vAlign w:val="center"/>
          </w:tcPr>
          <w:p w14:paraId="14E043AC" w14:textId="77777777" w:rsidR="00C1278C" w:rsidRPr="00D1358A" w:rsidRDefault="00C1278C" w:rsidP="007A639F">
            <w:pPr>
              <w:pStyle w:val="COMTableheadingrow"/>
              <w:jc w:val="center"/>
              <w:rPr>
                <w:lang w:val="en-AU"/>
              </w:rPr>
            </w:pPr>
            <w:r w:rsidRPr="00D1358A">
              <w:rPr>
                <w:lang w:val="en-AU"/>
              </w:rPr>
              <w:t>Value applied and source</w:t>
            </w:r>
          </w:p>
        </w:tc>
        <w:tc>
          <w:tcPr>
            <w:tcW w:w="4060" w:type="dxa"/>
            <w:vAlign w:val="center"/>
          </w:tcPr>
          <w:p w14:paraId="7A90CF9C" w14:textId="77777777" w:rsidR="00C1278C" w:rsidRPr="00D1358A" w:rsidRDefault="00C1278C" w:rsidP="007A639F">
            <w:pPr>
              <w:pStyle w:val="COMTableheadingrow"/>
              <w:jc w:val="center"/>
              <w:rPr>
                <w:lang w:val="en-AU"/>
              </w:rPr>
            </w:pPr>
            <w:r w:rsidRPr="00D1358A">
              <w:rPr>
                <w:lang w:val="en-AU"/>
              </w:rPr>
              <w:t>Comment</w:t>
            </w:r>
          </w:p>
        </w:tc>
      </w:tr>
      <w:tr w:rsidR="00C1278C" w:rsidRPr="00D1358A" w14:paraId="14EB1C2D" w14:textId="77777777" w:rsidTr="006B1BCB">
        <w:tc>
          <w:tcPr>
            <w:tcW w:w="1507" w:type="dxa"/>
            <w:vAlign w:val="center"/>
          </w:tcPr>
          <w:p w14:paraId="7064C9FD" w14:textId="77777777" w:rsidR="00C1278C" w:rsidRPr="00D1358A" w:rsidRDefault="00C1278C" w:rsidP="007A639F">
            <w:pPr>
              <w:pStyle w:val="COMTabletext"/>
            </w:pPr>
            <w:r w:rsidRPr="00D1358A">
              <w:t>Proportion of Australian adults with CKD</w:t>
            </w:r>
          </w:p>
        </w:tc>
        <w:tc>
          <w:tcPr>
            <w:tcW w:w="3450" w:type="dxa"/>
            <w:vAlign w:val="center"/>
          </w:tcPr>
          <w:p w14:paraId="65A5DCC1" w14:textId="671B2409" w:rsidR="00C1278C" w:rsidRPr="00D1358A" w:rsidRDefault="00C1278C" w:rsidP="007A639F">
            <w:pPr>
              <w:pStyle w:val="COMTabletext"/>
            </w:pPr>
            <w:r w:rsidRPr="00D1358A">
              <w:t xml:space="preserve">11%; based on AIHW ‘Chronic Kidney Disease: Australian facts’, updated </w:t>
            </w:r>
            <w:r w:rsidRPr="00D1358A">
              <w:rPr>
                <w:rFonts w:hint="eastAsia"/>
                <w:lang w:eastAsia="zh-CN"/>
              </w:rPr>
              <w:t>17</w:t>
            </w:r>
            <w:r w:rsidRPr="00D1358A">
              <w:t xml:space="preserve"> </w:t>
            </w:r>
            <w:r w:rsidRPr="00D1358A">
              <w:rPr>
                <w:rFonts w:hint="eastAsia"/>
                <w:lang w:eastAsia="zh-CN"/>
              </w:rPr>
              <w:t>June 2024</w:t>
            </w:r>
            <w:r w:rsidRPr="00D1358A">
              <w:t>.</w:t>
            </w:r>
          </w:p>
        </w:tc>
        <w:tc>
          <w:tcPr>
            <w:tcW w:w="4060" w:type="dxa"/>
            <w:vAlign w:val="center"/>
          </w:tcPr>
          <w:p w14:paraId="06A58CB6" w14:textId="77777777" w:rsidR="00276253" w:rsidRDefault="00C1278C" w:rsidP="007A639F">
            <w:pPr>
              <w:pStyle w:val="COMTabletext"/>
            </w:pPr>
            <w:r w:rsidRPr="00D1358A">
              <w:t>Unchanged from the November 2023 submission. DUSC previously considered that there is significant uncertainty in the current prevalence of CKD in the Australian population (para 6.94, empagliflozin PSD, November 2023 PBAC meeting).</w:t>
            </w:r>
          </w:p>
          <w:p w14:paraId="2712BD0B" w14:textId="07B1B92F" w:rsidR="00C1278C" w:rsidRPr="00D1358A" w:rsidRDefault="00C44D61" w:rsidP="007A639F">
            <w:pPr>
              <w:pStyle w:val="COMTabletext"/>
            </w:pPr>
            <w:r>
              <w:rPr>
                <w:color w:val="000000" w:themeColor="text1"/>
              </w:rPr>
              <w:t>The pr</w:t>
            </w:r>
            <w:r w:rsidR="009F1870">
              <w:rPr>
                <w:color w:val="000000" w:themeColor="text1"/>
              </w:rPr>
              <w:t>e</w:t>
            </w:r>
            <w:r>
              <w:rPr>
                <w:color w:val="000000" w:themeColor="text1"/>
              </w:rPr>
              <w:t>-PBAC resp</w:t>
            </w:r>
            <w:r w:rsidR="009F1870">
              <w:rPr>
                <w:color w:val="000000" w:themeColor="text1"/>
              </w:rPr>
              <w:t>o</w:t>
            </w:r>
            <w:r>
              <w:rPr>
                <w:color w:val="000000" w:themeColor="text1"/>
              </w:rPr>
              <w:t xml:space="preserve">nse </w:t>
            </w:r>
            <w:r w:rsidR="009F1870">
              <w:rPr>
                <w:color w:val="000000" w:themeColor="text1"/>
              </w:rPr>
              <w:t xml:space="preserve">noted </w:t>
            </w:r>
            <w:r w:rsidRPr="00077495">
              <w:rPr>
                <w:color w:val="000000" w:themeColor="text1"/>
              </w:rPr>
              <w:t>the latest ABS NHMS 2022-2024 data suggest</w:t>
            </w:r>
            <w:r>
              <w:rPr>
                <w:color w:val="000000" w:themeColor="text1"/>
              </w:rPr>
              <w:t>ing</w:t>
            </w:r>
            <w:r w:rsidRPr="00077495">
              <w:rPr>
                <w:color w:val="000000" w:themeColor="text1"/>
              </w:rPr>
              <w:t xml:space="preserve"> that 14.2% of Australians have indicators of CKD</w:t>
            </w:r>
            <w:r>
              <w:rPr>
                <w:color w:val="000000" w:themeColor="text1"/>
              </w:rPr>
              <w:t>.</w:t>
            </w:r>
            <w:r w:rsidR="00276253">
              <w:rPr>
                <w:color w:val="000000" w:themeColor="text1"/>
              </w:rPr>
              <w:t xml:space="preserve"> </w:t>
            </w:r>
            <w:r>
              <w:rPr>
                <w:color w:val="000000" w:themeColor="text1"/>
              </w:rPr>
              <w:t xml:space="preserve">The pre-PBAC response suggested that the use of the 11% estimate of CKD prevalence would have led to an underestimation of the </w:t>
            </w:r>
            <w:r w:rsidRPr="006A4CD8">
              <w:rPr>
                <w:color w:val="000000" w:themeColor="text1"/>
              </w:rPr>
              <w:t xml:space="preserve">proposed PBS incremental population and </w:t>
            </w:r>
            <w:r>
              <w:rPr>
                <w:color w:val="000000" w:themeColor="text1"/>
              </w:rPr>
              <w:t xml:space="preserve">the </w:t>
            </w:r>
            <w:r w:rsidRPr="006A4CD8">
              <w:rPr>
                <w:color w:val="000000" w:themeColor="text1"/>
              </w:rPr>
              <w:t>resultant financial estimates</w:t>
            </w:r>
            <w:r w:rsidR="009F1870">
              <w:rPr>
                <w:color w:val="000000" w:themeColor="text1"/>
              </w:rPr>
              <w:t>.</w:t>
            </w:r>
          </w:p>
        </w:tc>
      </w:tr>
      <w:tr w:rsidR="00C1278C" w:rsidRPr="00D1358A" w14:paraId="0750920D" w14:textId="77777777" w:rsidTr="006B1BCB">
        <w:tc>
          <w:tcPr>
            <w:tcW w:w="1507" w:type="dxa"/>
            <w:vAlign w:val="center"/>
          </w:tcPr>
          <w:p w14:paraId="1AA4A146" w14:textId="77777777" w:rsidR="00C1278C" w:rsidRPr="00D1358A" w:rsidRDefault="00C1278C" w:rsidP="007A639F">
            <w:pPr>
              <w:pStyle w:val="COMTabletext"/>
            </w:pPr>
            <w:r w:rsidRPr="00D1358A">
              <w:t>Adults likely to be diagnosed with CKD</w:t>
            </w:r>
          </w:p>
        </w:tc>
        <w:tc>
          <w:tcPr>
            <w:tcW w:w="3450" w:type="dxa"/>
            <w:vAlign w:val="center"/>
          </w:tcPr>
          <w:p w14:paraId="38CBB360" w14:textId="151565F8" w:rsidR="00C1278C" w:rsidRPr="00D1358A" w:rsidRDefault="00C1278C" w:rsidP="007A639F">
            <w:pPr>
              <w:pStyle w:val="COMTabletext"/>
            </w:pPr>
            <w:r w:rsidRPr="00D1358A">
              <w:t xml:space="preserve">65% in Year 1; increasing by 5% each year to 90% in Year 6. PBAC previously suggested the proportion of CKD that is diagnosed should be 50% in Year 1 (2022) of dapagliflozin estimates, and increase 5% per year (para 15.4, </w:t>
            </w:r>
            <w:r w:rsidR="00AA10D5" w:rsidRPr="00D1358A">
              <w:t>d</w:t>
            </w:r>
            <w:r w:rsidRPr="00D1358A">
              <w:t>apagliflozin PSD, November 2021 PBAC meeting). Accordingly, the proportion of CKD diagnosed would be 65% in 2025 (Year 1) of estimates.</w:t>
            </w:r>
          </w:p>
        </w:tc>
        <w:tc>
          <w:tcPr>
            <w:tcW w:w="4060" w:type="dxa"/>
            <w:vAlign w:val="center"/>
          </w:tcPr>
          <w:p w14:paraId="79AD4582" w14:textId="77777777" w:rsidR="00C1278C" w:rsidRPr="00D1358A" w:rsidRDefault="00C1278C" w:rsidP="007A639F">
            <w:pPr>
              <w:pStyle w:val="COMTabletext"/>
              <w:rPr>
                <w:highlight w:val="yellow"/>
              </w:rPr>
            </w:pPr>
            <w:r w:rsidRPr="00D1358A">
              <w:t xml:space="preserve">Updated from the November 2023 submission (60-85%). DUSC previously considered the proportion of CKD likely to be diagnosed was overestimated, and that the assumption of a linear increase over 6 years was uncertain (para 6.94, empagliflozin PSD, November 2023 PBAC meeting). Estimates in the resubmission are higher than in the November 2023 </w:t>
            </w:r>
            <w:proofErr w:type="gramStart"/>
            <w:r w:rsidRPr="00D1358A">
              <w:t>submission, and</w:t>
            </w:r>
            <w:proofErr w:type="gramEnd"/>
            <w:r w:rsidRPr="00D1358A">
              <w:t xml:space="preserve"> still assume a linear increase over time.</w:t>
            </w:r>
          </w:p>
        </w:tc>
      </w:tr>
      <w:tr w:rsidR="00C1278C" w:rsidRPr="00D1358A" w14:paraId="17A2CE20" w14:textId="77777777" w:rsidTr="006B1BCB">
        <w:tc>
          <w:tcPr>
            <w:tcW w:w="1507" w:type="dxa"/>
            <w:vAlign w:val="center"/>
          </w:tcPr>
          <w:p w14:paraId="38FFC015" w14:textId="77777777" w:rsidR="00C1278C" w:rsidRPr="00D1358A" w:rsidRDefault="00C1278C" w:rsidP="007A639F">
            <w:pPr>
              <w:pStyle w:val="COMTabletext"/>
            </w:pPr>
            <w:r w:rsidRPr="00D1358A">
              <w:t>Proportion of all diagnosed CKD patients in the incremental population</w:t>
            </w:r>
          </w:p>
        </w:tc>
        <w:tc>
          <w:tcPr>
            <w:tcW w:w="3450" w:type="dxa"/>
            <w:vAlign w:val="center"/>
          </w:tcPr>
          <w:p w14:paraId="4678CAC8" w14:textId="77777777" w:rsidR="00C1278C" w:rsidRPr="00D1358A" w:rsidRDefault="00C1278C" w:rsidP="007A639F">
            <w:pPr>
              <w:pStyle w:val="COMTabletext"/>
              <w:spacing w:after="120"/>
            </w:pPr>
            <w:r w:rsidRPr="00D1358A">
              <w:t xml:space="preserve">13.52%; based on the average of values derived from the 2011-2012 ABS National Health Measures Survey (NHMS; 8.4%) and </w:t>
            </w:r>
            <w:proofErr w:type="spellStart"/>
            <w:r w:rsidRPr="00D1358A">
              <w:t>Neuen</w:t>
            </w:r>
            <w:proofErr w:type="spellEnd"/>
            <w:r w:rsidRPr="00D1358A">
              <w:t xml:space="preserve"> 2023 (18.7%).</w:t>
            </w:r>
          </w:p>
          <w:p w14:paraId="23083CBD" w14:textId="77777777" w:rsidR="00C1278C" w:rsidRPr="00D1358A" w:rsidRDefault="00C1278C" w:rsidP="007A639F">
            <w:pPr>
              <w:pStyle w:val="COMTabletext"/>
              <w:spacing w:after="120"/>
            </w:pPr>
            <w:r w:rsidRPr="00D1358A">
              <w:t>NHMS data reported the proportions of patients with eligible eGFR levels, excluding patients with CKD stage 5. The proportions of patients with micro and macroalbuminuria were derived from the overall population in the absence of more granular data. Proportions of patients with eGFR &gt;5000 mg/g were not reported.</w:t>
            </w:r>
          </w:p>
          <w:p w14:paraId="0E0EEF96" w14:textId="4B79F626" w:rsidR="00C1278C" w:rsidRPr="00D1358A" w:rsidRDefault="00C1278C" w:rsidP="007A639F">
            <w:pPr>
              <w:pStyle w:val="COMTabletext"/>
              <w:rPr>
                <w:highlight w:val="yellow"/>
              </w:rPr>
            </w:pPr>
            <w:proofErr w:type="spellStart"/>
            <w:r w:rsidRPr="00D1358A">
              <w:t>Neu</w:t>
            </w:r>
            <w:r w:rsidR="00B9478E">
              <w:t>e</w:t>
            </w:r>
            <w:r w:rsidRPr="00D1358A">
              <w:t>n</w:t>
            </w:r>
            <w:proofErr w:type="spellEnd"/>
            <w:r w:rsidRPr="00D1358A">
              <w:t xml:space="preserve"> 2023 presents the results of an Australian retrospective cohort analysis of patients matching the EMPA-KIDNEY incremental population in terms of eGFR and UACR (based on selected patients captured in the </w:t>
            </w:r>
            <w:proofErr w:type="spellStart"/>
            <w:r w:rsidRPr="00D1358A">
              <w:t>MedicineInsight</w:t>
            </w:r>
            <w:proofErr w:type="spellEnd"/>
            <w:r w:rsidRPr="00D1358A">
              <w:t xml:space="preserve"> database).</w:t>
            </w:r>
          </w:p>
        </w:tc>
        <w:tc>
          <w:tcPr>
            <w:tcW w:w="4060" w:type="dxa"/>
            <w:vAlign w:val="center"/>
          </w:tcPr>
          <w:p w14:paraId="6E0A078F" w14:textId="77777777" w:rsidR="00C1278C" w:rsidRPr="00D1358A" w:rsidRDefault="00C1278C" w:rsidP="007A639F">
            <w:pPr>
              <w:pStyle w:val="COMTabletext"/>
            </w:pPr>
            <w:r w:rsidRPr="00D1358A">
              <w:t>Increased from 8.4% in the November 2023 submission (based on NHMS data only). DUSC previously considered that the NHMS data was uncertain and potentially an underestimate (Table 16, empagliflozin PSD, November 2023 PBAC meeting).</w:t>
            </w:r>
          </w:p>
          <w:p w14:paraId="11D0F063" w14:textId="1D322B37" w:rsidR="00C1278C" w:rsidRPr="00D1358A" w:rsidRDefault="00C1278C" w:rsidP="007A639F">
            <w:pPr>
              <w:pStyle w:val="COMTabletext"/>
            </w:pPr>
            <w:r w:rsidRPr="00D1358A">
              <w:t xml:space="preserve">The averaging of the values derived from </w:t>
            </w:r>
            <w:proofErr w:type="spellStart"/>
            <w:r w:rsidRPr="00D1358A">
              <w:t>Neuen</w:t>
            </w:r>
            <w:proofErr w:type="spellEnd"/>
            <w:r w:rsidRPr="00D1358A">
              <w:t xml:space="preserve"> 2023 the NHMS data was not </w:t>
            </w:r>
            <w:r w:rsidR="001B6E99" w:rsidRPr="00D1358A">
              <w:t>reliable</w:t>
            </w:r>
            <w:r w:rsidRPr="00D1358A">
              <w:t xml:space="preserve">, given DUSC’s concerns with the NHMS data. Estimates from </w:t>
            </w:r>
            <w:proofErr w:type="spellStart"/>
            <w:r w:rsidRPr="00D1358A">
              <w:t>Neuen</w:t>
            </w:r>
            <w:proofErr w:type="spellEnd"/>
            <w:r w:rsidRPr="00D1358A">
              <w:t xml:space="preserve"> 2023 may not be reliable, given the reliance on selected </w:t>
            </w:r>
            <w:proofErr w:type="spellStart"/>
            <w:r w:rsidRPr="00D1358A">
              <w:t>MedicineInsight</w:t>
            </w:r>
            <w:proofErr w:type="spellEnd"/>
            <w:r w:rsidRPr="00D1358A">
              <w:t xml:space="preserve"> data, and the exclusion of a large proportion of patients with eGFR 25 to &lt;45 mL/min/1.73 m</w:t>
            </w:r>
            <w:r w:rsidRPr="00D1358A">
              <w:rPr>
                <w:vertAlign w:val="superscript"/>
              </w:rPr>
              <w:t>2</w:t>
            </w:r>
            <w:r w:rsidRPr="00D1358A">
              <w:t xml:space="preserve"> without a UACR measurement.</w:t>
            </w:r>
          </w:p>
        </w:tc>
      </w:tr>
      <w:tr w:rsidR="00C1278C" w:rsidRPr="00D1358A" w14:paraId="08D25CCC" w14:textId="77777777" w:rsidTr="006B1BCB">
        <w:tc>
          <w:tcPr>
            <w:tcW w:w="1507" w:type="dxa"/>
            <w:vAlign w:val="center"/>
          </w:tcPr>
          <w:p w14:paraId="5BCA5207" w14:textId="77777777" w:rsidR="00C1278C" w:rsidRPr="00D1358A" w:rsidRDefault="00C1278C" w:rsidP="006B1BCB">
            <w:pPr>
              <w:pStyle w:val="COMTabletext"/>
              <w:keepNext w:val="0"/>
            </w:pPr>
            <w:r w:rsidRPr="00D1358A">
              <w:t xml:space="preserve">Proportion of patients who are receiving stable </w:t>
            </w:r>
            <w:proofErr w:type="spellStart"/>
            <w:r w:rsidRPr="00D1358A">
              <w:t>ACEi</w:t>
            </w:r>
            <w:proofErr w:type="spellEnd"/>
            <w:r w:rsidRPr="00D1358A">
              <w:t>/ARBs</w:t>
            </w:r>
          </w:p>
        </w:tc>
        <w:tc>
          <w:tcPr>
            <w:tcW w:w="3450" w:type="dxa"/>
            <w:vAlign w:val="center"/>
          </w:tcPr>
          <w:p w14:paraId="7BB9BD6B" w14:textId="77777777" w:rsidR="00C1278C" w:rsidRPr="00D1358A" w:rsidRDefault="00C1278C" w:rsidP="006B1BCB">
            <w:pPr>
              <w:pStyle w:val="COMTabletext"/>
              <w:keepNext w:val="0"/>
            </w:pPr>
            <w:r w:rsidRPr="00D1358A">
              <w:t>80%; suggested by PBAC as an alternative to the dapagliflozin submission’s assumption of 100% of patients (para 14.2, dapagliflozin PSD, November 2021 PBAC meeting).</w:t>
            </w:r>
          </w:p>
        </w:tc>
        <w:tc>
          <w:tcPr>
            <w:tcW w:w="4060" w:type="dxa"/>
            <w:vAlign w:val="center"/>
          </w:tcPr>
          <w:p w14:paraId="1FA49AC6" w14:textId="77777777" w:rsidR="00C1278C" w:rsidRPr="00D1358A" w:rsidRDefault="00C1278C" w:rsidP="006B1BCB">
            <w:pPr>
              <w:pStyle w:val="COMTabletext"/>
              <w:keepNext w:val="0"/>
              <w:rPr>
                <w:highlight w:val="yellow"/>
              </w:rPr>
            </w:pPr>
            <w:r w:rsidRPr="00D1358A">
              <w:t xml:space="preserve">Unchanged from the November 2023 submission. </w:t>
            </w:r>
            <w:r w:rsidRPr="00D1358A">
              <w:rPr>
                <w:bCs w:val="0"/>
              </w:rPr>
              <w:t xml:space="preserve">82.1% of patients in the EMPA-KIDNEY incremental subgroup, and 58.1% of patients in the incremental subgroup in </w:t>
            </w:r>
            <w:proofErr w:type="spellStart"/>
            <w:r w:rsidRPr="00D1358A">
              <w:rPr>
                <w:bCs w:val="0"/>
              </w:rPr>
              <w:t>Neuen</w:t>
            </w:r>
            <w:proofErr w:type="spellEnd"/>
            <w:r w:rsidRPr="00D1358A">
              <w:rPr>
                <w:bCs w:val="0"/>
              </w:rPr>
              <w:t xml:space="preserve"> 2023 were receiving </w:t>
            </w:r>
            <w:proofErr w:type="spellStart"/>
            <w:r w:rsidRPr="00D1358A">
              <w:rPr>
                <w:bCs w:val="0"/>
              </w:rPr>
              <w:t>ACEi</w:t>
            </w:r>
            <w:proofErr w:type="spellEnd"/>
            <w:r w:rsidRPr="00D1358A">
              <w:rPr>
                <w:bCs w:val="0"/>
              </w:rPr>
              <w:t>/ARBs.</w:t>
            </w:r>
          </w:p>
        </w:tc>
      </w:tr>
      <w:tr w:rsidR="00C1278C" w:rsidRPr="00D1358A" w14:paraId="29DB92E2" w14:textId="77777777" w:rsidTr="006B1BCB">
        <w:tc>
          <w:tcPr>
            <w:tcW w:w="1507" w:type="dxa"/>
            <w:vAlign w:val="center"/>
          </w:tcPr>
          <w:p w14:paraId="093EC0CD" w14:textId="77777777" w:rsidR="00C1278C" w:rsidRPr="00D1358A" w:rsidRDefault="00C1278C" w:rsidP="006B1BCB">
            <w:pPr>
              <w:pStyle w:val="COMTabletext"/>
              <w:keepNext w:val="0"/>
            </w:pPr>
            <w:r w:rsidRPr="00D1358A">
              <w:t xml:space="preserve">Proportion of patients without T2DM </w:t>
            </w:r>
          </w:p>
        </w:tc>
        <w:tc>
          <w:tcPr>
            <w:tcW w:w="3450" w:type="dxa"/>
            <w:vAlign w:val="center"/>
          </w:tcPr>
          <w:p w14:paraId="47771EE9" w14:textId="77777777" w:rsidR="00C1278C" w:rsidRPr="00D1358A" w:rsidRDefault="00C1278C" w:rsidP="006B1BCB">
            <w:pPr>
              <w:pStyle w:val="COMTabletext"/>
              <w:keepNext w:val="0"/>
            </w:pPr>
            <w:r w:rsidRPr="00D1358A">
              <w:t>50%; based on PBAC feedback on the November 2021 dapagliflozin submission (Table 23, dapagliflozin PSD, November 2021 PBAC meeting),</w:t>
            </w:r>
            <w:r w:rsidRPr="00D1358A">
              <w:rPr>
                <w:rFonts w:hint="eastAsia"/>
              </w:rPr>
              <w:t xml:space="preserve"> </w:t>
            </w:r>
            <w:r w:rsidRPr="00D1358A">
              <w:t>and ANZDATA Registry data, where close to 50% of Australian patients in 2019 had Type 2 diabetes on initiation of renal replacement therapy</w:t>
            </w:r>
            <w:r w:rsidRPr="00D1358A">
              <w:rPr>
                <w:rFonts w:hint="eastAsia"/>
              </w:rPr>
              <w:t>.</w:t>
            </w:r>
          </w:p>
        </w:tc>
        <w:tc>
          <w:tcPr>
            <w:tcW w:w="4060" w:type="dxa"/>
            <w:vAlign w:val="center"/>
          </w:tcPr>
          <w:p w14:paraId="3FE9B174" w14:textId="77777777" w:rsidR="00C1278C" w:rsidRPr="00D1358A" w:rsidRDefault="00C1278C" w:rsidP="006B1BCB">
            <w:pPr>
              <w:pStyle w:val="COMTabletext"/>
              <w:keepNext w:val="0"/>
            </w:pPr>
            <w:r w:rsidRPr="00D1358A">
              <w:t xml:space="preserve">Adjusted from the November 2023 submission, in which an additional 27.9% of T2DM </w:t>
            </w:r>
            <w:proofErr w:type="gramStart"/>
            <w:r w:rsidRPr="00D1358A">
              <w:t>patients</w:t>
            </w:r>
            <w:proofErr w:type="gramEnd"/>
            <w:r w:rsidRPr="00D1358A">
              <w:t xml:space="preserve"> ineligible for SGLT2 inhibitors due to HbA1c &lt;7% was assumed.</w:t>
            </w:r>
          </w:p>
          <w:p w14:paraId="03497CB2" w14:textId="77777777" w:rsidR="00C1278C" w:rsidRPr="00D1358A" w:rsidRDefault="00C1278C" w:rsidP="006B1BCB">
            <w:pPr>
              <w:pStyle w:val="COMTabletext"/>
              <w:keepNext w:val="0"/>
              <w:rPr>
                <w:szCs w:val="20"/>
              </w:rPr>
            </w:pPr>
            <w:r w:rsidRPr="00D1358A">
              <w:rPr>
                <w:szCs w:val="20"/>
              </w:rPr>
              <w:t>DUSC considered that the proportion of patients with T2DM who are not eligible for SGLT2 inhibitor are already accounted for in the 50% estimate of patients with CKD but without T2DM.</w:t>
            </w:r>
          </w:p>
          <w:p w14:paraId="35416C11" w14:textId="77777777" w:rsidR="00C1278C" w:rsidRPr="00D1358A" w:rsidRDefault="00C1278C" w:rsidP="006B1BCB">
            <w:pPr>
              <w:pStyle w:val="COMTabletext"/>
              <w:keepNext w:val="0"/>
            </w:pPr>
            <w:r w:rsidRPr="00D1358A">
              <w:rPr>
                <w:bCs w:val="0"/>
              </w:rPr>
              <w:lastRenderedPageBreak/>
              <w:t xml:space="preserve">49.0% of patients in the EMPA-KIDNEY incremental subgroup, and 42.6% of patients in the incremental subgroup in </w:t>
            </w:r>
            <w:proofErr w:type="spellStart"/>
            <w:r w:rsidRPr="00D1358A">
              <w:rPr>
                <w:bCs w:val="0"/>
              </w:rPr>
              <w:t>Neuen</w:t>
            </w:r>
            <w:proofErr w:type="spellEnd"/>
            <w:r w:rsidRPr="00D1358A">
              <w:rPr>
                <w:bCs w:val="0"/>
              </w:rPr>
              <w:t xml:space="preserve"> 2023 had T2DM.</w:t>
            </w:r>
          </w:p>
        </w:tc>
      </w:tr>
      <w:tr w:rsidR="00C1278C" w:rsidRPr="00D1358A" w14:paraId="06ED6DAE" w14:textId="77777777" w:rsidTr="006B1BCB">
        <w:tc>
          <w:tcPr>
            <w:tcW w:w="1507" w:type="dxa"/>
            <w:vAlign w:val="center"/>
          </w:tcPr>
          <w:p w14:paraId="679EB640" w14:textId="77777777" w:rsidR="00C1278C" w:rsidRPr="00D1358A" w:rsidRDefault="00C1278C" w:rsidP="006B1BCB">
            <w:pPr>
              <w:pStyle w:val="COMTabletext"/>
              <w:keepNext w:val="0"/>
            </w:pPr>
            <w:r w:rsidRPr="00D1358A">
              <w:lastRenderedPageBreak/>
              <w:t xml:space="preserve">Proportion of patients with CKD without heart failure </w:t>
            </w:r>
          </w:p>
        </w:tc>
        <w:tc>
          <w:tcPr>
            <w:tcW w:w="3450" w:type="dxa"/>
            <w:vAlign w:val="center"/>
          </w:tcPr>
          <w:p w14:paraId="4EC2A066" w14:textId="77777777" w:rsidR="00C1278C" w:rsidRPr="00D1358A" w:rsidRDefault="00C1278C" w:rsidP="006B1BCB">
            <w:pPr>
              <w:pStyle w:val="COMTabletext"/>
              <w:keepNext w:val="0"/>
            </w:pPr>
            <w:r w:rsidRPr="00D1358A">
              <w:t>87.49%; based on the complement of the proportion of patients in the EMPA-KIDNEY incremental subgroup (12.51%).</w:t>
            </w:r>
          </w:p>
        </w:tc>
        <w:tc>
          <w:tcPr>
            <w:tcW w:w="4060" w:type="dxa"/>
            <w:vAlign w:val="center"/>
          </w:tcPr>
          <w:p w14:paraId="1B903928" w14:textId="77777777" w:rsidR="00C1278C" w:rsidRPr="00D1358A" w:rsidRDefault="00C1278C" w:rsidP="006B1BCB">
            <w:pPr>
              <w:pStyle w:val="COMTabletext"/>
              <w:keepNext w:val="0"/>
            </w:pPr>
            <w:r w:rsidRPr="00D1358A">
              <w:t>90% was used in the November 2023 submission, based on the complement of the proportion of patients with heart failure in the overall EMPA-KIDNEY population (10%). 10.0</w:t>
            </w:r>
            <w:r w:rsidRPr="00D1358A">
              <w:rPr>
                <w:bCs w:val="0"/>
              </w:rPr>
              <w:t xml:space="preserve">% of patients in the incremental subgroup in </w:t>
            </w:r>
            <w:proofErr w:type="spellStart"/>
            <w:r w:rsidRPr="00D1358A">
              <w:rPr>
                <w:bCs w:val="0"/>
              </w:rPr>
              <w:t>Neuen</w:t>
            </w:r>
            <w:proofErr w:type="spellEnd"/>
            <w:r w:rsidRPr="00D1358A">
              <w:rPr>
                <w:bCs w:val="0"/>
              </w:rPr>
              <w:t xml:space="preserve"> 2023 had heart failure.</w:t>
            </w:r>
          </w:p>
        </w:tc>
      </w:tr>
      <w:tr w:rsidR="00C1278C" w:rsidRPr="00D1358A" w14:paraId="22F48531" w14:textId="77777777" w:rsidTr="006B1BCB">
        <w:tc>
          <w:tcPr>
            <w:tcW w:w="1507" w:type="dxa"/>
            <w:vAlign w:val="center"/>
          </w:tcPr>
          <w:p w14:paraId="5D955DE3" w14:textId="77777777" w:rsidR="00C1278C" w:rsidRPr="00D1358A" w:rsidRDefault="00C1278C" w:rsidP="006B1BCB">
            <w:pPr>
              <w:pStyle w:val="COMTabletext"/>
              <w:keepNext w:val="0"/>
            </w:pPr>
            <w:r w:rsidRPr="00D1358A">
              <w:t>Uptake rate</w:t>
            </w:r>
          </w:p>
        </w:tc>
        <w:tc>
          <w:tcPr>
            <w:tcW w:w="3450" w:type="dxa"/>
            <w:vAlign w:val="center"/>
          </w:tcPr>
          <w:p w14:paraId="463FB7B7" w14:textId="1740A5CA" w:rsidR="00C1278C" w:rsidRPr="00D1358A" w:rsidRDefault="003A33AB" w:rsidP="006B1BCB">
            <w:pPr>
              <w:pStyle w:val="COMTabletext"/>
              <w:keepNext w:val="0"/>
            </w:pPr>
            <w:r w:rsidRPr="003A33AB">
              <w:rPr>
                <w:color w:val="000000"/>
                <w:spacing w:val="53"/>
                <w:shd w:val="solid" w:color="000000" w:fill="000000"/>
                <w:fitText w:val="330" w:id="-663469310"/>
                <w14:textFill>
                  <w14:solidFill>
                    <w14:srgbClr w14:val="000000">
                      <w14:alpha w14:val="100000"/>
                    </w14:srgbClr>
                  </w14:solidFill>
                </w14:textFill>
              </w:rPr>
              <w:t>|||</w:t>
            </w:r>
            <w:r w:rsidRPr="003A33AB">
              <w:rPr>
                <w:color w:val="000000"/>
                <w:spacing w:val="1"/>
                <w:shd w:val="solid" w:color="000000" w:fill="000000"/>
                <w:fitText w:val="330" w:id="-663469310"/>
                <w14:textFill>
                  <w14:solidFill>
                    <w14:srgbClr w14:val="000000">
                      <w14:alpha w14:val="100000"/>
                    </w14:srgbClr>
                  </w14:solidFill>
                </w14:textFill>
              </w:rPr>
              <w:t>|</w:t>
            </w:r>
            <w:r w:rsidR="00C1278C" w:rsidRPr="00D1358A">
              <w:t xml:space="preserve">% in Year 1; increasing by </w:t>
            </w:r>
            <w:r w:rsidRPr="003A33AB">
              <w:rPr>
                <w:color w:val="000000"/>
                <w:spacing w:val="53"/>
                <w:shd w:val="solid" w:color="000000" w:fill="000000"/>
                <w:fitText w:val="330" w:id="-663469309"/>
                <w14:textFill>
                  <w14:solidFill>
                    <w14:srgbClr w14:val="000000">
                      <w14:alpha w14:val="100000"/>
                    </w14:srgbClr>
                  </w14:solidFill>
                </w14:textFill>
              </w:rPr>
              <w:t>|||</w:t>
            </w:r>
            <w:r w:rsidRPr="003A33AB">
              <w:rPr>
                <w:color w:val="000000"/>
                <w:spacing w:val="1"/>
                <w:shd w:val="solid" w:color="000000" w:fill="000000"/>
                <w:fitText w:val="330" w:id="-663469309"/>
                <w14:textFill>
                  <w14:solidFill>
                    <w14:srgbClr w14:val="000000">
                      <w14:alpha w14:val="100000"/>
                    </w14:srgbClr>
                  </w14:solidFill>
                </w14:textFill>
              </w:rPr>
              <w:t>|</w:t>
            </w:r>
            <w:r w:rsidR="00C1278C" w:rsidRPr="00D1358A">
              <w:t xml:space="preserve">% per year to </w:t>
            </w:r>
            <w:r w:rsidRPr="003A33AB">
              <w:rPr>
                <w:color w:val="000000"/>
                <w:spacing w:val="49"/>
                <w:shd w:val="solid" w:color="000000" w:fill="000000"/>
                <w:fitText w:val="320" w:id="-663469308"/>
                <w14:textFill>
                  <w14:solidFill>
                    <w14:srgbClr w14:val="000000">
                      <w14:alpha w14:val="100000"/>
                    </w14:srgbClr>
                  </w14:solidFill>
                </w14:textFill>
              </w:rPr>
              <w:t>|||</w:t>
            </w:r>
            <w:r w:rsidRPr="003A33AB">
              <w:rPr>
                <w:color w:val="000000"/>
                <w:spacing w:val="3"/>
                <w:shd w:val="solid" w:color="000000" w:fill="000000"/>
                <w:fitText w:val="320" w:id="-663469308"/>
                <w14:textFill>
                  <w14:solidFill>
                    <w14:srgbClr w14:val="000000">
                      <w14:alpha w14:val="100000"/>
                    </w14:srgbClr>
                  </w14:solidFill>
                </w14:textFill>
              </w:rPr>
              <w:t>|</w:t>
            </w:r>
            <w:r w:rsidR="00C1278C" w:rsidRPr="00D1358A">
              <w:t>% in Years 5 and 6; assumed.</w:t>
            </w:r>
          </w:p>
          <w:p w14:paraId="1577B0B0" w14:textId="77777777" w:rsidR="00C1278C" w:rsidRPr="00D1358A" w:rsidRDefault="00C1278C" w:rsidP="006B1BCB">
            <w:pPr>
              <w:pStyle w:val="COMTabletext"/>
              <w:keepNext w:val="0"/>
            </w:pPr>
          </w:p>
        </w:tc>
        <w:tc>
          <w:tcPr>
            <w:tcW w:w="4060" w:type="dxa"/>
            <w:vAlign w:val="center"/>
          </w:tcPr>
          <w:p w14:paraId="2BC2152C" w14:textId="7566E530" w:rsidR="00C1278C" w:rsidRPr="00D1358A" w:rsidRDefault="00C1278C" w:rsidP="006B1BCB">
            <w:pPr>
              <w:pStyle w:val="COMTabletext"/>
              <w:keepNext w:val="0"/>
            </w:pPr>
            <w:r w:rsidRPr="00D1358A">
              <w:t xml:space="preserve">Increased from </w:t>
            </w:r>
            <w:r w:rsidR="003A33AB" w:rsidRPr="003A33AB">
              <w:rPr>
                <w:color w:val="000000"/>
                <w:spacing w:val="53"/>
                <w:shd w:val="solid" w:color="000000" w:fill="000000"/>
                <w:fitText w:val="330" w:id="-663469307"/>
                <w14:textFill>
                  <w14:solidFill>
                    <w14:srgbClr w14:val="000000">
                      <w14:alpha w14:val="100000"/>
                    </w14:srgbClr>
                  </w14:solidFill>
                </w14:textFill>
              </w:rPr>
              <w:t>|||</w:t>
            </w:r>
            <w:r w:rsidR="003A33AB" w:rsidRPr="003A33AB">
              <w:rPr>
                <w:color w:val="000000"/>
                <w:spacing w:val="1"/>
                <w:shd w:val="solid" w:color="000000" w:fill="000000"/>
                <w:fitText w:val="330" w:id="-663469307"/>
                <w14:textFill>
                  <w14:solidFill>
                    <w14:srgbClr w14:val="000000">
                      <w14:alpha w14:val="100000"/>
                    </w14:srgbClr>
                  </w14:solidFill>
                </w14:textFill>
              </w:rPr>
              <w:t>|</w:t>
            </w:r>
            <w:r w:rsidRPr="00D1358A">
              <w:t>-</w:t>
            </w:r>
            <w:r w:rsidR="003A33AB" w:rsidRPr="003A33AB">
              <w:rPr>
                <w:color w:val="000000"/>
                <w:spacing w:val="53"/>
                <w:shd w:val="solid" w:color="000000" w:fill="000000"/>
                <w:fitText w:val="330" w:id="-663469306"/>
                <w14:textFill>
                  <w14:solidFill>
                    <w14:srgbClr w14:val="000000">
                      <w14:alpha w14:val="100000"/>
                    </w14:srgbClr>
                  </w14:solidFill>
                </w14:textFill>
              </w:rPr>
              <w:t>|||</w:t>
            </w:r>
            <w:r w:rsidR="003A33AB" w:rsidRPr="003A33AB">
              <w:rPr>
                <w:color w:val="000000"/>
                <w:spacing w:val="1"/>
                <w:shd w:val="solid" w:color="000000" w:fill="000000"/>
                <w:fitText w:val="330" w:id="-663469306"/>
                <w14:textFill>
                  <w14:solidFill>
                    <w14:srgbClr w14:val="000000">
                      <w14:alpha w14:val="100000"/>
                    </w14:srgbClr>
                  </w14:solidFill>
                </w14:textFill>
              </w:rPr>
              <w:t>|</w:t>
            </w:r>
            <w:r w:rsidRPr="00D1358A">
              <w:t>% in the November 2023 empagliflozin submission, which DUSC considered to be an underestimate.</w:t>
            </w:r>
          </w:p>
          <w:p w14:paraId="4FB30C87" w14:textId="77777777" w:rsidR="00C1278C" w:rsidRPr="00D1358A" w:rsidRDefault="00C1278C" w:rsidP="006B1BCB">
            <w:pPr>
              <w:pStyle w:val="COMTabletext"/>
              <w:keepNext w:val="0"/>
              <w:rPr>
                <w:highlight w:val="yellow"/>
              </w:rPr>
            </w:pPr>
            <w:r w:rsidRPr="00D1358A">
              <w:t>Assumed uptake rates are highly uncertain.</w:t>
            </w:r>
          </w:p>
        </w:tc>
      </w:tr>
      <w:tr w:rsidR="00C1278C" w:rsidRPr="00D1358A" w14:paraId="44D36234" w14:textId="77777777" w:rsidTr="006B1BCB">
        <w:tc>
          <w:tcPr>
            <w:tcW w:w="1507" w:type="dxa"/>
            <w:vAlign w:val="center"/>
          </w:tcPr>
          <w:p w14:paraId="19A65CBB" w14:textId="77777777" w:rsidR="00C1278C" w:rsidRPr="00D1358A" w:rsidRDefault="00C1278C" w:rsidP="006B1BCB">
            <w:pPr>
              <w:pStyle w:val="COMTabletext"/>
              <w:keepNext w:val="0"/>
            </w:pPr>
            <w:r w:rsidRPr="00D1358A">
              <w:t>Treatment compliance</w:t>
            </w:r>
          </w:p>
        </w:tc>
        <w:tc>
          <w:tcPr>
            <w:tcW w:w="3450" w:type="dxa"/>
            <w:vAlign w:val="center"/>
          </w:tcPr>
          <w:p w14:paraId="1E4020B1" w14:textId="66D543E5" w:rsidR="00C1278C" w:rsidRPr="00D1358A" w:rsidRDefault="00C1278C" w:rsidP="006B1BCB">
            <w:pPr>
              <w:pStyle w:val="COMTabletext"/>
              <w:keepNext w:val="0"/>
            </w:pPr>
            <w:r w:rsidRPr="00D1358A">
              <w:t xml:space="preserve">90%; as proposed for empagliflozin for heart failure in a pre-PBAC response (Table 14, </w:t>
            </w:r>
            <w:r w:rsidR="006F2663" w:rsidRPr="00D1358A">
              <w:t>e</w:t>
            </w:r>
            <w:r w:rsidRPr="00D1358A">
              <w:t>mpagliflozin PSD, November 2022 PBAC meeting), and incorporated into revised financial estimates in a submission considered and recommended by the PBAC in December 2022.</w:t>
            </w:r>
          </w:p>
        </w:tc>
        <w:tc>
          <w:tcPr>
            <w:tcW w:w="4060" w:type="dxa"/>
            <w:vAlign w:val="center"/>
          </w:tcPr>
          <w:p w14:paraId="1D32E6F7" w14:textId="4D2A89E5" w:rsidR="00C1278C" w:rsidRPr="00D1358A" w:rsidRDefault="00C1278C" w:rsidP="006B1BCB">
            <w:pPr>
              <w:pStyle w:val="COMTabletext"/>
              <w:keepNext w:val="0"/>
              <w:rPr>
                <w:highlight w:val="yellow"/>
              </w:rPr>
            </w:pPr>
            <w:r w:rsidRPr="00D1358A">
              <w:t>This was considered uncertain, with no data presented in support of the estimated adherence rate in the incremental CKD population.</w:t>
            </w:r>
          </w:p>
        </w:tc>
      </w:tr>
    </w:tbl>
    <w:p w14:paraId="7C6B41E0" w14:textId="77777777" w:rsidR="00C1278C" w:rsidRPr="001153AC" w:rsidRDefault="00C1278C" w:rsidP="00C1278C">
      <w:pPr>
        <w:pStyle w:val="COMTablefooter"/>
      </w:pPr>
      <w:r w:rsidRPr="001153AC">
        <w:t>Source: Table 4.1, pp346-347 of the submission.</w:t>
      </w:r>
    </w:p>
    <w:p w14:paraId="39CB182D" w14:textId="77777777" w:rsidR="00C1278C" w:rsidRDefault="00C1278C" w:rsidP="00C1278C">
      <w:pPr>
        <w:pStyle w:val="COMTablefooter"/>
        <w:rPr>
          <w:rFonts w:eastAsiaTheme="minorEastAsia"/>
          <w:lang w:eastAsia="zh-CN"/>
        </w:rPr>
      </w:pPr>
      <w:r w:rsidRPr="001153AC">
        <w:t xml:space="preserve">Abbreviations: ABS, Australian Bureau of Statistics; AIHW, Australian Institute of Health and Welfare; CKD, chronic kidney disease; </w:t>
      </w:r>
      <w:proofErr w:type="spellStart"/>
      <w:r w:rsidRPr="001153AC">
        <w:t>HFrEF</w:t>
      </w:r>
      <w:proofErr w:type="spellEnd"/>
      <w:r w:rsidRPr="001153AC">
        <w:t xml:space="preserve">, heart failure with reduced ejection fraction; PSD, Public Summary Document; RRT, renal replacement therapy; SGLT2, sodium glucose cotransport-2; </w:t>
      </w:r>
      <w:r>
        <w:t>T2DM, type 2 diabetes mellitus; UACR</w:t>
      </w:r>
      <w:r w:rsidRPr="001153AC">
        <w:t xml:space="preserve">, urine </w:t>
      </w:r>
      <w:r>
        <w:t>albumin-creatinine</w:t>
      </w:r>
      <w:r w:rsidRPr="001153AC">
        <w:t xml:space="preserve"> ratio</w:t>
      </w:r>
    </w:p>
    <w:bookmarkStart w:id="54" w:name="_Ref198908764"/>
    <w:p w14:paraId="3F6B3C1B" w14:textId="3EFA10D0" w:rsidR="00C1278C" w:rsidRPr="00372509" w:rsidRDefault="00703E3A" w:rsidP="00C1278C">
      <w:pPr>
        <w:pStyle w:val="COMexecsummnumbered"/>
        <w:rPr>
          <w:color w:val="0066FF"/>
        </w:rPr>
      </w:pPr>
      <w:r>
        <w:rPr>
          <w:color w:val="000000" w:themeColor="text1"/>
        </w:rPr>
        <w:fldChar w:fldCharType="begin"/>
      </w:r>
      <w:r>
        <w:rPr>
          <w:color w:val="000000" w:themeColor="text1"/>
        </w:rPr>
        <w:instrText xml:space="preserve"> REF _Ref190712045 \h </w:instrText>
      </w:r>
      <w:r>
        <w:rPr>
          <w:color w:val="000000" w:themeColor="text1"/>
        </w:rPr>
      </w:r>
      <w:r>
        <w:rPr>
          <w:color w:val="000000" w:themeColor="text1"/>
        </w:rPr>
        <w:fldChar w:fldCharType="separate"/>
      </w:r>
      <w:r w:rsidR="004A7850" w:rsidRPr="0098262F">
        <w:t xml:space="preserve">Table </w:t>
      </w:r>
      <w:r w:rsidR="004A7850">
        <w:rPr>
          <w:noProof/>
        </w:rPr>
        <w:t>17</w:t>
      </w:r>
      <w:r>
        <w:rPr>
          <w:color w:val="000000" w:themeColor="text1"/>
        </w:rPr>
        <w:fldChar w:fldCharType="end"/>
      </w:r>
      <w:r w:rsidR="00C1278C">
        <w:rPr>
          <w:color w:val="000000" w:themeColor="text1"/>
        </w:rPr>
        <w:t xml:space="preserve"> </w:t>
      </w:r>
      <w:r w:rsidR="00C1278C">
        <w:t>summarises</w:t>
      </w:r>
      <w:r w:rsidR="00C1278C" w:rsidRPr="00BC010E">
        <w:t xml:space="preserve"> the estimated utilisation</w:t>
      </w:r>
      <w:r w:rsidR="00C1278C">
        <w:rPr>
          <w:rFonts w:eastAsiaTheme="minorEastAsia" w:hint="eastAsia"/>
          <w:lang w:eastAsia="zh-CN"/>
        </w:rPr>
        <w:t xml:space="preserve"> </w:t>
      </w:r>
      <w:r w:rsidR="00C1278C" w:rsidRPr="00BC010E">
        <w:t xml:space="preserve">and net cost to the PBS/RPBS of listing </w:t>
      </w:r>
      <w:r w:rsidR="00C1278C">
        <w:rPr>
          <w:rFonts w:eastAsiaTheme="minorEastAsia" w:hint="eastAsia"/>
          <w:lang w:eastAsia="zh-CN"/>
        </w:rPr>
        <w:t>e</w:t>
      </w:r>
      <w:r w:rsidR="00C1278C" w:rsidRPr="001153AC">
        <w:t>mpagliflozin</w:t>
      </w:r>
      <w:r w:rsidR="00C1278C" w:rsidRPr="00121AA3">
        <w:rPr>
          <w:rFonts w:eastAsiaTheme="minorEastAsia" w:hint="eastAsia"/>
          <w:lang w:eastAsia="zh-CN"/>
        </w:rPr>
        <w:t xml:space="preserve"> </w:t>
      </w:r>
      <w:r w:rsidR="00C1278C">
        <w:rPr>
          <w:rFonts w:eastAsiaTheme="minorEastAsia"/>
          <w:lang w:eastAsia="zh-CN"/>
        </w:rPr>
        <w:t xml:space="preserve">on the PBS/RPBS </w:t>
      </w:r>
      <w:r w:rsidR="00C1278C" w:rsidRPr="00A7535E">
        <w:rPr>
          <w:rFonts w:eastAsiaTheme="minorEastAsia"/>
          <w:lang w:eastAsia="zh-CN"/>
        </w:rPr>
        <w:t>for</w:t>
      </w:r>
      <w:r w:rsidR="00C1278C">
        <w:rPr>
          <w:rFonts w:eastAsiaTheme="minorEastAsia"/>
          <w:lang w:eastAsia="zh-CN"/>
        </w:rPr>
        <w:t xml:space="preserve"> the</w:t>
      </w:r>
      <w:r w:rsidR="00C1278C" w:rsidRPr="00A7535E">
        <w:rPr>
          <w:rFonts w:eastAsiaTheme="minorEastAsia"/>
          <w:lang w:eastAsia="zh-CN"/>
        </w:rPr>
        <w:t xml:space="preserve"> incremental CKD population</w:t>
      </w:r>
      <w:r w:rsidR="00C1278C" w:rsidRPr="00BC010E">
        <w:t>.</w:t>
      </w:r>
      <w:r w:rsidR="00C1278C">
        <w:t xml:space="preserve"> </w:t>
      </w:r>
      <w:r w:rsidR="00C1278C" w:rsidRPr="00372509">
        <w:t>Costs were based on 30 day dispensing and markups, incorporating the April 2025 price reduction</w:t>
      </w:r>
      <w:r w:rsidR="00C129B3">
        <w:t xml:space="preserve"> </w:t>
      </w:r>
      <w:r w:rsidR="00C129B3" w:rsidRPr="00372509">
        <w:t>(DPMQ $</w:t>
      </w:r>
      <w:r w:rsidR="0068560B">
        <w:t>55.41</w:t>
      </w:r>
      <w:r w:rsidR="00C129B3" w:rsidRPr="00372509">
        <w:t>)</w:t>
      </w:r>
      <w:r w:rsidR="00C1278C" w:rsidRPr="00372509">
        <w:t>.</w:t>
      </w:r>
      <w:r w:rsidR="00C129B3">
        <w:t xml:space="preserve"> </w:t>
      </w:r>
      <w:r w:rsidR="00FB5677">
        <w:t>The pre-PBAC response noted a</w:t>
      </w:r>
      <w:r w:rsidR="00FB5677" w:rsidRPr="00FB5677">
        <w:t xml:space="preserve">pplying the lower </w:t>
      </w:r>
      <w:r w:rsidR="00C36B03">
        <w:t xml:space="preserve">1 April 2025 </w:t>
      </w:r>
      <w:r w:rsidR="00FB5677" w:rsidRPr="00FB5677">
        <w:t>price result</w:t>
      </w:r>
      <w:r w:rsidR="00C36B03">
        <w:t>ed</w:t>
      </w:r>
      <w:r w:rsidR="00FB5677" w:rsidRPr="00FB5677">
        <w:t xml:space="preserve"> in net savings to the PBS of </w:t>
      </w:r>
      <w:r w:rsidR="00AC241F" w:rsidRPr="002E46AB">
        <w:rPr>
          <w:rFonts w:cstheme="minorHAnsi"/>
        </w:rPr>
        <w:t>$0 to &lt; $10 million</w:t>
      </w:r>
      <w:r w:rsidR="00FB5677" w:rsidRPr="00FB5677">
        <w:t xml:space="preserve"> in Year 1 increasing to </w:t>
      </w:r>
      <w:r w:rsidR="00AC241F" w:rsidRPr="002E46AB">
        <w:rPr>
          <w:rFonts w:cstheme="minorHAnsi"/>
        </w:rPr>
        <w:t>$0 to &lt; $10 million</w:t>
      </w:r>
      <w:r w:rsidR="00AC241F" w:rsidRPr="00FB5677" w:rsidDel="00AC241F">
        <w:t xml:space="preserve"> </w:t>
      </w:r>
      <w:r w:rsidR="00FB5677" w:rsidRPr="00FB5677">
        <w:t>in Year 6, which translates to total cumulative savings of $</w:t>
      </w:r>
      <w:r w:rsidR="00647F10">
        <w:rPr>
          <w:rFonts w:cstheme="minorHAnsi"/>
        </w:rPr>
        <w:t>1</w:t>
      </w:r>
      <w:r w:rsidR="00647F10" w:rsidRPr="002E46AB">
        <w:rPr>
          <w:rFonts w:cstheme="minorHAnsi"/>
        </w:rPr>
        <w:t>0 million to &lt; $</w:t>
      </w:r>
      <w:r w:rsidR="00647F10">
        <w:rPr>
          <w:rFonts w:cstheme="minorHAnsi"/>
        </w:rPr>
        <w:t>2</w:t>
      </w:r>
      <w:r w:rsidR="00647F10" w:rsidRPr="002E46AB">
        <w:rPr>
          <w:rFonts w:cstheme="minorHAnsi"/>
        </w:rPr>
        <w:t>0 million</w:t>
      </w:r>
      <w:r w:rsidR="00647F10" w:rsidRPr="00FB5677" w:rsidDel="00647F10">
        <w:t xml:space="preserve"> </w:t>
      </w:r>
      <w:r w:rsidR="00FB5677" w:rsidRPr="00FB5677">
        <w:t>to the PBS over the six-year period.</w:t>
      </w:r>
      <w:bookmarkEnd w:id="54"/>
    </w:p>
    <w:p w14:paraId="0FEDB5C6" w14:textId="62477777" w:rsidR="00C1278C" w:rsidRPr="0098262F" w:rsidRDefault="00C1278C" w:rsidP="00C1278C">
      <w:pPr>
        <w:pStyle w:val="COMtablefigcaption"/>
      </w:pPr>
      <w:bookmarkStart w:id="55" w:name="_Ref190712045"/>
      <w:r w:rsidRPr="0098262F">
        <w:t xml:space="preserve">Table </w:t>
      </w:r>
      <w:r w:rsidR="001154A7">
        <w:fldChar w:fldCharType="begin"/>
      </w:r>
      <w:r w:rsidR="001154A7">
        <w:instrText xml:space="preserve"> SEQ Table \* ARABIC </w:instrText>
      </w:r>
      <w:r w:rsidR="001154A7">
        <w:fldChar w:fldCharType="separate"/>
      </w:r>
      <w:r w:rsidR="004A7850">
        <w:rPr>
          <w:noProof/>
        </w:rPr>
        <w:t>17</w:t>
      </w:r>
      <w:r w:rsidR="001154A7">
        <w:rPr>
          <w:noProof/>
        </w:rPr>
        <w:fldChar w:fldCharType="end"/>
      </w:r>
      <w:bookmarkEnd w:id="55"/>
      <w:r w:rsidRPr="0098262F">
        <w:t>:</w:t>
      </w:r>
      <w:r w:rsidRPr="00FF3ECD">
        <w:t xml:space="preserve"> Estimated use and financial implications</w:t>
      </w:r>
      <w:r>
        <w:t xml:space="preserve"> of listing empagliflozin for the incremental CKD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C1278C" w:rsidRPr="0098262F" w14:paraId="1916ECB5" w14:textId="77777777" w:rsidTr="006B1BCB">
        <w:trPr>
          <w:tblHeader/>
        </w:trPr>
        <w:tc>
          <w:tcPr>
            <w:tcW w:w="1334" w:type="pct"/>
            <w:shd w:val="clear" w:color="auto" w:fill="auto"/>
            <w:vAlign w:val="center"/>
          </w:tcPr>
          <w:p w14:paraId="2D6317DD" w14:textId="77777777" w:rsidR="00C1278C" w:rsidRPr="0098262F" w:rsidRDefault="00C1278C" w:rsidP="006B1BCB">
            <w:pPr>
              <w:pStyle w:val="In-tableHeading"/>
              <w:jc w:val="center"/>
              <w:rPr>
                <w:lang w:val="en-AU"/>
              </w:rPr>
            </w:pPr>
          </w:p>
        </w:tc>
        <w:tc>
          <w:tcPr>
            <w:tcW w:w="611" w:type="pct"/>
            <w:shd w:val="clear" w:color="auto" w:fill="auto"/>
            <w:vAlign w:val="center"/>
          </w:tcPr>
          <w:p w14:paraId="4D975632" w14:textId="77777777" w:rsidR="00C1278C" w:rsidRPr="0098262F" w:rsidRDefault="00C1278C" w:rsidP="006B1BCB">
            <w:pPr>
              <w:pStyle w:val="COMTableheadingrow"/>
              <w:jc w:val="center"/>
            </w:pPr>
            <w:r w:rsidRPr="0098262F">
              <w:t>Year 1</w:t>
            </w:r>
          </w:p>
        </w:tc>
        <w:tc>
          <w:tcPr>
            <w:tcW w:w="611" w:type="pct"/>
            <w:shd w:val="clear" w:color="auto" w:fill="auto"/>
            <w:vAlign w:val="center"/>
          </w:tcPr>
          <w:p w14:paraId="41D29EFF" w14:textId="77777777" w:rsidR="00C1278C" w:rsidRPr="0098262F" w:rsidRDefault="00C1278C" w:rsidP="006B1BCB">
            <w:pPr>
              <w:pStyle w:val="COMTableheadingrow"/>
              <w:jc w:val="center"/>
            </w:pPr>
            <w:r w:rsidRPr="0098262F">
              <w:t>Year 2</w:t>
            </w:r>
          </w:p>
        </w:tc>
        <w:tc>
          <w:tcPr>
            <w:tcW w:w="611" w:type="pct"/>
            <w:shd w:val="clear" w:color="auto" w:fill="auto"/>
            <w:vAlign w:val="center"/>
          </w:tcPr>
          <w:p w14:paraId="482A6684" w14:textId="77777777" w:rsidR="00C1278C" w:rsidRPr="0098262F" w:rsidRDefault="00C1278C" w:rsidP="006B1BCB">
            <w:pPr>
              <w:pStyle w:val="COMTableheadingrow"/>
              <w:jc w:val="center"/>
            </w:pPr>
            <w:r w:rsidRPr="0098262F">
              <w:t>Year 3</w:t>
            </w:r>
          </w:p>
        </w:tc>
        <w:tc>
          <w:tcPr>
            <w:tcW w:w="611" w:type="pct"/>
            <w:shd w:val="clear" w:color="auto" w:fill="auto"/>
            <w:vAlign w:val="center"/>
          </w:tcPr>
          <w:p w14:paraId="1DABB38A" w14:textId="77777777" w:rsidR="00C1278C" w:rsidRPr="0098262F" w:rsidRDefault="00C1278C" w:rsidP="006B1BCB">
            <w:pPr>
              <w:pStyle w:val="COMTableheadingrow"/>
              <w:jc w:val="center"/>
            </w:pPr>
            <w:r w:rsidRPr="0098262F">
              <w:t>Year 4</w:t>
            </w:r>
          </w:p>
        </w:tc>
        <w:tc>
          <w:tcPr>
            <w:tcW w:w="611" w:type="pct"/>
            <w:shd w:val="clear" w:color="auto" w:fill="auto"/>
            <w:vAlign w:val="center"/>
          </w:tcPr>
          <w:p w14:paraId="5F1389F3" w14:textId="77777777" w:rsidR="00C1278C" w:rsidRPr="0098262F" w:rsidRDefault="00C1278C" w:rsidP="006B1BCB">
            <w:pPr>
              <w:pStyle w:val="COMTableheadingrow"/>
              <w:jc w:val="center"/>
            </w:pPr>
            <w:r w:rsidRPr="0098262F">
              <w:t>Year 5</w:t>
            </w:r>
          </w:p>
        </w:tc>
        <w:tc>
          <w:tcPr>
            <w:tcW w:w="611" w:type="pct"/>
          </w:tcPr>
          <w:p w14:paraId="0BA020CC" w14:textId="77777777" w:rsidR="00C1278C" w:rsidRPr="0098262F" w:rsidRDefault="00C1278C" w:rsidP="006B1BCB">
            <w:pPr>
              <w:pStyle w:val="COMTableheadingrow"/>
              <w:jc w:val="center"/>
            </w:pPr>
            <w:r w:rsidRPr="0098262F">
              <w:t>Year 6</w:t>
            </w:r>
          </w:p>
        </w:tc>
      </w:tr>
      <w:tr w:rsidR="00C1278C" w:rsidRPr="0098262F" w14:paraId="0CC6FE8F" w14:textId="77777777" w:rsidTr="006B1BCB">
        <w:tc>
          <w:tcPr>
            <w:tcW w:w="1334" w:type="pct"/>
            <w:shd w:val="clear" w:color="auto" w:fill="auto"/>
            <w:vAlign w:val="center"/>
          </w:tcPr>
          <w:p w14:paraId="1F8390E1" w14:textId="77777777" w:rsidR="00C1278C" w:rsidRPr="00A763DA" w:rsidRDefault="00C1278C" w:rsidP="006B1BCB">
            <w:pPr>
              <w:pStyle w:val="COMTabletext"/>
            </w:pPr>
            <w:r w:rsidRPr="00A763DA">
              <w:t>Number of eligible patients</w:t>
            </w:r>
          </w:p>
        </w:tc>
        <w:tc>
          <w:tcPr>
            <w:tcW w:w="611" w:type="pct"/>
            <w:shd w:val="clear" w:color="auto" w:fill="auto"/>
            <w:vAlign w:val="center"/>
          </w:tcPr>
          <w:p w14:paraId="1559D943" w14:textId="75632829" w:rsidR="00C1278C" w:rsidRPr="00D90BAF" w:rsidRDefault="003A33AB" w:rsidP="006B1BCB">
            <w:pPr>
              <w:pStyle w:val="TableText"/>
              <w:jc w:val="center"/>
              <w:rPr>
                <w:highlight w:val="darkGray"/>
              </w:rPr>
            </w:pPr>
            <w:r w:rsidRPr="003A33AB">
              <w:rPr>
                <w:color w:val="000000"/>
                <w:spacing w:val="53"/>
                <w:szCs w:val="20"/>
                <w:shd w:val="solid" w:color="000000" w:fill="000000"/>
                <w:fitText w:val="330" w:id="-663469305"/>
                <w14:textFill>
                  <w14:solidFill>
                    <w14:srgbClr w14:val="000000">
                      <w14:alpha w14:val="100000"/>
                    </w14:srgbClr>
                  </w14:solidFill>
                </w14:textFill>
              </w:rPr>
              <w:t>|||</w:t>
            </w:r>
            <w:r w:rsidRPr="003A33AB">
              <w:rPr>
                <w:color w:val="000000"/>
                <w:spacing w:val="1"/>
                <w:szCs w:val="20"/>
                <w:shd w:val="solid" w:color="000000" w:fill="000000"/>
                <w:fitText w:val="330" w:id="-663469305"/>
                <w14:textFill>
                  <w14:solidFill>
                    <w14:srgbClr w14:val="000000">
                      <w14:alpha w14:val="100000"/>
                    </w14:srgbClr>
                  </w14:solidFill>
                </w14:textFill>
              </w:rPr>
              <w:t>|</w:t>
            </w:r>
            <w:r w:rsidR="00222A38" w:rsidRPr="00D90BAF">
              <w:rPr>
                <w:rFonts w:cstheme="minorHAnsi"/>
                <w:szCs w:val="20"/>
                <w:vertAlign w:val="superscript"/>
              </w:rPr>
              <w:t>10</w:t>
            </w:r>
          </w:p>
        </w:tc>
        <w:tc>
          <w:tcPr>
            <w:tcW w:w="611" w:type="pct"/>
            <w:shd w:val="clear" w:color="auto" w:fill="auto"/>
            <w:vAlign w:val="center"/>
          </w:tcPr>
          <w:p w14:paraId="32F0AACB" w14:textId="10C628C7" w:rsidR="00C1278C" w:rsidRPr="00D90BAF" w:rsidRDefault="003A33AB" w:rsidP="006B1BCB">
            <w:pPr>
              <w:pStyle w:val="TableText"/>
              <w:jc w:val="center"/>
              <w:rPr>
                <w:highlight w:val="darkGray"/>
              </w:rPr>
            </w:pPr>
            <w:r w:rsidRPr="003A33AB">
              <w:rPr>
                <w:color w:val="000000"/>
                <w:spacing w:val="53"/>
                <w:szCs w:val="20"/>
                <w:shd w:val="solid" w:color="000000" w:fill="000000"/>
                <w:fitText w:val="330" w:id="-663469304"/>
                <w14:textFill>
                  <w14:solidFill>
                    <w14:srgbClr w14:val="000000">
                      <w14:alpha w14:val="100000"/>
                    </w14:srgbClr>
                  </w14:solidFill>
                </w14:textFill>
              </w:rPr>
              <w:t>|||</w:t>
            </w:r>
            <w:r w:rsidRPr="003A33AB">
              <w:rPr>
                <w:color w:val="000000"/>
                <w:spacing w:val="1"/>
                <w:szCs w:val="20"/>
                <w:shd w:val="solid" w:color="000000" w:fill="000000"/>
                <w:fitText w:val="330" w:id="-663469304"/>
                <w14:textFill>
                  <w14:solidFill>
                    <w14:srgbClr w14:val="000000">
                      <w14:alpha w14:val="100000"/>
                    </w14:srgbClr>
                  </w14:solidFill>
                </w14:textFill>
              </w:rPr>
              <w:t>|</w:t>
            </w:r>
            <w:r w:rsidR="00222A38" w:rsidRPr="00D90BAF">
              <w:rPr>
                <w:rFonts w:cstheme="minorHAnsi"/>
                <w:szCs w:val="20"/>
                <w:vertAlign w:val="superscript"/>
              </w:rPr>
              <w:t>10</w:t>
            </w:r>
          </w:p>
        </w:tc>
        <w:tc>
          <w:tcPr>
            <w:tcW w:w="611" w:type="pct"/>
            <w:shd w:val="clear" w:color="auto" w:fill="auto"/>
            <w:vAlign w:val="center"/>
          </w:tcPr>
          <w:p w14:paraId="55D50436" w14:textId="7F0D6325" w:rsidR="00C1278C" w:rsidRPr="00D90BAF" w:rsidRDefault="003A33AB" w:rsidP="006B1BCB">
            <w:pPr>
              <w:pStyle w:val="TableText"/>
              <w:jc w:val="center"/>
              <w:rPr>
                <w:highlight w:val="darkGray"/>
              </w:rPr>
            </w:pPr>
            <w:r w:rsidRPr="003A33AB">
              <w:rPr>
                <w:color w:val="000000"/>
                <w:spacing w:val="53"/>
                <w:szCs w:val="20"/>
                <w:shd w:val="solid" w:color="000000" w:fill="000000"/>
                <w:fitText w:val="330" w:id="-663469303"/>
                <w14:textFill>
                  <w14:solidFill>
                    <w14:srgbClr w14:val="000000">
                      <w14:alpha w14:val="100000"/>
                    </w14:srgbClr>
                  </w14:solidFill>
                </w14:textFill>
              </w:rPr>
              <w:t>|||</w:t>
            </w:r>
            <w:r w:rsidRPr="003A33AB">
              <w:rPr>
                <w:color w:val="000000"/>
                <w:spacing w:val="1"/>
                <w:szCs w:val="20"/>
                <w:shd w:val="solid" w:color="000000" w:fill="000000"/>
                <w:fitText w:val="330" w:id="-663469303"/>
                <w14:textFill>
                  <w14:solidFill>
                    <w14:srgbClr w14:val="000000">
                      <w14:alpha w14:val="100000"/>
                    </w14:srgbClr>
                  </w14:solidFill>
                </w14:textFill>
              </w:rPr>
              <w:t>|</w:t>
            </w:r>
            <w:r w:rsidR="00D90BAF" w:rsidRPr="00D90BAF">
              <w:rPr>
                <w:rFonts w:cstheme="minorHAnsi"/>
                <w:szCs w:val="20"/>
                <w:vertAlign w:val="superscript"/>
              </w:rPr>
              <w:t>11</w:t>
            </w:r>
          </w:p>
        </w:tc>
        <w:tc>
          <w:tcPr>
            <w:tcW w:w="611" w:type="pct"/>
            <w:shd w:val="clear" w:color="auto" w:fill="auto"/>
            <w:vAlign w:val="center"/>
          </w:tcPr>
          <w:p w14:paraId="680F7CFB" w14:textId="51705116" w:rsidR="00C1278C" w:rsidRPr="00D90BAF" w:rsidRDefault="003A33AB" w:rsidP="006B1BCB">
            <w:pPr>
              <w:pStyle w:val="TableText"/>
              <w:jc w:val="center"/>
              <w:rPr>
                <w:highlight w:val="darkGray"/>
              </w:rPr>
            </w:pPr>
            <w:r w:rsidRPr="003A33AB">
              <w:rPr>
                <w:color w:val="000000"/>
                <w:spacing w:val="53"/>
                <w:szCs w:val="20"/>
                <w:shd w:val="solid" w:color="000000" w:fill="000000"/>
                <w:fitText w:val="330" w:id="-663469302"/>
                <w14:textFill>
                  <w14:solidFill>
                    <w14:srgbClr w14:val="000000">
                      <w14:alpha w14:val="100000"/>
                    </w14:srgbClr>
                  </w14:solidFill>
                </w14:textFill>
              </w:rPr>
              <w:t>|||</w:t>
            </w:r>
            <w:r w:rsidRPr="003A33AB">
              <w:rPr>
                <w:color w:val="000000"/>
                <w:spacing w:val="1"/>
                <w:szCs w:val="20"/>
                <w:shd w:val="solid" w:color="000000" w:fill="000000"/>
                <w:fitText w:val="330" w:id="-663469302"/>
                <w14:textFill>
                  <w14:solidFill>
                    <w14:srgbClr w14:val="000000">
                      <w14:alpha w14:val="100000"/>
                    </w14:srgbClr>
                  </w14:solidFill>
                </w14:textFill>
              </w:rPr>
              <w:t>|</w:t>
            </w:r>
            <w:r w:rsidR="00D56899" w:rsidRPr="00D90BAF">
              <w:rPr>
                <w:rFonts w:cstheme="minorHAnsi"/>
                <w:szCs w:val="20"/>
                <w:vertAlign w:val="superscript"/>
              </w:rPr>
              <w:t>1</w:t>
            </w:r>
            <w:r w:rsidR="00D56899">
              <w:rPr>
                <w:rFonts w:cstheme="minorHAnsi"/>
                <w:szCs w:val="20"/>
                <w:vertAlign w:val="superscript"/>
              </w:rPr>
              <w:t>2</w:t>
            </w:r>
          </w:p>
        </w:tc>
        <w:tc>
          <w:tcPr>
            <w:tcW w:w="611" w:type="pct"/>
            <w:shd w:val="clear" w:color="auto" w:fill="auto"/>
            <w:vAlign w:val="center"/>
          </w:tcPr>
          <w:p w14:paraId="353AA292" w14:textId="4EC4AFD1" w:rsidR="00C1278C" w:rsidRPr="00D90BAF" w:rsidRDefault="003A33AB" w:rsidP="006B1BCB">
            <w:pPr>
              <w:pStyle w:val="TableText"/>
              <w:jc w:val="center"/>
              <w:rPr>
                <w:highlight w:val="darkGray"/>
              </w:rPr>
            </w:pPr>
            <w:r w:rsidRPr="003A33AB">
              <w:rPr>
                <w:color w:val="000000"/>
                <w:spacing w:val="53"/>
                <w:szCs w:val="20"/>
                <w:shd w:val="solid" w:color="000000" w:fill="000000"/>
                <w:fitText w:val="330" w:id="-663469301"/>
                <w14:textFill>
                  <w14:solidFill>
                    <w14:srgbClr w14:val="000000">
                      <w14:alpha w14:val="100000"/>
                    </w14:srgbClr>
                  </w14:solidFill>
                </w14:textFill>
              </w:rPr>
              <w:t>|||</w:t>
            </w:r>
            <w:r w:rsidRPr="003A33AB">
              <w:rPr>
                <w:color w:val="000000"/>
                <w:spacing w:val="1"/>
                <w:szCs w:val="20"/>
                <w:shd w:val="solid" w:color="000000" w:fill="000000"/>
                <w:fitText w:val="330" w:id="-663469301"/>
                <w14:textFill>
                  <w14:solidFill>
                    <w14:srgbClr w14:val="000000">
                      <w14:alpha w14:val="100000"/>
                    </w14:srgbClr>
                  </w14:solidFill>
                </w14:textFill>
              </w:rPr>
              <w:t>|</w:t>
            </w:r>
            <w:r w:rsidR="00D56899" w:rsidRPr="00D90BAF">
              <w:rPr>
                <w:rFonts w:cstheme="minorHAnsi"/>
                <w:szCs w:val="20"/>
                <w:vertAlign w:val="superscript"/>
              </w:rPr>
              <w:t>1</w:t>
            </w:r>
            <w:r w:rsidR="00D56899">
              <w:rPr>
                <w:rFonts w:cstheme="minorHAnsi"/>
                <w:szCs w:val="20"/>
                <w:vertAlign w:val="superscript"/>
              </w:rPr>
              <w:t>2</w:t>
            </w:r>
          </w:p>
        </w:tc>
        <w:tc>
          <w:tcPr>
            <w:tcW w:w="611" w:type="pct"/>
            <w:vAlign w:val="center"/>
          </w:tcPr>
          <w:p w14:paraId="257B7868" w14:textId="355BFA6A" w:rsidR="00C1278C" w:rsidRPr="00D90BAF" w:rsidRDefault="003A33AB" w:rsidP="006B1BCB">
            <w:pPr>
              <w:pStyle w:val="TableText"/>
              <w:jc w:val="center"/>
              <w:rPr>
                <w:highlight w:val="darkGray"/>
              </w:rPr>
            </w:pPr>
            <w:r w:rsidRPr="003A33AB">
              <w:rPr>
                <w:color w:val="000000"/>
                <w:spacing w:val="53"/>
                <w:szCs w:val="20"/>
                <w:shd w:val="solid" w:color="000000" w:fill="000000"/>
                <w:fitText w:val="330" w:id="-663469300"/>
                <w14:textFill>
                  <w14:solidFill>
                    <w14:srgbClr w14:val="000000">
                      <w14:alpha w14:val="100000"/>
                    </w14:srgbClr>
                  </w14:solidFill>
                </w14:textFill>
              </w:rPr>
              <w:t>|||</w:t>
            </w:r>
            <w:r w:rsidRPr="003A33AB">
              <w:rPr>
                <w:color w:val="000000"/>
                <w:spacing w:val="1"/>
                <w:szCs w:val="20"/>
                <w:shd w:val="solid" w:color="000000" w:fill="000000"/>
                <w:fitText w:val="330" w:id="-663469300"/>
                <w14:textFill>
                  <w14:solidFill>
                    <w14:srgbClr w14:val="000000">
                      <w14:alpha w14:val="100000"/>
                    </w14:srgbClr>
                  </w14:solidFill>
                </w14:textFill>
              </w:rPr>
              <w:t>|</w:t>
            </w:r>
            <w:r w:rsidR="0058166B" w:rsidRPr="00D90BAF">
              <w:rPr>
                <w:rFonts w:cstheme="minorHAnsi"/>
                <w:szCs w:val="20"/>
                <w:vertAlign w:val="superscript"/>
              </w:rPr>
              <w:t>1</w:t>
            </w:r>
            <w:r w:rsidR="0058166B">
              <w:rPr>
                <w:rFonts w:cstheme="minorHAnsi"/>
                <w:szCs w:val="20"/>
                <w:vertAlign w:val="superscript"/>
              </w:rPr>
              <w:t>3</w:t>
            </w:r>
          </w:p>
        </w:tc>
      </w:tr>
      <w:tr w:rsidR="00C1278C" w:rsidRPr="0098262F" w14:paraId="4FA3F140" w14:textId="77777777" w:rsidTr="006B1BCB">
        <w:tc>
          <w:tcPr>
            <w:tcW w:w="1334" w:type="pct"/>
            <w:shd w:val="clear" w:color="auto" w:fill="B8CCE4" w:themeFill="accent1" w:themeFillTint="66"/>
            <w:vAlign w:val="center"/>
          </w:tcPr>
          <w:p w14:paraId="49206015" w14:textId="77777777" w:rsidR="00C1278C" w:rsidRPr="0098262F" w:rsidRDefault="00C1278C" w:rsidP="006B1BCB">
            <w:pPr>
              <w:pStyle w:val="COMTabletext"/>
            </w:pPr>
            <w:r>
              <w:rPr>
                <w:szCs w:val="20"/>
              </w:rPr>
              <w:t>November 2023 submission eligible population</w:t>
            </w:r>
          </w:p>
        </w:tc>
        <w:tc>
          <w:tcPr>
            <w:tcW w:w="611" w:type="pct"/>
            <w:shd w:val="clear" w:color="auto" w:fill="B8CCE4" w:themeFill="accent1" w:themeFillTint="66"/>
            <w:vAlign w:val="center"/>
          </w:tcPr>
          <w:p w14:paraId="7A12DEF1" w14:textId="23A6830A"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299"/>
                <w14:textFill>
                  <w14:solidFill>
                    <w14:srgbClr w14:val="000000">
                      <w14:alpha w14:val="100000"/>
                    </w14:srgbClr>
                  </w14:solidFill>
                </w14:textFill>
              </w:rPr>
              <w:t>|||</w:t>
            </w:r>
            <w:r w:rsidRPr="003A33AB">
              <w:rPr>
                <w:color w:val="000000"/>
                <w:spacing w:val="1"/>
                <w:shd w:val="solid" w:color="000000" w:fill="000000"/>
                <w:fitText w:val="330" w:id="-663469299"/>
                <w14:textFill>
                  <w14:solidFill>
                    <w14:srgbClr w14:val="000000">
                      <w14:alpha w14:val="100000"/>
                    </w14:srgbClr>
                  </w14:solidFill>
                </w14:textFill>
              </w:rPr>
              <w:t>|</w:t>
            </w:r>
            <w:r w:rsidR="00D90BAF" w:rsidRPr="00D90BAF">
              <w:rPr>
                <w:rFonts w:cstheme="minorHAnsi"/>
                <w:szCs w:val="20"/>
                <w:vertAlign w:val="superscript"/>
              </w:rPr>
              <w:t>9</w:t>
            </w:r>
          </w:p>
        </w:tc>
        <w:tc>
          <w:tcPr>
            <w:tcW w:w="611" w:type="pct"/>
            <w:shd w:val="clear" w:color="auto" w:fill="B8CCE4" w:themeFill="accent1" w:themeFillTint="66"/>
            <w:vAlign w:val="center"/>
          </w:tcPr>
          <w:p w14:paraId="40FFB12C" w14:textId="7C1BD11C"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298"/>
                <w14:textFill>
                  <w14:solidFill>
                    <w14:srgbClr w14:val="000000">
                      <w14:alpha w14:val="100000"/>
                    </w14:srgbClr>
                  </w14:solidFill>
                </w14:textFill>
              </w:rPr>
              <w:t>|||</w:t>
            </w:r>
            <w:r w:rsidRPr="003A33AB">
              <w:rPr>
                <w:color w:val="000000"/>
                <w:spacing w:val="1"/>
                <w:shd w:val="solid" w:color="000000" w:fill="000000"/>
                <w:fitText w:val="330" w:id="-663469298"/>
                <w14:textFill>
                  <w14:solidFill>
                    <w14:srgbClr w14:val="000000">
                      <w14:alpha w14:val="100000"/>
                    </w14:srgbClr>
                  </w14:solidFill>
                </w14:textFill>
              </w:rPr>
              <w:t>|</w:t>
            </w:r>
            <w:r w:rsidR="00D90BAF" w:rsidRPr="00D90BAF">
              <w:rPr>
                <w:rFonts w:cstheme="minorHAnsi"/>
                <w:szCs w:val="20"/>
                <w:vertAlign w:val="superscript"/>
              </w:rPr>
              <w:t>9</w:t>
            </w:r>
          </w:p>
        </w:tc>
        <w:tc>
          <w:tcPr>
            <w:tcW w:w="611" w:type="pct"/>
            <w:shd w:val="clear" w:color="auto" w:fill="B8CCE4" w:themeFill="accent1" w:themeFillTint="66"/>
            <w:vAlign w:val="center"/>
          </w:tcPr>
          <w:p w14:paraId="2C3CB4EF" w14:textId="0892445F"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297"/>
                <w14:textFill>
                  <w14:solidFill>
                    <w14:srgbClr w14:val="000000">
                      <w14:alpha w14:val="100000"/>
                    </w14:srgbClr>
                  </w14:solidFill>
                </w14:textFill>
              </w:rPr>
              <w:t>|||</w:t>
            </w:r>
            <w:r w:rsidRPr="003A33AB">
              <w:rPr>
                <w:color w:val="000000"/>
                <w:spacing w:val="1"/>
                <w:shd w:val="solid" w:color="000000" w:fill="000000"/>
                <w:fitText w:val="330" w:id="-663469297"/>
                <w14:textFill>
                  <w14:solidFill>
                    <w14:srgbClr w14:val="000000">
                      <w14:alpha w14:val="100000"/>
                    </w14:srgbClr>
                  </w14:solidFill>
                </w14:textFill>
              </w:rPr>
              <w:t>|</w:t>
            </w:r>
            <w:r w:rsidR="00222A38" w:rsidRPr="00D90BAF">
              <w:rPr>
                <w:rFonts w:cstheme="minorHAnsi"/>
                <w:szCs w:val="20"/>
                <w:vertAlign w:val="superscript"/>
              </w:rPr>
              <w:t>10</w:t>
            </w:r>
          </w:p>
        </w:tc>
        <w:tc>
          <w:tcPr>
            <w:tcW w:w="611" w:type="pct"/>
            <w:shd w:val="clear" w:color="auto" w:fill="B8CCE4" w:themeFill="accent1" w:themeFillTint="66"/>
            <w:vAlign w:val="center"/>
          </w:tcPr>
          <w:p w14:paraId="2FF60766" w14:textId="19987BF3"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56"/>
                <w14:textFill>
                  <w14:solidFill>
                    <w14:srgbClr w14:val="000000">
                      <w14:alpha w14:val="100000"/>
                    </w14:srgbClr>
                  </w14:solidFill>
                </w14:textFill>
              </w:rPr>
              <w:t>|||</w:t>
            </w:r>
            <w:r w:rsidRPr="003A33AB">
              <w:rPr>
                <w:color w:val="000000"/>
                <w:spacing w:val="1"/>
                <w:shd w:val="solid" w:color="000000" w:fill="000000"/>
                <w:fitText w:val="330" w:id="-663469056"/>
                <w14:textFill>
                  <w14:solidFill>
                    <w14:srgbClr w14:val="000000">
                      <w14:alpha w14:val="100000"/>
                    </w14:srgbClr>
                  </w14:solidFill>
                </w14:textFill>
              </w:rPr>
              <w:t>|</w:t>
            </w:r>
            <w:r w:rsidR="00D90BAF" w:rsidRPr="00D90BAF">
              <w:rPr>
                <w:rFonts w:cstheme="minorHAnsi"/>
                <w:szCs w:val="20"/>
                <w:vertAlign w:val="superscript"/>
              </w:rPr>
              <w:t>11</w:t>
            </w:r>
          </w:p>
        </w:tc>
        <w:tc>
          <w:tcPr>
            <w:tcW w:w="611" w:type="pct"/>
            <w:shd w:val="clear" w:color="auto" w:fill="B8CCE4" w:themeFill="accent1" w:themeFillTint="66"/>
            <w:vAlign w:val="center"/>
          </w:tcPr>
          <w:p w14:paraId="0C868DFA" w14:textId="77CAC506"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55"/>
                <w14:textFill>
                  <w14:solidFill>
                    <w14:srgbClr w14:val="000000">
                      <w14:alpha w14:val="100000"/>
                    </w14:srgbClr>
                  </w14:solidFill>
                </w14:textFill>
              </w:rPr>
              <w:t>|||</w:t>
            </w:r>
            <w:r w:rsidRPr="003A33AB">
              <w:rPr>
                <w:color w:val="000000"/>
                <w:spacing w:val="1"/>
                <w:shd w:val="solid" w:color="000000" w:fill="000000"/>
                <w:fitText w:val="330" w:id="-663469055"/>
                <w14:textFill>
                  <w14:solidFill>
                    <w14:srgbClr w14:val="000000">
                      <w14:alpha w14:val="100000"/>
                    </w14:srgbClr>
                  </w14:solidFill>
                </w14:textFill>
              </w:rPr>
              <w:t>|</w:t>
            </w:r>
            <w:r w:rsidR="00D90BAF" w:rsidRPr="00D90BAF">
              <w:rPr>
                <w:rFonts w:cstheme="minorHAnsi"/>
                <w:szCs w:val="20"/>
                <w:vertAlign w:val="superscript"/>
              </w:rPr>
              <w:t>11</w:t>
            </w:r>
          </w:p>
        </w:tc>
        <w:tc>
          <w:tcPr>
            <w:tcW w:w="611" w:type="pct"/>
            <w:shd w:val="clear" w:color="auto" w:fill="B8CCE4" w:themeFill="accent1" w:themeFillTint="66"/>
            <w:vAlign w:val="center"/>
          </w:tcPr>
          <w:p w14:paraId="210172F5" w14:textId="4FF39016"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54"/>
                <w14:textFill>
                  <w14:solidFill>
                    <w14:srgbClr w14:val="000000">
                      <w14:alpha w14:val="100000"/>
                    </w14:srgbClr>
                  </w14:solidFill>
                </w14:textFill>
              </w:rPr>
              <w:t>|||</w:t>
            </w:r>
            <w:r w:rsidRPr="003A33AB">
              <w:rPr>
                <w:color w:val="000000"/>
                <w:spacing w:val="1"/>
                <w:shd w:val="solid" w:color="000000" w:fill="000000"/>
                <w:fitText w:val="330" w:id="-663469054"/>
                <w14:textFill>
                  <w14:solidFill>
                    <w14:srgbClr w14:val="000000">
                      <w14:alpha w14:val="100000"/>
                    </w14:srgbClr>
                  </w14:solidFill>
                </w14:textFill>
              </w:rPr>
              <w:t>|</w:t>
            </w:r>
            <w:r w:rsidR="00D56899" w:rsidRPr="00D90BAF">
              <w:rPr>
                <w:rFonts w:cstheme="minorHAnsi"/>
                <w:szCs w:val="20"/>
                <w:vertAlign w:val="superscript"/>
              </w:rPr>
              <w:t>1</w:t>
            </w:r>
            <w:r w:rsidR="00D56899">
              <w:rPr>
                <w:rFonts w:cstheme="minorHAnsi"/>
                <w:szCs w:val="20"/>
                <w:vertAlign w:val="superscript"/>
              </w:rPr>
              <w:t>2</w:t>
            </w:r>
          </w:p>
        </w:tc>
      </w:tr>
      <w:tr w:rsidR="00C1278C" w:rsidRPr="0098262F" w14:paraId="0E76E026" w14:textId="77777777" w:rsidTr="006B1BCB">
        <w:tc>
          <w:tcPr>
            <w:tcW w:w="1334" w:type="pct"/>
            <w:shd w:val="clear" w:color="auto" w:fill="auto"/>
            <w:vAlign w:val="center"/>
          </w:tcPr>
          <w:p w14:paraId="5F6B12B1" w14:textId="77777777" w:rsidR="00C1278C" w:rsidRPr="0098262F" w:rsidRDefault="00C1278C" w:rsidP="006B1BCB">
            <w:pPr>
              <w:pStyle w:val="COMTabletext"/>
            </w:pPr>
            <w:r w:rsidRPr="0098262F">
              <w:t>Number of patients treated</w:t>
            </w:r>
          </w:p>
        </w:tc>
        <w:tc>
          <w:tcPr>
            <w:tcW w:w="611" w:type="pct"/>
            <w:shd w:val="clear" w:color="auto" w:fill="auto"/>
            <w:vAlign w:val="center"/>
          </w:tcPr>
          <w:p w14:paraId="29B90677" w14:textId="19511F17" w:rsidR="00C1278C" w:rsidRPr="00D90BAF" w:rsidRDefault="003A33AB" w:rsidP="006B1BCB">
            <w:pPr>
              <w:pStyle w:val="TableText"/>
              <w:jc w:val="center"/>
              <w:rPr>
                <w:szCs w:val="20"/>
                <w:highlight w:val="darkGray"/>
              </w:rPr>
            </w:pPr>
            <w:r w:rsidRPr="003A33AB">
              <w:rPr>
                <w:color w:val="000000"/>
                <w:spacing w:val="53"/>
                <w:szCs w:val="20"/>
                <w:shd w:val="solid" w:color="000000" w:fill="000000"/>
                <w:fitText w:val="330" w:id="-663469053"/>
                <w14:textFill>
                  <w14:solidFill>
                    <w14:srgbClr w14:val="000000">
                      <w14:alpha w14:val="100000"/>
                    </w14:srgbClr>
                  </w14:solidFill>
                </w14:textFill>
              </w:rPr>
              <w:t>|||</w:t>
            </w:r>
            <w:r w:rsidRPr="003A33AB">
              <w:rPr>
                <w:color w:val="000000"/>
                <w:spacing w:val="1"/>
                <w:szCs w:val="20"/>
                <w:shd w:val="solid" w:color="000000" w:fill="000000"/>
                <w:fitText w:val="330" w:id="-663469053"/>
                <w14:textFill>
                  <w14:solidFill>
                    <w14:srgbClr w14:val="000000">
                      <w14:alpha w14:val="100000"/>
                    </w14:srgbClr>
                  </w14:solidFill>
                </w14:textFill>
              </w:rPr>
              <w:t>|</w:t>
            </w:r>
            <w:r w:rsidR="000C1AE7" w:rsidRPr="00D90BAF">
              <w:rPr>
                <w:rFonts w:cstheme="minorHAnsi"/>
                <w:szCs w:val="20"/>
                <w:vertAlign w:val="superscript"/>
              </w:rPr>
              <w:t>8</w:t>
            </w:r>
          </w:p>
        </w:tc>
        <w:tc>
          <w:tcPr>
            <w:tcW w:w="611" w:type="pct"/>
            <w:shd w:val="clear" w:color="auto" w:fill="auto"/>
            <w:vAlign w:val="center"/>
          </w:tcPr>
          <w:p w14:paraId="3A39C7DE" w14:textId="2EEF91CF" w:rsidR="00C1278C" w:rsidRPr="00D90BAF" w:rsidRDefault="003A33AB" w:rsidP="006B1BCB">
            <w:pPr>
              <w:pStyle w:val="TableText"/>
              <w:jc w:val="center"/>
              <w:rPr>
                <w:szCs w:val="20"/>
                <w:highlight w:val="darkGray"/>
              </w:rPr>
            </w:pPr>
            <w:r w:rsidRPr="003A33AB">
              <w:rPr>
                <w:color w:val="000000"/>
                <w:spacing w:val="53"/>
                <w:szCs w:val="20"/>
                <w:shd w:val="solid" w:color="000000" w:fill="000000"/>
                <w:fitText w:val="330" w:id="-663469052"/>
                <w14:textFill>
                  <w14:solidFill>
                    <w14:srgbClr w14:val="000000">
                      <w14:alpha w14:val="100000"/>
                    </w14:srgbClr>
                  </w14:solidFill>
                </w14:textFill>
              </w:rPr>
              <w:t>|||</w:t>
            </w:r>
            <w:r w:rsidRPr="003A33AB">
              <w:rPr>
                <w:color w:val="000000"/>
                <w:spacing w:val="1"/>
                <w:szCs w:val="20"/>
                <w:shd w:val="solid" w:color="000000" w:fill="000000"/>
                <w:fitText w:val="330" w:id="-663469052"/>
                <w14:textFill>
                  <w14:solidFill>
                    <w14:srgbClr w14:val="000000">
                      <w14:alpha w14:val="100000"/>
                    </w14:srgbClr>
                  </w14:solidFill>
                </w14:textFill>
              </w:rPr>
              <w:t>|</w:t>
            </w:r>
            <w:r w:rsidR="00D90BAF" w:rsidRPr="00D90BAF">
              <w:rPr>
                <w:rFonts w:cstheme="minorHAnsi"/>
                <w:szCs w:val="20"/>
                <w:vertAlign w:val="superscript"/>
              </w:rPr>
              <w:t>9</w:t>
            </w:r>
          </w:p>
        </w:tc>
        <w:tc>
          <w:tcPr>
            <w:tcW w:w="611" w:type="pct"/>
            <w:shd w:val="clear" w:color="auto" w:fill="auto"/>
            <w:vAlign w:val="center"/>
          </w:tcPr>
          <w:p w14:paraId="55B551CF" w14:textId="67BDA0A6" w:rsidR="00C1278C" w:rsidRPr="00D90BAF" w:rsidRDefault="003A33AB" w:rsidP="006B1BCB">
            <w:pPr>
              <w:pStyle w:val="TableText"/>
              <w:jc w:val="center"/>
              <w:rPr>
                <w:szCs w:val="20"/>
                <w:highlight w:val="darkGray"/>
              </w:rPr>
            </w:pPr>
            <w:r w:rsidRPr="003A33AB">
              <w:rPr>
                <w:color w:val="000000"/>
                <w:spacing w:val="53"/>
                <w:szCs w:val="20"/>
                <w:shd w:val="solid" w:color="000000" w:fill="000000"/>
                <w:fitText w:val="330" w:id="-663469051"/>
                <w14:textFill>
                  <w14:solidFill>
                    <w14:srgbClr w14:val="000000">
                      <w14:alpha w14:val="100000"/>
                    </w14:srgbClr>
                  </w14:solidFill>
                </w14:textFill>
              </w:rPr>
              <w:t>|||</w:t>
            </w:r>
            <w:r w:rsidRPr="003A33AB">
              <w:rPr>
                <w:color w:val="000000"/>
                <w:spacing w:val="1"/>
                <w:szCs w:val="20"/>
                <w:shd w:val="solid" w:color="000000" w:fill="000000"/>
                <w:fitText w:val="330" w:id="-663469051"/>
                <w14:textFill>
                  <w14:solidFill>
                    <w14:srgbClr w14:val="000000">
                      <w14:alpha w14:val="100000"/>
                    </w14:srgbClr>
                  </w14:solidFill>
                </w14:textFill>
              </w:rPr>
              <w:t>|</w:t>
            </w:r>
            <w:r w:rsidR="00222A38" w:rsidRPr="00D90BAF">
              <w:rPr>
                <w:rFonts w:cstheme="minorHAnsi"/>
                <w:szCs w:val="20"/>
                <w:vertAlign w:val="superscript"/>
              </w:rPr>
              <w:t>10</w:t>
            </w:r>
          </w:p>
        </w:tc>
        <w:tc>
          <w:tcPr>
            <w:tcW w:w="611" w:type="pct"/>
            <w:shd w:val="clear" w:color="auto" w:fill="auto"/>
            <w:vAlign w:val="center"/>
          </w:tcPr>
          <w:p w14:paraId="28105AF3" w14:textId="58D23DD5" w:rsidR="00C1278C" w:rsidRPr="00D90BAF" w:rsidRDefault="003A33AB" w:rsidP="006B1BCB">
            <w:pPr>
              <w:pStyle w:val="TableText"/>
              <w:jc w:val="center"/>
              <w:rPr>
                <w:szCs w:val="20"/>
                <w:highlight w:val="darkGray"/>
              </w:rPr>
            </w:pPr>
            <w:r w:rsidRPr="003A33AB">
              <w:rPr>
                <w:color w:val="000000"/>
                <w:spacing w:val="53"/>
                <w:szCs w:val="20"/>
                <w:shd w:val="solid" w:color="000000" w:fill="000000"/>
                <w:fitText w:val="330" w:id="-663469050"/>
                <w14:textFill>
                  <w14:solidFill>
                    <w14:srgbClr w14:val="000000">
                      <w14:alpha w14:val="100000"/>
                    </w14:srgbClr>
                  </w14:solidFill>
                </w14:textFill>
              </w:rPr>
              <w:t>|||</w:t>
            </w:r>
            <w:r w:rsidRPr="003A33AB">
              <w:rPr>
                <w:color w:val="000000"/>
                <w:spacing w:val="1"/>
                <w:szCs w:val="20"/>
                <w:shd w:val="solid" w:color="000000" w:fill="000000"/>
                <w:fitText w:val="330" w:id="-663469050"/>
                <w14:textFill>
                  <w14:solidFill>
                    <w14:srgbClr w14:val="000000">
                      <w14:alpha w14:val="100000"/>
                    </w14:srgbClr>
                  </w14:solidFill>
                </w14:textFill>
              </w:rPr>
              <w:t>|</w:t>
            </w:r>
            <w:r w:rsidR="00D90BAF" w:rsidRPr="00D90BAF">
              <w:rPr>
                <w:rFonts w:cstheme="minorHAnsi"/>
                <w:szCs w:val="20"/>
                <w:vertAlign w:val="superscript"/>
              </w:rPr>
              <w:t>11</w:t>
            </w:r>
          </w:p>
        </w:tc>
        <w:tc>
          <w:tcPr>
            <w:tcW w:w="611" w:type="pct"/>
            <w:shd w:val="clear" w:color="auto" w:fill="auto"/>
            <w:vAlign w:val="center"/>
          </w:tcPr>
          <w:p w14:paraId="167DF392" w14:textId="1CFDB61A" w:rsidR="00C1278C" w:rsidRPr="00D90BAF" w:rsidRDefault="003A33AB" w:rsidP="006B1BCB">
            <w:pPr>
              <w:pStyle w:val="TableText"/>
              <w:jc w:val="center"/>
              <w:rPr>
                <w:szCs w:val="20"/>
                <w:highlight w:val="darkGray"/>
              </w:rPr>
            </w:pPr>
            <w:r w:rsidRPr="003A33AB">
              <w:rPr>
                <w:color w:val="000000"/>
                <w:spacing w:val="53"/>
                <w:szCs w:val="20"/>
                <w:shd w:val="solid" w:color="000000" w:fill="000000"/>
                <w:fitText w:val="330" w:id="-663469049"/>
                <w14:textFill>
                  <w14:solidFill>
                    <w14:srgbClr w14:val="000000">
                      <w14:alpha w14:val="100000"/>
                    </w14:srgbClr>
                  </w14:solidFill>
                </w14:textFill>
              </w:rPr>
              <w:t>|||</w:t>
            </w:r>
            <w:r w:rsidRPr="003A33AB">
              <w:rPr>
                <w:color w:val="000000"/>
                <w:spacing w:val="1"/>
                <w:szCs w:val="20"/>
                <w:shd w:val="solid" w:color="000000" w:fill="000000"/>
                <w:fitText w:val="330" w:id="-663469049"/>
                <w14:textFill>
                  <w14:solidFill>
                    <w14:srgbClr w14:val="000000">
                      <w14:alpha w14:val="100000"/>
                    </w14:srgbClr>
                  </w14:solidFill>
                </w14:textFill>
              </w:rPr>
              <w:t>|</w:t>
            </w:r>
            <w:r w:rsidR="00D56899" w:rsidRPr="00D90BAF">
              <w:rPr>
                <w:rFonts w:cstheme="minorHAnsi"/>
                <w:szCs w:val="20"/>
                <w:vertAlign w:val="superscript"/>
              </w:rPr>
              <w:t>1</w:t>
            </w:r>
            <w:r w:rsidR="00D56899">
              <w:rPr>
                <w:rFonts w:cstheme="minorHAnsi"/>
                <w:szCs w:val="20"/>
                <w:vertAlign w:val="superscript"/>
              </w:rPr>
              <w:t>2</w:t>
            </w:r>
          </w:p>
        </w:tc>
        <w:tc>
          <w:tcPr>
            <w:tcW w:w="611" w:type="pct"/>
            <w:vAlign w:val="center"/>
          </w:tcPr>
          <w:p w14:paraId="78F5F2F7" w14:textId="248C33BA" w:rsidR="00C1278C" w:rsidRPr="00D90BAF" w:rsidRDefault="003A33AB" w:rsidP="006B1BCB">
            <w:pPr>
              <w:pStyle w:val="TableText"/>
              <w:jc w:val="center"/>
              <w:rPr>
                <w:szCs w:val="20"/>
                <w:highlight w:val="darkGray"/>
              </w:rPr>
            </w:pPr>
            <w:r w:rsidRPr="003A33AB">
              <w:rPr>
                <w:color w:val="000000"/>
                <w:spacing w:val="53"/>
                <w:szCs w:val="20"/>
                <w:shd w:val="solid" w:color="000000" w:fill="000000"/>
                <w:fitText w:val="330" w:id="-663469048"/>
                <w14:textFill>
                  <w14:solidFill>
                    <w14:srgbClr w14:val="000000">
                      <w14:alpha w14:val="100000"/>
                    </w14:srgbClr>
                  </w14:solidFill>
                </w14:textFill>
              </w:rPr>
              <w:t>|||</w:t>
            </w:r>
            <w:r w:rsidRPr="003A33AB">
              <w:rPr>
                <w:color w:val="000000"/>
                <w:spacing w:val="1"/>
                <w:szCs w:val="20"/>
                <w:shd w:val="solid" w:color="000000" w:fill="000000"/>
                <w:fitText w:val="330" w:id="-663469048"/>
                <w14:textFill>
                  <w14:solidFill>
                    <w14:srgbClr w14:val="000000">
                      <w14:alpha w14:val="100000"/>
                    </w14:srgbClr>
                  </w14:solidFill>
                </w14:textFill>
              </w:rPr>
              <w:t>|</w:t>
            </w:r>
            <w:r w:rsidR="00D56899" w:rsidRPr="00D90BAF">
              <w:rPr>
                <w:rFonts w:cstheme="minorHAnsi"/>
                <w:szCs w:val="20"/>
                <w:vertAlign w:val="superscript"/>
              </w:rPr>
              <w:t>1</w:t>
            </w:r>
            <w:r w:rsidR="00D56899">
              <w:rPr>
                <w:rFonts w:cstheme="minorHAnsi"/>
                <w:szCs w:val="20"/>
                <w:vertAlign w:val="superscript"/>
              </w:rPr>
              <w:t>2</w:t>
            </w:r>
          </w:p>
        </w:tc>
      </w:tr>
      <w:tr w:rsidR="00C1278C" w:rsidRPr="0098262F" w14:paraId="545ED7EB" w14:textId="77777777" w:rsidTr="006B1BCB">
        <w:tc>
          <w:tcPr>
            <w:tcW w:w="1334" w:type="pct"/>
            <w:shd w:val="clear" w:color="auto" w:fill="B8CCE4" w:themeFill="accent1" w:themeFillTint="66"/>
            <w:vAlign w:val="center"/>
          </w:tcPr>
          <w:p w14:paraId="0181D35F" w14:textId="77777777" w:rsidR="00C1278C" w:rsidRPr="0098262F" w:rsidRDefault="00C1278C" w:rsidP="006B1BCB">
            <w:pPr>
              <w:pStyle w:val="COMTabletext"/>
            </w:pPr>
            <w:r>
              <w:rPr>
                <w:szCs w:val="20"/>
              </w:rPr>
              <w:t>November 2023 submission treated patients</w:t>
            </w:r>
          </w:p>
        </w:tc>
        <w:tc>
          <w:tcPr>
            <w:tcW w:w="611" w:type="pct"/>
            <w:shd w:val="clear" w:color="auto" w:fill="B8CCE4" w:themeFill="accent1" w:themeFillTint="66"/>
            <w:vAlign w:val="center"/>
          </w:tcPr>
          <w:p w14:paraId="6C969483" w14:textId="38814495"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47"/>
                <w14:textFill>
                  <w14:solidFill>
                    <w14:srgbClr w14:val="000000">
                      <w14:alpha w14:val="100000"/>
                    </w14:srgbClr>
                  </w14:solidFill>
                </w14:textFill>
              </w:rPr>
              <w:t>|||</w:t>
            </w:r>
            <w:r w:rsidRPr="003A33AB">
              <w:rPr>
                <w:color w:val="000000"/>
                <w:spacing w:val="1"/>
                <w:shd w:val="solid" w:color="000000" w:fill="000000"/>
                <w:fitText w:val="330" w:id="-663469047"/>
                <w14:textFill>
                  <w14:solidFill>
                    <w14:srgbClr w14:val="000000">
                      <w14:alpha w14:val="100000"/>
                    </w14:srgbClr>
                  </w14:solidFill>
                </w14:textFill>
              </w:rPr>
              <w:t>|</w:t>
            </w:r>
            <w:r w:rsidR="004A54F3" w:rsidRPr="00D90BAF">
              <w:rPr>
                <w:rFonts w:cstheme="minorHAnsi"/>
                <w:szCs w:val="20"/>
                <w:vertAlign w:val="superscript"/>
              </w:rPr>
              <w:t>6</w:t>
            </w:r>
          </w:p>
        </w:tc>
        <w:tc>
          <w:tcPr>
            <w:tcW w:w="611" w:type="pct"/>
            <w:shd w:val="clear" w:color="auto" w:fill="B8CCE4" w:themeFill="accent1" w:themeFillTint="66"/>
            <w:vAlign w:val="center"/>
          </w:tcPr>
          <w:p w14:paraId="67CC5DD9" w14:textId="443DF5C0"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46"/>
                <w14:textFill>
                  <w14:solidFill>
                    <w14:srgbClr w14:val="000000">
                      <w14:alpha w14:val="100000"/>
                    </w14:srgbClr>
                  </w14:solidFill>
                </w14:textFill>
              </w:rPr>
              <w:t>|||</w:t>
            </w:r>
            <w:r w:rsidRPr="003A33AB">
              <w:rPr>
                <w:color w:val="000000"/>
                <w:spacing w:val="1"/>
                <w:shd w:val="solid" w:color="000000" w:fill="000000"/>
                <w:fitText w:val="330" w:id="-663469046"/>
                <w14:textFill>
                  <w14:solidFill>
                    <w14:srgbClr w14:val="000000">
                      <w14:alpha w14:val="100000"/>
                    </w14:srgbClr>
                  </w14:solidFill>
                </w14:textFill>
              </w:rPr>
              <w:t>|</w:t>
            </w:r>
            <w:r w:rsidR="004A54F3" w:rsidRPr="00D90BAF">
              <w:rPr>
                <w:rFonts w:cstheme="minorHAnsi"/>
                <w:szCs w:val="20"/>
                <w:vertAlign w:val="superscript"/>
              </w:rPr>
              <w:t>7</w:t>
            </w:r>
          </w:p>
        </w:tc>
        <w:tc>
          <w:tcPr>
            <w:tcW w:w="611" w:type="pct"/>
            <w:shd w:val="clear" w:color="auto" w:fill="B8CCE4" w:themeFill="accent1" w:themeFillTint="66"/>
            <w:vAlign w:val="center"/>
          </w:tcPr>
          <w:p w14:paraId="263947BE" w14:textId="11B9673A"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45"/>
                <w14:textFill>
                  <w14:solidFill>
                    <w14:srgbClr w14:val="000000">
                      <w14:alpha w14:val="100000"/>
                    </w14:srgbClr>
                  </w14:solidFill>
                </w14:textFill>
              </w:rPr>
              <w:t>|||</w:t>
            </w:r>
            <w:r w:rsidRPr="003A33AB">
              <w:rPr>
                <w:color w:val="000000"/>
                <w:spacing w:val="1"/>
                <w:shd w:val="solid" w:color="000000" w:fill="000000"/>
                <w:fitText w:val="330" w:id="-663469045"/>
                <w14:textFill>
                  <w14:solidFill>
                    <w14:srgbClr w14:val="000000">
                      <w14:alpha w14:val="100000"/>
                    </w14:srgbClr>
                  </w14:solidFill>
                </w14:textFill>
              </w:rPr>
              <w:t>|</w:t>
            </w:r>
            <w:r w:rsidR="000C1AE7" w:rsidRPr="00D90BAF">
              <w:rPr>
                <w:rFonts w:cstheme="minorHAnsi"/>
                <w:szCs w:val="20"/>
                <w:vertAlign w:val="superscript"/>
              </w:rPr>
              <w:t>8</w:t>
            </w:r>
          </w:p>
        </w:tc>
        <w:tc>
          <w:tcPr>
            <w:tcW w:w="611" w:type="pct"/>
            <w:shd w:val="clear" w:color="auto" w:fill="B8CCE4" w:themeFill="accent1" w:themeFillTint="66"/>
            <w:vAlign w:val="center"/>
          </w:tcPr>
          <w:p w14:paraId="7E820BCD" w14:textId="1194C2F5"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44"/>
                <w14:textFill>
                  <w14:solidFill>
                    <w14:srgbClr w14:val="000000">
                      <w14:alpha w14:val="100000"/>
                    </w14:srgbClr>
                  </w14:solidFill>
                </w14:textFill>
              </w:rPr>
              <w:t>|||</w:t>
            </w:r>
            <w:r w:rsidRPr="003A33AB">
              <w:rPr>
                <w:color w:val="000000"/>
                <w:spacing w:val="1"/>
                <w:shd w:val="solid" w:color="000000" w:fill="000000"/>
                <w:fitText w:val="330" w:id="-663469044"/>
                <w14:textFill>
                  <w14:solidFill>
                    <w14:srgbClr w14:val="000000">
                      <w14:alpha w14:val="100000"/>
                    </w14:srgbClr>
                  </w14:solidFill>
                </w14:textFill>
              </w:rPr>
              <w:t>|</w:t>
            </w:r>
            <w:r w:rsidR="00D90BAF" w:rsidRPr="00D90BAF">
              <w:rPr>
                <w:rFonts w:cstheme="minorHAnsi"/>
                <w:szCs w:val="20"/>
                <w:vertAlign w:val="superscript"/>
              </w:rPr>
              <w:t>9</w:t>
            </w:r>
          </w:p>
        </w:tc>
        <w:tc>
          <w:tcPr>
            <w:tcW w:w="611" w:type="pct"/>
            <w:shd w:val="clear" w:color="auto" w:fill="B8CCE4" w:themeFill="accent1" w:themeFillTint="66"/>
            <w:vAlign w:val="center"/>
          </w:tcPr>
          <w:p w14:paraId="5E0BB81F" w14:textId="2D7973A0"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43"/>
                <w14:textFill>
                  <w14:solidFill>
                    <w14:srgbClr w14:val="000000">
                      <w14:alpha w14:val="100000"/>
                    </w14:srgbClr>
                  </w14:solidFill>
                </w14:textFill>
              </w:rPr>
              <w:t>|||</w:t>
            </w:r>
            <w:r w:rsidRPr="003A33AB">
              <w:rPr>
                <w:color w:val="000000"/>
                <w:spacing w:val="1"/>
                <w:shd w:val="solid" w:color="000000" w:fill="000000"/>
                <w:fitText w:val="330" w:id="-663469043"/>
                <w14:textFill>
                  <w14:solidFill>
                    <w14:srgbClr w14:val="000000">
                      <w14:alpha w14:val="100000"/>
                    </w14:srgbClr>
                  </w14:solidFill>
                </w14:textFill>
              </w:rPr>
              <w:t>|</w:t>
            </w:r>
            <w:r w:rsidR="00222A38" w:rsidRPr="00D90BAF">
              <w:rPr>
                <w:rFonts w:cstheme="minorHAnsi"/>
                <w:szCs w:val="20"/>
                <w:vertAlign w:val="superscript"/>
              </w:rPr>
              <w:t>10</w:t>
            </w:r>
          </w:p>
        </w:tc>
        <w:tc>
          <w:tcPr>
            <w:tcW w:w="611" w:type="pct"/>
            <w:shd w:val="clear" w:color="auto" w:fill="B8CCE4" w:themeFill="accent1" w:themeFillTint="66"/>
            <w:vAlign w:val="center"/>
          </w:tcPr>
          <w:p w14:paraId="02A378D3" w14:textId="506D1620"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42"/>
                <w14:textFill>
                  <w14:solidFill>
                    <w14:srgbClr w14:val="000000">
                      <w14:alpha w14:val="100000"/>
                    </w14:srgbClr>
                  </w14:solidFill>
                </w14:textFill>
              </w:rPr>
              <w:t>|||</w:t>
            </w:r>
            <w:r w:rsidRPr="003A33AB">
              <w:rPr>
                <w:color w:val="000000"/>
                <w:spacing w:val="1"/>
                <w:shd w:val="solid" w:color="000000" w:fill="000000"/>
                <w:fitText w:val="330" w:id="-663469042"/>
                <w14:textFill>
                  <w14:solidFill>
                    <w14:srgbClr w14:val="000000">
                      <w14:alpha w14:val="100000"/>
                    </w14:srgbClr>
                  </w14:solidFill>
                </w14:textFill>
              </w:rPr>
              <w:t>|</w:t>
            </w:r>
            <w:r w:rsidR="00D90BAF" w:rsidRPr="00D90BAF">
              <w:rPr>
                <w:rFonts w:cstheme="minorHAnsi"/>
                <w:szCs w:val="20"/>
                <w:vertAlign w:val="superscript"/>
              </w:rPr>
              <w:t>11</w:t>
            </w:r>
          </w:p>
        </w:tc>
      </w:tr>
      <w:tr w:rsidR="00C1278C" w:rsidRPr="0098262F" w14:paraId="71780998" w14:textId="77777777" w:rsidTr="006B1BCB">
        <w:tc>
          <w:tcPr>
            <w:tcW w:w="1334" w:type="pct"/>
            <w:shd w:val="clear" w:color="auto" w:fill="auto"/>
            <w:vAlign w:val="center"/>
          </w:tcPr>
          <w:p w14:paraId="558E4516" w14:textId="77777777" w:rsidR="00C1278C" w:rsidRPr="0098262F" w:rsidRDefault="00C1278C" w:rsidP="006B1BCB">
            <w:pPr>
              <w:pStyle w:val="COMTabletext"/>
              <w:rPr>
                <w:rFonts w:ascii="Times" w:hAnsi="Times"/>
              </w:rPr>
            </w:pPr>
            <w:r w:rsidRPr="0098262F">
              <w:t xml:space="preserve">Number of scripts </w:t>
            </w:r>
            <w:proofErr w:type="spellStart"/>
            <w:r w:rsidRPr="0098262F">
              <w:t>dispensed</w:t>
            </w:r>
            <w:r w:rsidRPr="0098262F">
              <w:rPr>
                <w:vertAlign w:val="superscript"/>
              </w:rPr>
              <w:t>a</w:t>
            </w:r>
            <w:proofErr w:type="spellEnd"/>
          </w:p>
        </w:tc>
        <w:tc>
          <w:tcPr>
            <w:tcW w:w="611" w:type="pct"/>
            <w:shd w:val="clear" w:color="auto" w:fill="auto"/>
            <w:vAlign w:val="center"/>
          </w:tcPr>
          <w:p w14:paraId="4DFD515B" w14:textId="5A7D67B8" w:rsidR="00C1278C" w:rsidRPr="00D90BAF" w:rsidRDefault="003A33AB" w:rsidP="006B1BCB">
            <w:pPr>
              <w:pStyle w:val="TableText"/>
              <w:jc w:val="center"/>
              <w:rPr>
                <w:highlight w:val="darkGray"/>
              </w:rPr>
            </w:pPr>
            <w:r w:rsidRPr="003A33AB">
              <w:rPr>
                <w:color w:val="000000"/>
                <w:spacing w:val="53"/>
                <w:szCs w:val="20"/>
                <w:shd w:val="solid" w:color="000000" w:fill="000000"/>
                <w:fitText w:val="330" w:id="-663469041"/>
                <w14:textFill>
                  <w14:solidFill>
                    <w14:srgbClr w14:val="000000">
                      <w14:alpha w14:val="100000"/>
                    </w14:srgbClr>
                  </w14:solidFill>
                </w14:textFill>
              </w:rPr>
              <w:t>|||</w:t>
            </w:r>
            <w:r w:rsidRPr="003A33AB">
              <w:rPr>
                <w:color w:val="000000"/>
                <w:spacing w:val="1"/>
                <w:szCs w:val="20"/>
                <w:shd w:val="solid" w:color="000000" w:fill="000000"/>
                <w:fitText w:val="330" w:id="-663469041"/>
                <w14:textFill>
                  <w14:solidFill>
                    <w14:srgbClr w14:val="000000">
                      <w14:alpha w14:val="100000"/>
                    </w14:srgbClr>
                  </w14:solidFill>
                </w14:textFill>
              </w:rPr>
              <w:t>|</w:t>
            </w:r>
            <w:r w:rsidR="003E019C" w:rsidRPr="00D90BAF">
              <w:rPr>
                <w:rFonts w:cstheme="minorHAnsi"/>
                <w:szCs w:val="20"/>
                <w:vertAlign w:val="superscript"/>
              </w:rPr>
              <w:t>1</w:t>
            </w:r>
            <w:r w:rsidR="003E019C">
              <w:rPr>
                <w:rFonts w:cstheme="minorHAnsi"/>
                <w:szCs w:val="20"/>
                <w:vertAlign w:val="superscript"/>
              </w:rPr>
              <w:t>5</w:t>
            </w:r>
          </w:p>
        </w:tc>
        <w:tc>
          <w:tcPr>
            <w:tcW w:w="611" w:type="pct"/>
            <w:shd w:val="clear" w:color="auto" w:fill="auto"/>
            <w:vAlign w:val="center"/>
          </w:tcPr>
          <w:p w14:paraId="0A26ED46" w14:textId="5379AC9F" w:rsidR="00C1278C" w:rsidRPr="00D90BAF" w:rsidRDefault="003A33AB" w:rsidP="006B1BCB">
            <w:pPr>
              <w:pStyle w:val="TableText"/>
              <w:jc w:val="center"/>
              <w:rPr>
                <w:highlight w:val="darkGray"/>
              </w:rPr>
            </w:pPr>
            <w:r w:rsidRPr="003A33AB">
              <w:rPr>
                <w:color w:val="000000"/>
                <w:spacing w:val="53"/>
                <w:szCs w:val="20"/>
                <w:shd w:val="solid" w:color="000000" w:fill="000000"/>
                <w:fitText w:val="330" w:id="-663469040"/>
                <w14:textFill>
                  <w14:solidFill>
                    <w14:srgbClr w14:val="000000">
                      <w14:alpha w14:val="100000"/>
                    </w14:srgbClr>
                  </w14:solidFill>
                </w14:textFill>
              </w:rPr>
              <w:t>|||</w:t>
            </w:r>
            <w:r w:rsidRPr="003A33AB">
              <w:rPr>
                <w:color w:val="000000"/>
                <w:spacing w:val="1"/>
                <w:szCs w:val="20"/>
                <w:shd w:val="solid" w:color="000000" w:fill="000000"/>
                <w:fitText w:val="330" w:id="-663469040"/>
                <w14:textFill>
                  <w14:solidFill>
                    <w14:srgbClr w14:val="000000">
                      <w14:alpha w14:val="100000"/>
                    </w14:srgbClr>
                  </w14:solidFill>
                </w14:textFill>
              </w:rPr>
              <w:t>|</w:t>
            </w:r>
            <w:r w:rsidR="003E019C" w:rsidRPr="00D90BAF">
              <w:rPr>
                <w:rFonts w:cstheme="minorHAnsi"/>
                <w:szCs w:val="20"/>
                <w:vertAlign w:val="superscript"/>
              </w:rPr>
              <w:t>1</w:t>
            </w:r>
            <w:r w:rsidR="003E019C">
              <w:rPr>
                <w:rFonts w:cstheme="minorHAnsi"/>
                <w:szCs w:val="20"/>
                <w:vertAlign w:val="superscript"/>
              </w:rPr>
              <w:t>6</w:t>
            </w:r>
          </w:p>
        </w:tc>
        <w:tc>
          <w:tcPr>
            <w:tcW w:w="611" w:type="pct"/>
            <w:shd w:val="clear" w:color="auto" w:fill="auto"/>
            <w:vAlign w:val="center"/>
          </w:tcPr>
          <w:p w14:paraId="12694869" w14:textId="0F78D067" w:rsidR="00C1278C" w:rsidRPr="00D90BAF" w:rsidRDefault="003A33AB" w:rsidP="006B1BCB">
            <w:pPr>
              <w:pStyle w:val="TableText"/>
              <w:jc w:val="center"/>
              <w:rPr>
                <w:highlight w:val="darkGray"/>
              </w:rPr>
            </w:pPr>
            <w:r w:rsidRPr="003A33AB">
              <w:rPr>
                <w:color w:val="000000"/>
                <w:spacing w:val="53"/>
                <w:szCs w:val="20"/>
                <w:shd w:val="solid" w:color="000000" w:fill="000000"/>
                <w:fitText w:val="330" w:id="-663469056"/>
                <w14:textFill>
                  <w14:solidFill>
                    <w14:srgbClr w14:val="000000">
                      <w14:alpha w14:val="100000"/>
                    </w14:srgbClr>
                  </w14:solidFill>
                </w14:textFill>
              </w:rPr>
              <w:t>|||</w:t>
            </w:r>
            <w:r w:rsidRPr="003A33AB">
              <w:rPr>
                <w:color w:val="000000"/>
                <w:spacing w:val="1"/>
                <w:szCs w:val="20"/>
                <w:shd w:val="solid" w:color="000000" w:fill="000000"/>
                <w:fitText w:val="330" w:id="-663469056"/>
                <w14:textFill>
                  <w14:solidFill>
                    <w14:srgbClr w14:val="000000">
                      <w14:alpha w14:val="100000"/>
                    </w14:srgbClr>
                  </w14:solidFill>
                </w14:textFill>
              </w:rPr>
              <w:t>|</w:t>
            </w:r>
            <w:r w:rsidR="00E5543C" w:rsidRPr="00D90BAF">
              <w:rPr>
                <w:rFonts w:cstheme="minorHAnsi"/>
                <w:szCs w:val="20"/>
                <w:vertAlign w:val="superscript"/>
              </w:rPr>
              <w:t>1</w:t>
            </w:r>
            <w:r w:rsidR="00E5543C">
              <w:rPr>
                <w:rFonts w:cstheme="minorHAnsi"/>
                <w:szCs w:val="20"/>
                <w:vertAlign w:val="superscript"/>
              </w:rPr>
              <w:t>7</w:t>
            </w:r>
          </w:p>
        </w:tc>
        <w:tc>
          <w:tcPr>
            <w:tcW w:w="611" w:type="pct"/>
            <w:shd w:val="clear" w:color="auto" w:fill="auto"/>
            <w:vAlign w:val="center"/>
          </w:tcPr>
          <w:p w14:paraId="6C0B9D8A" w14:textId="0B911B8D" w:rsidR="00C1278C" w:rsidRPr="00D90BAF" w:rsidRDefault="003A33AB" w:rsidP="006B1BCB">
            <w:pPr>
              <w:pStyle w:val="TableText"/>
              <w:jc w:val="center"/>
              <w:rPr>
                <w:highlight w:val="darkGray"/>
              </w:rPr>
            </w:pPr>
            <w:r w:rsidRPr="003A33AB">
              <w:rPr>
                <w:color w:val="000000"/>
                <w:spacing w:val="53"/>
                <w:szCs w:val="20"/>
                <w:shd w:val="solid" w:color="000000" w:fill="000000"/>
                <w:fitText w:val="330" w:id="-663469055"/>
                <w14:textFill>
                  <w14:solidFill>
                    <w14:srgbClr w14:val="000000">
                      <w14:alpha w14:val="100000"/>
                    </w14:srgbClr>
                  </w14:solidFill>
                </w14:textFill>
              </w:rPr>
              <w:t>|||</w:t>
            </w:r>
            <w:r w:rsidRPr="003A33AB">
              <w:rPr>
                <w:color w:val="000000"/>
                <w:spacing w:val="1"/>
                <w:szCs w:val="20"/>
                <w:shd w:val="solid" w:color="000000" w:fill="000000"/>
                <w:fitText w:val="330" w:id="-663469055"/>
                <w14:textFill>
                  <w14:solidFill>
                    <w14:srgbClr w14:val="000000">
                      <w14:alpha w14:val="100000"/>
                    </w14:srgbClr>
                  </w14:solidFill>
                </w14:textFill>
              </w:rPr>
              <w:t>|</w:t>
            </w:r>
            <w:r w:rsidR="00E5543C" w:rsidRPr="00D90BAF">
              <w:rPr>
                <w:rFonts w:cstheme="minorHAnsi"/>
                <w:szCs w:val="20"/>
                <w:vertAlign w:val="superscript"/>
              </w:rPr>
              <w:t>1</w:t>
            </w:r>
            <w:r w:rsidR="00E5543C">
              <w:rPr>
                <w:rFonts w:cstheme="minorHAnsi"/>
                <w:szCs w:val="20"/>
                <w:vertAlign w:val="superscript"/>
              </w:rPr>
              <w:t>8</w:t>
            </w:r>
          </w:p>
        </w:tc>
        <w:tc>
          <w:tcPr>
            <w:tcW w:w="611" w:type="pct"/>
            <w:shd w:val="clear" w:color="auto" w:fill="auto"/>
            <w:vAlign w:val="center"/>
          </w:tcPr>
          <w:p w14:paraId="14A79638" w14:textId="1C286F85" w:rsidR="00C1278C" w:rsidRPr="00D90BAF" w:rsidRDefault="003A33AB" w:rsidP="006B1BCB">
            <w:pPr>
              <w:pStyle w:val="TableText"/>
              <w:jc w:val="center"/>
              <w:rPr>
                <w:highlight w:val="darkGray"/>
              </w:rPr>
            </w:pPr>
            <w:r w:rsidRPr="003A33AB">
              <w:rPr>
                <w:color w:val="000000"/>
                <w:spacing w:val="53"/>
                <w:szCs w:val="20"/>
                <w:shd w:val="solid" w:color="000000" w:fill="000000"/>
                <w:fitText w:val="330" w:id="-663469054"/>
                <w14:textFill>
                  <w14:solidFill>
                    <w14:srgbClr w14:val="000000">
                      <w14:alpha w14:val="100000"/>
                    </w14:srgbClr>
                  </w14:solidFill>
                </w14:textFill>
              </w:rPr>
              <w:t>|||</w:t>
            </w:r>
            <w:r w:rsidRPr="003A33AB">
              <w:rPr>
                <w:color w:val="000000"/>
                <w:spacing w:val="1"/>
                <w:szCs w:val="20"/>
                <w:shd w:val="solid" w:color="000000" w:fill="000000"/>
                <w:fitText w:val="330" w:id="-663469054"/>
                <w14:textFill>
                  <w14:solidFill>
                    <w14:srgbClr w14:val="000000">
                      <w14:alpha w14:val="100000"/>
                    </w14:srgbClr>
                  </w14:solidFill>
                </w14:textFill>
              </w:rPr>
              <w:t>|</w:t>
            </w:r>
            <w:r w:rsidR="00EF5766">
              <w:rPr>
                <w:rFonts w:cstheme="minorHAnsi"/>
                <w:szCs w:val="20"/>
                <w:vertAlign w:val="superscript"/>
              </w:rPr>
              <w:t>20</w:t>
            </w:r>
          </w:p>
        </w:tc>
        <w:tc>
          <w:tcPr>
            <w:tcW w:w="611" w:type="pct"/>
            <w:vAlign w:val="center"/>
          </w:tcPr>
          <w:p w14:paraId="7C3AA926" w14:textId="2525FA87" w:rsidR="00C1278C" w:rsidRPr="00D90BAF" w:rsidRDefault="003A33AB" w:rsidP="006B1BCB">
            <w:pPr>
              <w:pStyle w:val="TableText"/>
              <w:jc w:val="center"/>
              <w:rPr>
                <w:highlight w:val="darkGray"/>
              </w:rPr>
            </w:pPr>
            <w:r w:rsidRPr="003A33AB">
              <w:rPr>
                <w:color w:val="000000"/>
                <w:spacing w:val="53"/>
                <w:szCs w:val="20"/>
                <w:shd w:val="solid" w:color="000000" w:fill="000000"/>
                <w:fitText w:val="330" w:id="-663469053"/>
                <w14:textFill>
                  <w14:solidFill>
                    <w14:srgbClr w14:val="000000">
                      <w14:alpha w14:val="100000"/>
                    </w14:srgbClr>
                  </w14:solidFill>
                </w14:textFill>
              </w:rPr>
              <w:t>|||</w:t>
            </w:r>
            <w:r w:rsidRPr="003A33AB">
              <w:rPr>
                <w:color w:val="000000"/>
                <w:spacing w:val="1"/>
                <w:szCs w:val="20"/>
                <w:shd w:val="solid" w:color="000000" w:fill="000000"/>
                <w:fitText w:val="330" w:id="-663469053"/>
                <w14:textFill>
                  <w14:solidFill>
                    <w14:srgbClr w14:val="000000">
                      <w14:alpha w14:val="100000"/>
                    </w14:srgbClr>
                  </w14:solidFill>
                </w14:textFill>
              </w:rPr>
              <w:t>|</w:t>
            </w:r>
            <w:r w:rsidR="00EF5766">
              <w:rPr>
                <w:rFonts w:cstheme="minorHAnsi"/>
                <w:szCs w:val="20"/>
                <w:vertAlign w:val="superscript"/>
              </w:rPr>
              <w:t>20</w:t>
            </w:r>
          </w:p>
        </w:tc>
      </w:tr>
      <w:tr w:rsidR="00C1278C" w:rsidRPr="0098262F" w14:paraId="4DCCFF06" w14:textId="77777777" w:rsidTr="006B1BCB">
        <w:tc>
          <w:tcPr>
            <w:tcW w:w="1334" w:type="pct"/>
            <w:shd w:val="clear" w:color="auto" w:fill="B8CCE4" w:themeFill="accent1" w:themeFillTint="66"/>
            <w:vAlign w:val="center"/>
          </w:tcPr>
          <w:p w14:paraId="2514F08D" w14:textId="77777777" w:rsidR="00C1278C" w:rsidRPr="0098262F" w:rsidRDefault="00C1278C" w:rsidP="006B1BCB">
            <w:pPr>
              <w:pStyle w:val="COMTabletext"/>
            </w:pPr>
            <w:r>
              <w:rPr>
                <w:szCs w:val="20"/>
              </w:rPr>
              <w:t>November 2023 submission total scripts</w:t>
            </w:r>
          </w:p>
        </w:tc>
        <w:tc>
          <w:tcPr>
            <w:tcW w:w="611" w:type="pct"/>
            <w:shd w:val="clear" w:color="auto" w:fill="B8CCE4" w:themeFill="accent1" w:themeFillTint="66"/>
            <w:vAlign w:val="center"/>
          </w:tcPr>
          <w:p w14:paraId="2F5D0D17" w14:textId="3D6BF827"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52"/>
                <w14:textFill>
                  <w14:solidFill>
                    <w14:srgbClr w14:val="000000">
                      <w14:alpha w14:val="100000"/>
                    </w14:srgbClr>
                  </w14:solidFill>
                </w14:textFill>
              </w:rPr>
              <w:t>|||</w:t>
            </w:r>
            <w:r w:rsidRPr="003A33AB">
              <w:rPr>
                <w:color w:val="000000"/>
                <w:spacing w:val="1"/>
                <w:shd w:val="solid" w:color="000000" w:fill="000000"/>
                <w:fitText w:val="330" w:id="-663469052"/>
                <w14:textFill>
                  <w14:solidFill>
                    <w14:srgbClr w14:val="000000">
                      <w14:alpha w14:val="100000"/>
                    </w14:srgbClr>
                  </w14:solidFill>
                </w14:textFill>
              </w:rPr>
              <w:t>|</w:t>
            </w:r>
            <w:r w:rsidR="003E019C" w:rsidRPr="00D90BAF">
              <w:rPr>
                <w:rFonts w:cstheme="minorHAnsi"/>
                <w:szCs w:val="20"/>
                <w:vertAlign w:val="superscript"/>
              </w:rPr>
              <w:t>1</w:t>
            </w:r>
            <w:r w:rsidR="003E019C">
              <w:rPr>
                <w:rFonts w:cstheme="minorHAnsi"/>
                <w:szCs w:val="20"/>
                <w:vertAlign w:val="superscript"/>
              </w:rPr>
              <w:t>3</w:t>
            </w:r>
          </w:p>
        </w:tc>
        <w:tc>
          <w:tcPr>
            <w:tcW w:w="611" w:type="pct"/>
            <w:shd w:val="clear" w:color="auto" w:fill="B8CCE4" w:themeFill="accent1" w:themeFillTint="66"/>
            <w:vAlign w:val="center"/>
          </w:tcPr>
          <w:p w14:paraId="1FCC0A38" w14:textId="63CD38DD"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51"/>
                <w14:textFill>
                  <w14:solidFill>
                    <w14:srgbClr w14:val="000000">
                      <w14:alpha w14:val="100000"/>
                    </w14:srgbClr>
                  </w14:solidFill>
                </w14:textFill>
              </w:rPr>
              <w:t>|||</w:t>
            </w:r>
            <w:r w:rsidRPr="003A33AB">
              <w:rPr>
                <w:color w:val="000000"/>
                <w:spacing w:val="1"/>
                <w:shd w:val="solid" w:color="000000" w:fill="000000"/>
                <w:fitText w:val="330" w:id="-663469051"/>
                <w14:textFill>
                  <w14:solidFill>
                    <w14:srgbClr w14:val="000000">
                      <w14:alpha w14:val="100000"/>
                    </w14:srgbClr>
                  </w14:solidFill>
                </w14:textFill>
              </w:rPr>
              <w:t>|</w:t>
            </w:r>
            <w:r w:rsidR="003E019C" w:rsidRPr="00D90BAF">
              <w:rPr>
                <w:rFonts w:cstheme="minorHAnsi"/>
                <w:szCs w:val="20"/>
                <w:vertAlign w:val="superscript"/>
              </w:rPr>
              <w:t>1</w:t>
            </w:r>
            <w:r w:rsidR="003E019C">
              <w:rPr>
                <w:rFonts w:cstheme="minorHAnsi"/>
                <w:szCs w:val="20"/>
                <w:vertAlign w:val="superscript"/>
              </w:rPr>
              <w:t>5</w:t>
            </w:r>
          </w:p>
        </w:tc>
        <w:tc>
          <w:tcPr>
            <w:tcW w:w="611" w:type="pct"/>
            <w:shd w:val="clear" w:color="auto" w:fill="B8CCE4" w:themeFill="accent1" w:themeFillTint="66"/>
            <w:vAlign w:val="center"/>
          </w:tcPr>
          <w:p w14:paraId="71B0B82B" w14:textId="3A6F091B"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50"/>
                <w14:textFill>
                  <w14:solidFill>
                    <w14:srgbClr w14:val="000000">
                      <w14:alpha w14:val="100000"/>
                    </w14:srgbClr>
                  </w14:solidFill>
                </w14:textFill>
              </w:rPr>
              <w:t>|||</w:t>
            </w:r>
            <w:r w:rsidRPr="003A33AB">
              <w:rPr>
                <w:color w:val="000000"/>
                <w:spacing w:val="1"/>
                <w:shd w:val="solid" w:color="000000" w:fill="000000"/>
                <w:fitText w:val="330" w:id="-663469050"/>
                <w14:textFill>
                  <w14:solidFill>
                    <w14:srgbClr w14:val="000000">
                      <w14:alpha w14:val="100000"/>
                    </w14:srgbClr>
                  </w14:solidFill>
                </w14:textFill>
              </w:rPr>
              <w:t>|</w:t>
            </w:r>
            <w:r w:rsidR="003E019C" w:rsidRPr="00D90BAF">
              <w:rPr>
                <w:rFonts w:cstheme="minorHAnsi"/>
                <w:szCs w:val="20"/>
                <w:vertAlign w:val="superscript"/>
              </w:rPr>
              <w:t>1</w:t>
            </w:r>
            <w:r w:rsidR="003E019C">
              <w:rPr>
                <w:rFonts w:cstheme="minorHAnsi"/>
                <w:szCs w:val="20"/>
                <w:vertAlign w:val="superscript"/>
              </w:rPr>
              <w:t>6</w:t>
            </w:r>
          </w:p>
        </w:tc>
        <w:tc>
          <w:tcPr>
            <w:tcW w:w="611" w:type="pct"/>
            <w:shd w:val="clear" w:color="auto" w:fill="B8CCE4" w:themeFill="accent1" w:themeFillTint="66"/>
            <w:vAlign w:val="center"/>
          </w:tcPr>
          <w:p w14:paraId="239641CF" w14:textId="7EA0F5BF"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49"/>
                <w14:textFill>
                  <w14:solidFill>
                    <w14:srgbClr w14:val="000000">
                      <w14:alpha w14:val="100000"/>
                    </w14:srgbClr>
                  </w14:solidFill>
                </w14:textFill>
              </w:rPr>
              <w:t>|||</w:t>
            </w:r>
            <w:r w:rsidRPr="003A33AB">
              <w:rPr>
                <w:color w:val="000000"/>
                <w:spacing w:val="1"/>
                <w:shd w:val="solid" w:color="000000" w:fill="000000"/>
                <w:fitText w:val="330" w:id="-663469049"/>
                <w14:textFill>
                  <w14:solidFill>
                    <w14:srgbClr w14:val="000000">
                      <w14:alpha w14:val="100000"/>
                    </w14:srgbClr>
                  </w14:solidFill>
                </w14:textFill>
              </w:rPr>
              <w:t>|</w:t>
            </w:r>
            <w:r w:rsidR="00E5543C" w:rsidRPr="00D90BAF">
              <w:rPr>
                <w:rFonts w:cstheme="minorHAnsi"/>
                <w:szCs w:val="20"/>
                <w:vertAlign w:val="superscript"/>
              </w:rPr>
              <w:t>1</w:t>
            </w:r>
            <w:r w:rsidR="00E5543C">
              <w:rPr>
                <w:rFonts w:cstheme="minorHAnsi"/>
                <w:szCs w:val="20"/>
                <w:vertAlign w:val="superscript"/>
              </w:rPr>
              <w:t>7</w:t>
            </w:r>
          </w:p>
        </w:tc>
        <w:tc>
          <w:tcPr>
            <w:tcW w:w="611" w:type="pct"/>
            <w:shd w:val="clear" w:color="auto" w:fill="B8CCE4" w:themeFill="accent1" w:themeFillTint="66"/>
            <w:vAlign w:val="center"/>
          </w:tcPr>
          <w:p w14:paraId="56676329" w14:textId="17A28FC5"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48"/>
                <w14:textFill>
                  <w14:solidFill>
                    <w14:srgbClr w14:val="000000">
                      <w14:alpha w14:val="100000"/>
                    </w14:srgbClr>
                  </w14:solidFill>
                </w14:textFill>
              </w:rPr>
              <w:t>|||</w:t>
            </w:r>
            <w:r w:rsidRPr="003A33AB">
              <w:rPr>
                <w:color w:val="000000"/>
                <w:spacing w:val="1"/>
                <w:shd w:val="solid" w:color="000000" w:fill="000000"/>
                <w:fitText w:val="330" w:id="-663469048"/>
                <w14:textFill>
                  <w14:solidFill>
                    <w14:srgbClr w14:val="000000">
                      <w14:alpha w14:val="100000"/>
                    </w14:srgbClr>
                  </w14:solidFill>
                </w14:textFill>
              </w:rPr>
              <w:t>|</w:t>
            </w:r>
            <w:r w:rsidR="00E5543C" w:rsidRPr="00D90BAF">
              <w:rPr>
                <w:rFonts w:cstheme="minorHAnsi"/>
                <w:szCs w:val="20"/>
                <w:vertAlign w:val="superscript"/>
              </w:rPr>
              <w:t>1</w:t>
            </w:r>
            <w:r w:rsidR="00E5543C">
              <w:rPr>
                <w:rFonts w:cstheme="minorHAnsi"/>
                <w:szCs w:val="20"/>
                <w:vertAlign w:val="superscript"/>
              </w:rPr>
              <w:t>8</w:t>
            </w:r>
          </w:p>
        </w:tc>
        <w:tc>
          <w:tcPr>
            <w:tcW w:w="611" w:type="pct"/>
            <w:shd w:val="clear" w:color="auto" w:fill="B8CCE4" w:themeFill="accent1" w:themeFillTint="66"/>
            <w:vAlign w:val="center"/>
          </w:tcPr>
          <w:p w14:paraId="5754083D" w14:textId="10756CFB" w:rsidR="00C1278C" w:rsidRPr="00D90BAF" w:rsidRDefault="003A33AB" w:rsidP="006B1BCB">
            <w:pPr>
              <w:pStyle w:val="TableText"/>
              <w:jc w:val="center"/>
              <w:rPr>
                <w:szCs w:val="20"/>
                <w:highlight w:val="darkGray"/>
              </w:rPr>
            </w:pPr>
            <w:r w:rsidRPr="003A33AB">
              <w:rPr>
                <w:color w:val="000000"/>
                <w:spacing w:val="53"/>
                <w:shd w:val="solid" w:color="000000" w:fill="000000"/>
                <w:fitText w:val="330" w:id="-663469047"/>
                <w14:textFill>
                  <w14:solidFill>
                    <w14:srgbClr w14:val="000000">
                      <w14:alpha w14:val="100000"/>
                    </w14:srgbClr>
                  </w14:solidFill>
                </w14:textFill>
              </w:rPr>
              <w:t>|||</w:t>
            </w:r>
            <w:r w:rsidRPr="003A33AB">
              <w:rPr>
                <w:color w:val="000000"/>
                <w:spacing w:val="1"/>
                <w:shd w:val="solid" w:color="000000" w:fill="000000"/>
                <w:fitText w:val="330" w:id="-663469047"/>
                <w14:textFill>
                  <w14:solidFill>
                    <w14:srgbClr w14:val="000000">
                      <w14:alpha w14:val="100000"/>
                    </w14:srgbClr>
                  </w14:solidFill>
                </w14:textFill>
              </w:rPr>
              <w:t>|</w:t>
            </w:r>
            <w:r w:rsidR="00EF5766" w:rsidRPr="00D90BAF">
              <w:rPr>
                <w:rFonts w:cstheme="minorHAnsi"/>
                <w:szCs w:val="20"/>
                <w:vertAlign w:val="superscript"/>
              </w:rPr>
              <w:t>1</w:t>
            </w:r>
            <w:r w:rsidR="00EF5766">
              <w:rPr>
                <w:rFonts w:cstheme="minorHAnsi"/>
                <w:szCs w:val="20"/>
                <w:vertAlign w:val="superscript"/>
              </w:rPr>
              <w:t>9</w:t>
            </w:r>
          </w:p>
        </w:tc>
      </w:tr>
      <w:tr w:rsidR="00C1278C" w:rsidRPr="0098262F" w14:paraId="7D2B3AE5" w14:textId="77777777" w:rsidTr="006B1BCB">
        <w:tc>
          <w:tcPr>
            <w:tcW w:w="1334" w:type="pct"/>
            <w:shd w:val="clear" w:color="auto" w:fill="auto"/>
            <w:vAlign w:val="center"/>
          </w:tcPr>
          <w:p w14:paraId="4C60747A" w14:textId="77777777" w:rsidR="00C1278C" w:rsidRPr="0098262F" w:rsidRDefault="00C1278C" w:rsidP="006B1BCB">
            <w:pPr>
              <w:pStyle w:val="COMTabletext"/>
            </w:pPr>
            <w:r w:rsidRPr="003350AE">
              <w:rPr>
                <w:b/>
                <w:bCs w:val="0"/>
                <w:szCs w:val="20"/>
              </w:rPr>
              <w:t>Net cost to PBS/RPBS (less co-payment)</w:t>
            </w:r>
          </w:p>
        </w:tc>
        <w:tc>
          <w:tcPr>
            <w:tcW w:w="611" w:type="pct"/>
            <w:shd w:val="clear" w:color="auto" w:fill="auto"/>
            <w:vAlign w:val="center"/>
          </w:tcPr>
          <w:p w14:paraId="2B614A5B" w14:textId="6466835B" w:rsidR="00C1278C" w:rsidRPr="0098262F" w:rsidRDefault="00C1278C" w:rsidP="006B1BCB">
            <w:pPr>
              <w:pStyle w:val="TableText"/>
              <w:jc w:val="center"/>
            </w:pPr>
            <w:r w:rsidRPr="003350AE">
              <w:rPr>
                <w:b/>
                <w:bCs w:val="0"/>
                <w:szCs w:val="20"/>
              </w:rPr>
              <w:t>$</w:t>
            </w:r>
            <w:r w:rsidR="003A33AB" w:rsidRPr="003A33AB">
              <w:rPr>
                <w:b/>
                <w:bCs w:val="0"/>
                <w:color w:val="000000"/>
                <w:spacing w:val="58"/>
                <w:szCs w:val="20"/>
                <w:shd w:val="solid" w:color="000000" w:fill="000000"/>
                <w:fitText w:val="360" w:id="-663469046"/>
                <w14:textFill>
                  <w14:solidFill>
                    <w14:srgbClr w14:val="000000">
                      <w14:alpha w14:val="100000"/>
                    </w14:srgbClr>
                  </w14:solidFill>
                </w14:textFill>
              </w:rPr>
              <w:t>|||</w:t>
            </w:r>
            <w:r w:rsidR="003A33AB" w:rsidRPr="003A33AB">
              <w:rPr>
                <w:b/>
                <w:bCs w:val="0"/>
                <w:color w:val="000000"/>
                <w:spacing w:val="3"/>
                <w:szCs w:val="20"/>
                <w:shd w:val="solid" w:color="000000" w:fill="000000"/>
                <w:fitText w:val="360" w:id="-663469046"/>
                <w14:textFill>
                  <w14:solidFill>
                    <w14:srgbClr w14:val="000000">
                      <w14:alpha w14:val="100000"/>
                    </w14:srgbClr>
                  </w14:solidFill>
                </w14:textFill>
              </w:rPr>
              <w:t>|</w:t>
            </w:r>
            <w:r w:rsidR="00033EE5" w:rsidRPr="00033EE5">
              <w:rPr>
                <w:vertAlign w:val="superscript"/>
              </w:rPr>
              <w:t>2</w:t>
            </w:r>
          </w:p>
        </w:tc>
        <w:tc>
          <w:tcPr>
            <w:tcW w:w="611" w:type="pct"/>
            <w:shd w:val="clear" w:color="auto" w:fill="auto"/>
            <w:vAlign w:val="center"/>
          </w:tcPr>
          <w:p w14:paraId="4E6E5D53" w14:textId="007BF7E5" w:rsidR="00C1278C" w:rsidRPr="00647F10" w:rsidRDefault="00647F10" w:rsidP="006B1BCB">
            <w:pPr>
              <w:pStyle w:val="TableText"/>
              <w:jc w:val="center"/>
              <w:rPr>
                <w:highlight w:val="darkGray"/>
              </w:rPr>
            </w:pPr>
            <w:r w:rsidRPr="00647F10">
              <w:rPr>
                <w:b/>
                <w:bCs w:val="0"/>
                <w:szCs w:val="20"/>
              </w:rPr>
              <w:t xml:space="preserve"> $</w:t>
            </w:r>
            <w:r w:rsidR="003A33AB" w:rsidRPr="003A33AB">
              <w:rPr>
                <w:b/>
                <w:bCs w:val="0"/>
                <w:color w:val="000000"/>
                <w:spacing w:val="58"/>
                <w:szCs w:val="20"/>
                <w:shd w:val="solid" w:color="000000" w:fill="000000"/>
                <w:fitText w:val="360" w:id="-663469045"/>
                <w14:textFill>
                  <w14:solidFill>
                    <w14:srgbClr w14:val="000000">
                      <w14:alpha w14:val="100000"/>
                    </w14:srgbClr>
                  </w14:solidFill>
                </w14:textFill>
              </w:rPr>
              <w:t>|||</w:t>
            </w:r>
            <w:r w:rsidR="003A33AB" w:rsidRPr="003A33AB">
              <w:rPr>
                <w:b/>
                <w:bCs w:val="0"/>
                <w:color w:val="000000"/>
                <w:spacing w:val="3"/>
                <w:szCs w:val="20"/>
                <w:shd w:val="solid" w:color="000000" w:fill="000000"/>
                <w:fitText w:val="360" w:id="-663469045"/>
                <w14:textFill>
                  <w14:solidFill>
                    <w14:srgbClr w14:val="000000">
                      <w14:alpha w14:val="100000"/>
                    </w14:srgbClr>
                  </w14:solidFill>
                </w14:textFill>
              </w:rPr>
              <w:t>|</w:t>
            </w:r>
            <w:r w:rsidR="00033EE5">
              <w:rPr>
                <w:vertAlign w:val="superscript"/>
              </w:rPr>
              <w:t>3</w:t>
            </w:r>
          </w:p>
        </w:tc>
        <w:tc>
          <w:tcPr>
            <w:tcW w:w="611" w:type="pct"/>
            <w:shd w:val="clear" w:color="auto" w:fill="auto"/>
            <w:vAlign w:val="center"/>
          </w:tcPr>
          <w:p w14:paraId="7AFF11F0" w14:textId="4F248212" w:rsidR="00C1278C" w:rsidRPr="00647F10" w:rsidRDefault="00647F10" w:rsidP="006B1BCB">
            <w:pPr>
              <w:pStyle w:val="TableText"/>
              <w:jc w:val="center"/>
              <w:rPr>
                <w:highlight w:val="darkGray"/>
              </w:rPr>
            </w:pPr>
            <w:r w:rsidRPr="00647F10">
              <w:rPr>
                <w:b/>
                <w:bCs w:val="0"/>
                <w:szCs w:val="20"/>
              </w:rPr>
              <w:t xml:space="preserve"> $</w:t>
            </w:r>
            <w:r w:rsidR="003A33AB" w:rsidRPr="003A33AB">
              <w:rPr>
                <w:b/>
                <w:bCs w:val="0"/>
                <w:color w:val="000000"/>
                <w:spacing w:val="58"/>
                <w:szCs w:val="20"/>
                <w:shd w:val="solid" w:color="000000" w:fill="000000"/>
                <w:fitText w:val="360" w:id="-663469044"/>
                <w14:textFill>
                  <w14:solidFill>
                    <w14:srgbClr w14:val="000000">
                      <w14:alpha w14:val="100000"/>
                    </w14:srgbClr>
                  </w14:solidFill>
                </w14:textFill>
              </w:rPr>
              <w:t>|||</w:t>
            </w:r>
            <w:r w:rsidR="003A33AB" w:rsidRPr="003A33AB">
              <w:rPr>
                <w:b/>
                <w:bCs w:val="0"/>
                <w:color w:val="000000"/>
                <w:spacing w:val="3"/>
                <w:szCs w:val="20"/>
                <w:shd w:val="solid" w:color="000000" w:fill="000000"/>
                <w:fitText w:val="360" w:id="-663469044"/>
                <w14:textFill>
                  <w14:solidFill>
                    <w14:srgbClr w14:val="000000">
                      <w14:alpha w14:val="100000"/>
                    </w14:srgbClr>
                  </w14:solidFill>
                </w14:textFill>
              </w:rPr>
              <w:t>|</w:t>
            </w:r>
            <w:r w:rsidR="00033EE5">
              <w:rPr>
                <w:vertAlign w:val="superscript"/>
              </w:rPr>
              <w:t>3</w:t>
            </w:r>
          </w:p>
        </w:tc>
        <w:tc>
          <w:tcPr>
            <w:tcW w:w="611" w:type="pct"/>
            <w:shd w:val="clear" w:color="auto" w:fill="auto"/>
            <w:vAlign w:val="center"/>
          </w:tcPr>
          <w:p w14:paraId="26602DC2" w14:textId="33959DBF" w:rsidR="00C1278C" w:rsidRPr="00647F10" w:rsidRDefault="00647F10" w:rsidP="006B1BCB">
            <w:pPr>
              <w:pStyle w:val="TableText"/>
              <w:jc w:val="center"/>
              <w:rPr>
                <w:highlight w:val="darkGray"/>
              </w:rPr>
            </w:pPr>
            <w:r w:rsidRPr="00647F10">
              <w:rPr>
                <w:b/>
                <w:bCs w:val="0"/>
                <w:szCs w:val="20"/>
              </w:rPr>
              <w:t xml:space="preserve"> $</w:t>
            </w:r>
            <w:r w:rsidR="003A33AB" w:rsidRPr="003A33AB">
              <w:rPr>
                <w:b/>
                <w:bCs w:val="0"/>
                <w:color w:val="000000"/>
                <w:spacing w:val="58"/>
                <w:szCs w:val="20"/>
                <w:shd w:val="solid" w:color="000000" w:fill="000000"/>
                <w:fitText w:val="360" w:id="-663469043"/>
                <w14:textFill>
                  <w14:solidFill>
                    <w14:srgbClr w14:val="000000">
                      <w14:alpha w14:val="100000"/>
                    </w14:srgbClr>
                  </w14:solidFill>
                </w14:textFill>
              </w:rPr>
              <w:t>|||</w:t>
            </w:r>
            <w:r w:rsidR="003A33AB" w:rsidRPr="003A33AB">
              <w:rPr>
                <w:b/>
                <w:bCs w:val="0"/>
                <w:color w:val="000000"/>
                <w:spacing w:val="3"/>
                <w:szCs w:val="20"/>
                <w:shd w:val="solid" w:color="000000" w:fill="000000"/>
                <w:fitText w:val="360" w:id="-663469043"/>
                <w14:textFill>
                  <w14:solidFill>
                    <w14:srgbClr w14:val="000000">
                      <w14:alpha w14:val="100000"/>
                    </w14:srgbClr>
                  </w14:solidFill>
                </w14:textFill>
              </w:rPr>
              <w:t>|</w:t>
            </w:r>
            <w:r w:rsidR="00033EE5">
              <w:rPr>
                <w:vertAlign w:val="superscript"/>
              </w:rPr>
              <w:t>4</w:t>
            </w:r>
          </w:p>
        </w:tc>
        <w:tc>
          <w:tcPr>
            <w:tcW w:w="611" w:type="pct"/>
            <w:shd w:val="clear" w:color="auto" w:fill="auto"/>
            <w:vAlign w:val="center"/>
          </w:tcPr>
          <w:p w14:paraId="52C831D5" w14:textId="158B17B5" w:rsidR="00C1278C" w:rsidRPr="00647F10" w:rsidRDefault="00647F10" w:rsidP="006B1BCB">
            <w:pPr>
              <w:pStyle w:val="TableText"/>
              <w:jc w:val="center"/>
              <w:rPr>
                <w:highlight w:val="darkGray"/>
              </w:rPr>
            </w:pPr>
            <w:r w:rsidRPr="00647F10">
              <w:rPr>
                <w:b/>
                <w:bCs w:val="0"/>
                <w:szCs w:val="20"/>
              </w:rPr>
              <w:t xml:space="preserve"> $</w:t>
            </w:r>
            <w:r w:rsidR="003A33AB" w:rsidRPr="003A33AB">
              <w:rPr>
                <w:b/>
                <w:bCs w:val="0"/>
                <w:color w:val="000000"/>
                <w:spacing w:val="58"/>
                <w:szCs w:val="20"/>
                <w:shd w:val="solid" w:color="000000" w:fill="000000"/>
                <w:fitText w:val="360" w:id="-663469042"/>
                <w14:textFill>
                  <w14:solidFill>
                    <w14:srgbClr w14:val="000000">
                      <w14:alpha w14:val="100000"/>
                    </w14:srgbClr>
                  </w14:solidFill>
                </w14:textFill>
              </w:rPr>
              <w:t>|||</w:t>
            </w:r>
            <w:r w:rsidR="003A33AB" w:rsidRPr="003A33AB">
              <w:rPr>
                <w:b/>
                <w:bCs w:val="0"/>
                <w:color w:val="000000"/>
                <w:spacing w:val="3"/>
                <w:szCs w:val="20"/>
                <w:shd w:val="solid" w:color="000000" w:fill="000000"/>
                <w:fitText w:val="360" w:id="-663469042"/>
                <w14:textFill>
                  <w14:solidFill>
                    <w14:srgbClr w14:val="000000">
                      <w14:alpha w14:val="100000"/>
                    </w14:srgbClr>
                  </w14:solidFill>
                </w14:textFill>
              </w:rPr>
              <w:t>|</w:t>
            </w:r>
            <w:r w:rsidR="00033EE5">
              <w:rPr>
                <w:vertAlign w:val="superscript"/>
              </w:rPr>
              <w:t>4</w:t>
            </w:r>
          </w:p>
        </w:tc>
        <w:tc>
          <w:tcPr>
            <w:tcW w:w="611" w:type="pct"/>
            <w:vAlign w:val="center"/>
          </w:tcPr>
          <w:p w14:paraId="652CA7B8" w14:textId="20C07E86" w:rsidR="00C1278C" w:rsidRPr="00647F10" w:rsidRDefault="00647F10" w:rsidP="006B1BCB">
            <w:pPr>
              <w:pStyle w:val="TableText"/>
              <w:jc w:val="center"/>
              <w:rPr>
                <w:highlight w:val="darkGray"/>
              </w:rPr>
            </w:pPr>
            <w:r w:rsidRPr="00647F10">
              <w:rPr>
                <w:b/>
                <w:bCs w:val="0"/>
                <w:szCs w:val="20"/>
              </w:rPr>
              <w:t xml:space="preserve"> $</w:t>
            </w:r>
            <w:r w:rsidR="003A33AB" w:rsidRPr="003A33AB">
              <w:rPr>
                <w:b/>
                <w:bCs w:val="0"/>
                <w:color w:val="000000"/>
                <w:spacing w:val="58"/>
                <w:szCs w:val="20"/>
                <w:shd w:val="solid" w:color="000000" w:fill="000000"/>
                <w:fitText w:val="360" w:id="-663469041"/>
                <w14:textFill>
                  <w14:solidFill>
                    <w14:srgbClr w14:val="000000">
                      <w14:alpha w14:val="100000"/>
                    </w14:srgbClr>
                  </w14:solidFill>
                </w14:textFill>
              </w:rPr>
              <w:t>|||</w:t>
            </w:r>
            <w:r w:rsidR="003A33AB" w:rsidRPr="003A33AB">
              <w:rPr>
                <w:b/>
                <w:bCs w:val="0"/>
                <w:color w:val="000000"/>
                <w:spacing w:val="3"/>
                <w:szCs w:val="20"/>
                <w:shd w:val="solid" w:color="000000" w:fill="000000"/>
                <w:fitText w:val="360" w:id="-663469041"/>
                <w14:textFill>
                  <w14:solidFill>
                    <w14:srgbClr w14:val="000000">
                      <w14:alpha w14:val="100000"/>
                    </w14:srgbClr>
                  </w14:solidFill>
                </w14:textFill>
              </w:rPr>
              <w:t>|</w:t>
            </w:r>
            <w:r w:rsidR="00033EE5">
              <w:rPr>
                <w:vertAlign w:val="superscript"/>
              </w:rPr>
              <w:t>5</w:t>
            </w:r>
          </w:p>
        </w:tc>
      </w:tr>
      <w:tr w:rsidR="009E249A" w:rsidRPr="0098262F" w14:paraId="1ED43B74" w14:textId="77777777" w:rsidTr="002279E1">
        <w:tc>
          <w:tcPr>
            <w:tcW w:w="1334" w:type="pct"/>
            <w:shd w:val="clear" w:color="auto" w:fill="auto"/>
            <w:vAlign w:val="center"/>
          </w:tcPr>
          <w:p w14:paraId="7DC8AF19" w14:textId="494DC580" w:rsidR="009E249A" w:rsidRPr="00033EE5" w:rsidRDefault="009E249A" w:rsidP="009E249A">
            <w:pPr>
              <w:pStyle w:val="COMTabletext"/>
              <w:rPr>
                <w:b/>
                <w:bCs w:val="0"/>
                <w:szCs w:val="20"/>
              </w:rPr>
            </w:pPr>
            <w:r w:rsidRPr="00033EE5">
              <w:rPr>
                <w:b/>
                <w:bCs w:val="0"/>
                <w:szCs w:val="20"/>
              </w:rPr>
              <w:t xml:space="preserve">Net cost to PBS/RPBS (less co-payment) – new DPMQ </w:t>
            </w:r>
            <w:r w:rsidR="0050604D" w:rsidRPr="00033EE5">
              <w:rPr>
                <w:b/>
                <w:bCs w:val="0"/>
                <w:szCs w:val="20"/>
              </w:rPr>
              <w:t xml:space="preserve">$55.41 </w:t>
            </w:r>
          </w:p>
        </w:tc>
        <w:tc>
          <w:tcPr>
            <w:tcW w:w="611" w:type="pct"/>
            <w:shd w:val="clear" w:color="auto" w:fill="auto"/>
          </w:tcPr>
          <w:p w14:paraId="16F25D87" w14:textId="33F1D277" w:rsidR="009E249A" w:rsidRPr="00033EE5" w:rsidRDefault="009E249A" w:rsidP="009E249A">
            <w:pPr>
              <w:pStyle w:val="TableText"/>
              <w:jc w:val="center"/>
              <w:rPr>
                <w:b/>
                <w:bCs w:val="0"/>
                <w:szCs w:val="20"/>
              </w:rPr>
            </w:pPr>
            <w:r w:rsidRPr="00033EE5">
              <w:rPr>
                <w:b/>
                <w:bCs w:val="0"/>
              </w:rPr>
              <w:t>$</w:t>
            </w:r>
            <w:r w:rsidR="003A33AB" w:rsidRPr="003A33AB">
              <w:rPr>
                <w:b/>
                <w:bCs w:val="0"/>
                <w:color w:val="000000"/>
                <w:spacing w:val="58"/>
                <w:shd w:val="solid" w:color="000000" w:fill="000000"/>
                <w:fitText w:val="360" w:id="-663469040"/>
                <w14:textFill>
                  <w14:solidFill>
                    <w14:srgbClr w14:val="000000">
                      <w14:alpha w14:val="100000"/>
                    </w14:srgbClr>
                  </w14:solidFill>
                </w14:textFill>
              </w:rPr>
              <w:t>|||</w:t>
            </w:r>
            <w:r w:rsidR="003A33AB" w:rsidRPr="003A33AB">
              <w:rPr>
                <w:b/>
                <w:bCs w:val="0"/>
                <w:color w:val="000000"/>
                <w:spacing w:val="3"/>
                <w:shd w:val="solid" w:color="000000" w:fill="000000"/>
                <w:fitText w:val="360" w:id="-663469040"/>
                <w14:textFill>
                  <w14:solidFill>
                    <w14:srgbClr w14:val="000000">
                      <w14:alpha w14:val="100000"/>
                    </w14:srgbClr>
                  </w14:solidFill>
                </w14:textFill>
              </w:rPr>
              <w:t>|</w:t>
            </w:r>
            <w:r w:rsidR="00033EE5" w:rsidRPr="00033EE5">
              <w:rPr>
                <w:vertAlign w:val="superscript"/>
              </w:rPr>
              <w:t>2</w:t>
            </w:r>
          </w:p>
        </w:tc>
        <w:tc>
          <w:tcPr>
            <w:tcW w:w="611" w:type="pct"/>
            <w:shd w:val="clear" w:color="auto" w:fill="auto"/>
          </w:tcPr>
          <w:p w14:paraId="6AFAB8DD" w14:textId="6F769FD7" w:rsidR="009E249A" w:rsidRPr="00033EE5" w:rsidRDefault="00647F10" w:rsidP="009E249A">
            <w:pPr>
              <w:pStyle w:val="TableText"/>
              <w:jc w:val="center"/>
              <w:rPr>
                <w:b/>
                <w:bCs w:val="0"/>
                <w:szCs w:val="20"/>
                <w:highlight w:val="darkGray"/>
              </w:rPr>
            </w:pPr>
            <w:r w:rsidRPr="00033EE5">
              <w:rPr>
                <w:b/>
                <w:bCs w:val="0"/>
              </w:rPr>
              <w:t xml:space="preserve"> $</w:t>
            </w:r>
            <w:r w:rsidR="003A33AB" w:rsidRPr="003A33AB">
              <w:rPr>
                <w:b/>
                <w:bCs w:val="0"/>
                <w:color w:val="000000"/>
                <w:spacing w:val="58"/>
                <w:shd w:val="solid" w:color="000000" w:fill="000000"/>
                <w:fitText w:val="360" w:id="-663469056"/>
                <w14:textFill>
                  <w14:solidFill>
                    <w14:srgbClr w14:val="000000">
                      <w14:alpha w14:val="100000"/>
                    </w14:srgbClr>
                  </w14:solidFill>
                </w14:textFill>
              </w:rPr>
              <w:t>|||</w:t>
            </w:r>
            <w:r w:rsidR="003A33AB" w:rsidRPr="003A33AB">
              <w:rPr>
                <w:b/>
                <w:bCs w:val="0"/>
                <w:color w:val="000000"/>
                <w:spacing w:val="3"/>
                <w:shd w:val="solid" w:color="000000" w:fill="000000"/>
                <w:fitText w:val="360" w:id="-663469056"/>
                <w14:textFill>
                  <w14:solidFill>
                    <w14:srgbClr w14:val="000000">
                      <w14:alpha w14:val="100000"/>
                    </w14:srgbClr>
                  </w14:solidFill>
                </w14:textFill>
              </w:rPr>
              <w:t>|</w:t>
            </w:r>
            <w:r w:rsidR="00033EE5" w:rsidRPr="00033EE5">
              <w:rPr>
                <w:vertAlign w:val="superscript"/>
              </w:rPr>
              <w:t>2</w:t>
            </w:r>
          </w:p>
        </w:tc>
        <w:tc>
          <w:tcPr>
            <w:tcW w:w="611" w:type="pct"/>
            <w:shd w:val="clear" w:color="auto" w:fill="auto"/>
          </w:tcPr>
          <w:p w14:paraId="2F92F8A9" w14:textId="7D7F3298" w:rsidR="009E249A" w:rsidRPr="00033EE5" w:rsidRDefault="00647F10" w:rsidP="009E249A">
            <w:pPr>
              <w:pStyle w:val="TableText"/>
              <w:jc w:val="center"/>
              <w:rPr>
                <w:b/>
                <w:bCs w:val="0"/>
                <w:szCs w:val="20"/>
                <w:highlight w:val="darkGray"/>
              </w:rPr>
            </w:pPr>
            <w:r w:rsidRPr="00033EE5">
              <w:rPr>
                <w:b/>
                <w:bCs w:val="0"/>
              </w:rPr>
              <w:t xml:space="preserve"> $</w:t>
            </w:r>
            <w:r w:rsidR="003A33AB" w:rsidRPr="003A33AB">
              <w:rPr>
                <w:b/>
                <w:bCs w:val="0"/>
                <w:color w:val="000000"/>
                <w:spacing w:val="58"/>
                <w:shd w:val="solid" w:color="000000" w:fill="000000"/>
                <w:fitText w:val="360" w:id="-663469055"/>
                <w14:textFill>
                  <w14:solidFill>
                    <w14:srgbClr w14:val="000000">
                      <w14:alpha w14:val="100000"/>
                    </w14:srgbClr>
                  </w14:solidFill>
                </w14:textFill>
              </w:rPr>
              <w:t>|||</w:t>
            </w:r>
            <w:r w:rsidR="003A33AB" w:rsidRPr="003A33AB">
              <w:rPr>
                <w:b/>
                <w:bCs w:val="0"/>
                <w:color w:val="000000"/>
                <w:spacing w:val="3"/>
                <w:shd w:val="solid" w:color="000000" w:fill="000000"/>
                <w:fitText w:val="360" w:id="-663469055"/>
                <w14:textFill>
                  <w14:solidFill>
                    <w14:srgbClr w14:val="000000">
                      <w14:alpha w14:val="100000"/>
                    </w14:srgbClr>
                  </w14:solidFill>
                </w14:textFill>
              </w:rPr>
              <w:t>|</w:t>
            </w:r>
            <w:r w:rsidR="00033EE5">
              <w:rPr>
                <w:vertAlign w:val="superscript"/>
              </w:rPr>
              <w:t>3</w:t>
            </w:r>
          </w:p>
        </w:tc>
        <w:tc>
          <w:tcPr>
            <w:tcW w:w="611" w:type="pct"/>
            <w:shd w:val="clear" w:color="auto" w:fill="auto"/>
          </w:tcPr>
          <w:p w14:paraId="345A4755" w14:textId="6F94575E" w:rsidR="009E249A" w:rsidRPr="00033EE5" w:rsidRDefault="00647F10" w:rsidP="009E249A">
            <w:pPr>
              <w:pStyle w:val="TableText"/>
              <w:jc w:val="center"/>
              <w:rPr>
                <w:b/>
                <w:bCs w:val="0"/>
                <w:szCs w:val="20"/>
                <w:highlight w:val="darkGray"/>
              </w:rPr>
            </w:pPr>
            <w:r w:rsidRPr="00033EE5">
              <w:rPr>
                <w:b/>
                <w:bCs w:val="0"/>
              </w:rPr>
              <w:t xml:space="preserve"> $</w:t>
            </w:r>
            <w:r w:rsidR="003A33AB" w:rsidRPr="003A33AB">
              <w:rPr>
                <w:b/>
                <w:bCs w:val="0"/>
                <w:color w:val="000000"/>
                <w:spacing w:val="58"/>
                <w:shd w:val="solid" w:color="000000" w:fill="000000"/>
                <w:fitText w:val="360" w:id="-663469054"/>
                <w14:textFill>
                  <w14:solidFill>
                    <w14:srgbClr w14:val="000000">
                      <w14:alpha w14:val="100000"/>
                    </w14:srgbClr>
                  </w14:solidFill>
                </w14:textFill>
              </w:rPr>
              <w:t>|||</w:t>
            </w:r>
            <w:r w:rsidR="003A33AB" w:rsidRPr="003A33AB">
              <w:rPr>
                <w:b/>
                <w:bCs w:val="0"/>
                <w:color w:val="000000"/>
                <w:spacing w:val="3"/>
                <w:shd w:val="solid" w:color="000000" w:fill="000000"/>
                <w:fitText w:val="360" w:id="-663469054"/>
                <w14:textFill>
                  <w14:solidFill>
                    <w14:srgbClr w14:val="000000">
                      <w14:alpha w14:val="100000"/>
                    </w14:srgbClr>
                  </w14:solidFill>
                </w14:textFill>
              </w:rPr>
              <w:t>|</w:t>
            </w:r>
            <w:r w:rsidR="00033EE5">
              <w:rPr>
                <w:vertAlign w:val="superscript"/>
              </w:rPr>
              <w:t>3</w:t>
            </w:r>
          </w:p>
        </w:tc>
        <w:tc>
          <w:tcPr>
            <w:tcW w:w="611" w:type="pct"/>
            <w:shd w:val="clear" w:color="auto" w:fill="auto"/>
          </w:tcPr>
          <w:p w14:paraId="066F5CDA" w14:textId="7C74E3F6" w:rsidR="009E249A" w:rsidRPr="00033EE5" w:rsidRDefault="00647F10" w:rsidP="009E249A">
            <w:pPr>
              <w:pStyle w:val="TableText"/>
              <w:jc w:val="center"/>
              <w:rPr>
                <w:b/>
                <w:bCs w:val="0"/>
                <w:szCs w:val="20"/>
                <w:highlight w:val="darkGray"/>
              </w:rPr>
            </w:pPr>
            <w:r w:rsidRPr="00033EE5">
              <w:rPr>
                <w:b/>
                <w:bCs w:val="0"/>
              </w:rPr>
              <w:t xml:space="preserve"> $</w:t>
            </w:r>
            <w:r w:rsidR="003A33AB" w:rsidRPr="003A33AB">
              <w:rPr>
                <w:b/>
                <w:bCs w:val="0"/>
                <w:color w:val="000000"/>
                <w:spacing w:val="58"/>
                <w:shd w:val="solid" w:color="000000" w:fill="000000"/>
                <w:fitText w:val="360" w:id="-663469053"/>
                <w14:textFill>
                  <w14:solidFill>
                    <w14:srgbClr w14:val="000000">
                      <w14:alpha w14:val="100000"/>
                    </w14:srgbClr>
                  </w14:solidFill>
                </w14:textFill>
              </w:rPr>
              <w:t>|||</w:t>
            </w:r>
            <w:r w:rsidR="003A33AB" w:rsidRPr="003A33AB">
              <w:rPr>
                <w:b/>
                <w:bCs w:val="0"/>
                <w:color w:val="000000"/>
                <w:spacing w:val="3"/>
                <w:shd w:val="solid" w:color="000000" w:fill="000000"/>
                <w:fitText w:val="360" w:id="-663469053"/>
                <w14:textFill>
                  <w14:solidFill>
                    <w14:srgbClr w14:val="000000">
                      <w14:alpha w14:val="100000"/>
                    </w14:srgbClr>
                  </w14:solidFill>
                </w14:textFill>
              </w:rPr>
              <w:t>|</w:t>
            </w:r>
            <w:r w:rsidR="00033EE5">
              <w:rPr>
                <w:vertAlign w:val="superscript"/>
              </w:rPr>
              <w:t>4</w:t>
            </w:r>
          </w:p>
        </w:tc>
        <w:tc>
          <w:tcPr>
            <w:tcW w:w="611" w:type="pct"/>
          </w:tcPr>
          <w:p w14:paraId="7949C9EB" w14:textId="36D2DB84" w:rsidR="009E249A" w:rsidRPr="00033EE5" w:rsidRDefault="00647F10" w:rsidP="009E249A">
            <w:pPr>
              <w:pStyle w:val="TableText"/>
              <w:jc w:val="center"/>
              <w:rPr>
                <w:b/>
                <w:bCs w:val="0"/>
                <w:szCs w:val="20"/>
                <w:highlight w:val="darkGray"/>
              </w:rPr>
            </w:pPr>
            <w:r w:rsidRPr="00033EE5">
              <w:rPr>
                <w:b/>
                <w:bCs w:val="0"/>
              </w:rPr>
              <w:t xml:space="preserve"> $</w:t>
            </w:r>
            <w:r w:rsidR="003A33AB" w:rsidRPr="003A33AB">
              <w:rPr>
                <w:b/>
                <w:bCs w:val="0"/>
                <w:color w:val="000000"/>
                <w:spacing w:val="58"/>
                <w:shd w:val="solid" w:color="000000" w:fill="000000"/>
                <w:fitText w:val="360" w:id="-663469052"/>
                <w14:textFill>
                  <w14:solidFill>
                    <w14:srgbClr w14:val="000000">
                      <w14:alpha w14:val="100000"/>
                    </w14:srgbClr>
                  </w14:solidFill>
                </w14:textFill>
              </w:rPr>
              <w:t>|||</w:t>
            </w:r>
            <w:r w:rsidR="003A33AB" w:rsidRPr="003A33AB">
              <w:rPr>
                <w:b/>
                <w:bCs w:val="0"/>
                <w:color w:val="000000"/>
                <w:spacing w:val="3"/>
                <w:shd w:val="solid" w:color="000000" w:fill="000000"/>
                <w:fitText w:val="360" w:id="-663469052"/>
                <w14:textFill>
                  <w14:solidFill>
                    <w14:srgbClr w14:val="000000">
                      <w14:alpha w14:val="100000"/>
                    </w14:srgbClr>
                  </w14:solidFill>
                </w14:textFill>
              </w:rPr>
              <w:t>|</w:t>
            </w:r>
            <w:r w:rsidR="00033EE5">
              <w:rPr>
                <w:vertAlign w:val="superscript"/>
              </w:rPr>
              <w:t>4</w:t>
            </w:r>
          </w:p>
        </w:tc>
      </w:tr>
      <w:tr w:rsidR="00C1278C" w:rsidRPr="0098262F" w14:paraId="788C50BC" w14:textId="77777777" w:rsidTr="006B1BCB">
        <w:tc>
          <w:tcPr>
            <w:tcW w:w="1334" w:type="pct"/>
            <w:shd w:val="clear" w:color="auto" w:fill="B8CCE4" w:themeFill="accent1" w:themeFillTint="66"/>
          </w:tcPr>
          <w:p w14:paraId="7E7F6976" w14:textId="77777777" w:rsidR="00C1278C" w:rsidRPr="00033EE5" w:rsidRDefault="00C1278C" w:rsidP="006B1BCB">
            <w:pPr>
              <w:pStyle w:val="COMTabletext"/>
              <w:rPr>
                <w:b/>
                <w:bCs w:val="0"/>
              </w:rPr>
            </w:pPr>
            <w:r w:rsidRPr="00033EE5">
              <w:rPr>
                <w:b/>
                <w:bCs w:val="0"/>
              </w:rPr>
              <w:t>November 2023 submission net PBS/RPBS cost</w:t>
            </w:r>
          </w:p>
        </w:tc>
        <w:tc>
          <w:tcPr>
            <w:tcW w:w="611" w:type="pct"/>
            <w:shd w:val="clear" w:color="auto" w:fill="B8CCE4" w:themeFill="accent1" w:themeFillTint="66"/>
            <w:vAlign w:val="center"/>
          </w:tcPr>
          <w:p w14:paraId="78FDC0E2" w14:textId="047572DA" w:rsidR="00C1278C" w:rsidRPr="00033EE5" w:rsidRDefault="00A420D3" w:rsidP="006B1BCB">
            <w:pPr>
              <w:pStyle w:val="TableText"/>
              <w:jc w:val="center"/>
              <w:rPr>
                <w:highlight w:val="darkGray"/>
              </w:rPr>
            </w:pPr>
            <w:r w:rsidRPr="00033EE5">
              <w:rPr>
                <w:b/>
                <w:bCs w:val="0"/>
              </w:rPr>
              <w:t>$</w:t>
            </w:r>
            <w:r w:rsidR="003A33AB" w:rsidRPr="003A33AB">
              <w:rPr>
                <w:b/>
                <w:bCs w:val="0"/>
                <w:color w:val="000000"/>
                <w:spacing w:val="58"/>
                <w:shd w:val="solid" w:color="000000" w:fill="000000"/>
                <w:fitText w:val="360" w:id="-663469051"/>
                <w14:textFill>
                  <w14:solidFill>
                    <w14:srgbClr w14:val="000000">
                      <w14:alpha w14:val="100000"/>
                    </w14:srgbClr>
                  </w14:solidFill>
                </w14:textFill>
              </w:rPr>
              <w:t>|||</w:t>
            </w:r>
            <w:r w:rsidR="003A33AB" w:rsidRPr="003A33AB">
              <w:rPr>
                <w:b/>
                <w:bCs w:val="0"/>
                <w:color w:val="000000"/>
                <w:spacing w:val="3"/>
                <w:shd w:val="solid" w:color="000000" w:fill="000000"/>
                <w:fitText w:val="360" w:id="-663469051"/>
                <w14:textFill>
                  <w14:solidFill>
                    <w14:srgbClr w14:val="000000">
                      <w14:alpha w14:val="100000"/>
                    </w14:srgbClr>
                  </w14:solidFill>
                </w14:textFill>
              </w:rPr>
              <w:t>|</w:t>
            </w:r>
            <w:r w:rsidR="004F0CD3" w:rsidRPr="00033EE5">
              <w:rPr>
                <w:vertAlign w:val="superscript"/>
              </w:rPr>
              <w:t>1</w:t>
            </w:r>
          </w:p>
        </w:tc>
        <w:tc>
          <w:tcPr>
            <w:tcW w:w="611" w:type="pct"/>
            <w:shd w:val="clear" w:color="auto" w:fill="B8CCE4" w:themeFill="accent1" w:themeFillTint="66"/>
            <w:vAlign w:val="center"/>
          </w:tcPr>
          <w:p w14:paraId="39DDA965" w14:textId="6810C4FC" w:rsidR="00C1278C" w:rsidRPr="00033EE5" w:rsidRDefault="00A420D3" w:rsidP="006B1BCB">
            <w:pPr>
              <w:pStyle w:val="TableText"/>
              <w:jc w:val="center"/>
              <w:rPr>
                <w:highlight w:val="darkGray"/>
              </w:rPr>
            </w:pPr>
            <w:r w:rsidRPr="00033EE5">
              <w:rPr>
                <w:b/>
                <w:bCs w:val="0"/>
              </w:rPr>
              <w:t xml:space="preserve"> $</w:t>
            </w:r>
            <w:r w:rsidR="003A33AB" w:rsidRPr="003A33AB">
              <w:rPr>
                <w:b/>
                <w:bCs w:val="0"/>
                <w:color w:val="000000"/>
                <w:spacing w:val="58"/>
                <w:shd w:val="solid" w:color="000000" w:fill="000000"/>
                <w:fitText w:val="360" w:id="-663469050"/>
                <w14:textFill>
                  <w14:solidFill>
                    <w14:srgbClr w14:val="000000">
                      <w14:alpha w14:val="100000"/>
                    </w14:srgbClr>
                  </w14:solidFill>
                </w14:textFill>
              </w:rPr>
              <w:t>|||</w:t>
            </w:r>
            <w:r w:rsidR="003A33AB" w:rsidRPr="003A33AB">
              <w:rPr>
                <w:b/>
                <w:bCs w:val="0"/>
                <w:color w:val="000000"/>
                <w:spacing w:val="3"/>
                <w:shd w:val="solid" w:color="000000" w:fill="000000"/>
                <w:fitText w:val="360" w:id="-663469050"/>
                <w14:textFill>
                  <w14:solidFill>
                    <w14:srgbClr w14:val="000000">
                      <w14:alpha w14:val="100000"/>
                    </w14:srgbClr>
                  </w14:solidFill>
                </w14:textFill>
              </w:rPr>
              <w:t>|</w:t>
            </w:r>
            <w:r w:rsidR="00033EE5" w:rsidRPr="00033EE5">
              <w:rPr>
                <w:vertAlign w:val="superscript"/>
              </w:rPr>
              <w:t>2</w:t>
            </w:r>
          </w:p>
        </w:tc>
        <w:tc>
          <w:tcPr>
            <w:tcW w:w="611" w:type="pct"/>
            <w:shd w:val="clear" w:color="auto" w:fill="B8CCE4" w:themeFill="accent1" w:themeFillTint="66"/>
            <w:vAlign w:val="center"/>
          </w:tcPr>
          <w:p w14:paraId="07B854F2" w14:textId="6378FDFA" w:rsidR="00C1278C" w:rsidRPr="00033EE5" w:rsidRDefault="00A420D3" w:rsidP="006B1BCB">
            <w:pPr>
              <w:pStyle w:val="TableText"/>
              <w:jc w:val="center"/>
              <w:rPr>
                <w:highlight w:val="darkGray"/>
              </w:rPr>
            </w:pPr>
            <w:r w:rsidRPr="00033EE5">
              <w:rPr>
                <w:b/>
                <w:bCs w:val="0"/>
              </w:rPr>
              <w:t xml:space="preserve"> $</w:t>
            </w:r>
            <w:r w:rsidR="003A33AB" w:rsidRPr="003A33AB">
              <w:rPr>
                <w:b/>
                <w:bCs w:val="0"/>
                <w:color w:val="000000"/>
                <w:spacing w:val="58"/>
                <w:shd w:val="solid" w:color="000000" w:fill="000000"/>
                <w:fitText w:val="360" w:id="-663469049"/>
                <w14:textFill>
                  <w14:solidFill>
                    <w14:srgbClr w14:val="000000">
                      <w14:alpha w14:val="100000"/>
                    </w14:srgbClr>
                  </w14:solidFill>
                </w14:textFill>
              </w:rPr>
              <w:t>|||</w:t>
            </w:r>
            <w:r w:rsidR="003A33AB" w:rsidRPr="003A33AB">
              <w:rPr>
                <w:b/>
                <w:bCs w:val="0"/>
                <w:color w:val="000000"/>
                <w:spacing w:val="3"/>
                <w:shd w:val="solid" w:color="000000" w:fill="000000"/>
                <w:fitText w:val="360" w:id="-663469049"/>
                <w14:textFill>
                  <w14:solidFill>
                    <w14:srgbClr w14:val="000000">
                      <w14:alpha w14:val="100000"/>
                    </w14:srgbClr>
                  </w14:solidFill>
                </w14:textFill>
              </w:rPr>
              <w:t>|</w:t>
            </w:r>
            <w:r w:rsidR="00033EE5" w:rsidRPr="00033EE5">
              <w:rPr>
                <w:vertAlign w:val="superscript"/>
              </w:rPr>
              <w:t>2</w:t>
            </w:r>
          </w:p>
        </w:tc>
        <w:tc>
          <w:tcPr>
            <w:tcW w:w="611" w:type="pct"/>
            <w:shd w:val="clear" w:color="auto" w:fill="B8CCE4" w:themeFill="accent1" w:themeFillTint="66"/>
            <w:vAlign w:val="center"/>
          </w:tcPr>
          <w:p w14:paraId="459F85CE" w14:textId="235EF80B" w:rsidR="00C1278C" w:rsidRPr="00033EE5" w:rsidRDefault="00A420D3" w:rsidP="006B1BCB">
            <w:pPr>
              <w:pStyle w:val="TableText"/>
              <w:jc w:val="center"/>
              <w:rPr>
                <w:highlight w:val="darkGray"/>
              </w:rPr>
            </w:pPr>
            <w:r w:rsidRPr="00033EE5">
              <w:rPr>
                <w:b/>
                <w:bCs w:val="0"/>
              </w:rPr>
              <w:t xml:space="preserve"> $</w:t>
            </w:r>
            <w:r w:rsidR="003A33AB" w:rsidRPr="003A33AB">
              <w:rPr>
                <w:b/>
                <w:bCs w:val="0"/>
                <w:color w:val="000000"/>
                <w:spacing w:val="58"/>
                <w:shd w:val="solid" w:color="000000" w:fill="000000"/>
                <w:fitText w:val="360" w:id="-663469048"/>
                <w14:textFill>
                  <w14:solidFill>
                    <w14:srgbClr w14:val="000000">
                      <w14:alpha w14:val="100000"/>
                    </w14:srgbClr>
                  </w14:solidFill>
                </w14:textFill>
              </w:rPr>
              <w:t>|||</w:t>
            </w:r>
            <w:r w:rsidR="003A33AB" w:rsidRPr="003A33AB">
              <w:rPr>
                <w:b/>
                <w:bCs w:val="0"/>
                <w:color w:val="000000"/>
                <w:spacing w:val="3"/>
                <w:shd w:val="solid" w:color="000000" w:fill="000000"/>
                <w:fitText w:val="360" w:id="-663469048"/>
                <w14:textFill>
                  <w14:solidFill>
                    <w14:srgbClr w14:val="000000">
                      <w14:alpha w14:val="100000"/>
                    </w14:srgbClr>
                  </w14:solidFill>
                </w14:textFill>
              </w:rPr>
              <w:t>|</w:t>
            </w:r>
            <w:r w:rsidR="00033EE5">
              <w:rPr>
                <w:vertAlign w:val="superscript"/>
              </w:rPr>
              <w:t>3</w:t>
            </w:r>
          </w:p>
        </w:tc>
        <w:tc>
          <w:tcPr>
            <w:tcW w:w="611" w:type="pct"/>
            <w:shd w:val="clear" w:color="auto" w:fill="B8CCE4" w:themeFill="accent1" w:themeFillTint="66"/>
            <w:vAlign w:val="center"/>
          </w:tcPr>
          <w:p w14:paraId="13DD0B07" w14:textId="16E1A439" w:rsidR="00C1278C" w:rsidRPr="00033EE5" w:rsidRDefault="00A420D3" w:rsidP="006B1BCB">
            <w:pPr>
              <w:pStyle w:val="TableText"/>
              <w:jc w:val="center"/>
              <w:rPr>
                <w:highlight w:val="darkGray"/>
              </w:rPr>
            </w:pPr>
            <w:r w:rsidRPr="00033EE5">
              <w:rPr>
                <w:b/>
                <w:bCs w:val="0"/>
              </w:rPr>
              <w:t xml:space="preserve"> $</w:t>
            </w:r>
            <w:r w:rsidR="003A33AB" w:rsidRPr="003A33AB">
              <w:rPr>
                <w:b/>
                <w:bCs w:val="0"/>
                <w:color w:val="000000"/>
                <w:spacing w:val="58"/>
                <w:shd w:val="solid" w:color="000000" w:fill="000000"/>
                <w:fitText w:val="360" w:id="-663469047"/>
                <w14:textFill>
                  <w14:solidFill>
                    <w14:srgbClr w14:val="000000">
                      <w14:alpha w14:val="100000"/>
                    </w14:srgbClr>
                  </w14:solidFill>
                </w14:textFill>
              </w:rPr>
              <w:t>|||</w:t>
            </w:r>
            <w:r w:rsidR="003A33AB" w:rsidRPr="003A33AB">
              <w:rPr>
                <w:b/>
                <w:bCs w:val="0"/>
                <w:color w:val="000000"/>
                <w:spacing w:val="3"/>
                <w:shd w:val="solid" w:color="000000" w:fill="000000"/>
                <w:fitText w:val="360" w:id="-663469047"/>
                <w14:textFill>
                  <w14:solidFill>
                    <w14:srgbClr w14:val="000000">
                      <w14:alpha w14:val="100000"/>
                    </w14:srgbClr>
                  </w14:solidFill>
                </w14:textFill>
              </w:rPr>
              <w:t>|</w:t>
            </w:r>
            <w:r w:rsidR="00033EE5">
              <w:rPr>
                <w:vertAlign w:val="superscript"/>
              </w:rPr>
              <w:t>3</w:t>
            </w:r>
          </w:p>
        </w:tc>
        <w:tc>
          <w:tcPr>
            <w:tcW w:w="611" w:type="pct"/>
            <w:shd w:val="clear" w:color="auto" w:fill="B8CCE4" w:themeFill="accent1" w:themeFillTint="66"/>
            <w:vAlign w:val="center"/>
          </w:tcPr>
          <w:p w14:paraId="21FCC132" w14:textId="668AEA75" w:rsidR="00C1278C" w:rsidRPr="00033EE5" w:rsidRDefault="00A420D3" w:rsidP="006B1BCB">
            <w:pPr>
              <w:pStyle w:val="TableText"/>
              <w:jc w:val="center"/>
              <w:rPr>
                <w:highlight w:val="darkGray"/>
              </w:rPr>
            </w:pPr>
            <w:r w:rsidRPr="00033EE5">
              <w:rPr>
                <w:b/>
                <w:bCs w:val="0"/>
              </w:rPr>
              <w:t xml:space="preserve"> $</w:t>
            </w:r>
            <w:r w:rsidR="003A33AB" w:rsidRPr="003A33AB">
              <w:rPr>
                <w:b/>
                <w:bCs w:val="0"/>
                <w:color w:val="000000"/>
                <w:spacing w:val="58"/>
                <w:shd w:val="solid" w:color="000000" w:fill="000000"/>
                <w:fitText w:val="360" w:id="-663469046"/>
                <w14:textFill>
                  <w14:solidFill>
                    <w14:srgbClr w14:val="000000">
                      <w14:alpha w14:val="100000"/>
                    </w14:srgbClr>
                  </w14:solidFill>
                </w14:textFill>
              </w:rPr>
              <w:t>|||</w:t>
            </w:r>
            <w:r w:rsidR="003A33AB" w:rsidRPr="003A33AB">
              <w:rPr>
                <w:b/>
                <w:bCs w:val="0"/>
                <w:color w:val="000000"/>
                <w:spacing w:val="3"/>
                <w:shd w:val="solid" w:color="000000" w:fill="000000"/>
                <w:fitText w:val="360" w:id="-663469046"/>
                <w14:textFill>
                  <w14:solidFill>
                    <w14:srgbClr w14:val="000000">
                      <w14:alpha w14:val="100000"/>
                    </w14:srgbClr>
                  </w14:solidFill>
                </w14:textFill>
              </w:rPr>
              <w:t>|</w:t>
            </w:r>
            <w:r w:rsidR="00033EE5">
              <w:rPr>
                <w:vertAlign w:val="superscript"/>
              </w:rPr>
              <w:t>4</w:t>
            </w:r>
          </w:p>
        </w:tc>
      </w:tr>
    </w:tbl>
    <w:p w14:paraId="3A0237A1" w14:textId="77777777" w:rsidR="00C1278C" w:rsidRPr="003D682E" w:rsidRDefault="00C1278C" w:rsidP="00C1278C">
      <w:pPr>
        <w:pStyle w:val="COMTablefooter"/>
      </w:pPr>
      <w:r w:rsidRPr="003D682E">
        <w:t>Source: Table</w:t>
      </w:r>
      <w:r>
        <w:t>s</w:t>
      </w:r>
      <w:r w:rsidRPr="003D682E">
        <w:t xml:space="preserve"> 4.1</w:t>
      </w:r>
      <w:r>
        <w:rPr>
          <w:rFonts w:eastAsiaTheme="minorEastAsia"/>
          <w:lang w:eastAsia="zh-CN"/>
        </w:rPr>
        <w:t>8</w:t>
      </w:r>
      <w:r>
        <w:rPr>
          <w:rFonts w:eastAsiaTheme="minorEastAsia" w:hint="eastAsia"/>
          <w:lang w:eastAsia="zh-CN"/>
        </w:rPr>
        <w:t>-4.20</w:t>
      </w:r>
      <w:r w:rsidRPr="003D682E">
        <w:t>, p3</w:t>
      </w:r>
      <w:r>
        <w:rPr>
          <w:rFonts w:eastAsiaTheme="minorEastAsia"/>
          <w:lang w:eastAsia="zh-CN"/>
        </w:rPr>
        <w:t>66</w:t>
      </w:r>
      <w:r>
        <w:rPr>
          <w:rFonts w:eastAsiaTheme="minorEastAsia" w:hint="eastAsia"/>
          <w:lang w:eastAsia="zh-CN"/>
        </w:rPr>
        <w:t xml:space="preserve"> o</w:t>
      </w:r>
      <w:r w:rsidRPr="003D682E">
        <w:t xml:space="preserve">f the </w:t>
      </w:r>
      <w:r>
        <w:t>re</w:t>
      </w:r>
      <w:r w:rsidRPr="003D682E">
        <w:t>submission.</w:t>
      </w:r>
    </w:p>
    <w:p w14:paraId="021CF4BB" w14:textId="77777777" w:rsidR="00C1278C" w:rsidRPr="003D682E" w:rsidRDefault="00C1278C" w:rsidP="00C1278C">
      <w:pPr>
        <w:pStyle w:val="COMTablefooter"/>
      </w:pPr>
      <w:r w:rsidRPr="003D682E">
        <w:lastRenderedPageBreak/>
        <w:t xml:space="preserve">Abbreviations: </w:t>
      </w:r>
      <w:proofErr w:type="spellStart"/>
      <w:r w:rsidRPr="003D682E">
        <w:t>ACEi</w:t>
      </w:r>
      <w:proofErr w:type="spellEnd"/>
      <w:r w:rsidRPr="003D682E">
        <w:t xml:space="preserve">, angiotensin converting enzyme inhibitor; ARBs, angiotensin II receptor blocker; CKD, chronic kidney disease; DPMQ, dispensed price for maximum quantity; </w:t>
      </w:r>
      <w:r>
        <w:t xml:space="preserve">PBS, </w:t>
      </w:r>
      <w:r w:rsidRPr="00B6015E">
        <w:t>Pharmaceutical Benefits Scheme</w:t>
      </w:r>
      <w:r>
        <w:t xml:space="preserve">; RPBS, </w:t>
      </w:r>
      <w:r w:rsidRPr="00D706EA">
        <w:t>Repatriation Pharmaceutical Benefits Scheme</w:t>
      </w:r>
      <w:r>
        <w:t>;</w:t>
      </w:r>
      <w:r w:rsidRPr="003D682E">
        <w:t xml:space="preserve"> SGLT2</w:t>
      </w:r>
      <w:r>
        <w:t>i</w:t>
      </w:r>
      <w:r w:rsidRPr="003D682E">
        <w:t>, sodium glucose cotransport-2 inhibitor; T2D, type 2 diabetes.</w:t>
      </w:r>
    </w:p>
    <w:p w14:paraId="2BE56A39" w14:textId="7F9EB88B" w:rsidR="00C1278C" w:rsidRPr="003D682E" w:rsidRDefault="00C1278C" w:rsidP="00C1278C">
      <w:pPr>
        <w:pStyle w:val="COMTablefooter"/>
      </w:pPr>
      <w:r w:rsidRPr="003D682E">
        <w:rPr>
          <w:vertAlign w:val="superscript"/>
        </w:rPr>
        <w:t>a</w:t>
      </w:r>
      <w:r w:rsidRPr="003D682E">
        <w:t xml:space="preserve"> Scripts per year </w:t>
      </w:r>
      <w:r>
        <w:t>calculated as</w:t>
      </w:r>
      <w:r w:rsidRPr="003D682E">
        <w:t xml:space="preserve"> </w:t>
      </w:r>
      <w:r w:rsidR="005D3964" w:rsidRPr="005D3964">
        <w:t>&lt; 500</w:t>
      </w:r>
      <w:r w:rsidRPr="003D682E">
        <w:t xml:space="preserve"> scripts </w:t>
      </w:r>
      <w:r>
        <w:t>per year [</w:t>
      </w:r>
      <w:r w:rsidR="003A33AB" w:rsidRPr="003A33AB">
        <w:rPr>
          <w:color w:val="000000"/>
          <w:spacing w:val="37"/>
          <w:shd w:val="solid" w:color="000000" w:fill="000000"/>
          <w:fitText w:val="270" w:id="-663469045"/>
          <w14:textFill>
            <w14:solidFill>
              <w14:srgbClr w14:val="000000">
                <w14:alpha w14:val="100000"/>
              </w14:srgbClr>
            </w14:solidFill>
          </w14:textFill>
        </w:rPr>
        <w:t xml:space="preserve">|  </w:t>
      </w:r>
      <w:r w:rsidR="003A33AB" w:rsidRPr="003A33AB">
        <w:rPr>
          <w:color w:val="000000"/>
          <w:spacing w:val="1"/>
          <w:shd w:val="solid" w:color="000000" w:fill="000000"/>
          <w:fitText w:val="270" w:id="-663469045"/>
          <w14:textFill>
            <w14:solidFill>
              <w14:srgbClr w14:val="000000">
                <w14:alpha w14:val="100000"/>
              </w14:srgbClr>
            </w14:solidFill>
          </w14:textFill>
        </w:rPr>
        <w:t>|</w:t>
      </w:r>
      <w:r w:rsidR="00C10404" w:rsidRPr="00C10404">
        <w:t xml:space="preserve"> </w:t>
      </w:r>
      <w:r w:rsidR="003A33AB" w:rsidRPr="003A33AB">
        <w:rPr>
          <w:color w:val="000000"/>
          <w:spacing w:val="37"/>
          <w:shd w:val="solid" w:color="000000" w:fill="000000"/>
          <w:fitText w:val="270" w:id="-663469044"/>
          <w14:textFill>
            <w14:solidFill>
              <w14:srgbClr w14:val="000000">
                <w14:alpha w14:val="100000"/>
              </w14:srgbClr>
            </w14:solidFill>
          </w14:textFill>
        </w:rPr>
        <w:t xml:space="preserve">|  </w:t>
      </w:r>
      <w:r w:rsidR="003A33AB" w:rsidRPr="003A33AB">
        <w:rPr>
          <w:color w:val="000000"/>
          <w:spacing w:val="1"/>
          <w:shd w:val="solid" w:color="000000" w:fill="000000"/>
          <w:fitText w:val="270" w:id="-663469044"/>
          <w14:textFill>
            <w14:solidFill>
              <w14:srgbClr w14:val="000000">
                <w14:alpha w14:val="100000"/>
              </w14:srgbClr>
            </w14:solidFill>
          </w14:textFill>
        </w:rPr>
        <w:t>|</w:t>
      </w:r>
      <w:r w:rsidR="00C10404" w:rsidRPr="00C10404">
        <w:t xml:space="preserve"> </w:t>
      </w:r>
      <w:r w:rsidR="003A33AB" w:rsidRPr="003A33AB">
        <w:rPr>
          <w:color w:val="000000"/>
          <w:spacing w:val="40"/>
          <w:shd w:val="solid" w:color="000000" w:fill="000000"/>
          <w:fitText w:val="280" w:id="-663469043"/>
          <w14:textFill>
            <w14:solidFill>
              <w14:srgbClr w14:val="000000">
                <w14:alpha w14:val="100000"/>
              </w14:srgbClr>
            </w14:solidFill>
          </w14:textFill>
        </w:rPr>
        <w:t xml:space="preserve">|  </w:t>
      </w:r>
      <w:r w:rsidR="003A33AB" w:rsidRPr="003A33AB">
        <w:rPr>
          <w:color w:val="000000"/>
          <w:spacing w:val="2"/>
          <w:shd w:val="solid" w:color="000000" w:fill="000000"/>
          <w:fitText w:val="280" w:id="-663469043"/>
          <w14:textFill>
            <w14:solidFill>
              <w14:srgbClr w14:val="000000">
                <w14:alpha w14:val="100000"/>
              </w14:srgbClr>
            </w14:solidFill>
          </w14:textFill>
        </w:rPr>
        <w:t>|</w:t>
      </w:r>
      <w:r>
        <w:t>], a</w:t>
      </w:r>
      <w:r w:rsidRPr="003D682E">
        <w:t xml:space="preserve">djusted </w:t>
      </w:r>
      <w:r>
        <w:t>for</w:t>
      </w:r>
      <w:r w:rsidRPr="003D682E">
        <w:t xml:space="preserve"> </w:t>
      </w:r>
      <w:r w:rsidR="003A33AB" w:rsidRPr="003A33AB">
        <w:rPr>
          <w:color w:val="000000"/>
          <w:spacing w:val="37"/>
          <w:shd w:val="solid" w:color="000000" w:fill="000000"/>
          <w:fitText w:val="270" w:id="-663469042"/>
          <w14:textFill>
            <w14:solidFill>
              <w14:srgbClr w14:val="000000">
                <w14:alpha w14:val="100000"/>
              </w14:srgbClr>
            </w14:solidFill>
          </w14:textFill>
        </w:rPr>
        <w:t xml:space="preserve">|  </w:t>
      </w:r>
      <w:r w:rsidR="003A33AB" w:rsidRPr="003A33AB">
        <w:rPr>
          <w:color w:val="000000"/>
          <w:spacing w:val="1"/>
          <w:shd w:val="solid" w:color="000000" w:fill="000000"/>
          <w:fitText w:val="270" w:id="-663469042"/>
          <w14:textFill>
            <w14:solidFill>
              <w14:srgbClr w14:val="000000">
                <w14:alpha w14:val="100000"/>
              </w14:srgbClr>
            </w14:solidFill>
          </w14:textFill>
        </w:rPr>
        <w:t>|</w:t>
      </w:r>
      <w:r w:rsidRPr="003D682E">
        <w:t>% adherence</w:t>
      </w:r>
      <w:r>
        <w:t xml:space="preserve"> [</w:t>
      </w:r>
      <w:r w:rsidR="003A33AB" w:rsidRPr="003A33AB">
        <w:rPr>
          <w:color w:val="000000"/>
          <w:spacing w:val="40"/>
          <w:shd w:val="solid" w:color="000000" w:fill="000000"/>
          <w:fitText w:val="280" w:id="-663469041"/>
          <w14:textFill>
            <w14:solidFill>
              <w14:srgbClr w14:val="000000">
                <w14:alpha w14:val="100000"/>
              </w14:srgbClr>
            </w14:solidFill>
          </w14:textFill>
        </w:rPr>
        <w:t xml:space="preserve">|  </w:t>
      </w:r>
      <w:r w:rsidR="003A33AB" w:rsidRPr="003A33AB">
        <w:rPr>
          <w:color w:val="000000"/>
          <w:spacing w:val="2"/>
          <w:shd w:val="solid" w:color="000000" w:fill="000000"/>
          <w:fitText w:val="280" w:id="-663469041"/>
          <w14:textFill>
            <w14:solidFill>
              <w14:srgbClr w14:val="000000">
                <w14:alpha w14:val="100000"/>
              </w14:srgbClr>
            </w14:solidFill>
          </w14:textFill>
        </w:rPr>
        <w:t>|</w:t>
      </w:r>
      <w:r w:rsidR="00C10404" w:rsidRPr="00C10404">
        <w:t xml:space="preserve"> </w:t>
      </w:r>
      <w:r w:rsidR="003A33AB" w:rsidRPr="003A33AB">
        <w:rPr>
          <w:color w:val="000000"/>
          <w:spacing w:val="40"/>
          <w:shd w:val="solid" w:color="000000" w:fill="000000"/>
          <w:fitText w:val="280" w:id="-663469040"/>
          <w14:textFill>
            <w14:solidFill>
              <w14:srgbClr w14:val="000000">
                <w14:alpha w14:val="100000"/>
              </w14:srgbClr>
            </w14:solidFill>
          </w14:textFill>
        </w:rPr>
        <w:t xml:space="preserve">|  </w:t>
      </w:r>
      <w:r w:rsidR="003A33AB" w:rsidRPr="003A33AB">
        <w:rPr>
          <w:color w:val="000000"/>
          <w:spacing w:val="2"/>
          <w:shd w:val="solid" w:color="000000" w:fill="000000"/>
          <w:fitText w:val="280" w:id="-663469040"/>
          <w14:textFill>
            <w14:solidFill>
              <w14:srgbClr w14:val="000000">
                <w14:alpha w14:val="100000"/>
              </w14:srgbClr>
            </w14:solidFill>
          </w14:textFill>
        </w:rPr>
        <w:t>|</w:t>
      </w:r>
      <w:r w:rsidR="00C10404" w:rsidRPr="00C10404">
        <w:t xml:space="preserve"> </w:t>
      </w:r>
      <w:r w:rsidR="003A33AB" w:rsidRPr="00577370">
        <w:rPr>
          <w:color w:val="000000"/>
          <w:spacing w:val="40"/>
          <w:shd w:val="solid" w:color="000000" w:fill="000000"/>
          <w:fitText w:val="280" w:id="-663469056"/>
          <w14:textFill>
            <w14:solidFill>
              <w14:srgbClr w14:val="000000">
                <w14:alpha w14:val="100000"/>
              </w14:srgbClr>
            </w14:solidFill>
          </w14:textFill>
        </w:rPr>
        <w:t xml:space="preserve">|  </w:t>
      </w:r>
      <w:r w:rsidR="003A33AB" w:rsidRPr="00577370">
        <w:rPr>
          <w:color w:val="000000"/>
          <w:spacing w:val="2"/>
          <w:shd w:val="solid" w:color="000000" w:fill="000000"/>
          <w:fitText w:val="280" w:id="-663469056"/>
          <w14:textFill>
            <w14:solidFill>
              <w14:srgbClr w14:val="000000">
                <w14:alpha w14:val="100000"/>
              </w14:srgbClr>
            </w14:solidFill>
          </w14:textFill>
        </w:rPr>
        <w:t>|</w:t>
      </w:r>
      <w:r>
        <w:t>]</w:t>
      </w:r>
      <w:r w:rsidRPr="003D682E">
        <w:t>.</w:t>
      </w:r>
    </w:p>
    <w:p w14:paraId="1B28E0B5" w14:textId="77777777" w:rsidR="00C1278C" w:rsidRDefault="00C1278C" w:rsidP="00C1278C">
      <w:pPr>
        <w:pStyle w:val="COMTablefooter"/>
      </w:pPr>
      <w:r w:rsidRPr="003D682E">
        <w:t xml:space="preserve">Note: The number of scripts per year and total cost </w:t>
      </w:r>
      <w:r>
        <w:t>were based on</w:t>
      </w:r>
      <w:r w:rsidRPr="003D682E">
        <w:t xml:space="preserve"> </w:t>
      </w:r>
      <w:proofErr w:type="gramStart"/>
      <w:r w:rsidRPr="003D682E">
        <w:t>30 day</w:t>
      </w:r>
      <w:proofErr w:type="gramEnd"/>
      <w:r w:rsidRPr="003D682E">
        <w:t xml:space="preserve"> dispensing, and markups </w:t>
      </w:r>
      <w:proofErr w:type="gramStart"/>
      <w:r w:rsidRPr="003D682E">
        <w:t>at</w:t>
      </w:r>
      <w:proofErr w:type="gramEnd"/>
      <w:r w:rsidRPr="003D682E">
        <w:t xml:space="preserve"> 1 </w:t>
      </w:r>
      <w:r>
        <w:t>April</w:t>
      </w:r>
      <w:r w:rsidRPr="003D682E">
        <w:t xml:space="preserve"> </w:t>
      </w:r>
      <w:r>
        <w:t>2025</w:t>
      </w:r>
      <w:r w:rsidRPr="003D682E">
        <w:t>.</w:t>
      </w:r>
    </w:p>
    <w:p w14:paraId="0A413BA0" w14:textId="77777777" w:rsidR="00C1278C" w:rsidRDefault="00C1278C" w:rsidP="00AB248D">
      <w:pPr>
        <w:pStyle w:val="COMTablefooter"/>
        <w:spacing w:after="0"/>
      </w:pPr>
      <w:r>
        <w:t xml:space="preserve">Note: </w:t>
      </w:r>
      <w:r w:rsidRPr="00372509">
        <w:t xml:space="preserve">For November 2023 estimates, the number of scripts per year and total cost was recalculated during the evaluation to correspond to </w:t>
      </w:r>
      <w:proofErr w:type="gramStart"/>
      <w:r w:rsidRPr="00372509">
        <w:t>30 day</w:t>
      </w:r>
      <w:proofErr w:type="gramEnd"/>
      <w:r w:rsidRPr="00372509">
        <w:t xml:space="preserve"> dispensing, and the total cost was based on the DPMQ with markups </w:t>
      </w:r>
      <w:proofErr w:type="gramStart"/>
      <w:r w:rsidRPr="00372509">
        <w:t>at</w:t>
      </w:r>
      <w:proofErr w:type="gramEnd"/>
      <w:r w:rsidRPr="00372509">
        <w:t xml:space="preserve"> 1 July 2023.</w:t>
      </w:r>
    </w:p>
    <w:p w14:paraId="14741805" w14:textId="77777777" w:rsidR="00AA24B6" w:rsidRPr="00F56B14" w:rsidRDefault="00AA24B6" w:rsidP="00AA24B6">
      <w:pPr>
        <w:jc w:val="left"/>
        <w:rPr>
          <w:rFonts w:ascii="Arial Narrow" w:hAnsi="Arial Narrow" w:cstheme="minorHAnsi"/>
          <w:bCs/>
          <w:i/>
          <w:iCs/>
          <w:sz w:val="18"/>
          <w:szCs w:val="18"/>
        </w:rPr>
      </w:pPr>
      <w:r w:rsidRPr="00F56B14">
        <w:rPr>
          <w:rFonts w:ascii="Arial Narrow" w:hAnsi="Arial Narrow" w:cstheme="minorHAnsi"/>
          <w:bCs/>
          <w:i/>
          <w:iCs/>
          <w:sz w:val="18"/>
          <w:szCs w:val="18"/>
        </w:rPr>
        <w:t xml:space="preserve">The redacted values correspond to the following ranges: </w:t>
      </w:r>
    </w:p>
    <w:p w14:paraId="120CB00F" w14:textId="77777777" w:rsidR="00A3463D" w:rsidRPr="00A3463D" w:rsidRDefault="00AA24B6" w:rsidP="00A3463D">
      <w:pPr>
        <w:jc w:val="left"/>
        <w:rPr>
          <w:rFonts w:ascii="Arial Narrow" w:hAnsi="Arial Narrow" w:cstheme="minorHAnsi"/>
          <w:bCs/>
          <w:i/>
          <w:iCs/>
          <w:sz w:val="18"/>
          <w:szCs w:val="18"/>
        </w:rPr>
      </w:pPr>
      <w:r w:rsidRPr="00792EB7">
        <w:rPr>
          <w:rFonts w:ascii="Arial Narrow" w:hAnsi="Arial Narrow" w:cstheme="minorHAnsi"/>
          <w:bCs/>
          <w:i/>
          <w:iCs/>
          <w:sz w:val="18"/>
          <w:szCs w:val="18"/>
          <w:vertAlign w:val="superscript"/>
        </w:rPr>
        <w:t>1</w:t>
      </w:r>
      <w:r w:rsidRPr="00792EB7">
        <w:rPr>
          <w:rFonts w:ascii="Arial Narrow" w:hAnsi="Arial Narrow" w:cstheme="minorHAnsi"/>
          <w:bCs/>
          <w:i/>
          <w:iCs/>
          <w:sz w:val="18"/>
          <w:szCs w:val="18"/>
        </w:rPr>
        <w:t xml:space="preserve"> </w:t>
      </w:r>
      <w:r w:rsidR="00A3463D" w:rsidRPr="00A3463D">
        <w:rPr>
          <w:rFonts w:ascii="Arial Narrow" w:hAnsi="Arial Narrow" w:cstheme="minorHAnsi"/>
          <w:bCs/>
          <w:i/>
          <w:iCs/>
          <w:sz w:val="18"/>
          <w:szCs w:val="18"/>
        </w:rPr>
        <w:t>$10 million to &lt; $20 million</w:t>
      </w:r>
    </w:p>
    <w:p w14:paraId="2F63E753" w14:textId="77777777" w:rsidR="00A3463D" w:rsidRPr="00A3463D" w:rsidRDefault="00AA24B6" w:rsidP="00A3463D">
      <w:pPr>
        <w:jc w:val="left"/>
        <w:rPr>
          <w:rFonts w:ascii="Arial Narrow" w:hAnsi="Arial Narrow" w:cstheme="minorHAnsi"/>
          <w:bCs/>
          <w:i/>
          <w:iCs/>
          <w:sz w:val="18"/>
          <w:szCs w:val="18"/>
        </w:rPr>
      </w:pPr>
      <w:r w:rsidRPr="00792EB7">
        <w:rPr>
          <w:rFonts w:ascii="Arial Narrow" w:hAnsi="Arial Narrow" w:cstheme="minorHAnsi"/>
          <w:bCs/>
          <w:i/>
          <w:iCs/>
          <w:sz w:val="18"/>
          <w:szCs w:val="18"/>
          <w:vertAlign w:val="superscript"/>
        </w:rPr>
        <w:t>2</w:t>
      </w:r>
      <w:r w:rsidRPr="00792EB7">
        <w:rPr>
          <w:rFonts w:ascii="Arial Narrow" w:hAnsi="Arial Narrow" w:cstheme="minorHAnsi"/>
          <w:bCs/>
          <w:i/>
          <w:iCs/>
          <w:sz w:val="18"/>
          <w:szCs w:val="18"/>
        </w:rPr>
        <w:t xml:space="preserve"> </w:t>
      </w:r>
      <w:r w:rsidR="00A3463D" w:rsidRPr="00A3463D">
        <w:rPr>
          <w:rFonts w:ascii="Arial Narrow" w:hAnsi="Arial Narrow" w:cstheme="minorHAnsi"/>
          <w:bCs/>
          <w:i/>
          <w:iCs/>
          <w:sz w:val="18"/>
          <w:szCs w:val="18"/>
        </w:rPr>
        <w:t>$20 million to &lt; $30 million</w:t>
      </w:r>
    </w:p>
    <w:p w14:paraId="3380E135" w14:textId="40ADF5E8" w:rsidR="00A3463D" w:rsidRPr="00A3463D" w:rsidRDefault="00AA24B6" w:rsidP="00A3463D">
      <w:pPr>
        <w:jc w:val="left"/>
        <w:rPr>
          <w:rFonts w:ascii="Arial Narrow" w:hAnsi="Arial Narrow" w:cstheme="minorHAnsi"/>
          <w:bCs/>
          <w:i/>
          <w:iCs/>
          <w:sz w:val="18"/>
          <w:szCs w:val="18"/>
        </w:rPr>
      </w:pPr>
      <w:r w:rsidRPr="00792EB7">
        <w:rPr>
          <w:rFonts w:ascii="Arial Narrow" w:hAnsi="Arial Narrow" w:cstheme="minorHAnsi"/>
          <w:bCs/>
          <w:i/>
          <w:iCs/>
          <w:sz w:val="18"/>
          <w:szCs w:val="18"/>
          <w:vertAlign w:val="superscript"/>
        </w:rPr>
        <w:t>3</w:t>
      </w:r>
      <w:r w:rsidRPr="00792EB7">
        <w:rPr>
          <w:rFonts w:ascii="Arial Narrow" w:hAnsi="Arial Narrow" w:cstheme="minorHAnsi"/>
          <w:bCs/>
          <w:i/>
          <w:iCs/>
          <w:sz w:val="18"/>
          <w:szCs w:val="18"/>
        </w:rPr>
        <w:t xml:space="preserve"> </w:t>
      </w:r>
      <w:r w:rsidR="00A3463D" w:rsidRPr="00A3463D">
        <w:rPr>
          <w:rFonts w:ascii="Arial Narrow" w:hAnsi="Arial Narrow" w:cstheme="minorHAnsi"/>
          <w:bCs/>
          <w:i/>
          <w:iCs/>
          <w:sz w:val="18"/>
          <w:szCs w:val="18"/>
        </w:rPr>
        <w:t>$30 million to &lt; $40 million</w:t>
      </w:r>
    </w:p>
    <w:p w14:paraId="724C7CB3" w14:textId="6F2AC68F" w:rsidR="00A3463D" w:rsidRDefault="00D11B09" w:rsidP="00A3463D">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4</w:t>
      </w:r>
      <w:r w:rsidRPr="00792EB7">
        <w:rPr>
          <w:rFonts w:ascii="Arial Narrow" w:hAnsi="Arial Narrow" w:cstheme="minorHAnsi"/>
          <w:bCs/>
          <w:i/>
          <w:iCs/>
          <w:sz w:val="18"/>
          <w:szCs w:val="18"/>
        </w:rPr>
        <w:t xml:space="preserve"> </w:t>
      </w:r>
      <w:r w:rsidR="00A3463D" w:rsidRPr="00A3463D">
        <w:rPr>
          <w:rFonts w:ascii="Arial Narrow" w:hAnsi="Arial Narrow" w:cstheme="minorHAnsi"/>
          <w:bCs/>
          <w:i/>
          <w:iCs/>
          <w:sz w:val="18"/>
          <w:szCs w:val="18"/>
        </w:rPr>
        <w:t>$40 million to &lt; $50 million</w:t>
      </w:r>
    </w:p>
    <w:p w14:paraId="1E727881" w14:textId="627D53B0" w:rsidR="00033EE5" w:rsidRDefault="00D11B09" w:rsidP="00AA24B6">
      <w:pPr>
        <w:jc w:val="left"/>
        <w:rPr>
          <w:rFonts w:ascii="Arial Narrow" w:hAnsi="Arial Narrow" w:cstheme="minorHAnsi"/>
          <w:bCs/>
          <w:i/>
          <w:iCs/>
          <w:sz w:val="18"/>
          <w:szCs w:val="18"/>
        </w:rPr>
      </w:pPr>
      <w:r>
        <w:rPr>
          <w:rFonts w:ascii="Arial Narrow" w:hAnsi="Arial Narrow" w:cstheme="minorHAnsi"/>
          <w:bCs/>
          <w:i/>
          <w:iCs/>
          <w:sz w:val="18"/>
          <w:szCs w:val="18"/>
          <w:vertAlign w:val="superscript"/>
        </w:rPr>
        <w:t>5</w:t>
      </w:r>
      <w:r w:rsidR="00023CFD" w:rsidRPr="00023CFD">
        <w:rPr>
          <w:rFonts w:ascii="Arial Narrow" w:hAnsi="Arial Narrow" w:cstheme="minorHAnsi"/>
          <w:bCs/>
          <w:i/>
          <w:iCs/>
          <w:sz w:val="18"/>
          <w:szCs w:val="18"/>
        </w:rPr>
        <w:t xml:space="preserve"> </w:t>
      </w:r>
      <w:r w:rsidR="00023CFD">
        <w:rPr>
          <w:rFonts w:ascii="Arial Narrow" w:hAnsi="Arial Narrow" w:cstheme="minorHAnsi"/>
          <w:bCs/>
          <w:i/>
          <w:iCs/>
          <w:sz w:val="18"/>
          <w:szCs w:val="18"/>
        </w:rPr>
        <w:t>$5</w:t>
      </w:r>
      <w:r w:rsidR="00023CFD" w:rsidRPr="00A3463D">
        <w:rPr>
          <w:rFonts w:ascii="Arial Narrow" w:hAnsi="Arial Narrow" w:cstheme="minorHAnsi"/>
          <w:bCs/>
          <w:i/>
          <w:iCs/>
          <w:sz w:val="18"/>
          <w:szCs w:val="18"/>
        </w:rPr>
        <w:t>0 million to &lt; $</w:t>
      </w:r>
      <w:r w:rsidR="00023CFD">
        <w:rPr>
          <w:rFonts w:ascii="Arial Narrow" w:hAnsi="Arial Narrow" w:cstheme="minorHAnsi"/>
          <w:bCs/>
          <w:i/>
          <w:iCs/>
          <w:sz w:val="18"/>
          <w:szCs w:val="18"/>
        </w:rPr>
        <w:t>6</w:t>
      </w:r>
      <w:r w:rsidR="00023CFD" w:rsidRPr="00A3463D">
        <w:rPr>
          <w:rFonts w:ascii="Arial Narrow" w:hAnsi="Arial Narrow" w:cstheme="minorHAnsi"/>
          <w:bCs/>
          <w:i/>
          <w:iCs/>
          <w:sz w:val="18"/>
          <w:szCs w:val="18"/>
        </w:rPr>
        <w:t>0 million</w:t>
      </w:r>
    </w:p>
    <w:p w14:paraId="2C835462" w14:textId="78B0D226"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6</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30,000 to &lt; 40,000</w:t>
      </w:r>
    </w:p>
    <w:p w14:paraId="705CA867" w14:textId="17DDB491"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7</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40,000 to &lt; 50,000</w:t>
      </w:r>
    </w:p>
    <w:p w14:paraId="3D678ADC" w14:textId="3C0AC18E"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8</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50,000 to &lt; 60,000</w:t>
      </w:r>
    </w:p>
    <w:p w14:paraId="7E57F6BE" w14:textId="195649F4"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9</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60,000 to &lt; 70,000</w:t>
      </w:r>
    </w:p>
    <w:p w14:paraId="2EDAA79D" w14:textId="3D925D1B"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10</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70,000 to &lt; 80,000</w:t>
      </w:r>
    </w:p>
    <w:p w14:paraId="45B79BB3" w14:textId="79E4480C"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11</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80,000 to &lt; 90,000</w:t>
      </w:r>
    </w:p>
    <w:p w14:paraId="161F9D6C" w14:textId="1BF92D0B"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12</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90,000 to &lt; 100,000</w:t>
      </w:r>
    </w:p>
    <w:p w14:paraId="580AE4D2" w14:textId="00C0AE69"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13</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100,000 to &lt; 200,000</w:t>
      </w:r>
    </w:p>
    <w:p w14:paraId="4C5F9FF4" w14:textId="5F671231"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14</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400,000 to &lt; 500,000</w:t>
      </w:r>
    </w:p>
    <w:p w14:paraId="766396B6" w14:textId="61D88315"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15</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500,000 to &lt; 600,000</w:t>
      </w:r>
    </w:p>
    <w:p w14:paraId="68B48400" w14:textId="53BDF415"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16</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600,000 to &lt; 700,000</w:t>
      </w:r>
    </w:p>
    <w:p w14:paraId="2974713B" w14:textId="1AC46D78"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17</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700,000 to &lt; 800,000</w:t>
      </w:r>
    </w:p>
    <w:p w14:paraId="1B6AA789" w14:textId="4ECE7071"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18</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800,000 to &lt; 900,000</w:t>
      </w:r>
    </w:p>
    <w:p w14:paraId="7ED4D826" w14:textId="38D729B5" w:rsidR="00FB30DA" w:rsidRPr="00FB30DA" w:rsidRDefault="00D85AED" w:rsidP="00FB30DA">
      <w:pPr>
        <w:jc w:val="left"/>
        <w:rPr>
          <w:rFonts w:ascii="Arial Narrow" w:hAnsi="Arial Narrow" w:cstheme="minorHAnsi"/>
          <w:bCs/>
          <w:i/>
          <w:iCs/>
          <w:sz w:val="18"/>
          <w:szCs w:val="18"/>
        </w:rPr>
      </w:pPr>
      <w:r w:rsidRPr="00D85AED">
        <w:rPr>
          <w:rFonts w:ascii="Arial Narrow" w:hAnsi="Arial Narrow" w:cstheme="minorHAnsi"/>
          <w:bCs/>
          <w:i/>
          <w:iCs/>
          <w:sz w:val="18"/>
          <w:szCs w:val="18"/>
          <w:vertAlign w:val="superscript"/>
        </w:rPr>
        <w:t>19</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900,000 to &lt; 1,000,000</w:t>
      </w:r>
    </w:p>
    <w:p w14:paraId="1526B51F" w14:textId="42699769" w:rsidR="00023CFD" w:rsidRPr="00FB30DA" w:rsidRDefault="00D85AED" w:rsidP="00D85AED">
      <w:pPr>
        <w:jc w:val="left"/>
        <w:rPr>
          <w:rFonts w:ascii="Arial Narrow" w:hAnsi="Arial Narrow" w:cstheme="minorHAnsi"/>
          <w:bCs/>
          <w:i/>
          <w:iCs/>
          <w:sz w:val="18"/>
          <w:szCs w:val="18"/>
          <w:vertAlign w:val="superscript"/>
        </w:rPr>
      </w:pPr>
      <w:r w:rsidRPr="00D85AED">
        <w:rPr>
          <w:rFonts w:ascii="Arial Narrow" w:hAnsi="Arial Narrow" w:cstheme="minorHAnsi"/>
          <w:bCs/>
          <w:i/>
          <w:iCs/>
          <w:sz w:val="18"/>
          <w:szCs w:val="18"/>
          <w:vertAlign w:val="superscript"/>
        </w:rPr>
        <w:t>20</w:t>
      </w:r>
      <w:r w:rsidR="00FB30DA" w:rsidRPr="00023CFD">
        <w:rPr>
          <w:rFonts w:ascii="Arial Narrow" w:hAnsi="Arial Narrow" w:cstheme="minorHAnsi"/>
          <w:bCs/>
          <w:i/>
          <w:iCs/>
          <w:sz w:val="18"/>
          <w:szCs w:val="18"/>
        </w:rPr>
        <w:t xml:space="preserve"> </w:t>
      </w:r>
      <w:r w:rsidR="00FB30DA" w:rsidRPr="00FB30DA">
        <w:rPr>
          <w:rFonts w:ascii="Arial Narrow" w:hAnsi="Arial Narrow" w:cstheme="minorHAnsi"/>
          <w:bCs/>
          <w:i/>
          <w:iCs/>
          <w:sz w:val="18"/>
          <w:szCs w:val="18"/>
        </w:rPr>
        <w:t>1,000,000 to &lt; 2,000,000</w:t>
      </w:r>
    </w:p>
    <w:p w14:paraId="039921A0" w14:textId="26A192FC" w:rsidR="00C1278C" w:rsidRPr="00372509" w:rsidRDefault="00C1278C" w:rsidP="00C1278C">
      <w:pPr>
        <w:pStyle w:val="COMexecsummnumbered"/>
      </w:pPr>
      <w:r w:rsidRPr="00646E2C">
        <w:t xml:space="preserve">The estimated net cost to the PBS/RPBS </w:t>
      </w:r>
      <w:r>
        <w:t xml:space="preserve">of listing empagliflozin for the treatment of CKD in the incremental population </w:t>
      </w:r>
      <w:r w:rsidRPr="00646E2C">
        <w:t>(based on 30 day dispensing and 1 April 2025 markups)</w:t>
      </w:r>
      <w:r w:rsidRPr="001153AC">
        <w:t xml:space="preserve"> was </w:t>
      </w:r>
      <w:r w:rsidRPr="00AC3A69">
        <w:t>$</w:t>
      </w:r>
      <w:r w:rsidR="00860E8E" w:rsidRPr="002E46AB">
        <w:rPr>
          <w:rFonts w:cstheme="minorHAnsi"/>
        </w:rPr>
        <w:t>20 million to &lt; $30 million</w:t>
      </w:r>
      <w:r w:rsidR="00860E8E" w:rsidRPr="00AC3A69" w:rsidDel="00860E8E">
        <w:t xml:space="preserve"> </w:t>
      </w:r>
      <w:r w:rsidRPr="00AC3A69">
        <w:t>in Year 1, increasing to $</w:t>
      </w:r>
      <w:r w:rsidR="00860E8E">
        <w:t>4</w:t>
      </w:r>
      <w:r w:rsidR="00860E8E" w:rsidRPr="002E46AB">
        <w:rPr>
          <w:rFonts w:cstheme="minorHAnsi"/>
        </w:rPr>
        <w:t>0 million to &lt; $</w:t>
      </w:r>
      <w:r w:rsidR="00860E8E">
        <w:rPr>
          <w:rFonts w:cstheme="minorHAnsi"/>
        </w:rPr>
        <w:t>5</w:t>
      </w:r>
      <w:r w:rsidR="00860E8E" w:rsidRPr="002E46AB">
        <w:rPr>
          <w:rFonts w:cstheme="minorHAnsi"/>
        </w:rPr>
        <w:t>0 million</w:t>
      </w:r>
      <w:r w:rsidR="00860E8E" w:rsidRPr="00AC3A69" w:rsidDel="00860E8E">
        <w:t xml:space="preserve"> </w:t>
      </w:r>
      <w:r w:rsidRPr="001153AC">
        <w:t xml:space="preserve">in Year 6, an estimated cumulative net cost of </w:t>
      </w:r>
      <w:r w:rsidR="006E38D5" w:rsidRPr="002E46AB">
        <w:rPr>
          <w:rFonts w:cstheme="minorHAnsi"/>
        </w:rPr>
        <w:t>$200 million to &lt; $300 million</w:t>
      </w:r>
      <w:r w:rsidR="006E38D5" w:rsidRPr="00AC3A69" w:rsidDel="006E38D5">
        <w:t xml:space="preserve"> </w:t>
      </w:r>
      <w:r w:rsidRPr="001153AC">
        <w:t>in the first six years of listing.</w:t>
      </w:r>
      <w:r>
        <w:t xml:space="preserve"> </w:t>
      </w:r>
      <w:r w:rsidRPr="00372509">
        <w:t xml:space="preserve">The estimated net cost to the PBS/RPBS of listing empagliflozin for the treatment of CKD in the incremental population was larger than estimated in the November 2023 submission (estimated cumulative net cost of </w:t>
      </w:r>
      <w:r w:rsidR="006E38D5" w:rsidRPr="002E46AB">
        <w:rPr>
          <w:rFonts w:cstheme="minorHAnsi"/>
        </w:rPr>
        <w:t>$</w:t>
      </w:r>
      <w:r w:rsidR="006E38D5">
        <w:rPr>
          <w:rFonts w:cstheme="minorHAnsi"/>
        </w:rPr>
        <w:t>1</w:t>
      </w:r>
      <w:r w:rsidR="006E38D5" w:rsidRPr="002E46AB">
        <w:rPr>
          <w:rFonts w:cstheme="minorHAnsi"/>
        </w:rPr>
        <w:t>00 million to &lt; $</w:t>
      </w:r>
      <w:r w:rsidR="006E38D5">
        <w:rPr>
          <w:rFonts w:cstheme="minorHAnsi"/>
        </w:rPr>
        <w:t>2</w:t>
      </w:r>
      <w:r w:rsidR="006E38D5" w:rsidRPr="002E46AB">
        <w:rPr>
          <w:rFonts w:cstheme="minorHAnsi"/>
        </w:rPr>
        <w:t>00 million</w:t>
      </w:r>
      <w:r w:rsidR="006E38D5" w:rsidRPr="00372509" w:rsidDel="006E38D5">
        <w:t xml:space="preserve"> </w:t>
      </w:r>
      <w:r w:rsidRPr="00372509">
        <w:t>in the first six years of listing).</w:t>
      </w:r>
    </w:p>
    <w:p w14:paraId="4B5F8C11" w14:textId="77777777" w:rsidR="00276253" w:rsidRDefault="00C1278C" w:rsidP="00C1278C">
      <w:pPr>
        <w:pStyle w:val="COMexecsummnumbered"/>
      </w:pPr>
      <w:r w:rsidRPr="00372509">
        <w:t>The estimated cost to the PBS/RPBS was considered uncertain due to the following reasons:</w:t>
      </w:r>
    </w:p>
    <w:p w14:paraId="687D6A76" w14:textId="4002ED8A" w:rsidR="00C1278C" w:rsidRPr="00372509" w:rsidRDefault="00C1278C" w:rsidP="009D76BE">
      <w:pPr>
        <w:pStyle w:val="COMexecsummbulletlist"/>
        <w:ind w:hanging="357"/>
      </w:pPr>
      <w:r w:rsidRPr="00372509">
        <w:t>The proportion of Australian adults with CKD was unchanged in the resubmission. DUSC previously considered that there was significant uncertainty in the current prevalence of CKD in the Australian population; and noted that, based on a single biological marker, 1 in 3 adults are at risk of developing CKD, 1 in 10 have early signs of CKD, and 1.7 million may have undiagnosed CKD (para 6.94, empagliflozin PSD, November 2023 PBAC meeting).</w:t>
      </w:r>
    </w:p>
    <w:p w14:paraId="2E6A1832" w14:textId="74B48A7C" w:rsidR="00C1278C" w:rsidRPr="00372509" w:rsidRDefault="00C1278C" w:rsidP="009D76BE">
      <w:pPr>
        <w:pStyle w:val="COMexecsummbulletlist"/>
        <w:ind w:hanging="357"/>
      </w:pPr>
      <w:r w:rsidRPr="00372509">
        <w:t xml:space="preserve">DUSC previously considered the estimated proportions of patients diagnosed with CKD to be an overestimate and that it was unclear whether the rate of diagnosis would continue to increase in a linear fashion (Table 16, empagliflozin PSD, </w:t>
      </w:r>
      <w:r w:rsidRPr="00372509">
        <w:lastRenderedPageBreak/>
        <w:t xml:space="preserve">November 2023 PBAC meeting). The resubmission assumed higher proportions of patients diagnosed over time, based on a </w:t>
      </w:r>
      <w:r w:rsidR="003A33AB" w:rsidRPr="00577370">
        <w:rPr>
          <w:color w:val="000000"/>
          <w:w w:val="60"/>
          <w:shd w:val="solid" w:color="000000" w:fill="000000"/>
          <w:fitText w:val="470" w:id="-663469055"/>
          <w14:textFill>
            <w14:solidFill>
              <w14:srgbClr w14:val="000000">
                <w14:alpha w14:val="100000"/>
              </w14:srgbClr>
            </w14:solidFill>
          </w14:textFill>
        </w:rPr>
        <w:t>|||  ||</w:t>
      </w:r>
      <w:r w:rsidR="003A33AB" w:rsidRPr="00577370">
        <w:rPr>
          <w:color w:val="000000"/>
          <w:spacing w:val="6"/>
          <w:w w:val="60"/>
          <w:shd w:val="solid" w:color="000000" w:fill="000000"/>
          <w:fitText w:val="470" w:id="-663469055"/>
          <w14:textFill>
            <w14:solidFill>
              <w14:srgbClr w14:val="000000">
                <w14:alpha w14:val="100000"/>
              </w14:srgbClr>
            </w14:solidFill>
          </w14:textFill>
        </w:rPr>
        <w:t>|</w:t>
      </w:r>
      <w:r w:rsidRPr="00372509">
        <w:t>% linear increase.</w:t>
      </w:r>
    </w:p>
    <w:p w14:paraId="5D803108" w14:textId="1F909987" w:rsidR="00276253" w:rsidRDefault="00C1278C" w:rsidP="009D76BE">
      <w:pPr>
        <w:pStyle w:val="COMexecsummbulletlist"/>
        <w:ind w:hanging="357"/>
      </w:pPr>
      <w:r w:rsidRPr="00372509">
        <w:t>The proportion of the CKD patients in the incremental subgroup</w:t>
      </w:r>
      <w:r w:rsidR="00D5020E">
        <w:t xml:space="preserve"> was</w:t>
      </w:r>
      <w:r w:rsidRPr="00372509">
        <w:t xml:space="preserve"> updated</w:t>
      </w:r>
      <w:r w:rsidR="006E1445">
        <w:t xml:space="preserve"> </w:t>
      </w:r>
      <w:r w:rsidR="006E1445" w:rsidRPr="00372509">
        <w:t>in the resubmission</w:t>
      </w:r>
      <w:r w:rsidRPr="00372509">
        <w:t xml:space="preserve">, based on the average of the estimate used previously (based on the </w:t>
      </w:r>
      <w:r w:rsidRPr="003C6F89">
        <w:t xml:space="preserve">2011-2012 ABS National Health Measures Survey) and the estimate from </w:t>
      </w:r>
      <w:proofErr w:type="spellStart"/>
      <w:r w:rsidRPr="003C6F89">
        <w:t>Neuen</w:t>
      </w:r>
      <w:proofErr w:type="spellEnd"/>
      <w:r w:rsidRPr="003C6F89">
        <w:t xml:space="preserve"> 2023 (based on a retrospective cohort analysis of patients captured in the </w:t>
      </w:r>
      <w:proofErr w:type="spellStart"/>
      <w:r w:rsidRPr="003C6F89">
        <w:t>MedicineInsight</w:t>
      </w:r>
      <w:proofErr w:type="spellEnd"/>
      <w:r w:rsidRPr="003C6F89">
        <w:t xml:space="preserve"> database representing the EMPA-KIDNEY incremental population in terms of eGFR and UACR). DUSC previously considered that the estimate based on NHMS data was uncertain and potentially an underestimate (Table 16, empagliflozin PSD, November 2023 PBAC meeting). Estimates from </w:t>
      </w:r>
      <w:proofErr w:type="spellStart"/>
      <w:r w:rsidRPr="003C6F89">
        <w:t>Neuen</w:t>
      </w:r>
      <w:proofErr w:type="spellEnd"/>
      <w:r w:rsidRPr="003C6F89">
        <w:t xml:space="preserve"> 2023 may not be reliable, given the reliance on selected </w:t>
      </w:r>
      <w:proofErr w:type="spellStart"/>
      <w:r w:rsidRPr="003C6F89">
        <w:t>MedicineInsight</w:t>
      </w:r>
      <w:proofErr w:type="spellEnd"/>
      <w:r w:rsidRPr="003C6F89">
        <w:t xml:space="preserve"> data, and the exclusion of a large proportion of patients with eGFR 25 to &lt;45 mL/min/1.73</w:t>
      </w:r>
      <w:r w:rsidR="00854617">
        <w:t> </w:t>
      </w:r>
      <w:r w:rsidRPr="003C6F89">
        <w:t>m</w:t>
      </w:r>
      <w:r w:rsidRPr="00854617">
        <w:rPr>
          <w:vertAlign w:val="superscript"/>
        </w:rPr>
        <w:t>2</w:t>
      </w:r>
      <w:r w:rsidRPr="003C6F89">
        <w:t xml:space="preserve"> without a UACR measurement.</w:t>
      </w:r>
    </w:p>
    <w:p w14:paraId="208C0A4F" w14:textId="45DD7FE4" w:rsidR="00C1278C" w:rsidRPr="003C6F89" w:rsidRDefault="00C1278C" w:rsidP="009D76BE">
      <w:pPr>
        <w:pStyle w:val="COMexecsummbulletlist"/>
        <w:ind w:hanging="357"/>
      </w:pPr>
      <w:r w:rsidRPr="003C6F89">
        <w:t>Uptake rates, previously considered by DUSC to be an underestimate, were increased in the resubmission, but are based on assumption, and highly uncertain.</w:t>
      </w:r>
    </w:p>
    <w:p w14:paraId="2238DEE9" w14:textId="3E6A228B" w:rsidR="00576972" w:rsidRPr="0098262F" w:rsidRDefault="00576972" w:rsidP="003D5DE7">
      <w:pPr>
        <w:pStyle w:val="COMH2-non-numbered"/>
      </w:pPr>
      <w:bookmarkStart w:id="56" w:name="_Toc22897648"/>
      <w:bookmarkStart w:id="57" w:name="_Toc193277455"/>
      <w:r w:rsidRPr="0098262F">
        <w:t>Quality Use of Medicines</w:t>
      </w:r>
      <w:bookmarkEnd w:id="56"/>
      <w:bookmarkEnd w:id="57"/>
    </w:p>
    <w:p w14:paraId="1553A76E" w14:textId="77777777" w:rsidR="00276253" w:rsidRDefault="000C1E6A" w:rsidP="000C1E6A">
      <w:pPr>
        <w:pStyle w:val="COMexecsummnumbered"/>
      </w:pPr>
      <w:r>
        <w:t xml:space="preserve">The </w:t>
      </w:r>
      <w:r w:rsidR="001E51D1">
        <w:t>sponsor</w:t>
      </w:r>
      <w:r>
        <w:t xml:space="preserve"> stated that comprehensive education will be provided to health care professionals and patients, and that activities to support quality use of medicines and post-marketing surveillance for empagliflozin are ongoing.</w:t>
      </w:r>
    </w:p>
    <w:p w14:paraId="6015A395" w14:textId="1ADFC34A" w:rsidR="00576972" w:rsidRPr="0098262F" w:rsidRDefault="00576972" w:rsidP="003D5DE7">
      <w:pPr>
        <w:pStyle w:val="COMH2-non-numbered"/>
      </w:pPr>
      <w:bookmarkStart w:id="58" w:name="_Toc22897649"/>
      <w:bookmarkStart w:id="59" w:name="_Toc193277456"/>
      <w:r w:rsidRPr="0098262F">
        <w:t>Financial Management – Risk Sharing Arrangements</w:t>
      </w:r>
      <w:bookmarkEnd w:id="58"/>
      <w:bookmarkEnd w:id="59"/>
    </w:p>
    <w:p w14:paraId="58DB577E" w14:textId="77777777" w:rsidR="00276253" w:rsidRDefault="009F17D2" w:rsidP="009F17D2">
      <w:pPr>
        <w:pStyle w:val="COMexecsummnumbered"/>
      </w:pPr>
      <w:r>
        <w:t xml:space="preserve">The resubmission stated that there </w:t>
      </w:r>
      <w:r w:rsidRPr="0026285C">
        <w:t>is a current risk-sharing arrangement (RSA) for the SGLT2 inhibitor class of medications (empagliflozin and dapagliflozin) across two separate indications: chronic heart failure with left ventricular ejection fraction ≤40%; and chronic kidney disease.</w:t>
      </w:r>
    </w:p>
    <w:p w14:paraId="41D5C2A4" w14:textId="29645A15" w:rsidR="00276253" w:rsidRDefault="009F17D2" w:rsidP="006B1BCB">
      <w:pPr>
        <w:pStyle w:val="COMexecsummnumbered"/>
      </w:pPr>
      <w:r w:rsidRPr="000E3016">
        <w:t>The resubmission proposed an increase in the current RSA caps to accommodate the addition of the incremental CKD population.</w:t>
      </w:r>
      <w:r>
        <w:t xml:space="preserve"> The proposed increase was based on the estimated financial implications of listing empagliflozin for the incremental population, added to the current RSA caps.</w:t>
      </w:r>
      <w:r w:rsidR="00276253">
        <w:t xml:space="preserve"> </w:t>
      </w:r>
      <w:r w:rsidRPr="000E3016">
        <w:t>The sponsor proposed that the higher caps be applied to empagliflozin only, and that the current caps for dapagliflozin should remain unchanged. The resubmission argued that the clinical and cost-effectiveness of dapagliflozin in the incremental population has not been demonstrated, therefore it is not appropriate to extend the increased caps to dapagliflozin.</w:t>
      </w:r>
    </w:p>
    <w:p w14:paraId="676F2C53" w14:textId="6C994D4E" w:rsidR="009F17D2" w:rsidRDefault="009F17D2" w:rsidP="009F17D2">
      <w:pPr>
        <w:pStyle w:val="COMexecsummnumbered"/>
      </w:pPr>
      <w:r w:rsidRPr="00DF0CD0">
        <w:t>The sponsor claimed that adjustments to the reimbursement formula for dapagliflozin would be required given the proposed changes would affect the total Commonwealth Payment and market share estimates in the class-based RSA. The sponsor claimed that this would ensure that the sponsor for dapagliflozin would not be unfairly disadvantaged from the increased overall market size for CKD.</w:t>
      </w:r>
      <w:r>
        <w:t xml:space="preserve"> The adjustments </w:t>
      </w:r>
      <w:r w:rsidRPr="005C1A91">
        <w:t xml:space="preserve">are </w:t>
      </w:r>
      <w:r w:rsidRPr="005C1A91">
        <w:lastRenderedPageBreak/>
        <w:t xml:space="preserve">reliant on the estimated use of empagliflozin for the CKD overlap population based on </w:t>
      </w:r>
      <w:r>
        <w:t>a</w:t>
      </w:r>
      <w:r w:rsidRPr="005C1A91">
        <w:t xml:space="preserve"> </w:t>
      </w:r>
      <w:r w:rsidR="003A33AB" w:rsidRPr="003A33AB">
        <w:rPr>
          <w:color w:val="000000"/>
          <w:w w:val="60"/>
          <w:shd w:val="solid" w:color="000000" w:fill="000000"/>
          <w:fitText w:val="470" w:id="-663469054"/>
          <w14:textFill>
            <w14:solidFill>
              <w14:srgbClr w14:val="000000">
                <w14:alpha w14:val="100000"/>
              </w14:srgbClr>
            </w14:solidFill>
          </w14:textFill>
        </w:rPr>
        <w:t>|||  ||</w:t>
      </w:r>
      <w:r w:rsidR="003A33AB" w:rsidRPr="003A33AB">
        <w:rPr>
          <w:color w:val="000000"/>
          <w:spacing w:val="6"/>
          <w:w w:val="60"/>
          <w:shd w:val="solid" w:color="000000" w:fill="000000"/>
          <w:fitText w:val="470" w:id="-663469054"/>
          <w14:textFill>
            <w14:solidFill>
              <w14:srgbClr w14:val="000000">
                <w14:alpha w14:val="100000"/>
              </w14:srgbClr>
            </w14:solidFill>
          </w14:textFill>
        </w:rPr>
        <w:t>|</w:t>
      </w:r>
      <w:r w:rsidRPr="005C1A91">
        <w:t xml:space="preserve"> split across the overlap and incremental populations, respectively.</w:t>
      </w:r>
    </w:p>
    <w:p w14:paraId="48E1587E" w14:textId="7FB47CDB" w:rsidR="00F7112A" w:rsidRDefault="00C96C6B" w:rsidP="002279E1">
      <w:pPr>
        <w:pStyle w:val="COMexecsummnumbered"/>
      </w:pPr>
      <w:r w:rsidRPr="00D3518C">
        <w:t>The risk share proposal adjustment for the Deed for dapagliflozin</w:t>
      </w:r>
      <w:r w:rsidRPr="00C96C6B">
        <w:rPr>
          <w:i/>
          <w:iCs/>
        </w:rPr>
        <w:t xml:space="preserve"> </w:t>
      </w:r>
      <w:r w:rsidR="00B47DC0" w:rsidRPr="00B47DC0">
        <w:t>w</w:t>
      </w:r>
      <w:r w:rsidRPr="00B47DC0">
        <w:t xml:space="preserve">as </w:t>
      </w:r>
      <w:r w:rsidRPr="00D3518C">
        <w:t xml:space="preserve">outlined in Section 5 of the submission. </w:t>
      </w:r>
      <w:r w:rsidR="005E719F" w:rsidRPr="00D3518C">
        <w:t>The proposed changes to caps in the empagliflozin RSA are summarised in</w:t>
      </w:r>
      <w:r w:rsidR="00A82201">
        <w:t xml:space="preserve"> </w:t>
      </w:r>
      <w:r w:rsidR="00A82201">
        <w:fldChar w:fldCharType="begin"/>
      </w:r>
      <w:r w:rsidR="00A82201">
        <w:instrText xml:space="preserve"> REF _Ref199234692 \h </w:instrText>
      </w:r>
      <w:r w:rsidR="00A82201">
        <w:fldChar w:fldCharType="separate"/>
      </w:r>
      <w:r w:rsidR="004A7850">
        <w:t xml:space="preserve">Table </w:t>
      </w:r>
      <w:r w:rsidR="004A7850">
        <w:rPr>
          <w:noProof/>
        </w:rPr>
        <w:t>18</w:t>
      </w:r>
      <w:r w:rsidR="00A82201">
        <w:fldChar w:fldCharType="end"/>
      </w:r>
      <w:r w:rsidR="005E719F" w:rsidRPr="00D3518C">
        <w:t>.</w:t>
      </w:r>
    </w:p>
    <w:p w14:paraId="33954FFB" w14:textId="3120722C" w:rsidR="005E719F" w:rsidRPr="00B47DC0" w:rsidRDefault="00A82201" w:rsidP="00A82201">
      <w:pPr>
        <w:pStyle w:val="Caption"/>
      </w:pPr>
      <w:bookmarkStart w:id="60" w:name="_Ref199234692"/>
      <w:bookmarkStart w:id="61" w:name="_Ref199234689"/>
      <w:r>
        <w:t xml:space="preserve">Table </w:t>
      </w:r>
      <w:r w:rsidR="001154A7">
        <w:fldChar w:fldCharType="begin"/>
      </w:r>
      <w:r w:rsidR="001154A7">
        <w:instrText xml:space="preserve"> SEQ Table \* ARABIC </w:instrText>
      </w:r>
      <w:r w:rsidR="001154A7">
        <w:fldChar w:fldCharType="separate"/>
      </w:r>
      <w:r w:rsidR="004A7850">
        <w:rPr>
          <w:noProof/>
        </w:rPr>
        <w:t>18</w:t>
      </w:r>
      <w:r w:rsidR="001154A7">
        <w:rPr>
          <w:noProof/>
        </w:rPr>
        <w:fldChar w:fldCharType="end"/>
      </w:r>
      <w:bookmarkEnd w:id="60"/>
      <w:r w:rsidR="005E719F" w:rsidRPr="00B47DC0">
        <w:rPr>
          <w:noProof/>
        </w:rPr>
        <w:t>:</w:t>
      </w:r>
      <w:r w:rsidR="005E719F" w:rsidRPr="00B47DC0">
        <w:t xml:space="preserve"> Proposed changes to the current RSA for empagliflozin</w:t>
      </w:r>
      <w:bookmarkEnd w:id="61"/>
    </w:p>
    <w:tbl>
      <w:tblPr>
        <w:tblStyle w:val="TableGrid"/>
        <w:tblW w:w="0" w:type="auto"/>
        <w:tblLook w:val="04A0" w:firstRow="1" w:lastRow="0" w:firstColumn="1" w:lastColumn="0" w:noHBand="0" w:noVBand="1"/>
      </w:tblPr>
      <w:tblGrid>
        <w:gridCol w:w="1353"/>
        <w:gridCol w:w="1274"/>
        <w:gridCol w:w="1414"/>
        <w:gridCol w:w="1400"/>
        <w:gridCol w:w="3576"/>
      </w:tblGrid>
      <w:tr w:rsidR="005E719F" w:rsidRPr="00B47DC0" w14:paraId="29843E6A" w14:textId="77777777" w:rsidTr="003A33AB">
        <w:tc>
          <w:tcPr>
            <w:tcW w:w="1353" w:type="dxa"/>
          </w:tcPr>
          <w:p w14:paraId="022A1978" w14:textId="77777777" w:rsidR="005E719F" w:rsidRPr="00B47DC0" w:rsidRDefault="005E719F" w:rsidP="002279E1">
            <w:pPr>
              <w:pStyle w:val="COMTableheadingrow"/>
            </w:pPr>
          </w:p>
        </w:tc>
        <w:tc>
          <w:tcPr>
            <w:tcW w:w="1274" w:type="dxa"/>
          </w:tcPr>
          <w:p w14:paraId="241FB66F" w14:textId="77777777" w:rsidR="005E719F" w:rsidRPr="00B47DC0" w:rsidRDefault="005E719F" w:rsidP="002279E1">
            <w:pPr>
              <w:pStyle w:val="COMTableheadingrow"/>
            </w:pPr>
            <w:r w:rsidRPr="00B47DC0">
              <w:t>Indication</w:t>
            </w:r>
          </w:p>
        </w:tc>
        <w:tc>
          <w:tcPr>
            <w:tcW w:w="1414" w:type="dxa"/>
            <w:tcBorders>
              <w:bottom w:val="single" w:sz="4" w:space="0" w:color="auto"/>
            </w:tcBorders>
            <w:vAlign w:val="center"/>
          </w:tcPr>
          <w:p w14:paraId="6FA68FBF" w14:textId="77777777" w:rsidR="005E719F" w:rsidRPr="00B47DC0" w:rsidRDefault="005E719F" w:rsidP="002279E1">
            <w:pPr>
              <w:pStyle w:val="COMTableheadingrow"/>
              <w:jc w:val="center"/>
            </w:pPr>
            <w:r w:rsidRPr="00B47DC0">
              <w:t>Year 4 (2025)</w:t>
            </w:r>
          </w:p>
        </w:tc>
        <w:tc>
          <w:tcPr>
            <w:tcW w:w="1400" w:type="dxa"/>
            <w:tcBorders>
              <w:bottom w:val="single" w:sz="4" w:space="0" w:color="auto"/>
            </w:tcBorders>
            <w:vAlign w:val="center"/>
          </w:tcPr>
          <w:p w14:paraId="63E597E8" w14:textId="77777777" w:rsidR="005E719F" w:rsidRPr="00B47DC0" w:rsidRDefault="005E719F" w:rsidP="002279E1">
            <w:pPr>
              <w:pStyle w:val="COMTableheadingrow"/>
              <w:jc w:val="center"/>
            </w:pPr>
            <w:r w:rsidRPr="00B47DC0">
              <w:t>Year 5 (2026)</w:t>
            </w:r>
          </w:p>
        </w:tc>
        <w:tc>
          <w:tcPr>
            <w:tcW w:w="3576" w:type="dxa"/>
            <w:vAlign w:val="center"/>
          </w:tcPr>
          <w:p w14:paraId="7A01937E" w14:textId="77777777" w:rsidR="005E719F" w:rsidRPr="00B47DC0" w:rsidRDefault="005E719F" w:rsidP="002279E1">
            <w:pPr>
              <w:pStyle w:val="COMTableheadingrow"/>
            </w:pPr>
            <w:r w:rsidRPr="00B47DC0">
              <w:t>Source/calculation</w:t>
            </w:r>
          </w:p>
        </w:tc>
      </w:tr>
      <w:tr w:rsidR="005E719F" w:rsidRPr="00B47DC0" w14:paraId="1D49F8B2" w14:textId="77777777" w:rsidTr="003A33AB">
        <w:tc>
          <w:tcPr>
            <w:tcW w:w="1353" w:type="dxa"/>
            <w:vMerge w:val="restart"/>
            <w:vAlign w:val="center"/>
          </w:tcPr>
          <w:p w14:paraId="515B22E0" w14:textId="77777777" w:rsidR="005E719F" w:rsidRPr="00B47DC0" w:rsidRDefault="005E719F" w:rsidP="002279E1">
            <w:pPr>
              <w:pStyle w:val="COMTabletext"/>
            </w:pPr>
            <w:r w:rsidRPr="00B47DC0">
              <w:t xml:space="preserve">Current RSA caps </w:t>
            </w:r>
          </w:p>
        </w:tc>
        <w:tc>
          <w:tcPr>
            <w:tcW w:w="1274" w:type="dxa"/>
            <w:vAlign w:val="center"/>
          </w:tcPr>
          <w:p w14:paraId="3055D852" w14:textId="77777777" w:rsidR="005E719F" w:rsidRPr="00B47DC0" w:rsidRDefault="005E719F" w:rsidP="002279E1">
            <w:pPr>
              <w:pStyle w:val="COMTabletext"/>
            </w:pPr>
            <w:proofErr w:type="spellStart"/>
            <w:r w:rsidRPr="00B47DC0">
              <w:t>HFrEF</w:t>
            </w:r>
            <w:proofErr w:type="spellEnd"/>
          </w:p>
        </w:tc>
        <w:tc>
          <w:tcPr>
            <w:tcW w:w="1414" w:type="dxa"/>
            <w:tcBorders>
              <w:bottom w:val="single" w:sz="4" w:space="0" w:color="auto"/>
            </w:tcBorders>
            <w:shd w:val="solid" w:color="000000" w:fill="000000"/>
            <w:vAlign w:val="center"/>
          </w:tcPr>
          <w:p w14:paraId="68589FAC" w14:textId="04B47DFB" w:rsidR="005E719F" w:rsidRPr="00C564B4" w:rsidRDefault="003A33AB" w:rsidP="002279E1">
            <w:pPr>
              <w:pStyle w:val="COMTabletext"/>
              <w:jc w:val="center"/>
              <w:rPr>
                <w:highlight w:val="darkGray"/>
              </w:rPr>
            </w:pPr>
            <w:r w:rsidRPr="003A33AB">
              <w:rPr>
                <w:color w:val="000000"/>
                <w:spacing w:val="53"/>
                <w:fitText w:val="330" w:id="-663469053"/>
                <w14:textFill>
                  <w14:solidFill>
                    <w14:srgbClr w14:val="000000">
                      <w14:alpha w14:val="100000"/>
                    </w14:srgbClr>
                  </w14:solidFill>
                </w14:textFill>
              </w:rPr>
              <w:t>|||</w:t>
            </w:r>
            <w:r w:rsidRPr="003A33AB">
              <w:rPr>
                <w:color w:val="000000"/>
                <w:spacing w:val="1"/>
                <w:fitText w:val="330" w:id="-663469053"/>
                <w14:textFill>
                  <w14:solidFill>
                    <w14:srgbClr w14:val="000000">
                      <w14:alpha w14:val="100000"/>
                    </w14:srgbClr>
                  </w14:solidFill>
                </w14:textFill>
              </w:rPr>
              <w:t>|</w:t>
            </w:r>
          </w:p>
        </w:tc>
        <w:tc>
          <w:tcPr>
            <w:tcW w:w="1400" w:type="dxa"/>
            <w:tcBorders>
              <w:bottom w:val="single" w:sz="4" w:space="0" w:color="auto"/>
            </w:tcBorders>
            <w:shd w:val="solid" w:color="000000" w:fill="000000"/>
            <w:vAlign w:val="center"/>
          </w:tcPr>
          <w:p w14:paraId="2AF27A2E" w14:textId="1A8431B9" w:rsidR="005E719F" w:rsidRPr="00C564B4" w:rsidRDefault="003A33AB" w:rsidP="002279E1">
            <w:pPr>
              <w:pStyle w:val="COMTabletext"/>
              <w:jc w:val="center"/>
              <w:rPr>
                <w:highlight w:val="darkGray"/>
              </w:rPr>
            </w:pPr>
            <w:r w:rsidRPr="003A33AB">
              <w:rPr>
                <w:color w:val="000000"/>
                <w:spacing w:val="53"/>
                <w:fitText w:val="330" w:id="-663469052"/>
                <w14:textFill>
                  <w14:solidFill>
                    <w14:srgbClr w14:val="000000">
                      <w14:alpha w14:val="100000"/>
                    </w14:srgbClr>
                  </w14:solidFill>
                </w14:textFill>
              </w:rPr>
              <w:t>|||</w:t>
            </w:r>
            <w:r w:rsidRPr="003A33AB">
              <w:rPr>
                <w:color w:val="000000"/>
                <w:spacing w:val="1"/>
                <w:fitText w:val="330" w:id="-663469052"/>
                <w14:textFill>
                  <w14:solidFill>
                    <w14:srgbClr w14:val="000000">
                      <w14:alpha w14:val="100000"/>
                    </w14:srgbClr>
                  </w14:solidFill>
                </w14:textFill>
              </w:rPr>
              <w:t>|</w:t>
            </w:r>
          </w:p>
        </w:tc>
        <w:tc>
          <w:tcPr>
            <w:tcW w:w="3576" w:type="dxa"/>
            <w:vMerge w:val="restart"/>
            <w:vAlign w:val="center"/>
          </w:tcPr>
          <w:p w14:paraId="3345F162" w14:textId="64DC5D95" w:rsidR="005E719F" w:rsidRPr="00C564B4" w:rsidRDefault="003A33AB" w:rsidP="002279E1">
            <w:pPr>
              <w:pStyle w:val="COMTabletext"/>
              <w:rPr>
                <w:highlight w:val="darkGray"/>
              </w:rPr>
            </w:pPr>
            <w:r w:rsidRPr="003A33AB">
              <w:rPr>
                <w:color w:val="000000"/>
                <w:spacing w:val="53"/>
                <w:shd w:val="solid" w:color="000000" w:fill="000000"/>
                <w:fitText w:val="330" w:id="-663469051"/>
                <w14:textFill>
                  <w14:solidFill>
                    <w14:srgbClr w14:val="000000">
                      <w14:alpha w14:val="100000"/>
                    </w14:srgbClr>
                  </w14:solidFill>
                </w14:textFill>
              </w:rPr>
              <w:t>|||</w:t>
            </w:r>
            <w:r w:rsidRPr="003A33AB">
              <w:rPr>
                <w:color w:val="000000"/>
                <w:spacing w:val="1"/>
                <w:shd w:val="solid" w:color="000000" w:fill="000000"/>
                <w:fitText w:val="330" w:id="-663469051"/>
                <w14:textFill>
                  <w14:solidFill>
                    <w14:srgbClr w14:val="000000">
                      <w14:alpha w14:val="100000"/>
                    </w14:srgbClr>
                  </w14:solidFill>
                </w14:textFill>
              </w:rPr>
              <w:t>|</w:t>
            </w:r>
            <w:r w:rsidR="00C10404" w:rsidRPr="00C10404">
              <w:t xml:space="preserve"> </w:t>
            </w:r>
            <w:r w:rsidRPr="003A33AB">
              <w:rPr>
                <w:color w:val="000000"/>
                <w:spacing w:val="49"/>
                <w:shd w:val="solid" w:color="000000" w:fill="000000"/>
                <w:fitText w:val="320" w:id="-663469050"/>
                <w14:textFill>
                  <w14:solidFill>
                    <w14:srgbClr w14:val="000000">
                      <w14:alpha w14:val="100000"/>
                    </w14:srgbClr>
                  </w14:solidFill>
                </w14:textFill>
              </w:rPr>
              <w:t>|||</w:t>
            </w:r>
            <w:r w:rsidRPr="003A33AB">
              <w:rPr>
                <w:color w:val="000000"/>
                <w:spacing w:val="3"/>
                <w:shd w:val="solid" w:color="000000" w:fill="000000"/>
                <w:fitText w:val="320" w:id="-663469050"/>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9049"/>
                <w14:textFill>
                  <w14:solidFill>
                    <w14:srgbClr w14:val="000000">
                      <w14:alpha w14:val="100000"/>
                    </w14:srgbClr>
                  </w14:solidFill>
                </w14:textFill>
              </w:rPr>
              <w:t>|||</w:t>
            </w:r>
            <w:r w:rsidRPr="003A33AB">
              <w:rPr>
                <w:color w:val="000000"/>
                <w:spacing w:val="1"/>
                <w:shd w:val="solid" w:color="000000" w:fill="000000"/>
                <w:fitText w:val="330" w:id="-663469049"/>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9048"/>
                <w14:textFill>
                  <w14:solidFill>
                    <w14:srgbClr w14:val="000000">
                      <w14:alpha w14:val="100000"/>
                    </w14:srgbClr>
                  </w14:solidFill>
                </w14:textFill>
              </w:rPr>
              <w:t>|||</w:t>
            </w:r>
            <w:r w:rsidRPr="003A33AB">
              <w:rPr>
                <w:color w:val="000000"/>
                <w:spacing w:val="1"/>
                <w:shd w:val="solid" w:color="000000" w:fill="000000"/>
                <w:fitText w:val="330" w:id="-663469048"/>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9047"/>
                <w14:textFill>
                  <w14:solidFill>
                    <w14:srgbClr w14:val="000000">
                      <w14:alpha w14:val="100000"/>
                    </w14:srgbClr>
                  </w14:solidFill>
                </w14:textFill>
              </w:rPr>
              <w:t>|||</w:t>
            </w:r>
            <w:r w:rsidRPr="003A33AB">
              <w:rPr>
                <w:color w:val="000000"/>
                <w:spacing w:val="1"/>
                <w:shd w:val="solid" w:color="000000" w:fill="000000"/>
                <w:fitText w:val="330" w:id="-663469047"/>
                <w14:textFill>
                  <w14:solidFill>
                    <w14:srgbClr w14:val="000000">
                      <w14:alpha w14:val="100000"/>
                    </w14:srgbClr>
                  </w14:solidFill>
                </w14:textFill>
              </w:rPr>
              <w:t>|</w:t>
            </w:r>
          </w:p>
        </w:tc>
      </w:tr>
      <w:tr w:rsidR="005E719F" w:rsidRPr="00B47DC0" w14:paraId="7E1B55B8" w14:textId="77777777" w:rsidTr="003A33AB">
        <w:tc>
          <w:tcPr>
            <w:tcW w:w="1353" w:type="dxa"/>
            <w:vMerge/>
            <w:vAlign w:val="center"/>
          </w:tcPr>
          <w:p w14:paraId="39D69211" w14:textId="77777777" w:rsidR="005E719F" w:rsidRPr="00B47DC0" w:rsidRDefault="005E719F" w:rsidP="002279E1">
            <w:pPr>
              <w:pStyle w:val="COMTabletext"/>
            </w:pPr>
          </w:p>
        </w:tc>
        <w:tc>
          <w:tcPr>
            <w:tcW w:w="1274" w:type="dxa"/>
            <w:vAlign w:val="center"/>
          </w:tcPr>
          <w:p w14:paraId="77AE6200" w14:textId="77777777" w:rsidR="005E719F" w:rsidRPr="00B47DC0" w:rsidRDefault="005E719F" w:rsidP="002279E1">
            <w:pPr>
              <w:pStyle w:val="COMTabletext"/>
            </w:pPr>
            <w:r w:rsidRPr="00B47DC0">
              <w:t>CKD (overlap)</w:t>
            </w:r>
          </w:p>
        </w:tc>
        <w:tc>
          <w:tcPr>
            <w:tcW w:w="1414" w:type="dxa"/>
            <w:tcBorders>
              <w:bottom w:val="single" w:sz="4" w:space="0" w:color="auto"/>
            </w:tcBorders>
            <w:shd w:val="solid" w:color="000000" w:fill="000000"/>
            <w:vAlign w:val="center"/>
          </w:tcPr>
          <w:p w14:paraId="77F2934E" w14:textId="6D14DD3D" w:rsidR="005E719F" w:rsidRPr="00C564B4" w:rsidRDefault="003A33AB" w:rsidP="002279E1">
            <w:pPr>
              <w:pStyle w:val="COMTabletext"/>
              <w:jc w:val="center"/>
              <w:rPr>
                <w:highlight w:val="darkGray"/>
              </w:rPr>
            </w:pPr>
            <w:r w:rsidRPr="003A33AB">
              <w:rPr>
                <w:color w:val="000000"/>
                <w:spacing w:val="53"/>
                <w:fitText w:val="330" w:id="-663469046"/>
                <w14:textFill>
                  <w14:solidFill>
                    <w14:srgbClr w14:val="000000">
                      <w14:alpha w14:val="100000"/>
                    </w14:srgbClr>
                  </w14:solidFill>
                </w14:textFill>
              </w:rPr>
              <w:t>|||</w:t>
            </w:r>
            <w:r w:rsidRPr="003A33AB">
              <w:rPr>
                <w:color w:val="000000"/>
                <w:spacing w:val="1"/>
                <w:fitText w:val="330" w:id="-663469046"/>
                <w14:textFill>
                  <w14:solidFill>
                    <w14:srgbClr w14:val="000000">
                      <w14:alpha w14:val="100000"/>
                    </w14:srgbClr>
                  </w14:solidFill>
                </w14:textFill>
              </w:rPr>
              <w:t>|</w:t>
            </w:r>
          </w:p>
        </w:tc>
        <w:tc>
          <w:tcPr>
            <w:tcW w:w="1400" w:type="dxa"/>
            <w:tcBorders>
              <w:bottom w:val="single" w:sz="4" w:space="0" w:color="auto"/>
            </w:tcBorders>
            <w:shd w:val="solid" w:color="000000" w:fill="000000"/>
            <w:vAlign w:val="center"/>
          </w:tcPr>
          <w:p w14:paraId="300A1A89" w14:textId="4EDC1B9A" w:rsidR="005E719F" w:rsidRPr="00C564B4" w:rsidRDefault="003A33AB" w:rsidP="002279E1">
            <w:pPr>
              <w:pStyle w:val="COMTabletext"/>
              <w:jc w:val="center"/>
              <w:rPr>
                <w:highlight w:val="darkGray"/>
              </w:rPr>
            </w:pPr>
            <w:r w:rsidRPr="003A33AB">
              <w:rPr>
                <w:color w:val="000000"/>
                <w:spacing w:val="53"/>
                <w:fitText w:val="330" w:id="-663469045"/>
                <w14:textFill>
                  <w14:solidFill>
                    <w14:srgbClr w14:val="000000">
                      <w14:alpha w14:val="100000"/>
                    </w14:srgbClr>
                  </w14:solidFill>
                </w14:textFill>
              </w:rPr>
              <w:t>|||</w:t>
            </w:r>
            <w:r w:rsidRPr="003A33AB">
              <w:rPr>
                <w:color w:val="000000"/>
                <w:spacing w:val="1"/>
                <w:fitText w:val="330" w:id="-663469045"/>
                <w14:textFill>
                  <w14:solidFill>
                    <w14:srgbClr w14:val="000000">
                      <w14:alpha w14:val="100000"/>
                    </w14:srgbClr>
                  </w14:solidFill>
                </w14:textFill>
              </w:rPr>
              <w:t>|</w:t>
            </w:r>
          </w:p>
        </w:tc>
        <w:tc>
          <w:tcPr>
            <w:tcW w:w="3576" w:type="dxa"/>
            <w:vMerge/>
            <w:vAlign w:val="center"/>
          </w:tcPr>
          <w:p w14:paraId="0EA8D5B6" w14:textId="77777777" w:rsidR="005E719F" w:rsidRPr="00C564B4" w:rsidRDefault="005E719F" w:rsidP="002279E1">
            <w:pPr>
              <w:pStyle w:val="COMTabletext"/>
              <w:rPr>
                <w:highlight w:val="darkGray"/>
              </w:rPr>
            </w:pPr>
          </w:p>
        </w:tc>
      </w:tr>
      <w:tr w:rsidR="005E719F" w:rsidRPr="00B47DC0" w14:paraId="30BABE9F" w14:textId="77777777" w:rsidTr="003A33AB">
        <w:tc>
          <w:tcPr>
            <w:tcW w:w="1353" w:type="dxa"/>
            <w:vMerge/>
            <w:vAlign w:val="center"/>
          </w:tcPr>
          <w:p w14:paraId="79B4734B" w14:textId="77777777" w:rsidR="005E719F" w:rsidRPr="00B47DC0" w:rsidRDefault="005E719F" w:rsidP="002279E1">
            <w:pPr>
              <w:pStyle w:val="COMTabletext"/>
            </w:pPr>
          </w:p>
        </w:tc>
        <w:tc>
          <w:tcPr>
            <w:tcW w:w="1274" w:type="dxa"/>
            <w:vAlign w:val="center"/>
          </w:tcPr>
          <w:p w14:paraId="1AB80367" w14:textId="77777777" w:rsidR="005E719F" w:rsidRPr="00B47DC0" w:rsidRDefault="005E719F" w:rsidP="002279E1">
            <w:pPr>
              <w:pStyle w:val="COMTabletext"/>
            </w:pPr>
            <w:r w:rsidRPr="00B47DC0">
              <w:t>Total</w:t>
            </w:r>
          </w:p>
        </w:tc>
        <w:tc>
          <w:tcPr>
            <w:tcW w:w="1414" w:type="dxa"/>
            <w:tcBorders>
              <w:bottom w:val="single" w:sz="4" w:space="0" w:color="auto"/>
            </w:tcBorders>
            <w:shd w:val="solid" w:color="000000" w:fill="000000"/>
            <w:vAlign w:val="center"/>
          </w:tcPr>
          <w:p w14:paraId="20674356" w14:textId="5CB17B2B" w:rsidR="005E719F" w:rsidRPr="00C564B4" w:rsidRDefault="003A33AB" w:rsidP="002279E1">
            <w:pPr>
              <w:pStyle w:val="COMTabletext"/>
              <w:jc w:val="center"/>
              <w:rPr>
                <w:highlight w:val="darkGray"/>
              </w:rPr>
            </w:pPr>
            <w:r w:rsidRPr="003A33AB">
              <w:rPr>
                <w:color w:val="000000"/>
                <w:spacing w:val="53"/>
                <w:fitText w:val="330" w:id="-663469044"/>
                <w14:textFill>
                  <w14:solidFill>
                    <w14:srgbClr w14:val="000000">
                      <w14:alpha w14:val="100000"/>
                    </w14:srgbClr>
                  </w14:solidFill>
                </w14:textFill>
              </w:rPr>
              <w:t>|||</w:t>
            </w:r>
            <w:r w:rsidRPr="003A33AB">
              <w:rPr>
                <w:color w:val="000000"/>
                <w:spacing w:val="1"/>
                <w:fitText w:val="330" w:id="-663469044"/>
                <w14:textFill>
                  <w14:solidFill>
                    <w14:srgbClr w14:val="000000">
                      <w14:alpha w14:val="100000"/>
                    </w14:srgbClr>
                  </w14:solidFill>
                </w14:textFill>
              </w:rPr>
              <w:t>|</w:t>
            </w:r>
          </w:p>
        </w:tc>
        <w:tc>
          <w:tcPr>
            <w:tcW w:w="1400" w:type="dxa"/>
            <w:tcBorders>
              <w:bottom w:val="single" w:sz="4" w:space="0" w:color="auto"/>
            </w:tcBorders>
            <w:shd w:val="solid" w:color="000000" w:fill="000000"/>
            <w:vAlign w:val="center"/>
          </w:tcPr>
          <w:p w14:paraId="348F0792" w14:textId="77B424EF" w:rsidR="005E719F" w:rsidRPr="00C564B4" w:rsidRDefault="003A33AB" w:rsidP="002279E1">
            <w:pPr>
              <w:pStyle w:val="COMTabletext"/>
              <w:jc w:val="center"/>
              <w:rPr>
                <w:highlight w:val="darkGray"/>
              </w:rPr>
            </w:pPr>
            <w:r w:rsidRPr="003A33AB">
              <w:rPr>
                <w:color w:val="000000"/>
                <w:spacing w:val="53"/>
                <w:fitText w:val="330" w:id="-663469043"/>
                <w14:textFill>
                  <w14:solidFill>
                    <w14:srgbClr w14:val="000000">
                      <w14:alpha w14:val="100000"/>
                    </w14:srgbClr>
                  </w14:solidFill>
                </w14:textFill>
              </w:rPr>
              <w:t>|||</w:t>
            </w:r>
            <w:r w:rsidRPr="003A33AB">
              <w:rPr>
                <w:color w:val="000000"/>
                <w:spacing w:val="1"/>
                <w:fitText w:val="330" w:id="-663469043"/>
                <w14:textFill>
                  <w14:solidFill>
                    <w14:srgbClr w14:val="000000">
                      <w14:alpha w14:val="100000"/>
                    </w14:srgbClr>
                  </w14:solidFill>
                </w14:textFill>
              </w:rPr>
              <w:t>|</w:t>
            </w:r>
          </w:p>
        </w:tc>
        <w:tc>
          <w:tcPr>
            <w:tcW w:w="3576" w:type="dxa"/>
            <w:vMerge/>
            <w:vAlign w:val="center"/>
          </w:tcPr>
          <w:p w14:paraId="6E2230E5" w14:textId="77777777" w:rsidR="005E719F" w:rsidRPr="00C564B4" w:rsidRDefault="005E719F" w:rsidP="002279E1">
            <w:pPr>
              <w:pStyle w:val="COMTabletext"/>
              <w:rPr>
                <w:highlight w:val="darkGray"/>
              </w:rPr>
            </w:pPr>
          </w:p>
        </w:tc>
      </w:tr>
      <w:tr w:rsidR="005E719F" w:rsidRPr="00B47DC0" w14:paraId="6777BB48" w14:textId="77777777" w:rsidTr="003A33AB">
        <w:tc>
          <w:tcPr>
            <w:tcW w:w="1353" w:type="dxa"/>
            <w:vAlign w:val="center"/>
          </w:tcPr>
          <w:p w14:paraId="072FB64D" w14:textId="77777777" w:rsidR="005E719F" w:rsidRPr="00B47DC0" w:rsidRDefault="005E719F" w:rsidP="002279E1">
            <w:pPr>
              <w:pStyle w:val="COMTabletext"/>
            </w:pPr>
            <w:r w:rsidRPr="00B47DC0">
              <w:t>Proposed increase in RSA caps</w:t>
            </w:r>
          </w:p>
        </w:tc>
        <w:tc>
          <w:tcPr>
            <w:tcW w:w="1274" w:type="dxa"/>
            <w:vAlign w:val="center"/>
          </w:tcPr>
          <w:p w14:paraId="4C7167F6" w14:textId="77777777" w:rsidR="005E719F" w:rsidRPr="00B47DC0" w:rsidRDefault="005E719F" w:rsidP="002279E1">
            <w:pPr>
              <w:pStyle w:val="COMTabletext"/>
            </w:pPr>
            <w:r w:rsidRPr="00B47DC0">
              <w:t>CKD (incremental)</w:t>
            </w:r>
          </w:p>
        </w:tc>
        <w:tc>
          <w:tcPr>
            <w:tcW w:w="1414" w:type="dxa"/>
            <w:tcBorders>
              <w:bottom w:val="single" w:sz="4" w:space="0" w:color="auto"/>
            </w:tcBorders>
            <w:shd w:val="solid" w:color="000000" w:fill="000000"/>
            <w:vAlign w:val="center"/>
          </w:tcPr>
          <w:p w14:paraId="35AE26DA" w14:textId="4A1F3237" w:rsidR="005E719F" w:rsidRPr="00C564B4" w:rsidRDefault="003A33AB" w:rsidP="002279E1">
            <w:pPr>
              <w:pStyle w:val="COMTabletext"/>
              <w:jc w:val="center"/>
              <w:rPr>
                <w:highlight w:val="darkGray"/>
              </w:rPr>
            </w:pPr>
            <w:r w:rsidRPr="003A33AB">
              <w:rPr>
                <w:color w:val="000000"/>
                <w:spacing w:val="53"/>
                <w:fitText w:val="330" w:id="-663469042"/>
                <w14:textFill>
                  <w14:solidFill>
                    <w14:srgbClr w14:val="000000">
                      <w14:alpha w14:val="100000"/>
                    </w14:srgbClr>
                  </w14:solidFill>
                </w14:textFill>
              </w:rPr>
              <w:t>|||</w:t>
            </w:r>
            <w:r w:rsidRPr="003A33AB">
              <w:rPr>
                <w:color w:val="000000"/>
                <w:spacing w:val="1"/>
                <w:fitText w:val="330" w:id="-663469042"/>
                <w14:textFill>
                  <w14:solidFill>
                    <w14:srgbClr w14:val="000000">
                      <w14:alpha w14:val="100000"/>
                    </w14:srgbClr>
                  </w14:solidFill>
                </w14:textFill>
              </w:rPr>
              <w:t>|</w:t>
            </w:r>
          </w:p>
        </w:tc>
        <w:tc>
          <w:tcPr>
            <w:tcW w:w="1400" w:type="dxa"/>
            <w:tcBorders>
              <w:bottom w:val="single" w:sz="4" w:space="0" w:color="auto"/>
            </w:tcBorders>
            <w:shd w:val="solid" w:color="000000" w:fill="000000"/>
            <w:vAlign w:val="center"/>
          </w:tcPr>
          <w:p w14:paraId="751554E8" w14:textId="3A7ED8CC" w:rsidR="005E719F" w:rsidRPr="00C564B4" w:rsidRDefault="003A33AB" w:rsidP="002279E1">
            <w:pPr>
              <w:pStyle w:val="COMTabletext"/>
              <w:jc w:val="center"/>
              <w:rPr>
                <w:highlight w:val="darkGray"/>
              </w:rPr>
            </w:pPr>
            <w:r w:rsidRPr="003A33AB">
              <w:rPr>
                <w:color w:val="000000"/>
                <w:spacing w:val="53"/>
                <w:fitText w:val="330" w:id="-663469041"/>
                <w14:textFill>
                  <w14:solidFill>
                    <w14:srgbClr w14:val="000000">
                      <w14:alpha w14:val="100000"/>
                    </w14:srgbClr>
                  </w14:solidFill>
                </w14:textFill>
              </w:rPr>
              <w:t>|||</w:t>
            </w:r>
            <w:r w:rsidRPr="003A33AB">
              <w:rPr>
                <w:color w:val="000000"/>
                <w:spacing w:val="1"/>
                <w:fitText w:val="330" w:id="-663469041"/>
                <w14:textFill>
                  <w14:solidFill>
                    <w14:srgbClr w14:val="000000">
                      <w14:alpha w14:val="100000"/>
                    </w14:srgbClr>
                  </w14:solidFill>
                </w14:textFill>
              </w:rPr>
              <w:t>|</w:t>
            </w:r>
          </w:p>
        </w:tc>
        <w:tc>
          <w:tcPr>
            <w:tcW w:w="3576" w:type="dxa"/>
            <w:vAlign w:val="center"/>
          </w:tcPr>
          <w:p w14:paraId="4E672EB5" w14:textId="493267EA" w:rsidR="005E719F" w:rsidRPr="00C564B4" w:rsidRDefault="003A33AB" w:rsidP="002279E1">
            <w:pPr>
              <w:pStyle w:val="COMTabletext"/>
              <w:rPr>
                <w:highlight w:val="darkGray"/>
              </w:rPr>
            </w:pPr>
            <w:r w:rsidRPr="003A33AB">
              <w:rPr>
                <w:color w:val="000000"/>
                <w:spacing w:val="53"/>
                <w:shd w:val="solid" w:color="000000" w:fill="000000"/>
                <w:fitText w:val="330" w:id="-663469040"/>
                <w14:textFill>
                  <w14:solidFill>
                    <w14:srgbClr w14:val="000000">
                      <w14:alpha w14:val="100000"/>
                    </w14:srgbClr>
                  </w14:solidFill>
                </w14:textFill>
              </w:rPr>
              <w:t>|||</w:t>
            </w:r>
            <w:r w:rsidRPr="003A33AB">
              <w:rPr>
                <w:color w:val="000000"/>
                <w:spacing w:val="1"/>
                <w:shd w:val="solid" w:color="000000" w:fill="000000"/>
                <w:fitText w:val="330" w:id="-663469040"/>
                <w14:textFill>
                  <w14:solidFill>
                    <w14:srgbClr w14:val="000000">
                      <w14:alpha w14:val="100000"/>
                    </w14:srgbClr>
                  </w14:solidFill>
                </w14:textFill>
              </w:rPr>
              <w:t>|</w:t>
            </w:r>
            <w:r w:rsidR="00C10404" w:rsidRPr="00C10404">
              <w:t xml:space="preserve"> </w:t>
            </w:r>
            <w:r w:rsidRPr="003A33AB">
              <w:rPr>
                <w:color w:val="000000"/>
                <w:spacing w:val="49"/>
                <w:shd w:val="solid" w:color="000000" w:fill="000000"/>
                <w:fitText w:val="320" w:id="-663469056"/>
                <w14:textFill>
                  <w14:solidFill>
                    <w14:srgbClr w14:val="000000">
                      <w14:alpha w14:val="100000"/>
                    </w14:srgbClr>
                  </w14:solidFill>
                </w14:textFill>
              </w:rPr>
              <w:t>|||</w:t>
            </w:r>
            <w:r w:rsidRPr="003A33AB">
              <w:rPr>
                <w:color w:val="000000"/>
                <w:spacing w:val="3"/>
                <w:shd w:val="solid" w:color="000000" w:fill="000000"/>
                <w:fitText w:val="320" w:id="-663469056"/>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9055"/>
                <w14:textFill>
                  <w14:solidFill>
                    <w14:srgbClr w14:val="000000">
                      <w14:alpha w14:val="100000"/>
                    </w14:srgbClr>
                  </w14:solidFill>
                </w14:textFill>
              </w:rPr>
              <w:t>|||</w:t>
            </w:r>
            <w:r w:rsidRPr="003A33AB">
              <w:rPr>
                <w:color w:val="000000"/>
                <w:spacing w:val="1"/>
                <w:shd w:val="solid" w:color="000000" w:fill="000000"/>
                <w:fitText w:val="330" w:id="-663469055"/>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9054"/>
                <w14:textFill>
                  <w14:solidFill>
                    <w14:srgbClr w14:val="000000">
                      <w14:alpha w14:val="100000"/>
                    </w14:srgbClr>
                  </w14:solidFill>
                </w14:textFill>
              </w:rPr>
              <w:t>|||</w:t>
            </w:r>
            <w:r w:rsidRPr="003A33AB">
              <w:rPr>
                <w:color w:val="000000"/>
                <w:spacing w:val="1"/>
                <w:shd w:val="solid" w:color="000000" w:fill="000000"/>
                <w:fitText w:val="330" w:id="-663469054"/>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9053"/>
                <w14:textFill>
                  <w14:solidFill>
                    <w14:srgbClr w14:val="000000">
                      <w14:alpha w14:val="100000"/>
                    </w14:srgbClr>
                  </w14:solidFill>
                </w14:textFill>
              </w:rPr>
              <w:t>|||</w:t>
            </w:r>
            <w:r w:rsidRPr="003A33AB">
              <w:rPr>
                <w:color w:val="000000"/>
                <w:spacing w:val="1"/>
                <w:shd w:val="solid" w:color="000000" w:fill="000000"/>
                <w:fitText w:val="330" w:id="-663469053"/>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9052"/>
                <w14:textFill>
                  <w14:solidFill>
                    <w14:srgbClr w14:val="000000">
                      <w14:alpha w14:val="100000"/>
                    </w14:srgbClr>
                  </w14:solidFill>
                </w14:textFill>
              </w:rPr>
              <w:t>|||</w:t>
            </w:r>
            <w:r w:rsidRPr="003A33AB">
              <w:rPr>
                <w:color w:val="000000"/>
                <w:spacing w:val="1"/>
                <w:shd w:val="solid" w:color="000000" w:fill="000000"/>
                <w:fitText w:val="330" w:id="-663469052"/>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9051"/>
                <w14:textFill>
                  <w14:solidFill>
                    <w14:srgbClr w14:val="000000">
                      <w14:alpha w14:val="100000"/>
                    </w14:srgbClr>
                  </w14:solidFill>
                </w14:textFill>
              </w:rPr>
              <w:t>|||</w:t>
            </w:r>
            <w:r w:rsidRPr="003A33AB">
              <w:rPr>
                <w:color w:val="000000"/>
                <w:spacing w:val="1"/>
                <w:shd w:val="solid" w:color="000000" w:fill="000000"/>
                <w:fitText w:val="330" w:id="-663469051"/>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800"/>
                <w14:textFill>
                  <w14:solidFill>
                    <w14:srgbClr w14:val="000000">
                      <w14:alpha w14:val="100000"/>
                    </w14:srgbClr>
                  </w14:solidFill>
                </w14:textFill>
              </w:rPr>
              <w:t>|||</w:t>
            </w:r>
            <w:r w:rsidRPr="003A33AB">
              <w:rPr>
                <w:color w:val="000000"/>
                <w:spacing w:val="1"/>
                <w:shd w:val="solid" w:color="000000" w:fill="000000"/>
                <w:fitText w:val="330" w:id="-663468800"/>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9"/>
                <w14:textFill>
                  <w14:solidFill>
                    <w14:srgbClr w14:val="000000">
                      <w14:alpha w14:val="100000"/>
                    </w14:srgbClr>
                  </w14:solidFill>
                </w14:textFill>
              </w:rPr>
              <w:t>|||</w:t>
            </w:r>
            <w:r w:rsidRPr="003A33AB">
              <w:rPr>
                <w:color w:val="000000"/>
                <w:spacing w:val="1"/>
                <w:shd w:val="solid" w:color="000000" w:fill="000000"/>
                <w:fitText w:val="330" w:id="-663468799"/>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8"/>
                <w14:textFill>
                  <w14:solidFill>
                    <w14:srgbClr w14:val="000000">
                      <w14:alpha w14:val="100000"/>
                    </w14:srgbClr>
                  </w14:solidFill>
                </w14:textFill>
              </w:rPr>
              <w:t>|||</w:t>
            </w:r>
            <w:r w:rsidRPr="003A33AB">
              <w:rPr>
                <w:color w:val="000000"/>
                <w:spacing w:val="1"/>
                <w:shd w:val="solid" w:color="000000" w:fill="000000"/>
                <w:fitText w:val="330" w:id="-663468798"/>
                <w14:textFill>
                  <w14:solidFill>
                    <w14:srgbClr w14:val="000000">
                      <w14:alpha w14:val="100000"/>
                    </w14:srgbClr>
                  </w14:solidFill>
                </w14:textFill>
              </w:rPr>
              <w:t>|</w:t>
            </w:r>
            <w:r w:rsidR="00C10404" w:rsidRPr="00C10404">
              <w:t xml:space="preserve"> </w:t>
            </w:r>
            <w:r w:rsidRPr="003A33AB">
              <w:rPr>
                <w:color w:val="000000"/>
                <w:spacing w:val="49"/>
                <w:shd w:val="solid" w:color="000000" w:fill="000000"/>
                <w:fitText w:val="320" w:id="-663468797"/>
                <w14:textFill>
                  <w14:solidFill>
                    <w14:srgbClr w14:val="000000">
                      <w14:alpha w14:val="100000"/>
                    </w14:srgbClr>
                  </w14:solidFill>
                </w14:textFill>
              </w:rPr>
              <w:t>|||</w:t>
            </w:r>
            <w:r w:rsidRPr="003A33AB">
              <w:rPr>
                <w:color w:val="000000"/>
                <w:spacing w:val="3"/>
                <w:shd w:val="solid" w:color="000000" w:fill="000000"/>
                <w:fitText w:val="320" w:id="-663468797"/>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6"/>
                <w14:textFill>
                  <w14:solidFill>
                    <w14:srgbClr w14:val="000000">
                      <w14:alpha w14:val="100000"/>
                    </w14:srgbClr>
                  </w14:solidFill>
                </w14:textFill>
              </w:rPr>
              <w:t>|||</w:t>
            </w:r>
            <w:r w:rsidRPr="003A33AB">
              <w:rPr>
                <w:color w:val="000000"/>
                <w:spacing w:val="1"/>
                <w:shd w:val="solid" w:color="000000" w:fill="000000"/>
                <w:fitText w:val="330" w:id="-663468796"/>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5"/>
                <w14:textFill>
                  <w14:solidFill>
                    <w14:srgbClr w14:val="000000">
                      <w14:alpha w14:val="100000"/>
                    </w14:srgbClr>
                  </w14:solidFill>
                </w14:textFill>
              </w:rPr>
              <w:t>|||</w:t>
            </w:r>
            <w:r w:rsidRPr="003A33AB">
              <w:rPr>
                <w:color w:val="000000"/>
                <w:spacing w:val="1"/>
                <w:shd w:val="solid" w:color="000000" w:fill="000000"/>
                <w:fitText w:val="330" w:id="-663468795"/>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4"/>
                <w14:textFill>
                  <w14:solidFill>
                    <w14:srgbClr w14:val="000000">
                      <w14:alpha w14:val="100000"/>
                    </w14:srgbClr>
                  </w14:solidFill>
                </w14:textFill>
              </w:rPr>
              <w:t>|||</w:t>
            </w:r>
            <w:r w:rsidRPr="003A33AB">
              <w:rPr>
                <w:color w:val="000000"/>
                <w:spacing w:val="1"/>
                <w:shd w:val="solid" w:color="000000" w:fill="000000"/>
                <w:fitText w:val="330" w:id="-663468794"/>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3"/>
                <w14:textFill>
                  <w14:solidFill>
                    <w14:srgbClr w14:val="000000">
                      <w14:alpha w14:val="100000"/>
                    </w14:srgbClr>
                  </w14:solidFill>
                </w14:textFill>
              </w:rPr>
              <w:t>|||</w:t>
            </w:r>
            <w:r w:rsidRPr="003A33AB">
              <w:rPr>
                <w:color w:val="000000"/>
                <w:spacing w:val="1"/>
                <w:shd w:val="solid" w:color="000000" w:fill="000000"/>
                <w:fitText w:val="330" w:id="-663468793"/>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2"/>
                <w14:textFill>
                  <w14:solidFill>
                    <w14:srgbClr w14:val="000000">
                      <w14:alpha w14:val="100000"/>
                    </w14:srgbClr>
                  </w14:solidFill>
                </w14:textFill>
              </w:rPr>
              <w:t>|||</w:t>
            </w:r>
            <w:r w:rsidRPr="003A33AB">
              <w:rPr>
                <w:color w:val="000000"/>
                <w:spacing w:val="1"/>
                <w:shd w:val="solid" w:color="000000" w:fill="000000"/>
                <w:fitText w:val="330" w:id="-663468792"/>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1"/>
                <w14:textFill>
                  <w14:solidFill>
                    <w14:srgbClr w14:val="000000">
                      <w14:alpha w14:val="100000"/>
                    </w14:srgbClr>
                  </w14:solidFill>
                </w14:textFill>
              </w:rPr>
              <w:t>|||</w:t>
            </w:r>
            <w:r w:rsidRPr="003A33AB">
              <w:rPr>
                <w:color w:val="000000"/>
                <w:spacing w:val="1"/>
                <w:shd w:val="solid" w:color="000000" w:fill="000000"/>
                <w:fitText w:val="330" w:id="-663468791"/>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0"/>
                <w14:textFill>
                  <w14:solidFill>
                    <w14:srgbClr w14:val="000000">
                      <w14:alpha w14:val="100000"/>
                    </w14:srgbClr>
                  </w14:solidFill>
                </w14:textFill>
              </w:rPr>
              <w:t>|||</w:t>
            </w:r>
            <w:r w:rsidRPr="003A33AB">
              <w:rPr>
                <w:color w:val="000000"/>
                <w:spacing w:val="1"/>
                <w:shd w:val="solid" w:color="000000" w:fill="000000"/>
                <w:fitText w:val="330" w:id="-663468790"/>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89"/>
                <w14:textFill>
                  <w14:solidFill>
                    <w14:srgbClr w14:val="000000">
                      <w14:alpha w14:val="100000"/>
                    </w14:srgbClr>
                  </w14:solidFill>
                </w14:textFill>
              </w:rPr>
              <w:t>|||</w:t>
            </w:r>
            <w:r w:rsidRPr="003A33AB">
              <w:rPr>
                <w:color w:val="000000"/>
                <w:spacing w:val="1"/>
                <w:shd w:val="solid" w:color="000000" w:fill="000000"/>
                <w:fitText w:val="330" w:id="-663468789"/>
                <w14:textFill>
                  <w14:solidFill>
                    <w14:srgbClr w14:val="000000">
                      <w14:alpha w14:val="100000"/>
                    </w14:srgbClr>
                  </w14:solidFill>
                </w14:textFill>
              </w:rPr>
              <w:t>|</w:t>
            </w:r>
            <w:r w:rsidR="00C10404" w:rsidRPr="00C10404">
              <w:t xml:space="preserve"> </w:t>
            </w:r>
            <w:r w:rsidRPr="003A33AB">
              <w:rPr>
                <w:color w:val="000000"/>
                <w:spacing w:val="49"/>
                <w:shd w:val="solid" w:color="000000" w:fill="000000"/>
                <w:fitText w:val="320" w:id="-663468788"/>
                <w14:textFill>
                  <w14:solidFill>
                    <w14:srgbClr w14:val="000000">
                      <w14:alpha w14:val="100000"/>
                    </w14:srgbClr>
                  </w14:solidFill>
                </w14:textFill>
              </w:rPr>
              <w:t>|||</w:t>
            </w:r>
            <w:r w:rsidRPr="003A33AB">
              <w:rPr>
                <w:color w:val="000000"/>
                <w:spacing w:val="3"/>
                <w:shd w:val="solid" w:color="000000" w:fill="000000"/>
                <w:fitText w:val="320" w:id="-663468788"/>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87"/>
                <w14:textFill>
                  <w14:solidFill>
                    <w14:srgbClr w14:val="000000">
                      <w14:alpha w14:val="100000"/>
                    </w14:srgbClr>
                  </w14:solidFill>
                </w14:textFill>
              </w:rPr>
              <w:t>|||</w:t>
            </w:r>
            <w:r w:rsidRPr="003A33AB">
              <w:rPr>
                <w:color w:val="000000"/>
                <w:spacing w:val="1"/>
                <w:shd w:val="solid" w:color="000000" w:fill="000000"/>
                <w:fitText w:val="330" w:id="-663468787"/>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86"/>
                <w14:textFill>
                  <w14:solidFill>
                    <w14:srgbClr w14:val="000000">
                      <w14:alpha w14:val="100000"/>
                    </w14:srgbClr>
                  </w14:solidFill>
                </w14:textFill>
              </w:rPr>
              <w:t>|||</w:t>
            </w:r>
            <w:r w:rsidRPr="003A33AB">
              <w:rPr>
                <w:color w:val="000000"/>
                <w:spacing w:val="1"/>
                <w:shd w:val="solid" w:color="000000" w:fill="000000"/>
                <w:fitText w:val="330" w:id="-663468786"/>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85"/>
                <w14:textFill>
                  <w14:solidFill>
                    <w14:srgbClr w14:val="000000">
                      <w14:alpha w14:val="100000"/>
                    </w14:srgbClr>
                  </w14:solidFill>
                </w14:textFill>
              </w:rPr>
              <w:t>|||</w:t>
            </w:r>
            <w:r w:rsidRPr="003A33AB">
              <w:rPr>
                <w:color w:val="000000"/>
                <w:spacing w:val="1"/>
                <w:shd w:val="solid" w:color="000000" w:fill="000000"/>
                <w:fitText w:val="330" w:id="-663468785"/>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84"/>
                <w14:textFill>
                  <w14:solidFill>
                    <w14:srgbClr w14:val="000000">
                      <w14:alpha w14:val="100000"/>
                    </w14:srgbClr>
                  </w14:solidFill>
                </w14:textFill>
              </w:rPr>
              <w:t>|||</w:t>
            </w:r>
            <w:r w:rsidRPr="003A33AB">
              <w:rPr>
                <w:color w:val="000000"/>
                <w:spacing w:val="1"/>
                <w:shd w:val="solid" w:color="000000" w:fill="000000"/>
                <w:fitText w:val="330" w:id="-663468784"/>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800"/>
                <w14:textFill>
                  <w14:solidFill>
                    <w14:srgbClr w14:val="000000">
                      <w14:alpha w14:val="100000"/>
                    </w14:srgbClr>
                  </w14:solidFill>
                </w14:textFill>
              </w:rPr>
              <w:t>|||</w:t>
            </w:r>
            <w:r w:rsidRPr="003A33AB">
              <w:rPr>
                <w:color w:val="000000"/>
                <w:spacing w:val="1"/>
                <w:shd w:val="solid" w:color="000000" w:fill="000000"/>
                <w:fitText w:val="330" w:id="-663468800"/>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9"/>
                <w14:textFill>
                  <w14:solidFill>
                    <w14:srgbClr w14:val="000000">
                      <w14:alpha w14:val="100000"/>
                    </w14:srgbClr>
                  </w14:solidFill>
                </w14:textFill>
              </w:rPr>
              <w:t>|||</w:t>
            </w:r>
            <w:r w:rsidRPr="003A33AB">
              <w:rPr>
                <w:color w:val="000000"/>
                <w:spacing w:val="1"/>
                <w:shd w:val="solid" w:color="000000" w:fill="000000"/>
                <w:fitText w:val="330" w:id="-663468799"/>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8"/>
                <w14:textFill>
                  <w14:solidFill>
                    <w14:srgbClr w14:val="000000">
                      <w14:alpha w14:val="100000"/>
                    </w14:srgbClr>
                  </w14:solidFill>
                </w14:textFill>
              </w:rPr>
              <w:t>|||</w:t>
            </w:r>
            <w:r w:rsidRPr="003A33AB">
              <w:rPr>
                <w:color w:val="000000"/>
                <w:spacing w:val="1"/>
                <w:shd w:val="solid" w:color="000000" w:fill="000000"/>
                <w:fitText w:val="330" w:id="-663468798"/>
                <w14:textFill>
                  <w14:solidFill>
                    <w14:srgbClr w14:val="000000">
                      <w14:alpha w14:val="100000"/>
                    </w14:srgbClr>
                  </w14:solidFill>
                </w14:textFill>
              </w:rPr>
              <w:t>|</w:t>
            </w:r>
            <w:r w:rsidR="00C10404" w:rsidRPr="00C10404">
              <w:t xml:space="preserve"> </w:t>
            </w:r>
          </w:p>
        </w:tc>
      </w:tr>
      <w:tr w:rsidR="005E719F" w:rsidRPr="00B47DC0" w14:paraId="63181663" w14:textId="77777777" w:rsidTr="003A33AB">
        <w:tc>
          <w:tcPr>
            <w:tcW w:w="1353" w:type="dxa"/>
            <w:vMerge w:val="restart"/>
            <w:vAlign w:val="center"/>
          </w:tcPr>
          <w:p w14:paraId="775897B6" w14:textId="77777777" w:rsidR="005E719F" w:rsidRPr="00B47DC0" w:rsidRDefault="005E719F" w:rsidP="002279E1">
            <w:pPr>
              <w:pStyle w:val="COMTabletext"/>
            </w:pPr>
            <w:r w:rsidRPr="00B47DC0">
              <w:t xml:space="preserve">Proposed RSA caps </w:t>
            </w:r>
          </w:p>
        </w:tc>
        <w:tc>
          <w:tcPr>
            <w:tcW w:w="1274" w:type="dxa"/>
            <w:vAlign w:val="center"/>
          </w:tcPr>
          <w:p w14:paraId="1CC12A2A" w14:textId="77777777" w:rsidR="005E719F" w:rsidRPr="00B47DC0" w:rsidRDefault="005E719F" w:rsidP="002279E1">
            <w:pPr>
              <w:pStyle w:val="COMTabletext"/>
            </w:pPr>
            <w:proofErr w:type="spellStart"/>
            <w:r w:rsidRPr="00B47DC0">
              <w:t>HFrEF</w:t>
            </w:r>
            <w:proofErr w:type="spellEnd"/>
          </w:p>
        </w:tc>
        <w:tc>
          <w:tcPr>
            <w:tcW w:w="1414" w:type="dxa"/>
            <w:tcBorders>
              <w:bottom w:val="single" w:sz="4" w:space="0" w:color="auto"/>
            </w:tcBorders>
            <w:shd w:val="solid" w:color="000000" w:fill="000000"/>
            <w:vAlign w:val="center"/>
          </w:tcPr>
          <w:p w14:paraId="397B4947" w14:textId="4CBBD6C2" w:rsidR="005E719F" w:rsidRPr="00C564B4" w:rsidRDefault="003A33AB" w:rsidP="002279E1">
            <w:pPr>
              <w:pStyle w:val="COMTabletext"/>
              <w:jc w:val="center"/>
              <w:rPr>
                <w:highlight w:val="darkGray"/>
              </w:rPr>
            </w:pPr>
            <w:r w:rsidRPr="003A33AB">
              <w:rPr>
                <w:color w:val="000000"/>
                <w:spacing w:val="53"/>
                <w:fitText w:val="330" w:id="-663468797"/>
                <w14:textFill>
                  <w14:solidFill>
                    <w14:srgbClr w14:val="000000">
                      <w14:alpha w14:val="100000"/>
                    </w14:srgbClr>
                  </w14:solidFill>
                </w14:textFill>
              </w:rPr>
              <w:t>|||</w:t>
            </w:r>
            <w:r w:rsidRPr="003A33AB">
              <w:rPr>
                <w:color w:val="000000"/>
                <w:spacing w:val="1"/>
                <w:fitText w:val="330" w:id="-663468797"/>
                <w14:textFill>
                  <w14:solidFill>
                    <w14:srgbClr w14:val="000000">
                      <w14:alpha w14:val="100000"/>
                    </w14:srgbClr>
                  </w14:solidFill>
                </w14:textFill>
              </w:rPr>
              <w:t>|</w:t>
            </w:r>
          </w:p>
        </w:tc>
        <w:tc>
          <w:tcPr>
            <w:tcW w:w="1400" w:type="dxa"/>
            <w:tcBorders>
              <w:bottom w:val="single" w:sz="4" w:space="0" w:color="auto"/>
            </w:tcBorders>
            <w:shd w:val="solid" w:color="000000" w:fill="000000"/>
            <w:vAlign w:val="center"/>
          </w:tcPr>
          <w:p w14:paraId="49B6EF3A" w14:textId="27C41811" w:rsidR="005E719F" w:rsidRPr="00C564B4" w:rsidRDefault="003A33AB" w:rsidP="002279E1">
            <w:pPr>
              <w:pStyle w:val="COMTabletext"/>
              <w:jc w:val="center"/>
              <w:rPr>
                <w:highlight w:val="darkGray"/>
              </w:rPr>
            </w:pPr>
            <w:r w:rsidRPr="003A33AB">
              <w:rPr>
                <w:color w:val="000000"/>
                <w:spacing w:val="53"/>
                <w:fitText w:val="330" w:id="-663468796"/>
                <w14:textFill>
                  <w14:solidFill>
                    <w14:srgbClr w14:val="000000">
                      <w14:alpha w14:val="100000"/>
                    </w14:srgbClr>
                  </w14:solidFill>
                </w14:textFill>
              </w:rPr>
              <w:t>|||</w:t>
            </w:r>
            <w:r w:rsidRPr="003A33AB">
              <w:rPr>
                <w:color w:val="000000"/>
                <w:spacing w:val="1"/>
                <w:fitText w:val="330" w:id="-663468796"/>
                <w14:textFill>
                  <w14:solidFill>
                    <w14:srgbClr w14:val="000000">
                      <w14:alpha w14:val="100000"/>
                    </w14:srgbClr>
                  </w14:solidFill>
                </w14:textFill>
              </w:rPr>
              <w:t>|</w:t>
            </w:r>
          </w:p>
        </w:tc>
        <w:tc>
          <w:tcPr>
            <w:tcW w:w="3576" w:type="dxa"/>
            <w:vMerge w:val="restart"/>
            <w:vAlign w:val="center"/>
          </w:tcPr>
          <w:p w14:paraId="0A045406" w14:textId="4BE58D94" w:rsidR="005E719F" w:rsidRPr="00C564B4" w:rsidRDefault="003A33AB" w:rsidP="002279E1">
            <w:pPr>
              <w:pStyle w:val="COMTabletext"/>
              <w:rPr>
                <w:highlight w:val="darkGray"/>
              </w:rPr>
            </w:pPr>
            <w:r w:rsidRPr="003A33AB">
              <w:rPr>
                <w:color w:val="000000"/>
                <w:spacing w:val="53"/>
                <w:shd w:val="solid" w:color="000000" w:fill="000000"/>
                <w:fitText w:val="330" w:id="-663468795"/>
                <w14:textFill>
                  <w14:solidFill>
                    <w14:srgbClr w14:val="000000">
                      <w14:alpha w14:val="100000"/>
                    </w14:srgbClr>
                  </w14:solidFill>
                </w14:textFill>
              </w:rPr>
              <w:t>|||</w:t>
            </w:r>
            <w:r w:rsidRPr="003A33AB">
              <w:rPr>
                <w:color w:val="000000"/>
                <w:spacing w:val="1"/>
                <w:shd w:val="solid" w:color="000000" w:fill="000000"/>
                <w:fitText w:val="330" w:id="-663468795"/>
                <w14:textFill>
                  <w14:solidFill>
                    <w14:srgbClr w14:val="000000">
                      <w14:alpha w14:val="100000"/>
                    </w14:srgbClr>
                  </w14:solidFill>
                </w14:textFill>
              </w:rPr>
              <w:t>|</w:t>
            </w:r>
            <w:r w:rsidR="00C10404" w:rsidRPr="00C10404">
              <w:t xml:space="preserve"> </w:t>
            </w:r>
            <w:r w:rsidRPr="003A33AB">
              <w:rPr>
                <w:color w:val="000000"/>
                <w:spacing w:val="49"/>
                <w:shd w:val="solid" w:color="000000" w:fill="000000"/>
                <w:fitText w:val="320" w:id="-663468794"/>
                <w14:textFill>
                  <w14:solidFill>
                    <w14:srgbClr w14:val="000000">
                      <w14:alpha w14:val="100000"/>
                    </w14:srgbClr>
                  </w14:solidFill>
                </w14:textFill>
              </w:rPr>
              <w:t>|||</w:t>
            </w:r>
            <w:r w:rsidRPr="003A33AB">
              <w:rPr>
                <w:color w:val="000000"/>
                <w:spacing w:val="3"/>
                <w:shd w:val="solid" w:color="000000" w:fill="000000"/>
                <w:fitText w:val="320" w:id="-663468794"/>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3"/>
                <w14:textFill>
                  <w14:solidFill>
                    <w14:srgbClr w14:val="000000">
                      <w14:alpha w14:val="100000"/>
                    </w14:srgbClr>
                  </w14:solidFill>
                </w14:textFill>
              </w:rPr>
              <w:t>|||</w:t>
            </w:r>
            <w:r w:rsidRPr="003A33AB">
              <w:rPr>
                <w:color w:val="000000"/>
                <w:spacing w:val="1"/>
                <w:shd w:val="solid" w:color="000000" w:fill="000000"/>
                <w:fitText w:val="330" w:id="-663468793"/>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2"/>
                <w14:textFill>
                  <w14:solidFill>
                    <w14:srgbClr w14:val="000000">
                      <w14:alpha w14:val="100000"/>
                    </w14:srgbClr>
                  </w14:solidFill>
                </w14:textFill>
              </w:rPr>
              <w:t>|||</w:t>
            </w:r>
            <w:r w:rsidRPr="003A33AB">
              <w:rPr>
                <w:color w:val="000000"/>
                <w:spacing w:val="1"/>
                <w:shd w:val="solid" w:color="000000" w:fill="000000"/>
                <w:fitText w:val="330" w:id="-663468792"/>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1"/>
                <w14:textFill>
                  <w14:solidFill>
                    <w14:srgbClr w14:val="000000">
                      <w14:alpha w14:val="100000"/>
                    </w14:srgbClr>
                  </w14:solidFill>
                </w14:textFill>
              </w:rPr>
              <w:t>|||</w:t>
            </w:r>
            <w:r w:rsidRPr="003A33AB">
              <w:rPr>
                <w:color w:val="000000"/>
                <w:spacing w:val="1"/>
                <w:shd w:val="solid" w:color="000000" w:fill="000000"/>
                <w:fitText w:val="330" w:id="-663468791"/>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0"/>
                <w14:textFill>
                  <w14:solidFill>
                    <w14:srgbClr w14:val="000000">
                      <w14:alpha w14:val="100000"/>
                    </w14:srgbClr>
                  </w14:solidFill>
                </w14:textFill>
              </w:rPr>
              <w:t>|||</w:t>
            </w:r>
            <w:r w:rsidRPr="003A33AB">
              <w:rPr>
                <w:color w:val="000000"/>
                <w:spacing w:val="1"/>
                <w:shd w:val="solid" w:color="000000" w:fill="000000"/>
                <w:fitText w:val="330" w:id="-663468790"/>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89"/>
                <w14:textFill>
                  <w14:solidFill>
                    <w14:srgbClr w14:val="000000">
                      <w14:alpha w14:val="100000"/>
                    </w14:srgbClr>
                  </w14:solidFill>
                </w14:textFill>
              </w:rPr>
              <w:t>|||</w:t>
            </w:r>
            <w:r w:rsidRPr="003A33AB">
              <w:rPr>
                <w:color w:val="000000"/>
                <w:spacing w:val="1"/>
                <w:shd w:val="solid" w:color="000000" w:fill="000000"/>
                <w:fitText w:val="330" w:id="-663468789"/>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88"/>
                <w14:textFill>
                  <w14:solidFill>
                    <w14:srgbClr w14:val="000000">
                      <w14:alpha w14:val="100000"/>
                    </w14:srgbClr>
                  </w14:solidFill>
                </w14:textFill>
              </w:rPr>
              <w:t>|||</w:t>
            </w:r>
            <w:r w:rsidRPr="003A33AB">
              <w:rPr>
                <w:color w:val="000000"/>
                <w:spacing w:val="1"/>
                <w:shd w:val="solid" w:color="000000" w:fill="000000"/>
                <w:fitText w:val="330" w:id="-663468788"/>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87"/>
                <w14:textFill>
                  <w14:solidFill>
                    <w14:srgbClr w14:val="000000">
                      <w14:alpha w14:val="100000"/>
                    </w14:srgbClr>
                  </w14:solidFill>
                </w14:textFill>
              </w:rPr>
              <w:t>|||</w:t>
            </w:r>
            <w:r w:rsidRPr="003A33AB">
              <w:rPr>
                <w:color w:val="000000"/>
                <w:spacing w:val="1"/>
                <w:shd w:val="solid" w:color="000000" w:fill="000000"/>
                <w:fitText w:val="330" w:id="-663468787"/>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86"/>
                <w14:textFill>
                  <w14:solidFill>
                    <w14:srgbClr w14:val="000000">
                      <w14:alpha w14:val="100000"/>
                    </w14:srgbClr>
                  </w14:solidFill>
                </w14:textFill>
              </w:rPr>
              <w:t>|||</w:t>
            </w:r>
            <w:r w:rsidRPr="003A33AB">
              <w:rPr>
                <w:color w:val="000000"/>
                <w:spacing w:val="1"/>
                <w:shd w:val="solid" w:color="000000" w:fill="000000"/>
                <w:fitText w:val="330" w:id="-663468786"/>
                <w14:textFill>
                  <w14:solidFill>
                    <w14:srgbClr w14:val="000000">
                      <w14:alpha w14:val="100000"/>
                    </w14:srgbClr>
                  </w14:solidFill>
                </w14:textFill>
              </w:rPr>
              <w:t>|</w:t>
            </w:r>
            <w:r w:rsidR="00C10404" w:rsidRPr="00C10404">
              <w:t xml:space="preserve"> </w:t>
            </w:r>
            <w:r w:rsidRPr="003A33AB">
              <w:rPr>
                <w:color w:val="000000"/>
                <w:spacing w:val="49"/>
                <w:shd w:val="solid" w:color="000000" w:fill="000000"/>
                <w:fitText w:val="320" w:id="-663468785"/>
                <w14:textFill>
                  <w14:solidFill>
                    <w14:srgbClr w14:val="000000">
                      <w14:alpha w14:val="100000"/>
                    </w14:srgbClr>
                  </w14:solidFill>
                </w14:textFill>
              </w:rPr>
              <w:t>|||</w:t>
            </w:r>
            <w:r w:rsidRPr="003A33AB">
              <w:rPr>
                <w:color w:val="000000"/>
                <w:spacing w:val="3"/>
                <w:shd w:val="solid" w:color="000000" w:fill="000000"/>
                <w:fitText w:val="320" w:id="-663468785"/>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84"/>
                <w14:textFill>
                  <w14:solidFill>
                    <w14:srgbClr w14:val="000000">
                      <w14:alpha w14:val="100000"/>
                    </w14:srgbClr>
                  </w14:solidFill>
                </w14:textFill>
              </w:rPr>
              <w:t>|||</w:t>
            </w:r>
            <w:r w:rsidRPr="003A33AB">
              <w:rPr>
                <w:color w:val="000000"/>
                <w:spacing w:val="1"/>
                <w:shd w:val="solid" w:color="000000" w:fill="000000"/>
                <w:fitText w:val="330" w:id="-663468784"/>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800"/>
                <w14:textFill>
                  <w14:solidFill>
                    <w14:srgbClr w14:val="000000">
                      <w14:alpha w14:val="100000"/>
                    </w14:srgbClr>
                  </w14:solidFill>
                </w14:textFill>
              </w:rPr>
              <w:t>|||</w:t>
            </w:r>
            <w:r w:rsidRPr="003A33AB">
              <w:rPr>
                <w:color w:val="000000"/>
                <w:spacing w:val="1"/>
                <w:shd w:val="solid" w:color="000000" w:fill="000000"/>
                <w:fitText w:val="330" w:id="-663468800"/>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9"/>
                <w14:textFill>
                  <w14:solidFill>
                    <w14:srgbClr w14:val="000000">
                      <w14:alpha w14:val="100000"/>
                    </w14:srgbClr>
                  </w14:solidFill>
                </w14:textFill>
              </w:rPr>
              <w:t>|||</w:t>
            </w:r>
            <w:r w:rsidRPr="003A33AB">
              <w:rPr>
                <w:color w:val="000000"/>
                <w:spacing w:val="1"/>
                <w:shd w:val="solid" w:color="000000" w:fill="000000"/>
                <w:fitText w:val="330" w:id="-663468799"/>
                <w14:textFill>
                  <w14:solidFill>
                    <w14:srgbClr w14:val="000000">
                      <w14:alpha w14:val="100000"/>
                    </w14:srgbClr>
                  </w14:solidFill>
                </w14:textFill>
              </w:rPr>
              <w:t>|</w:t>
            </w:r>
            <w:r w:rsidR="00C10404" w:rsidRPr="00C10404">
              <w:t xml:space="preserve"> </w:t>
            </w:r>
            <w:r w:rsidRPr="003A33AB">
              <w:rPr>
                <w:color w:val="000000"/>
                <w:spacing w:val="53"/>
                <w:shd w:val="solid" w:color="000000" w:fill="000000"/>
                <w:fitText w:val="330" w:id="-663468798"/>
                <w14:textFill>
                  <w14:solidFill>
                    <w14:srgbClr w14:val="000000">
                      <w14:alpha w14:val="100000"/>
                    </w14:srgbClr>
                  </w14:solidFill>
                </w14:textFill>
              </w:rPr>
              <w:t>|||</w:t>
            </w:r>
            <w:r w:rsidRPr="003A33AB">
              <w:rPr>
                <w:color w:val="000000"/>
                <w:spacing w:val="1"/>
                <w:shd w:val="solid" w:color="000000" w:fill="000000"/>
                <w:fitText w:val="330" w:id="-663468798"/>
                <w14:textFill>
                  <w14:solidFill>
                    <w14:srgbClr w14:val="000000">
                      <w14:alpha w14:val="100000"/>
                    </w14:srgbClr>
                  </w14:solidFill>
                </w14:textFill>
              </w:rPr>
              <w:t>|</w:t>
            </w:r>
          </w:p>
        </w:tc>
      </w:tr>
      <w:tr w:rsidR="005E719F" w:rsidRPr="00B47DC0" w14:paraId="16B19EAC" w14:textId="77777777" w:rsidTr="003A33AB">
        <w:tc>
          <w:tcPr>
            <w:tcW w:w="1353" w:type="dxa"/>
            <w:vMerge/>
            <w:vAlign w:val="center"/>
          </w:tcPr>
          <w:p w14:paraId="2E1FB440" w14:textId="77777777" w:rsidR="005E719F" w:rsidRPr="00B47DC0" w:rsidRDefault="005E719F" w:rsidP="002279E1">
            <w:pPr>
              <w:pStyle w:val="COMTabletext"/>
            </w:pPr>
          </w:p>
        </w:tc>
        <w:tc>
          <w:tcPr>
            <w:tcW w:w="1274" w:type="dxa"/>
            <w:vAlign w:val="center"/>
          </w:tcPr>
          <w:p w14:paraId="1152BE64" w14:textId="77777777" w:rsidR="005E719F" w:rsidRPr="00B47DC0" w:rsidRDefault="005E719F" w:rsidP="002279E1">
            <w:pPr>
              <w:pStyle w:val="COMTabletext"/>
            </w:pPr>
            <w:r w:rsidRPr="00B47DC0">
              <w:t>CKD (overlap + incremental)</w:t>
            </w:r>
          </w:p>
        </w:tc>
        <w:tc>
          <w:tcPr>
            <w:tcW w:w="1414" w:type="dxa"/>
            <w:tcBorders>
              <w:bottom w:val="single" w:sz="4" w:space="0" w:color="auto"/>
            </w:tcBorders>
            <w:shd w:val="solid" w:color="000000" w:fill="000000"/>
            <w:vAlign w:val="center"/>
          </w:tcPr>
          <w:p w14:paraId="2E5EAC37" w14:textId="1CD41CA0" w:rsidR="005E719F" w:rsidRPr="00C564B4" w:rsidRDefault="003A33AB" w:rsidP="002279E1">
            <w:pPr>
              <w:pStyle w:val="COMTabletext"/>
              <w:jc w:val="center"/>
              <w:rPr>
                <w:highlight w:val="darkGray"/>
              </w:rPr>
            </w:pPr>
            <w:r w:rsidRPr="003A33AB">
              <w:rPr>
                <w:color w:val="000000"/>
                <w:spacing w:val="53"/>
                <w:fitText w:val="330" w:id="-663468797"/>
                <w14:textFill>
                  <w14:solidFill>
                    <w14:srgbClr w14:val="000000">
                      <w14:alpha w14:val="100000"/>
                    </w14:srgbClr>
                  </w14:solidFill>
                </w14:textFill>
              </w:rPr>
              <w:t>|||</w:t>
            </w:r>
            <w:r w:rsidRPr="003A33AB">
              <w:rPr>
                <w:color w:val="000000"/>
                <w:spacing w:val="1"/>
                <w:fitText w:val="330" w:id="-663468797"/>
                <w14:textFill>
                  <w14:solidFill>
                    <w14:srgbClr w14:val="000000">
                      <w14:alpha w14:val="100000"/>
                    </w14:srgbClr>
                  </w14:solidFill>
                </w14:textFill>
              </w:rPr>
              <w:t>|</w:t>
            </w:r>
          </w:p>
        </w:tc>
        <w:tc>
          <w:tcPr>
            <w:tcW w:w="1400" w:type="dxa"/>
            <w:tcBorders>
              <w:bottom w:val="single" w:sz="4" w:space="0" w:color="auto"/>
            </w:tcBorders>
            <w:shd w:val="solid" w:color="000000" w:fill="000000"/>
            <w:vAlign w:val="center"/>
          </w:tcPr>
          <w:p w14:paraId="01018211" w14:textId="1686F3E7" w:rsidR="005E719F" w:rsidRPr="00C564B4" w:rsidRDefault="003A33AB" w:rsidP="002279E1">
            <w:pPr>
              <w:pStyle w:val="COMTabletext"/>
              <w:jc w:val="center"/>
              <w:rPr>
                <w:highlight w:val="darkGray"/>
              </w:rPr>
            </w:pPr>
            <w:r w:rsidRPr="003A33AB">
              <w:rPr>
                <w:color w:val="000000"/>
                <w:spacing w:val="53"/>
                <w:fitText w:val="330" w:id="-663468796"/>
                <w14:textFill>
                  <w14:solidFill>
                    <w14:srgbClr w14:val="000000">
                      <w14:alpha w14:val="100000"/>
                    </w14:srgbClr>
                  </w14:solidFill>
                </w14:textFill>
              </w:rPr>
              <w:t>|||</w:t>
            </w:r>
            <w:r w:rsidRPr="003A33AB">
              <w:rPr>
                <w:color w:val="000000"/>
                <w:spacing w:val="1"/>
                <w:fitText w:val="330" w:id="-663468796"/>
                <w14:textFill>
                  <w14:solidFill>
                    <w14:srgbClr w14:val="000000">
                      <w14:alpha w14:val="100000"/>
                    </w14:srgbClr>
                  </w14:solidFill>
                </w14:textFill>
              </w:rPr>
              <w:t>|</w:t>
            </w:r>
          </w:p>
        </w:tc>
        <w:tc>
          <w:tcPr>
            <w:tcW w:w="3576" w:type="dxa"/>
            <w:vMerge/>
            <w:vAlign w:val="center"/>
          </w:tcPr>
          <w:p w14:paraId="31E76F9D" w14:textId="77777777" w:rsidR="005E719F" w:rsidRPr="00B47DC0" w:rsidRDefault="005E719F" w:rsidP="002279E1">
            <w:pPr>
              <w:pStyle w:val="COMTabletext"/>
            </w:pPr>
          </w:p>
        </w:tc>
      </w:tr>
      <w:tr w:rsidR="005E719F" w:rsidRPr="00B47DC0" w14:paraId="506E2372" w14:textId="77777777" w:rsidTr="003A33AB">
        <w:tc>
          <w:tcPr>
            <w:tcW w:w="1353" w:type="dxa"/>
            <w:vMerge/>
            <w:vAlign w:val="center"/>
          </w:tcPr>
          <w:p w14:paraId="3720FA26" w14:textId="77777777" w:rsidR="005E719F" w:rsidRPr="00B47DC0" w:rsidRDefault="005E719F" w:rsidP="002279E1">
            <w:pPr>
              <w:pStyle w:val="COMTabletext"/>
            </w:pPr>
          </w:p>
        </w:tc>
        <w:tc>
          <w:tcPr>
            <w:tcW w:w="1274" w:type="dxa"/>
            <w:vAlign w:val="center"/>
          </w:tcPr>
          <w:p w14:paraId="072954D8" w14:textId="77777777" w:rsidR="005E719F" w:rsidRPr="00B47DC0" w:rsidRDefault="005E719F" w:rsidP="002279E1">
            <w:pPr>
              <w:pStyle w:val="COMTabletext"/>
              <w:rPr>
                <w:b/>
                <w:bCs w:val="0"/>
              </w:rPr>
            </w:pPr>
            <w:r w:rsidRPr="00B47DC0">
              <w:rPr>
                <w:b/>
                <w:bCs w:val="0"/>
              </w:rPr>
              <w:t>Total</w:t>
            </w:r>
          </w:p>
        </w:tc>
        <w:tc>
          <w:tcPr>
            <w:tcW w:w="1414" w:type="dxa"/>
            <w:shd w:val="solid" w:color="000000" w:fill="000000"/>
            <w:vAlign w:val="center"/>
          </w:tcPr>
          <w:p w14:paraId="57A893C5" w14:textId="498958B8" w:rsidR="005E719F" w:rsidRPr="00C564B4" w:rsidRDefault="003A33AB" w:rsidP="002279E1">
            <w:pPr>
              <w:pStyle w:val="COMTabletext"/>
              <w:jc w:val="center"/>
              <w:rPr>
                <w:b/>
                <w:bCs w:val="0"/>
                <w:highlight w:val="darkGray"/>
              </w:rPr>
            </w:pPr>
            <w:r w:rsidRPr="003A33AB">
              <w:rPr>
                <w:b/>
                <w:bCs w:val="0"/>
                <w:color w:val="000000"/>
                <w:spacing w:val="58"/>
                <w:fitText w:val="360" w:id="-663468795"/>
                <w14:textFill>
                  <w14:solidFill>
                    <w14:srgbClr w14:val="000000">
                      <w14:alpha w14:val="100000"/>
                    </w14:srgbClr>
                  </w14:solidFill>
                </w14:textFill>
              </w:rPr>
              <w:t>|||</w:t>
            </w:r>
            <w:r w:rsidRPr="003A33AB">
              <w:rPr>
                <w:b/>
                <w:bCs w:val="0"/>
                <w:color w:val="000000"/>
                <w:spacing w:val="3"/>
                <w:fitText w:val="360" w:id="-663468795"/>
                <w14:textFill>
                  <w14:solidFill>
                    <w14:srgbClr w14:val="000000">
                      <w14:alpha w14:val="100000"/>
                    </w14:srgbClr>
                  </w14:solidFill>
                </w14:textFill>
              </w:rPr>
              <w:t>|</w:t>
            </w:r>
          </w:p>
        </w:tc>
        <w:tc>
          <w:tcPr>
            <w:tcW w:w="1400" w:type="dxa"/>
            <w:shd w:val="solid" w:color="000000" w:fill="000000"/>
            <w:vAlign w:val="center"/>
          </w:tcPr>
          <w:p w14:paraId="7939DA55" w14:textId="3CA29D76" w:rsidR="005E719F" w:rsidRPr="00C564B4" w:rsidRDefault="003A33AB" w:rsidP="002279E1">
            <w:pPr>
              <w:pStyle w:val="COMTabletext"/>
              <w:jc w:val="center"/>
              <w:rPr>
                <w:b/>
                <w:bCs w:val="0"/>
                <w:highlight w:val="darkGray"/>
              </w:rPr>
            </w:pPr>
            <w:r w:rsidRPr="00577370">
              <w:rPr>
                <w:b/>
                <w:bCs w:val="0"/>
                <w:color w:val="000000"/>
                <w:spacing w:val="58"/>
                <w:fitText w:val="360" w:id="-663468794"/>
                <w14:textFill>
                  <w14:solidFill>
                    <w14:srgbClr w14:val="000000">
                      <w14:alpha w14:val="100000"/>
                    </w14:srgbClr>
                  </w14:solidFill>
                </w14:textFill>
              </w:rPr>
              <w:t>|||</w:t>
            </w:r>
            <w:r w:rsidRPr="00577370">
              <w:rPr>
                <w:b/>
                <w:bCs w:val="0"/>
                <w:color w:val="000000"/>
                <w:spacing w:val="3"/>
                <w:fitText w:val="360" w:id="-663468794"/>
                <w14:textFill>
                  <w14:solidFill>
                    <w14:srgbClr w14:val="000000">
                      <w14:alpha w14:val="100000"/>
                    </w14:srgbClr>
                  </w14:solidFill>
                </w14:textFill>
              </w:rPr>
              <w:t>|</w:t>
            </w:r>
          </w:p>
        </w:tc>
        <w:tc>
          <w:tcPr>
            <w:tcW w:w="3576" w:type="dxa"/>
            <w:vMerge/>
            <w:vAlign w:val="center"/>
          </w:tcPr>
          <w:p w14:paraId="3B79F30E" w14:textId="77777777" w:rsidR="005E719F" w:rsidRPr="00B47DC0" w:rsidRDefault="005E719F" w:rsidP="002279E1">
            <w:pPr>
              <w:pStyle w:val="COMTabletext"/>
            </w:pPr>
          </w:p>
        </w:tc>
      </w:tr>
    </w:tbl>
    <w:p w14:paraId="2C52B192" w14:textId="77777777" w:rsidR="005E719F" w:rsidRPr="00B47DC0" w:rsidRDefault="005E719F" w:rsidP="005E719F">
      <w:pPr>
        <w:pStyle w:val="COMTablefooter"/>
      </w:pPr>
      <w:r w:rsidRPr="00B47DC0">
        <w:t>Source: Table 5.2, p376 and Table 5.6, p380 of the resubmission</w:t>
      </w:r>
    </w:p>
    <w:p w14:paraId="7B72E9C1" w14:textId="77777777" w:rsidR="005E719F" w:rsidRPr="00B47DC0" w:rsidRDefault="005E719F" w:rsidP="005E719F">
      <w:pPr>
        <w:pStyle w:val="COMTablefooter"/>
      </w:pPr>
      <w:r w:rsidRPr="00B47DC0">
        <w:t xml:space="preserve">Abbreviations: CKD, chronic kidney disease; </w:t>
      </w:r>
      <w:proofErr w:type="spellStart"/>
      <w:r w:rsidRPr="00B47DC0">
        <w:t>HFrEF</w:t>
      </w:r>
      <w:proofErr w:type="spellEnd"/>
      <w:r w:rsidRPr="00B47DC0">
        <w:t>, heart failure with reduced ejection fraction; RSA, risk-sharing arrangement</w:t>
      </w:r>
    </w:p>
    <w:p w14:paraId="6F0C4390" w14:textId="77777777" w:rsidR="00276253" w:rsidRDefault="00011154" w:rsidP="00011154">
      <w:pPr>
        <w:pStyle w:val="COMexecsummnumbered"/>
      </w:pPr>
      <w:r>
        <w:t>The PBAC considered that an increase to the existing shared RSA caps would be appropriate to account for the incremental population. However, it was noted that the implementation arrangements of the joint subsidisation caps with other parties to the RSA was not a matter for the empagliflozin sponsor</w:t>
      </w:r>
      <w:r w:rsidR="00A75454">
        <w:t xml:space="preserve"> and would be administered </w:t>
      </w:r>
      <w:r w:rsidR="004F6E94">
        <w:t>by the Department per its usual practices</w:t>
      </w:r>
      <w:r>
        <w:t>.</w:t>
      </w:r>
    </w:p>
    <w:p w14:paraId="476A375C" w14:textId="5480DF88" w:rsidR="00DF61E6" w:rsidRDefault="00C875F4" w:rsidP="005C65BC">
      <w:pPr>
        <w:pStyle w:val="COMexecsummnumbered"/>
        <w:numPr>
          <w:ilvl w:val="0"/>
          <w:numId w:val="0"/>
        </w:numPr>
        <w:rPr>
          <w:rFonts w:eastAsiaTheme="majorEastAsia" w:cstheme="majorBidi"/>
          <w:bCs/>
          <w:i/>
          <w:iCs/>
          <w:color w:val="000000" w:themeColor="text1"/>
        </w:rPr>
      </w:pPr>
      <w:r w:rsidRPr="00C875F4">
        <w:rPr>
          <w:bCs/>
          <w:i/>
          <w:iCs/>
        </w:rPr>
        <w:t>For more detail on PBAC’s view, see section 7 PBAC outcome</w:t>
      </w:r>
      <w:r w:rsidRPr="009266AF">
        <w:rPr>
          <w:b/>
        </w:rPr>
        <w:t>.</w:t>
      </w:r>
    </w:p>
    <w:p w14:paraId="50DA94BF" w14:textId="77777777" w:rsidR="00DF61E6" w:rsidRPr="0090150D" w:rsidRDefault="00DF61E6" w:rsidP="00104361">
      <w:pPr>
        <w:pStyle w:val="2-SectionHeading"/>
        <w:numPr>
          <w:ilvl w:val="0"/>
          <w:numId w:val="33"/>
        </w:numPr>
        <w:outlineLvl w:val="0"/>
      </w:pPr>
      <w:r w:rsidRPr="0090150D">
        <w:t>PBAC Outcome</w:t>
      </w:r>
    </w:p>
    <w:p w14:paraId="4AA09E38" w14:textId="0981373D" w:rsidR="00276253" w:rsidRDefault="00DF61E6" w:rsidP="00E62136">
      <w:pPr>
        <w:widowControl w:val="0"/>
        <w:numPr>
          <w:ilvl w:val="1"/>
          <w:numId w:val="33"/>
        </w:numPr>
        <w:spacing w:after="120"/>
        <w:rPr>
          <w:rFonts w:asciiTheme="minorHAnsi" w:hAnsiTheme="minorHAnsi"/>
          <w:snapToGrid w:val="0"/>
        </w:rPr>
      </w:pPr>
      <w:r w:rsidRPr="003D2742">
        <w:rPr>
          <w:rFonts w:asciiTheme="minorHAnsi" w:hAnsiTheme="minorHAnsi"/>
          <w:snapToGrid w:val="0"/>
          <w:lang w:val="en-GB"/>
        </w:rPr>
        <w:t xml:space="preserve">The PBAC recommended the </w:t>
      </w:r>
      <w:r w:rsidR="00103CF6" w:rsidRPr="003D2742">
        <w:rPr>
          <w:rFonts w:asciiTheme="minorHAnsi" w:hAnsiTheme="minorHAnsi"/>
          <w:snapToGrid w:val="0"/>
          <w:lang w:val="en-GB"/>
        </w:rPr>
        <w:t xml:space="preserve">extension </w:t>
      </w:r>
      <w:r w:rsidRPr="003D2742">
        <w:rPr>
          <w:rFonts w:asciiTheme="minorHAnsi" w:hAnsiTheme="minorHAnsi"/>
          <w:snapToGrid w:val="0"/>
          <w:lang w:val="en-GB"/>
        </w:rPr>
        <w:t xml:space="preserve">of </w:t>
      </w:r>
      <w:r w:rsidR="00C33CEF" w:rsidRPr="003D2742">
        <w:rPr>
          <w:rFonts w:asciiTheme="minorHAnsi" w:hAnsiTheme="minorHAnsi"/>
          <w:snapToGrid w:val="0"/>
          <w:lang w:val="en-GB"/>
        </w:rPr>
        <w:t xml:space="preserve">the current </w:t>
      </w:r>
      <w:r w:rsidR="00A2079F" w:rsidRPr="00FC09DD">
        <w:t xml:space="preserve">Authority Required (STREAMLINED) listing </w:t>
      </w:r>
      <w:r w:rsidR="00A2079F">
        <w:t xml:space="preserve">of </w:t>
      </w:r>
      <w:r w:rsidR="00A2079F" w:rsidRPr="003D2742">
        <w:rPr>
          <w:rFonts w:asciiTheme="minorHAnsi" w:hAnsiTheme="minorHAnsi"/>
          <w:snapToGrid w:val="0"/>
          <w:lang w:val="en-GB"/>
        </w:rPr>
        <w:t>empagliflozin</w:t>
      </w:r>
      <w:r w:rsidR="00A2079F">
        <w:t xml:space="preserve"> </w:t>
      </w:r>
      <w:r w:rsidR="004B7A6E">
        <w:t xml:space="preserve">for chronic kidney disease (CKD) </w:t>
      </w:r>
      <w:r w:rsidR="00A2079F">
        <w:t xml:space="preserve">to include the </w:t>
      </w:r>
      <w:r w:rsidR="009012BF">
        <w:t xml:space="preserve">proposed </w:t>
      </w:r>
      <w:r w:rsidR="00A2079F">
        <w:t xml:space="preserve">incremental population that was </w:t>
      </w:r>
      <w:r w:rsidR="00753D30">
        <w:t xml:space="preserve">previously </w:t>
      </w:r>
      <w:r w:rsidR="00A2079F">
        <w:t>not recommended by the PBAC at the November 2023 meeting</w:t>
      </w:r>
      <w:r w:rsidRPr="003D2742">
        <w:rPr>
          <w:rFonts w:asciiTheme="minorHAnsi" w:hAnsiTheme="minorHAnsi"/>
          <w:snapToGrid w:val="0"/>
          <w:lang w:val="en-GB"/>
        </w:rPr>
        <w:t>.</w:t>
      </w:r>
      <w:r w:rsidR="00276253">
        <w:rPr>
          <w:rFonts w:asciiTheme="minorHAnsi" w:hAnsiTheme="minorHAnsi"/>
          <w:snapToGrid w:val="0"/>
          <w:lang w:val="en-GB"/>
        </w:rPr>
        <w:t xml:space="preserve"> </w:t>
      </w:r>
      <w:r w:rsidRPr="003D2742">
        <w:rPr>
          <w:rFonts w:asciiTheme="minorHAnsi" w:hAnsiTheme="minorHAnsi"/>
          <w:snapToGrid w:val="0"/>
          <w:lang w:val="en-GB"/>
        </w:rPr>
        <w:t xml:space="preserve">The PBAC </w:t>
      </w:r>
      <w:r w:rsidR="00521F4D">
        <w:rPr>
          <w:rFonts w:asciiTheme="minorHAnsi" w:hAnsiTheme="minorHAnsi"/>
          <w:snapToGrid w:val="0"/>
          <w:lang w:val="en-GB"/>
        </w:rPr>
        <w:t>wa</w:t>
      </w:r>
      <w:r w:rsidRPr="003D2742">
        <w:rPr>
          <w:rFonts w:asciiTheme="minorHAnsi" w:hAnsiTheme="minorHAnsi"/>
          <w:snapToGrid w:val="0"/>
          <w:lang w:val="en-GB"/>
        </w:rPr>
        <w:t xml:space="preserve">s satisfied that </w:t>
      </w:r>
      <w:r w:rsidR="00A44C1F" w:rsidRPr="003D2742">
        <w:rPr>
          <w:rFonts w:asciiTheme="minorHAnsi" w:hAnsiTheme="minorHAnsi"/>
          <w:snapToGrid w:val="0"/>
          <w:lang w:val="en-GB"/>
        </w:rPr>
        <w:t>empagliflozin</w:t>
      </w:r>
      <w:r w:rsidRPr="003D2742">
        <w:rPr>
          <w:rFonts w:asciiTheme="minorHAnsi" w:hAnsiTheme="minorHAnsi"/>
          <w:snapToGrid w:val="0"/>
          <w:lang w:val="en-GB"/>
        </w:rPr>
        <w:t xml:space="preserve"> provides, for some patients</w:t>
      </w:r>
      <w:r w:rsidR="00664BD1" w:rsidRPr="003D2742">
        <w:rPr>
          <w:rFonts w:asciiTheme="minorHAnsi" w:hAnsiTheme="minorHAnsi"/>
          <w:snapToGrid w:val="0"/>
          <w:lang w:val="en-GB"/>
        </w:rPr>
        <w:t xml:space="preserve"> in the proposed incremental population</w:t>
      </w:r>
      <w:r w:rsidRPr="003D2742">
        <w:rPr>
          <w:rFonts w:asciiTheme="minorHAnsi" w:hAnsiTheme="minorHAnsi"/>
          <w:snapToGrid w:val="0"/>
          <w:lang w:val="en-GB"/>
        </w:rPr>
        <w:t xml:space="preserve">, a significant improvement in efficacy over </w:t>
      </w:r>
      <w:r w:rsidR="00FF41D5" w:rsidRPr="003D2742">
        <w:rPr>
          <w:rFonts w:asciiTheme="minorHAnsi" w:hAnsiTheme="minorHAnsi"/>
          <w:snapToGrid w:val="0"/>
          <w:lang w:val="en-GB"/>
        </w:rPr>
        <w:t>standard care</w:t>
      </w:r>
      <w:r w:rsidRPr="003D2742">
        <w:rPr>
          <w:rFonts w:asciiTheme="minorHAnsi" w:hAnsiTheme="minorHAnsi"/>
          <w:snapToGrid w:val="0"/>
          <w:lang w:val="en-GB"/>
        </w:rPr>
        <w:t xml:space="preserve">. </w:t>
      </w:r>
      <w:r w:rsidR="001B4DFD" w:rsidRPr="003D2742">
        <w:rPr>
          <w:rFonts w:asciiTheme="minorHAnsi" w:hAnsiTheme="minorHAnsi"/>
          <w:snapToGrid w:val="0"/>
          <w:lang w:val="en-GB"/>
        </w:rPr>
        <w:t>T</w:t>
      </w:r>
      <w:r w:rsidR="001B4DFD" w:rsidRPr="003D2742">
        <w:rPr>
          <w:rFonts w:asciiTheme="minorHAnsi" w:hAnsiTheme="minorHAnsi"/>
          <w:snapToGrid w:val="0"/>
        </w:rPr>
        <w:t xml:space="preserve">he PBAC’s recommendation for the extended listing was based on its assessment that the cost-effectiveness of </w:t>
      </w:r>
      <w:r w:rsidR="001B4DFD" w:rsidRPr="003D2742">
        <w:rPr>
          <w:rFonts w:asciiTheme="minorHAnsi" w:hAnsiTheme="minorHAnsi"/>
          <w:snapToGrid w:val="0"/>
          <w:lang w:val="en-GB"/>
        </w:rPr>
        <w:t>empagliflozin</w:t>
      </w:r>
      <w:r w:rsidR="00AD591B" w:rsidRPr="003D2742">
        <w:rPr>
          <w:rFonts w:asciiTheme="minorHAnsi" w:hAnsiTheme="minorHAnsi"/>
          <w:snapToGrid w:val="0"/>
          <w:lang w:val="en-GB"/>
        </w:rPr>
        <w:t xml:space="preserve"> </w:t>
      </w:r>
      <w:r w:rsidR="00921BB2" w:rsidRPr="003D2742">
        <w:rPr>
          <w:rFonts w:asciiTheme="minorHAnsi" w:hAnsiTheme="minorHAnsi"/>
          <w:snapToGrid w:val="0"/>
          <w:lang w:val="en-GB"/>
        </w:rPr>
        <w:t>in the proposed incremental population</w:t>
      </w:r>
      <w:r w:rsidR="00921BB2" w:rsidRPr="003D2742">
        <w:rPr>
          <w:rFonts w:asciiTheme="minorHAnsi" w:hAnsiTheme="minorHAnsi"/>
          <w:snapToGrid w:val="0"/>
        </w:rPr>
        <w:t xml:space="preserve"> </w:t>
      </w:r>
      <w:r w:rsidR="001B4DFD" w:rsidRPr="003D2742">
        <w:rPr>
          <w:rFonts w:asciiTheme="minorHAnsi" w:hAnsiTheme="minorHAnsi"/>
          <w:snapToGrid w:val="0"/>
        </w:rPr>
        <w:t>would be acceptable</w:t>
      </w:r>
      <w:r w:rsidR="005A2D0E" w:rsidRPr="003D2742">
        <w:rPr>
          <w:rFonts w:asciiTheme="minorHAnsi" w:hAnsiTheme="minorHAnsi"/>
          <w:snapToGrid w:val="0"/>
        </w:rPr>
        <w:t xml:space="preserve"> </w:t>
      </w:r>
      <w:r w:rsidR="00250712">
        <w:rPr>
          <w:rFonts w:asciiTheme="minorHAnsi" w:hAnsiTheme="minorHAnsi"/>
          <w:snapToGrid w:val="0"/>
        </w:rPr>
        <w:t>at</w:t>
      </w:r>
      <w:r w:rsidR="00250712" w:rsidRPr="003D2742">
        <w:rPr>
          <w:rFonts w:asciiTheme="minorHAnsi" w:hAnsiTheme="minorHAnsi"/>
          <w:snapToGrid w:val="0"/>
        </w:rPr>
        <w:t xml:space="preserve"> </w:t>
      </w:r>
      <w:r w:rsidR="00B623F5" w:rsidRPr="003D2742">
        <w:rPr>
          <w:rFonts w:asciiTheme="minorHAnsi" w:hAnsiTheme="minorHAnsi"/>
          <w:snapToGrid w:val="0"/>
        </w:rPr>
        <w:t>the</w:t>
      </w:r>
      <w:r w:rsidR="00BA3F02" w:rsidRPr="003D2742">
        <w:rPr>
          <w:rFonts w:asciiTheme="minorHAnsi" w:hAnsiTheme="minorHAnsi"/>
          <w:snapToGrid w:val="0"/>
        </w:rPr>
        <w:t xml:space="preserve"> </w:t>
      </w:r>
      <w:r w:rsidR="00FD384F">
        <w:rPr>
          <w:rFonts w:asciiTheme="minorHAnsi" w:hAnsiTheme="minorHAnsi"/>
          <w:snapToGrid w:val="0"/>
        </w:rPr>
        <w:t xml:space="preserve">existing PBS </w:t>
      </w:r>
      <w:r w:rsidR="007B65B3">
        <w:rPr>
          <w:rFonts w:asciiTheme="minorHAnsi" w:hAnsiTheme="minorHAnsi"/>
          <w:snapToGrid w:val="0"/>
        </w:rPr>
        <w:t>price,</w:t>
      </w:r>
      <w:r w:rsidR="00FD384F">
        <w:rPr>
          <w:rFonts w:asciiTheme="minorHAnsi" w:hAnsiTheme="minorHAnsi"/>
          <w:snapToGrid w:val="0"/>
        </w:rPr>
        <w:t xml:space="preserve"> which was recently reduced, and</w:t>
      </w:r>
      <w:r w:rsidR="002B031A" w:rsidRPr="003D2742">
        <w:rPr>
          <w:rFonts w:asciiTheme="minorHAnsi" w:hAnsiTheme="minorHAnsi"/>
          <w:snapToGrid w:val="0"/>
        </w:rPr>
        <w:t xml:space="preserve"> </w:t>
      </w:r>
      <w:r w:rsidR="005C0CB5">
        <w:rPr>
          <w:rFonts w:asciiTheme="minorHAnsi" w:hAnsiTheme="minorHAnsi"/>
          <w:snapToGrid w:val="0"/>
        </w:rPr>
        <w:t>which</w:t>
      </w:r>
      <w:r w:rsidR="00720C30" w:rsidRPr="003D2742">
        <w:rPr>
          <w:rFonts w:asciiTheme="minorHAnsi" w:hAnsiTheme="minorHAnsi"/>
          <w:snapToGrid w:val="0"/>
        </w:rPr>
        <w:t xml:space="preserve"> </w:t>
      </w:r>
      <w:r w:rsidR="00BF2FDE">
        <w:rPr>
          <w:rFonts w:asciiTheme="minorHAnsi" w:hAnsiTheme="minorHAnsi"/>
          <w:snapToGrid w:val="0"/>
        </w:rPr>
        <w:t>mitigate</w:t>
      </w:r>
      <w:r w:rsidR="00621C3B">
        <w:rPr>
          <w:rFonts w:asciiTheme="minorHAnsi" w:hAnsiTheme="minorHAnsi"/>
          <w:snapToGrid w:val="0"/>
        </w:rPr>
        <w:t>d</w:t>
      </w:r>
      <w:r w:rsidR="00720C30" w:rsidRPr="003D2742">
        <w:rPr>
          <w:rFonts w:asciiTheme="minorHAnsi" w:hAnsiTheme="minorHAnsi"/>
          <w:snapToGrid w:val="0"/>
        </w:rPr>
        <w:t xml:space="preserve"> the significant uncertainties identified in the economic model.</w:t>
      </w:r>
      <w:r w:rsidR="00720C30">
        <w:rPr>
          <w:rFonts w:asciiTheme="minorHAnsi" w:hAnsiTheme="minorHAnsi"/>
          <w:snapToGrid w:val="0"/>
        </w:rPr>
        <w:t xml:space="preserve"> The PBAC also recommended </w:t>
      </w:r>
      <w:r w:rsidR="00E97D75" w:rsidRPr="003D2742">
        <w:rPr>
          <w:rFonts w:asciiTheme="minorHAnsi" w:hAnsiTheme="minorHAnsi"/>
          <w:snapToGrid w:val="0"/>
        </w:rPr>
        <w:t xml:space="preserve">an </w:t>
      </w:r>
      <w:r w:rsidR="005426E1">
        <w:rPr>
          <w:rFonts w:asciiTheme="minorHAnsi" w:hAnsiTheme="minorHAnsi"/>
          <w:snapToGrid w:val="0"/>
        </w:rPr>
        <w:t>adjustment</w:t>
      </w:r>
      <w:r w:rsidR="00B623F5" w:rsidRPr="003D2742">
        <w:rPr>
          <w:rFonts w:asciiTheme="minorHAnsi" w:hAnsiTheme="minorHAnsi"/>
          <w:snapToGrid w:val="0"/>
        </w:rPr>
        <w:t xml:space="preserve"> </w:t>
      </w:r>
      <w:r w:rsidR="007D7F8B">
        <w:rPr>
          <w:rFonts w:asciiTheme="minorHAnsi" w:hAnsiTheme="minorHAnsi"/>
          <w:snapToGrid w:val="0"/>
        </w:rPr>
        <w:t xml:space="preserve">to </w:t>
      </w:r>
      <w:r w:rsidR="00B623F5" w:rsidRPr="003D2742">
        <w:rPr>
          <w:rFonts w:asciiTheme="minorHAnsi" w:hAnsiTheme="minorHAnsi"/>
          <w:snapToGrid w:val="0"/>
        </w:rPr>
        <w:t xml:space="preserve">the </w:t>
      </w:r>
      <w:r w:rsidR="00670046" w:rsidRPr="003D2742">
        <w:rPr>
          <w:rFonts w:asciiTheme="minorHAnsi" w:hAnsiTheme="minorHAnsi"/>
          <w:snapToGrid w:val="0"/>
        </w:rPr>
        <w:t xml:space="preserve">existing </w:t>
      </w:r>
      <w:r w:rsidR="00B623F5" w:rsidRPr="003D2742">
        <w:rPr>
          <w:rFonts w:asciiTheme="minorHAnsi" w:hAnsiTheme="minorHAnsi"/>
          <w:snapToGrid w:val="0"/>
        </w:rPr>
        <w:t xml:space="preserve">risk sharing </w:t>
      </w:r>
      <w:r w:rsidR="006C6CCC">
        <w:rPr>
          <w:rFonts w:asciiTheme="minorHAnsi" w:hAnsiTheme="minorHAnsi"/>
          <w:snapToGrid w:val="0"/>
        </w:rPr>
        <w:t xml:space="preserve">arrangement </w:t>
      </w:r>
      <w:r w:rsidR="005426E1">
        <w:rPr>
          <w:rFonts w:asciiTheme="minorHAnsi" w:hAnsiTheme="minorHAnsi"/>
          <w:snapToGrid w:val="0"/>
        </w:rPr>
        <w:t>to account for the extended population</w:t>
      </w:r>
      <w:r w:rsidR="00FA57AF">
        <w:rPr>
          <w:rFonts w:asciiTheme="minorHAnsi" w:hAnsiTheme="minorHAnsi"/>
          <w:snapToGrid w:val="0"/>
        </w:rPr>
        <w:t xml:space="preserve"> f</w:t>
      </w:r>
      <w:r w:rsidR="00E0226E">
        <w:rPr>
          <w:rFonts w:asciiTheme="minorHAnsi" w:hAnsiTheme="minorHAnsi"/>
          <w:snapToGrid w:val="0"/>
        </w:rPr>
        <w:t>o</w:t>
      </w:r>
      <w:r w:rsidR="00FA57AF">
        <w:rPr>
          <w:rFonts w:asciiTheme="minorHAnsi" w:hAnsiTheme="minorHAnsi"/>
          <w:snapToGrid w:val="0"/>
        </w:rPr>
        <w:t>r empagliflozin</w:t>
      </w:r>
      <w:r w:rsidR="00397CDF">
        <w:rPr>
          <w:rFonts w:asciiTheme="minorHAnsi" w:hAnsiTheme="minorHAnsi"/>
          <w:snapToGrid w:val="0"/>
        </w:rPr>
        <w:t>.</w:t>
      </w:r>
    </w:p>
    <w:p w14:paraId="1B028DD9" w14:textId="77777777" w:rsidR="00276253" w:rsidRDefault="00F60275" w:rsidP="00C11725">
      <w:pPr>
        <w:widowControl w:val="0"/>
        <w:numPr>
          <w:ilvl w:val="1"/>
          <w:numId w:val="33"/>
        </w:numPr>
        <w:spacing w:after="120"/>
        <w:rPr>
          <w:rFonts w:asciiTheme="minorHAnsi" w:hAnsiTheme="minorHAnsi"/>
          <w:snapToGrid w:val="0"/>
          <w:lang w:val="en-GB"/>
        </w:rPr>
      </w:pPr>
      <w:r w:rsidRPr="004A388C">
        <w:rPr>
          <w:rFonts w:asciiTheme="minorHAnsi" w:hAnsiTheme="minorHAnsi"/>
          <w:snapToGrid w:val="0"/>
          <w:lang w:val="en-GB"/>
        </w:rPr>
        <w:t>The</w:t>
      </w:r>
      <w:r w:rsidR="00435377" w:rsidRPr="004A388C">
        <w:rPr>
          <w:rFonts w:asciiTheme="minorHAnsi" w:hAnsiTheme="minorHAnsi"/>
          <w:snapToGrid w:val="0"/>
          <w:lang w:val="en-GB"/>
        </w:rPr>
        <w:t xml:space="preserve"> </w:t>
      </w:r>
      <w:r w:rsidRPr="004A388C">
        <w:rPr>
          <w:rFonts w:asciiTheme="minorHAnsi" w:hAnsiTheme="minorHAnsi"/>
          <w:snapToGrid w:val="0"/>
          <w:lang w:val="en-GB"/>
        </w:rPr>
        <w:t xml:space="preserve">PBAC </w:t>
      </w:r>
      <w:r w:rsidR="00FA4FAF" w:rsidRPr="004A388C">
        <w:rPr>
          <w:rFonts w:asciiTheme="minorHAnsi" w:hAnsiTheme="minorHAnsi"/>
          <w:snapToGrid w:val="0"/>
          <w:lang w:val="en-GB"/>
        </w:rPr>
        <w:t>not</w:t>
      </w:r>
      <w:r w:rsidRPr="004A388C">
        <w:rPr>
          <w:rFonts w:asciiTheme="minorHAnsi" w:hAnsiTheme="minorHAnsi"/>
          <w:snapToGrid w:val="0"/>
          <w:lang w:val="en-GB"/>
        </w:rPr>
        <w:t xml:space="preserve">ed </w:t>
      </w:r>
      <w:r w:rsidR="00900204" w:rsidRPr="004A388C">
        <w:rPr>
          <w:rFonts w:asciiTheme="minorHAnsi" w:hAnsiTheme="minorHAnsi"/>
          <w:snapToGrid w:val="0"/>
          <w:lang w:val="en-GB"/>
        </w:rPr>
        <w:t xml:space="preserve">the </w:t>
      </w:r>
      <w:r w:rsidR="00955EA7" w:rsidRPr="004A388C">
        <w:rPr>
          <w:rFonts w:asciiTheme="minorHAnsi" w:hAnsiTheme="minorHAnsi"/>
          <w:snapToGrid w:val="0"/>
          <w:lang w:val="en-GB"/>
        </w:rPr>
        <w:t xml:space="preserve">increasing prevalence of </w:t>
      </w:r>
      <w:r w:rsidR="00E54C74" w:rsidRPr="004A388C">
        <w:rPr>
          <w:rFonts w:asciiTheme="minorHAnsi" w:hAnsiTheme="minorHAnsi"/>
          <w:snapToGrid w:val="0"/>
          <w:lang w:val="en-GB"/>
        </w:rPr>
        <w:t xml:space="preserve">CKD in the Australian population and the higher burden of disease in Aboriginal and Torres Strait </w:t>
      </w:r>
      <w:r w:rsidR="00E23569" w:rsidRPr="004A388C">
        <w:rPr>
          <w:rFonts w:asciiTheme="minorHAnsi" w:hAnsiTheme="minorHAnsi"/>
          <w:snapToGrid w:val="0"/>
          <w:lang w:val="en-GB"/>
        </w:rPr>
        <w:t>Islander</w:t>
      </w:r>
      <w:r w:rsidR="00E54C74" w:rsidRPr="004A388C">
        <w:rPr>
          <w:rFonts w:asciiTheme="minorHAnsi" w:hAnsiTheme="minorHAnsi"/>
          <w:snapToGrid w:val="0"/>
          <w:lang w:val="en-GB"/>
        </w:rPr>
        <w:t xml:space="preserve"> p</w:t>
      </w:r>
      <w:r w:rsidR="00E23569" w:rsidRPr="004A388C">
        <w:rPr>
          <w:rFonts w:asciiTheme="minorHAnsi" w:hAnsiTheme="minorHAnsi"/>
          <w:snapToGrid w:val="0"/>
          <w:lang w:val="en-GB"/>
        </w:rPr>
        <w:t>eople</w:t>
      </w:r>
      <w:r w:rsidR="003B0C8E" w:rsidRPr="004A388C">
        <w:rPr>
          <w:rFonts w:asciiTheme="minorHAnsi" w:hAnsiTheme="minorHAnsi"/>
          <w:snapToGrid w:val="0"/>
          <w:lang w:val="en-GB"/>
        </w:rPr>
        <w:t xml:space="preserve">, </w:t>
      </w:r>
      <w:r w:rsidR="00597B56">
        <w:rPr>
          <w:rFonts w:asciiTheme="minorHAnsi" w:hAnsiTheme="minorHAnsi"/>
          <w:snapToGrid w:val="0"/>
          <w:lang w:val="en-GB"/>
        </w:rPr>
        <w:t>indicating</w:t>
      </w:r>
      <w:r w:rsidR="007C698F" w:rsidRPr="004A388C">
        <w:rPr>
          <w:rFonts w:asciiTheme="minorHAnsi" w:hAnsiTheme="minorHAnsi"/>
          <w:snapToGrid w:val="0"/>
          <w:lang w:val="en-GB"/>
        </w:rPr>
        <w:t xml:space="preserve"> the </w:t>
      </w:r>
      <w:r w:rsidR="00DF78C3" w:rsidRPr="004A388C">
        <w:rPr>
          <w:rFonts w:asciiTheme="minorHAnsi" w:hAnsiTheme="minorHAnsi"/>
          <w:snapToGrid w:val="0"/>
          <w:lang w:val="en-GB"/>
        </w:rPr>
        <w:t>clinical</w:t>
      </w:r>
      <w:r w:rsidR="00900204" w:rsidRPr="004A388C">
        <w:rPr>
          <w:rFonts w:asciiTheme="minorHAnsi" w:hAnsiTheme="minorHAnsi"/>
          <w:snapToGrid w:val="0"/>
          <w:lang w:val="en-GB"/>
        </w:rPr>
        <w:t xml:space="preserve"> need for </w:t>
      </w:r>
      <w:r w:rsidR="00A07E72" w:rsidRPr="004A388C">
        <w:rPr>
          <w:rFonts w:asciiTheme="minorHAnsi" w:hAnsiTheme="minorHAnsi"/>
          <w:snapToGrid w:val="0"/>
          <w:lang w:val="en-GB"/>
        </w:rPr>
        <w:t xml:space="preserve">effective </w:t>
      </w:r>
      <w:r w:rsidR="00DF78C3" w:rsidRPr="004A388C">
        <w:rPr>
          <w:rFonts w:asciiTheme="minorHAnsi" w:hAnsiTheme="minorHAnsi"/>
          <w:snapToGrid w:val="0"/>
          <w:lang w:val="en-GB"/>
        </w:rPr>
        <w:t xml:space="preserve">intervention </w:t>
      </w:r>
      <w:r w:rsidR="00166BE8">
        <w:rPr>
          <w:rFonts w:asciiTheme="minorHAnsi" w:hAnsiTheme="minorHAnsi"/>
          <w:snapToGrid w:val="0"/>
          <w:lang w:val="en-GB"/>
        </w:rPr>
        <w:t>to preserve residual kidney function</w:t>
      </w:r>
      <w:r w:rsidR="00166BE8" w:rsidRPr="004A388C">
        <w:rPr>
          <w:rFonts w:asciiTheme="minorHAnsi" w:hAnsiTheme="minorHAnsi"/>
          <w:snapToGrid w:val="0"/>
          <w:lang w:val="en-GB"/>
        </w:rPr>
        <w:t xml:space="preserve"> </w:t>
      </w:r>
      <w:r w:rsidR="00DF78C3" w:rsidRPr="004A388C">
        <w:rPr>
          <w:rFonts w:asciiTheme="minorHAnsi" w:hAnsiTheme="minorHAnsi"/>
          <w:snapToGrid w:val="0"/>
          <w:lang w:val="en-GB"/>
        </w:rPr>
        <w:t>for patients</w:t>
      </w:r>
      <w:r w:rsidR="00900204" w:rsidRPr="004A388C">
        <w:rPr>
          <w:rFonts w:asciiTheme="minorHAnsi" w:hAnsiTheme="minorHAnsi"/>
          <w:snapToGrid w:val="0"/>
          <w:lang w:val="en-GB"/>
        </w:rPr>
        <w:t xml:space="preserve"> </w:t>
      </w:r>
      <w:r w:rsidR="00A07E72" w:rsidRPr="004A388C">
        <w:rPr>
          <w:rFonts w:asciiTheme="minorHAnsi" w:hAnsiTheme="minorHAnsi"/>
          <w:snapToGrid w:val="0"/>
          <w:lang w:val="en-GB"/>
        </w:rPr>
        <w:t xml:space="preserve">at risk of </w:t>
      </w:r>
      <w:r w:rsidR="00EA0707" w:rsidRPr="004A388C">
        <w:rPr>
          <w:rFonts w:asciiTheme="minorHAnsi" w:hAnsiTheme="minorHAnsi"/>
          <w:snapToGrid w:val="0"/>
          <w:lang w:val="en-GB"/>
        </w:rPr>
        <w:t xml:space="preserve">significant kidney disease </w:t>
      </w:r>
      <w:r w:rsidR="00EA0707" w:rsidRPr="00162C95">
        <w:rPr>
          <w:rFonts w:asciiTheme="minorHAnsi" w:hAnsiTheme="minorHAnsi"/>
          <w:snapToGrid w:val="0"/>
          <w:lang w:val="en-GB"/>
        </w:rPr>
        <w:t xml:space="preserve">progression. </w:t>
      </w:r>
      <w:r w:rsidR="004A388C" w:rsidRPr="00162C95">
        <w:rPr>
          <w:rFonts w:asciiTheme="minorHAnsi" w:hAnsiTheme="minorHAnsi"/>
          <w:snapToGrid w:val="0"/>
          <w:lang w:val="en-GB"/>
        </w:rPr>
        <w:t xml:space="preserve">The PBAC noted the support </w:t>
      </w:r>
      <w:r w:rsidR="004A388C" w:rsidRPr="00162C95">
        <w:rPr>
          <w:rFonts w:asciiTheme="minorHAnsi" w:hAnsiTheme="minorHAnsi"/>
          <w:snapToGrid w:val="0"/>
          <w:lang w:val="en-GB"/>
        </w:rPr>
        <w:lastRenderedPageBreak/>
        <w:t>from</w:t>
      </w:r>
      <w:r w:rsidR="00EE6111">
        <w:rPr>
          <w:rFonts w:asciiTheme="minorHAnsi" w:hAnsiTheme="minorHAnsi"/>
          <w:snapToGrid w:val="0"/>
          <w:lang w:val="en-GB"/>
        </w:rPr>
        <w:t xml:space="preserve"> health professionals,</w:t>
      </w:r>
      <w:r w:rsidR="004A388C" w:rsidRPr="00162C95">
        <w:rPr>
          <w:rFonts w:asciiTheme="minorHAnsi" w:hAnsiTheme="minorHAnsi"/>
          <w:snapToGrid w:val="0"/>
          <w:lang w:val="en-GB"/>
        </w:rPr>
        <w:t xml:space="preserve"> Kidney Health Australia</w:t>
      </w:r>
      <w:r w:rsidR="00AB5447">
        <w:rPr>
          <w:rFonts w:asciiTheme="minorHAnsi" w:hAnsiTheme="minorHAnsi"/>
          <w:snapToGrid w:val="0"/>
          <w:lang w:val="en-GB"/>
        </w:rPr>
        <w:t xml:space="preserve"> and</w:t>
      </w:r>
      <w:r w:rsidR="008D19A8">
        <w:rPr>
          <w:rFonts w:asciiTheme="minorHAnsi" w:hAnsiTheme="minorHAnsi"/>
          <w:snapToGrid w:val="0"/>
          <w:lang w:val="en-GB"/>
        </w:rPr>
        <w:t xml:space="preserve"> the </w:t>
      </w:r>
      <w:r w:rsidR="00AB5447">
        <w:rPr>
          <w:rFonts w:asciiTheme="minorHAnsi" w:hAnsiTheme="minorHAnsi"/>
          <w:snapToGrid w:val="0"/>
          <w:lang w:val="en-GB"/>
        </w:rPr>
        <w:t>Australian</w:t>
      </w:r>
      <w:r w:rsidR="004A388C" w:rsidRPr="00162C95">
        <w:rPr>
          <w:rFonts w:asciiTheme="minorHAnsi" w:hAnsiTheme="minorHAnsi"/>
          <w:snapToGrid w:val="0"/>
          <w:lang w:val="en-GB"/>
        </w:rPr>
        <w:t xml:space="preserve"> </w:t>
      </w:r>
      <w:r w:rsidR="00AB5447">
        <w:rPr>
          <w:rFonts w:asciiTheme="minorHAnsi" w:hAnsiTheme="minorHAnsi"/>
          <w:snapToGrid w:val="0"/>
          <w:lang w:val="en-GB"/>
        </w:rPr>
        <w:t xml:space="preserve">Diabetes Society </w:t>
      </w:r>
      <w:r w:rsidR="004A388C" w:rsidRPr="00162C95">
        <w:rPr>
          <w:rFonts w:asciiTheme="minorHAnsi" w:hAnsiTheme="minorHAnsi"/>
          <w:snapToGrid w:val="0"/>
          <w:lang w:val="en-GB"/>
        </w:rPr>
        <w:t>for broader access to SGLT2 inhibitors in CKD, particularly for patients with eGFR</w:t>
      </w:r>
      <w:r w:rsidR="005C65BC">
        <w:rPr>
          <w:rFonts w:asciiTheme="minorHAnsi" w:hAnsiTheme="minorHAnsi"/>
          <w:snapToGrid w:val="0"/>
          <w:lang w:val="en-GB"/>
        </w:rPr>
        <w:t xml:space="preserve"> </w:t>
      </w:r>
      <w:r w:rsidR="00750858" w:rsidRPr="00162C95">
        <w:rPr>
          <w:rFonts w:asciiTheme="minorHAnsi" w:hAnsiTheme="minorHAnsi"/>
          <w:snapToGrid w:val="0"/>
          <w:lang w:val="en-GB"/>
        </w:rPr>
        <w:t>20</w:t>
      </w:r>
      <w:r w:rsidR="00407E8A">
        <w:rPr>
          <w:rFonts w:asciiTheme="minorHAnsi" w:hAnsiTheme="minorHAnsi"/>
          <w:snapToGrid w:val="0"/>
          <w:lang w:val="en-GB"/>
        </w:rPr>
        <w:t> </w:t>
      </w:r>
      <w:r w:rsidR="005C65BC">
        <w:rPr>
          <w:rFonts w:asciiTheme="minorHAnsi" w:eastAsia="Symbol" w:hAnsiTheme="minorHAnsi" w:cs="Symbol"/>
          <w:snapToGrid w:val="0"/>
          <w:lang w:val="en-GB"/>
        </w:rPr>
        <w:t>-</w:t>
      </w:r>
      <w:r w:rsidR="00407E8A">
        <w:rPr>
          <w:rFonts w:asciiTheme="minorHAnsi" w:eastAsia="Symbol" w:hAnsiTheme="minorHAnsi" w:cs="Symbol"/>
          <w:snapToGrid w:val="0"/>
          <w:lang w:val="en-GB"/>
        </w:rPr>
        <w:t> </w:t>
      </w:r>
      <w:r w:rsidR="00750858" w:rsidRPr="00162C95">
        <w:rPr>
          <w:rFonts w:asciiTheme="minorHAnsi" w:hAnsiTheme="minorHAnsi"/>
          <w:snapToGrid w:val="0"/>
          <w:lang w:val="en-GB"/>
        </w:rPr>
        <w:t xml:space="preserve">45 </w:t>
      </w:r>
      <w:r w:rsidR="004A388C" w:rsidRPr="00162C95">
        <w:rPr>
          <w:rFonts w:asciiTheme="minorHAnsi" w:hAnsiTheme="minorHAnsi"/>
          <w:snapToGrid w:val="0"/>
          <w:lang w:val="en-GB"/>
        </w:rPr>
        <w:t>mL/min/1.73 m</w:t>
      </w:r>
      <w:r w:rsidR="004A388C" w:rsidRPr="00162C95">
        <w:rPr>
          <w:rFonts w:asciiTheme="minorHAnsi" w:hAnsiTheme="minorHAnsi"/>
          <w:snapToGrid w:val="0"/>
          <w:vertAlign w:val="superscript"/>
          <w:lang w:val="en-GB"/>
        </w:rPr>
        <w:t>2</w:t>
      </w:r>
      <w:r w:rsidR="004A388C" w:rsidRPr="00162C95">
        <w:rPr>
          <w:rFonts w:asciiTheme="minorHAnsi" w:hAnsiTheme="minorHAnsi"/>
          <w:snapToGrid w:val="0"/>
          <w:lang w:val="en-GB"/>
        </w:rPr>
        <w:t xml:space="preserve">, regardless of UACR levels. </w:t>
      </w:r>
      <w:r w:rsidR="007C698F" w:rsidRPr="00162C95">
        <w:rPr>
          <w:rFonts w:asciiTheme="minorHAnsi" w:hAnsiTheme="minorHAnsi"/>
          <w:snapToGrid w:val="0"/>
          <w:lang w:val="en-GB"/>
        </w:rPr>
        <w:t xml:space="preserve">The PBAC </w:t>
      </w:r>
      <w:r w:rsidR="003B0C8E" w:rsidRPr="00162C95">
        <w:rPr>
          <w:rFonts w:asciiTheme="minorHAnsi" w:hAnsiTheme="minorHAnsi"/>
          <w:snapToGrid w:val="0"/>
          <w:lang w:val="en-GB"/>
        </w:rPr>
        <w:t>not</w:t>
      </w:r>
      <w:r w:rsidR="007C698F" w:rsidRPr="00162C95">
        <w:rPr>
          <w:rFonts w:asciiTheme="minorHAnsi" w:hAnsiTheme="minorHAnsi"/>
          <w:snapToGrid w:val="0"/>
          <w:lang w:val="en-GB"/>
        </w:rPr>
        <w:t xml:space="preserve">ed </w:t>
      </w:r>
      <w:r w:rsidR="00936969" w:rsidRPr="00162C95">
        <w:rPr>
          <w:rFonts w:asciiTheme="minorHAnsi" w:hAnsiTheme="minorHAnsi"/>
          <w:snapToGrid w:val="0"/>
          <w:lang w:val="en-GB"/>
        </w:rPr>
        <w:t xml:space="preserve">that the </w:t>
      </w:r>
      <w:r w:rsidR="00007905" w:rsidRPr="00162C95">
        <w:rPr>
          <w:rFonts w:asciiTheme="minorHAnsi" w:hAnsiTheme="minorHAnsi"/>
          <w:snapToGrid w:val="0"/>
          <w:lang w:val="en-GB"/>
        </w:rPr>
        <w:t>risk of CKD progression in the incremental population ranged fr</w:t>
      </w:r>
      <w:r w:rsidR="009D4A95" w:rsidRPr="00162C95">
        <w:rPr>
          <w:rFonts w:asciiTheme="minorHAnsi" w:hAnsiTheme="minorHAnsi"/>
          <w:snapToGrid w:val="0"/>
          <w:lang w:val="en-GB"/>
        </w:rPr>
        <w:t>o</w:t>
      </w:r>
      <w:r w:rsidR="00007905" w:rsidRPr="00162C95">
        <w:rPr>
          <w:rFonts w:asciiTheme="minorHAnsi" w:hAnsiTheme="minorHAnsi"/>
          <w:snapToGrid w:val="0"/>
          <w:lang w:val="en-GB"/>
        </w:rPr>
        <w:t xml:space="preserve">m </w:t>
      </w:r>
      <w:r w:rsidR="00007905" w:rsidRPr="00162C95">
        <w:t>moderately increased risk to</w:t>
      </w:r>
      <w:r w:rsidR="00007905" w:rsidRPr="004C0BD8">
        <w:t xml:space="preserve"> very high risk</w:t>
      </w:r>
      <w:r w:rsidR="00007905">
        <w:t>,</w:t>
      </w:r>
      <w:r w:rsidR="003B0C8E">
        <w:t xml:space="preserve"> </w:t>
      </w:r>
      <w:proofErr w:type="gramStart"/>
      <w:r w:rsidR="00FA70CE">
        <w:t>similar</w:t>
      </w:r>
      <w:r w:rsidR="00622B38">
        <w:t xml:space="preserve"> to</w:t>
      </w:r>
      <w:proofErr w:type="gramEnd"/>
      <w:r w:rsidR="00622B38">
        <w:t xml:space="preserve"> the population currently eligible for</w:t>
      </w:r>
      <w:r w:rsidR="003B24A9">
        <w:t xml:space="preserve"> </w:t>
      </w:r>
      <w:r w:rsidR="00EE6111">
        <w:t xml:space="preserve">PBS </w:t>
      </w:r>
      <w:r w:rsidR="003B24A9">
        <w:t xml:space="preserve">treatment with an SGLT2 inhibitor. The PBAC </w:t>
      </w:r>
      <w:r w:rsidR="00C72C6B">
        <w:t xml:space="preserve">also </w:t>
      </w:r>
      <w:r w:rsidR="003B24A9">
        <w:t>considered</w:t>
      </w:r>
      <w:r w:rsidR="004A388C" w:rsidRPr="004A388C">
        <w:rPr>
          <w:rFonts w:asciiTheme="minorHAnsi" w:hAnsiTheme="minorHAnsi"/>
          <w:snapToGrid w:val="0"/>
          <w:lang w:val="en-GB"/>
        </w:rPr>
        <w:t xml:space="preserve"> </w:t>
      </w:r>
      <w:r w:rsidR="00435377" w:rsidRPr="004A388C">
        <w:rPr>
          <w:rFonts w:asciiTheme="minorHAnsi" w:hAnsiTheme="minorHAnsi"/>
          <w:snapToGrid w:val="0"/>
          <w:lang w:val="en-GB"/>
        </w:rPr>
        <w:t xml:space="preserve">the clinical </w:t>
      </w:r>
      <w:r w:rsidR="00E11522">
        <w:rPr>
          <w:rFonts w:asciiTheme="minorHAnsi" w:hAnsiTheme="minorHAnsi"/>
          <w:snapToGrid w:val="0"/>
          <w:lang w:val="en-GB"/>
        </w:rPr>
        <w:t xml:space="preserve">evidence of a </w:t>
      </w:r>
      <w:r w:rsidR="009333D7" w:rsidRPr="004A388C">
        <w:rPr>
          <w:rFonts w:asciiTheme="minorHAnsi" w:hAnsiTheme="minorHAnsi"/>
          <w:snapToGrid w:val="0"/>
          <w:lang w:val="en-GB"/>
        </w:rPr>
        <w:t xml:space="preserve">benefit </w:t>
      </w:r>
      <w:r w:rsidR="00032377" w:rsidRPr="004A388C">
        <w:rPr>
          <w:rFonts w:asciiTheme="minorHAnsi" w:hAnsiTheme="minorHAnsi"/>
          <w:snapToGrid w:val="0"/>
          <w:lang w:val="en-GB"/>
        </w:rPr>
        <w:t>in the incremental population was</w:t>
      </w:r>
      <w:r w:rsidR="004C5569" w:rsidRPr="004A388C">
        <w:rPr>
          <w:rFonts w:asciiTheme="minorHAnsi" w:hAnsiTheme="minorHAnsi"/>
          <w:snapToGrid w:val="0"/>
          <w:lang w:val="en-GB"/>
        </w:rPr>
        <w:t xml:space="preserve"> </w:t>
      </w:r>
      <w:r w:rsidR="00E11522">
        <w:rPr>
          <w:rFonts w:asciiTheme="minorHAnsi" w:hAnsiTheme="minorHAnsi"/>
          <w:snapToGrid w:val="0"/>
          <w:lang w:val="en-GB"/>
        </w:rPr>
        <w:t xml:space="preserve">adequately demonstrated in this resubmission and </w:t>
      </w:r>
      <w:r w:rsidR="004C5569" w:rsidRPr="004A388C">
        <w:rPr>
          <w:rFonts w:asciiTheme="minorHAnsi" w:hAnsiTheme="minorHAnsi"/>
          <w:snapToGrid w:val="0"/>
          <w:lang w:val="en-GB"/>
        </w:rPr>
        <w:t>comparable to the population currently eligible for PBS treatment.</w:t>
      </w:r>
    </w:p>
    <w:p w14:paraId="6ADF5AE0" w14:textId="0D65F206" w:rsidR="00F31726" w:rsidRPr="002C28F0" w:rsidRDefault="001F3928" w:rsidP="00032256">
      <w:pPr>
        <w:widowControl w:val="0"/>
        <w:numPr>
          <w:ilvl w:val="1"/>
          <w:numId w:val="33"/>
        </w:numPr>
        <w:spacing w:after="120"/>
      </w:pPr>
      <w:r>
        <w:rPr>
          <w:snapToGrid w:val="0"/>
          <w:lang w:val="en-GB"/>
        </w:rPr>
        <w:t>The PBAC supported amendments to the exi</w:t>
      </w:r>
      <w:r w:rsidR="001B3A5C">
        <w:rPr>
          <w:snapToGrid w:val="0"/>
          <w:lang w:val="en-GB"/>
        </w:rPr>
        <w:t>s</w:t>
      </w:r>
      <w:r>
        <w:rPr>
          <w:snapToGrid w:val="0"/>
          <w:lang w:val="en-GB"/>
        </w:rPr>
        <w:t xml:space="preserve">ting empagliflozin </w:t>
      </w:r>
      <w:r w:rsidR="0063494C">
        <w:rPr>
          <w:snapToGrid w:val="0"/>
          <w:lang w:val="en-GB"/>
        </w:rPr>
        <w:t>restriction</w:t>
      </w:r>
      <w:r>
        <w:rPr>
          <w:snapToGrid w:val="0"/>
          <w:lang w:val="en-GB"/>
        </w:rPr>
        <w:t xml:space="preserve"> to </w:t>
      </w:r>
      <w:r w:rsidR="00456D3A">
        <w:rPr>
          <w:snapToGrid w:val="0"/>
          <w:lang w:val="en-GB"/>
        </w:rPr>
        <w:t xml:space="preserve">allow treatment </w:t>
      </w:r>
      <w:r w:rsidR="00643969">
        <w:rPr>
          <w:snapToGrid w:val="0"/>
          <w:lang w:val="en-GB"/>
        </w:rPr>
        <w:t xml:space="preserve">beyond the current overlap population </w:t>
      </w:r>
      <w:r w:rsidR="00643969" w:rsidRPr="002C28F0">
        <w:t>(eGFR 25 to 75</w:t>
      </w:r>
      <w:r w:rsidR="00643969">
        <w:t> </w:t>
      </w:r>
      <w:r w:rsidR="00643969" w:rsidRPr="002C28F0">
        <w:t>mL/min/1.73</w:t>
      </w:r>
      <w:r w:rsidR="00643969">
        <w:t> </w:t>
      </w:r>
      <w:r w:rsidR="00643969" w:rsidRPr="002C28F0">
        <w:t>m</w:t>
      </w:r>
      <w:r w:rsidR="00643969" w:rsidRPr="002C28F0">
        <w:rPr>
          <w:vertAlign w:val="superscript"/>
        </w:rPr>
        <w:t>2</w:t>
      </w:r>
      <w:r w:rsidR="00643969" w:rsidRPr="002C28F0">
        <w:t xml:space="preserve"> with UACR 200 to 5,000 mg/g)</w:t>
      </w:r>
      <w:r w:rsidR="00643969">
        <w:t xml:space="preserve"> to include</w:t>
      </w:r>
      <w:r w:rsidR="00F31726">
        <w:t xml:space="preserve"> </w:t>
      </w:r>
      <w:r w:rsidR="00F31726" w:rsidRPr="002C28F0">
        <w:t xml:space="preserve">the aggregated incremental subgroups </w:t>
      </w:r>
      <w:r w:rsidR="006574F5">
        <w:t>in</w:t>
      </w:r>
      <w:r w:rsidR="00F31726" w:rsidRPr="002C28F0">
        <w:t xml:space="preserve"> the key clinical trial (EMPA-KIDNEY):</w:t>
      </w:r>
    </w:p>
    <w:p w14:paraId="3ECCCD0A" w14:textId="77777777" w:rsidR="00276253" w:rsidRDefault="00F31726" w:rsidP="0038035A">
      <w:pPr>
        <w:pStyle w:val="COMexecsummbulletlist"/>
        <w:ind w:hanging="357"/>
      </w:pPr>
      <w:r w:rsidRPr="002C28F0">
        <w:t xml:space="preserve">eGFR 20 to </w:t>
      </w:r>
      <w:r>
        <w:t>&lt;</w:t>
      </w:r>
      <w:r w:rsidRPr="002C28F0">
        <w:t>25 mL/min/1.73 m</w:t>
      </w:r>
      <w:r w:rsidRPr="002C28F0">
        <w:rPr>
          <w:vertAlign w:val="superscript"/>
        </w:rPr>
        <w:t>2</w:t>
      </w:r>
      <w:r>
        <w:t>, regardless of UACR</w:t>
      </w:r>
      <w:r w:rsidRPr="002C28F0">
        <w:t>.</w:t>
      </w:r>
    </w:p>
    <w:p w14:paraId="55A341B5" w14:textId="7817A974" w:rsidR="00F31726" w:rsidRPr="002C28F0" w:rsidRDefault="00F31726" w:rsidP="0038035A">
      <w:pPr>
        <w:pStyle w:val="COMexecsummbulletlist"/>
        <w:ind w:hanging="357"/>
      </w:pPr>
      <w:r w:rsidRPr="002C28F0">
        <w:t xml:space="preserve">eGFR 25 to </w:t>
      </w:r>
      <w:r>
        <w:t>&lt;</w:t>
      </w:r>
      <w:r w:rsidRPr="002C28F0">
        <w:t>45 mL/min/1.73 m</w:t>
      </w:r>
      <w:r w:rsidRPr="002C28F0">
        <w:rPr>
          <w:vertAlign w:val="superscript"/>
        </w:rPr>
        <w:t>2</w:t>
      </w:r>
      <w:r w:rsidRPr="002C28F0">
        <w:t xml:space="preserve"> with UACR &lt;200 mg/g.</w:t>
      </w:r>
    </w:p>
    <w:p w14:paraId="1BC3B5CA" w14:textId="77777777" w:rsidR="00276253" w:rsidRDefault="00F31726" w:rsidP="0038035A">
      <w:pPr>
        <w:pStyle w:val="COMexecsummbulletlist"/>
        <w:ind w:hanging="357"/>
      </w:pPr>
      <w:r w:rsidRPr="002C28F0">
        <w:t>eGFR 25 to 75 mL/min/1.73 m</w:t>
      </w:r>
      <w:r w:rsidRPr="002C28F0">
        <w:rPr>
          <w:vertAlign w:val="superscript"/>
        </w:rPr>
        <w:t>2</w:t>
      </w:r>
      <w:r w:rsidRPr="002C28F0">
        <w:t xml:space="preserve"> with UACR &gt;5,000 mg/g.</w:t>
      </w:r>
    </w:p>
    <w:p w14:paraId="426535FA" w14:textId="6260199E" w:rsidR="0063494C" w:rsidRDefault="00F31726" w:rsidP="0038035A">
      <w:pPr>
        <w:pStyle w:val="COMexecsummbulletlist"/>
        <w:ind w:hanging="357"/>
        <w:rPr>
          <w:lang w:val="en-GB"/>
        </w:rPr>
      </w:pPr>
      <w:r w:rsidRPr="002C28F0">
        <w:t xml:space="preserve">eGFR </w:t>
      </w:r>
      <w:r>
        <w:t>&gt;</w:t>
      </w:r>
      <w:r w:rsidRPr="002C28F0">
        <w:t>75 to 90 mL/min/1.73 m</w:t>
      </w:r>
      <w:r w:rsidRPr="00F31726">
        <w:rPr>
          <w:vertAlign w:val="superscript"/>
        </w:rPr>
        <w:t>2</w:t>
      </w:r>
      <w:r w:rsidRPr="002C28F0">
        <w:t xml:space="preserve"> with UACR ≥200 mg/g.</w:t>
      </w:r>
    </w:p>
    <w:p w14:paraId="4FB29C32" w14:textId="4FF214F6" w:rsidR="0063494C" w:rsidRPr="00CE42B4" w:rsidRDefault="0063494C" w:rsidP="0063494C">
      <w:pPr>
        <w:widowControl w:val="0"/>
        <w:numPr>
          <w:ilvl w:val="1"/>
          <w:numId w:val="33"/>
        </w:numPr>
        <w:spacing w:after="120"/>
        <w:rPr>
          <w:rFonts w:asciiTheme="minorHAnsi" w:hAnsiTheme="minorHAnsi"/>
          <w:snapToGrid w:val="0"/>
          <w:lang w:val="en-GB"/>
        </w:rPr>
      </w:pPr>
      <w:r>
        <w:rPr>
          <w:rFonts w:asciiTheme="minorHAnsi" w:hAnsiTheme="minorHAnsi"/>
          <w:snapToGrid w:val="0"/>
          <w:lang w:val="en-GB"/>
        </w:rPr>
        <w:t xml:space="preserve">The </w:t>
      </w:r>
      <w:r w:rsidRPr="00AA0150">
        <w:rPr>
          <w:rFonts w:asciiTheme="minorHAnsi" w:hAnsiTheme="minorHAnsi"/>
          <w:snapToGrid w:val="0"/>
          <w:lang w:val="en-GB"/>
        </w:rPr>
        <w:t xml:space="preserve">PBAC considered the narrower TGA indication for dapagliflozin and advised that there should be no flow-on to dapagliflozin </w:t>
      </w:r>
      <w:proofErr w:type="gramStart"/>
      <w:r w:rsidRPr="00AA0150">
        <w:rPr>
          <w:rFonts w:asciiTheme="minorHAnsi" w:hAnsiTheme="minorHAnsi"/>
          <w:snapToGrid w:val="0"/>
          <w:lang w:val="en-GB"/>
        </w:rPr>
        <w:t>as a result of</w:t>
      </w:r>
      <w:proofErr w:type="gramEnd"/>
      <w:r w:rsidRPr="00AA0150">
        <w:rPr>
          <w:rFonts w:asciiTheme="minorHAnsi" w:hAnsiTheme="minorHAnsi"/>
          <w:snapToGrid w:val="0"/>
          <w:lang w:val="en-GB"/>
        </w:rPr>
        <w:t xml:space="preserve"> the extended listing of empagliflozin. However, given that international guidelines consider </w:t>
      </w:r>
      <w:r w:rsidR="00F31726">
        <w:rPr>
          <w:rFonts w:asciiTheme="minorHAnsi" w:hAnsiTheme="minorHAnsi"/>
          <w:snapToGrid w:val="0"/>
          <w:lang w:val="en-GB"/>
        </w:rPr>
        <w:t xml:space="preserve">benefits of </w:t>
      </w:r>
      <w:r w:rsidRPr="00AA0150">
        <w:rPr>
          <w:rFonts w:asciiTheme="minorHAnsi" w:hAnsiTheme="minorHAnsi"/>
          <w:snapToGrid w:val="0"/>
          <w:lang w:val="en-GB"/>
        </w:rPr>
        <w:t>SGLT2</w:t>
      </w:r>
      <w:r w:rsidR="00F31726">
        <w:rPr>
          <w:rFonts w:asciiTheme="minorHAnsi" w:hAnsiTheme="minorHAnsi"/>
          <w:snapToGrid w:val="0"/>
          <w:lang w:val="en-GB"/>
        </w:rPr>
        <w:t xml:space="preserve"> </w:t>
      </w:r>
      <w:r w:rsidRPr="00AA0150">
        <w:rPr>
          <w:rFonts w:asciiTheme="minorHAnsi" w:hAnsiTheme="minorHAnsi"/>
          <w:snapToGrid w:val="0"/>
          <w:lang w:val="en-GB"/>
        </w:rPr>
        <w:t xml:space="preserve">inhibitors as a class effect, </w:t>
      </w:r>
      <w:r w:rsidR="00F31726">
        <w:rPr>
          <w:rFonts w:asciiTheme="minorHAnsi" w:hAnsiTheme="minorHAnsi"/>
          <w:snapToGrid w:val="0"/>
          <w:lang w:val="en-GB"/>
        </w:rPr>
        <w:t>the</w:t>
      </w:r>
      <w:r w:rsidRPr="00AA0150">
        <w:rPr>
          <w:rFonts w:asciiTheme="minorHAnsi" w:hAnsiTheme="minorHAnsi"/>
          <w:snapToGrid w:val="0"/>
          <w:lang w:val="en-GB"/>
        </w:rPr>
        <w:t xml:space="preserve"> PBAC advised further consideration of a flow-on to dapagliflozin </w:t>
      </w:r>
      <w:r w:rsidR="0001349C">
        <w:rPr>
          <w:rFonts w:asciiTheme="minorHAnsi" w:hAnsiTheme="minorHAnsi"/>
          <w:snapToGrid w:val="0"/>
          <w:lang w:val="en-GB"/>
        </w:rPr>
        <w:t>would be welcome with</w:t>
      </w:r>
      <w:r w:rsidRPr="00AA0150">
        <w:rPr>
          <w:rFonts w:asciiTheme="minorHAnsi" w:hAnsiTheme="minorHAnsi"/>
          <w:snapToGrid w:val="0"/>
          <w:lang w:val="en-GB"/>
        </w:rPr>
        <w:t xml:space="preserve"> updated available evidence.</w:t>
      </w:r>
    </w:p>
    <w:p w14:paraId="5A246C42" w14:textId="02D3378C" w:rsidR="00F81C91" w:rsidRDefault="00DE2BBF" w:rsidP="00E81B09">
      <w:pPr>
        <w:widowControl w:val="0"/>
        <w:numPr>
          <w:ilvl w:val="1"/>
          <w:numId w:val="33"/>
        </w:numPr>
        <w:spacing w:after="120"/>
        <w:rPr>
          <w:rFonts w:asciiTheme="minorHAnsi" w:hAnsiTheme="minorHAnsi"/>
          <w:snapToGrid w:val="0"/>
          <w:lang w:val="en-GB"/>
        </w:rPr>
      </w:pPr>
      <w:r>
        <w:rPr>
          <w:rFonts w:asciiTheme="minorHAnsi" w:hAnsiTheme="minorHAnsi"/>
          <w:snapToGrid w:val="0"/>
          <w:lang w:val="en-GB"/>
        </w:rPr>
        <w:t xml:space="preserve">The PBAC </w:t>
      </w:r>
      <w:r w:rsidR="00604178">
        <w:rPr>
          <w:rFonts w:asciiTheme="minorHAnsi" w:hAnsiTheme="minorHAnsi"/>
          <w:snapToGrid w:val="0"/>
          <w:lang w:val="en-GB"/>
        </w:rPr>
        <w:t>reaffirmed</w:t>
      </w:r>
      <w:r>
        <w:rPr>
          <w:rFonts w:asciiTheme="minorHAnsi" w:hAnsiTheme="minorHAnsi"/>
          <w:snapToGrid w:val="0"/>
          <w:lang w:val="en-GB"/>
        </w:rPr>
        <w:t xml:space="preserve"> its previous </w:t>
      </w:r>
      <w:r w:rsidR="00604178">
        <w:rPr>
          <w:rFonts w:asciiTheme="minorHAnsi" w:hAnsiTheme="minorHAnsi"/>
          <w:snapToGrid w:val="0"/>
          <w:lang w:val="en-GB"/>
        </w:rPr>
        <w:t xml:space="preserve">acceptance of </w:t>
      </w:r>
      <w:r w:rsidR="00F81C91" w:rsidRPr="00933708">
        <w:t xml:space="preserve">placebo (add-on to </w:t>
      </w:r>
      <w:r w:rsidR="00F81C91">
        <w:t>standard care</w:t>
      </w:r>
      <w:r w:rsidR="00F81C91" w:rsidRPr="00933708">
        <w:t>)</w:t>
      </w:r>
      <w:r w:rsidR="00F81C91">
        <w:t xml:space="preserve"> </w:t>
      </w:r>
      <w:r w:rsidR="00604178">
        <w:rPr>
          <w:rFonts w:asciiTheme="minorHAnsi" w:hAnsiTheme="minorHAnsi"/>
          <w:snapToGrid w:val="0"/>
          <w:lang w:val="en-GB"/>
        </w:rPr>
        <w:t>as the appropriate comparator in the incremental population (see paragraph</w:t>
      </w:r>
      <w:r w:rsidR="00F81C91">
        <w:rPr>
          <w:rFonts w:asciiTheme="minorHAnsi" w:hAnsiTheme="minorHAnsi"/>
          <w:snapToGrid w:val="0"/>
          <w:lang w:val="en-GB"/>
        </w:rPr>
        <w:t xml:space="preserve"> </w:t>
      </w:r>
      <w:r w:rsidR="00F81C91">
        <w:rPr>
          <w:rFonts w:asciiTheme="minorHAnsi" w:hAnsiTheme="minorHAnsi"/>
          <w:snapToGrid w:val="0"/>
          <w:lang w:val="en-GB"/>
        </w:rPr>
        <w:fldChar w:fldCharType="begin"/>
      </w:r>
      <w:r w:rsidR="00F81C91">
        <w:rPr>
          <w:rFonts w:asciiTheme="minorHAnsi" w:hAnsiTheme="minorHAnsi"/>
          <w:snapToGrid w:val="0"/>
          <w:lang w:val="en-GB"/>
        </w:rPr>
        <w:instrText xml:space="preserve"> REF _Ref198826528 \r \h </w:instrText>
      </w:r>
      <w:r w:rsidR="00F81C91">
        <w:rPr>
          <w:rFonts w:asciiTheme="minorHAnsi" w:hAnsiTheme="minorHAnsi"/>
          <w:snapToGrid w:val="0"/>
          <w:lang w:val="en-GB"/>
        </w:rPr>
      </w:r>
      <w:r w:rsidR="00F81C91">
        <w:rPr>
          <w:rFonts w:asciiTheme="minorHAnsi" w:hAnsiTheme="minorHAnsi"/>
          <w:snapToGrid w:val="0"/>
          <w:lang w:val="en-GB"/>
        </w:rPr>
        <w:fldChar w:fldCharType="separate"/>
      </w:r>
      <w:r w:rsidR="004A7850">
        <w:rPr>
          <w:rFonts w:asciiTheme="minorHAnsi" w:hAnsiTheme="minorHAnsi"/>
          <w:snapToGrid w:val="0"/>
          <w:lang w:val="en-GB"/>
        </w:rPr>
        <w:t>5.2</w:t>
      </w:r>
      <w:r w:rsidR="00F81C91">
        <w:rPr>
          <w:rFonts w:asciiTheme="minorHAnsi" w:hAnsiTheme="minorHAnsi"/>
          <w:snapToGrid w:val="0"/>
          <w:lang w:val="en-GB"/>
        </w:rPr>
        <w:fldChar w:fldCharType="end"/>
      </w:r>
      <w:r w:rsidR="00F81C91">
        <w:rPr>
          <w:rFonts w:asciiTheme="minorHAnsi" w:hAnsiTheme="minorHAnsi"/>
          <w:snapToGrid w:val="0"/>
          <w:lang w:val="en-GB"/>
        </w:rPr>
        <w:t>).</w:t>
      </w:r>
    </w:p>
    <w:p w14:paraId="368DAA97" w14:textId="5E3C8177" w:rsidR="007E4E19" w:rsidRPr="004C0BD8" w:rsidRDefault="000B25DB" w:rsidP="00900167">
      <w:pPr>
        <w:widowControl w:val="0"/>
        <w:numPr>
          <w:ilvl w:val="1"/>
          <w:numId w:val="33"/>
        </w:numPr>
        <w:spacing w:after="120"/>
      </w:pPr>
      <w:r w:rsidRPr="0086187D">
        <w:rPr>
          <w:rFonts w:asciiTheme="minorHAnsi" w:hAnsiTheme="minorHAnsi"/>
          <w:snapToGrid w:val="0"/>
          <w:lang w:val="en-GB"/>
        </w:rPr>
        <w:t xml:space="preserve">The PBAC noted the </w:t>
      </w:r>
      <w:r w:rsidR="007E4E19" w:rsidRPr="0086187D">
        <w:rPr>
          <w:rFonts w:asciiTheme="minorHAnsi" w:hAnsiTheme="minorHAnsi"/>
          <w:snapToGrid w:val="0"/>
          <w:lang w:val="en-GB"/>
        </w:rPr>
        <w:t>resubmission re-</w:t>
      </w:r>
      <w:r w:rsidR="007E4E19" w:rsidRPr="007E45F7">
        <w:t xml:space="preserve">presented </w:t>
      </w:r>
      <w:r w:rsidR="007E4E19">
        <w:t xml:space="preserve">previously considered </w:t>
      </w:r>
      <w:r w:rsidR="007E4E19" w:rsidRPr="007E45F7">
        <w:t xml:space="preserve">results of the EMPA-KIDNEY trial overall ITT population, </w:t>
      </w:r>
      <w:r w:rsidR="007E4E19" w:rsidRPr="004C0BD8">
        <w:t xml:space="preserve">and </w:t>
      </w:r>
      <w:r w:rsidR="007E4E19" w:rsidRPr="005F47C5">
        <w:rPr>
          <w:i/>
          <w:iCs/>
        </w:rPr>
        <w:t>post hoc</w:t>
      </w:r>
      <w:r w:rsidR="007E4E19" w:rsidRPr="007E45F7">
        <w:t xml:space="preserve"> subgroup analyses of the EMPA-KIDNEY trial for the currently reimbursed overlap population, and the proposed PBS incremental population.</w:t>
      </w:r>
      <w:r w:rsidR="007E4E19">
        <w:t xml:space="preserve"> In addition, </w:t>
      </w:r>
      <w:r w:rsidR="007E4E19" w:rsidRPr="007E45F7">
        <w:t xml:space="preserve">the resubmission presented new </w:t>
      </w:r>
      <w:r w:rsidR="007E4E19" w:rsidRPr="0086187D">
        <w:rPr>
          <w:i/>
          <w:iCs/>
        </w:rPr>
        <w:t>post hoc</w:t>
      </w:r>
      <w:r w:rsidR="007E4E19" w:rsidRPr="007E45F7">
        <w:t xml:space="preserve"> analyses of the EMPA-KIDNEY trial not previously considered by the PBAC</w:t>
      </w:r>
      <w:r w:rsidR="0086187D">
        <w:t xml:space="preserve"> for</w:t>
      </w:r>
      <w:r w:rsidR="00AF6816">
        <w:t xml:space="preserve"> </w:t>
      </w:r>
      <w:r w:rsidR="007E4E19" w:rsidRPr="004C0BD8">
        <w:t>primary and key secondary outcomes by baseline albuminuria (UACR &lt;200 mg/g and UACR</w:t>
      </w:r>
      <w:r w:rsidR="00391D1C">
        <w:t> </w:t>
      </w:r>
      <w:r w:rsidR="007E4E19" w:rsidRPr="004C0BD8">
        <w:t>≥200 mg/g).</w:t>
      </w:r>
      <w:r w:rsidR="00A160A4">
        <w:t xml:space="preserve"> </w:t>
      </w:r>
      <w:r w:rsidR="00AF6816">
        <w:t>The PBAC also no</w:t>
      </w:r>
      <w:r w:rsidR="006018F5">
        <w:t xml:space="preserve">ted the recent </w:t>
      </w:r>
      <w:r w:rsidR="0011653C">
        <w:t>publication</w:t>
      </w:r>
      <w:r w:rsidR="006018F5">
        <w:t xml:space="preserve"> of </w:t>
      </w:r>
      <w:r w:rsidR="00405145">
        <w:t xml:space="preserve">a </w:t>
      </w:r>
      <w:r w:rsidR="0011653C">
        <w:t>two-year open-</w:t>
      </w:r>
      <w:r w:rsidR="00405145">
        <w:t>label</w:t>
      </w:r>
      <w:r w:rsidR="0011653C">
        <w:t xml:space="preserve"> </w:t>
      </w:r>
      <w:r w:rsidR="00405145">
        <w:t>follow-up study</w:t>
      </w:r>
      <w:r w:rsidR="00900167">
        <w:t xml:space="preserve"> of EMPA-KIDNEY</w:t>
      </w:r>
      <w:r w:rsidR="00AF06B4">
        <w:t xml:space="preserve"> (Herrington</w:t>
      </w:r>
      <w:r w:rsidR="00305A02">
        <w:t xml:space="preserve"> et al,</w:t>
      </w:r>
      <w:r w:rsidR="00BE17D0">
        <w:t xml:space="preserve"> 2025)</w:t>
      </w:r>
      <w:r w:rsidR="002B4BB3">
        <w:t xml:space="preserve"> and the publication of the </w:t>
      </w:r>
      <w:r w:rsidR="00BE17D0">
        <w:t>prespecified</w:t>
      </w:r>
      <w:r w:rsidR="00292B43">
        <w:t xml:space="preserve"> secondary analysis of the EMPA-KIDNEY trial </w:t>
      </w:r>
      <w:r w:rsidR="00292B43" w:rsidRPr="00A63ECF">
        <w:t>examining the annualised rate of decline of kidney function (eGFR slope)</w:t>
      </w:r>
      <w:r w:rsidR="00292B43">
        <w:t xml:space="preserve"> (</w:t>
      </w:r>
      <w:proofErr w:type="spellStart"/>
      <w:r w:rsidR="00292B43">
        <w:t>Staplin</w:t>
      </w:r>
      <w:proofErr w:type="spellEnd"/>
      <w:r w:rsidR="00305A02">
        <w:t xml:space="preserve"> et al</w:t>
      </w:r>
      <w:r w:rsidR="00292B43">
        <w:t xml:space="preserve">, </w:t>
      </w:r>
      <w:r w:rsidR="00305A02">
        <w:t>2024)</w:t>
      </w:r>
      <w:r w:rsidR="00F12080">
        <w:t>. The PBAC felt that this additional data was supportive of a clinical benefit of empagliflozin in the incremental population</w:t>
      </w:r>
      <w:r w:rsidR="00900167">
        <w:t>.</w:t>
      </w:r>
    </w:p>
    <w:p w14:paraId="31424854" w14:textId="61D85226" w:rsidR="00276253" w:rsidRDefault="00996CCE" w:rsidP="00E81B09">
      <w:pPr>
        <w:widowControl w:val="0"/>
        <w:numPr>
          <w:ilvl w:val="1"/>
          <w:numId w:val="33"/>
        </w:numPr>
        <w:spacing w:after="120"/>
        <w:rPr>
          <w:rFonts w:asciiTheme="minorHAnsi" w:hAnsiTheme="minorHAnsi"/>
          <w:snapToGrid w:val="0"/>
          <w:lang w:val="en-GB"/>
        </w:rPr>
      </w:pPr>
      <w:r>
        <w:rPr>
          <w:rFonts w:asciiTheme="minorHAnsi" w:hAnsiTheme="minorHAnsi"/>
          <w:snapToGrid w:val="0"/>
          <w:lang w:val="en-GB"/>
        </w:rPr>
        <w:t xml:space="preserve">The PBAC noted the significant </w:t>
      </w:r>
      <w:r w:rsidR="00CB1CE8">
        <w:rPr>
          <w:rFonts w:asciiTheme="minorHAnsi" w:hAnsiTheme="minorHAnsi"/>
          <w:snapToGrid w:val="0"/>
          <w:lang w:val="en-GB"/>
        </w:rPr>
        <w:t xml:space="preserve">benefit in the ITT population for the primary </w:t>
      </w:r>
      <w:r w:rsidR="00CB1CE8" w:rsidRPr="00CB1CE8">
        <w:rPr>
          <w:rFonts w:asciiTheme="minorHAnsi" w:hAnsiTheme="minorHAnsi"/>
          <w:snapToGrid w:val="0"/>
          <w:lang w:val="en-GB"/>
        </w:rPr>
        <w:t xml:space="preserve">composite outcome </w:t>
      </w:r>
      <w:r w:rsidR="00CB1CE8">
        <w:rPr>
          <w:rFonts w:asciiTheme="minorHAnsi" w:hAnsiTheme="minorHAnsi"/>
          <w:snapToGrid w:val="0"/>
          <w:lang w:val="en-GB"/>
        </w:rPr>
        <w:t xml:space="preserve">of </w:t>
      </w:r>
      <w:r w:rsidR="00CB1CE8" w:rsidRPr="00CB1CE8">
        <w:rPr>
          <w:rFonts w:asciiTheme="minorHAnsi" w:hAnsiTheme="minorHAnsi"/>
          <w:snapToGrid w:val="0"/>
          <w:lang w:val="en-GB"/>
        </w:rPr>
        <w:t>CKD progression or CV death</w:t>
      </w:r>
      <w:r w:rsidR="00CB1CE8">
        <w:rPr>
          <w:rFonts w:asciiTheme="minorHAnsi" w:hAnsiTheme="minorHAnsi"/>
          <w:snapToGrid w:val="0"/>
          <w:lang w:val="en-GB"/>
        </w:rPr>
        <w:t xml:space="preserve"> </w:t>
      </w:r>
      <w:r w:rsidR="00BA4E0F">
        <w:rPr>
          <w:rFonts w:asciiTheme="minorHAnsi" w:hAnsiTheme="minorHAnsi"/>
          <w:snapToGrid w:val="0"/>
          <w:lang w:val="en-GB"/>
        </w:rPr>
        <w:t>(</w:t>
      </w:r>
      <w:r w:rsidR="00CB1CE8">
        <w:rPr>
          <w:rFonts w:asciiTheme="minorHAnsi" w:hAnsiTheme="minorHAnsi"/>
          <w:snapToGrid w:val="0"/>
          <w:lang w:val="en-GB"/>
        </w:rPr>
        <w:t xml:space="preserve">HR </w:t>
      </w:r>
      <w:r w:rsidR="006633D7">
        <w:rPr>
          <w:rFonts w:asciiTheme="minorHAnsi" w:hAnsiTheme="minorHAnsi"/>
          <w:snapToGrid w:val="0"/>
          <w:lang w:val="en-GB"/>
        </w:rPr>
        <w:t xml:space="preserve">= </w:t>
      </w:r>
      <w:r w:rsidR="006633D7" w:rsidRPr="006633D7">
        <w:rPr>
          <w:rFonts w:asciiTheme="minorHAnsi" w:hAnsiTheme="minorHAnsi"/>
          <w:snapToGrid w:val="0"/>
          <w:lang w:val="en-GB"/>
        </w:rPr>
        <w:t>0.72 (0.64, 0.82)</w:t>
      </w:r>
      <w:r w:rsidR="00BA4E0F">
        <w:rPr>
          <w:rFonts w:asciiTheme="minorHAnsi" w:hAnsiTheme="minorHAnsi"/>
          <w:snapToGrid w:val="0"/>
          <w:lang w:val="en-GB"/>
        </w:rPr>
        <w:t>)</w:t>
      </w:r>
      <w:r w:rsidR="006633D7">
        <w:rPr>
          <w:rFonts w:asciiTheme="minorHAnsi" w:hAnsiTheme="minorHAnsi"/>
          <w:snapToGrid w:val="0"/>
          <w:lang w:val="en-GB"/>
        </w:rPr>
        <w:t xml:space="preserve"> and time to first CKD </w:t>
      </w:r>
      <w:r w:rsidR="006633D7">
        <w:rPr>
          <w:rFonts w:asciiTheme="minorHAnsi" w:hAnsiTheme="minorHAnsi"/>
          <w:snapToGrid w:val="0"/>
          <w:lang w:val="en-GB"/>
        </w:rPr>
        <w:lastRenderedPageBreak/>
        <w:t xml:space="preserve">progression </w:t>
      </w:r>
      <w:r w:rsidR="00BA4E0F">
        <w:rPr>
          <w:rFonts w:asciiTheme="minorHAnsi" w:hAnsiTheme="minorHAnsi"/>
          <w:snapToGrid w:val="0"/>
          <w:lang w:val="en-GB"/>
        </w:rPr>
        <w:t>(</w:t>
      </w:r>
      <w:r w:rsidR="006633D7">
        <w:rPr>
          <w:rFonts w:asciiTheme="minorHAnsi" w:hAnsiTheme="minorHAnsi"/>
          <w:snapToGrid w:val="0"/>
          <w:lang w:val="en-GB"/>
        </w:rPr>
        <w:t xml:space="preserve">HR = </w:t>
      </w:r>
      <w:r w:rsidR="006633D7" w:rsidRPr="006633D7">
        <w:rPr>
          <w:rFonts w:asciiTheme="minorHAnsi" w:hAnsiTheme="minorHAnsi"/>
          <w:snapToGrid w:val="0"/>
          <w:lang w:val="en-GB"/>
        </w:rPr>
        <w:t>0.71 (0.62, 0.81)</w:t>
      </w:r>
      <w:r w:rsidR="00BA4E0F">
        <w:rPr>
          <w:rFonts w:asciiTheme="minorHAnsi" w:hAnsiTheme="minorHAnsi"/>
          <w:snapToGrid w:val="0"/>
          <w:lang w:val="en-GB"/>
        </w:rPr>
        <w:t>),</w:t>
      </w:r>
      <w:r w:rsidR="00EF4D26">
        <w:rPr>
          <w:rFonts w:asciiTheme="minorHAnsi" w:hAnsiTheme="minorHAnsi"/>
          <w:snapToGrid w:val="0"/>
          <w:lang w:val="en-GB"/>
        </w:rPr>
        <w:t xml:space="preserve"> with minimal differences in the significant results for the overlap and incremental subgroups </w:t>
      </w:r>
      <w:r w:rsidR="00EF4D26">
        <w:rPr>
          <w:szCs w:val="20"/>
        </w:rPr>
        <w:t xml:space="preserve">(see </w:t>
      </w:r>
      <w:r w:rsidR="00EF4D26">
        <w:rPr>
          <w:szCs w:val="20"/>
        </w:rPr>
        <w:fldChar w:fldCharType="begin"/>
      </w:r>
      <w:r w:rsidR="00EF4D26">
        <w:rPr>
          <w:szCs w:val="20"/>
        </w:rPr>
        <w:instrText xml:space="preserve"> REF _Ref190351161 \h </w:instrText>
      </w:r>
      <w:r w:rsidR="00EF4D26">
        <w:rPr>
          <w:szCs w:val="20"/>
        </w:rPr>
      </w:r>
      <w:r w:rsidR="00EF4D26">
        <w:rPr>
          <w:szCs w:val="20"/>
        </w:rPr>
        <w:fldChar w:fldCharType="separate"/>
      </w:r>
      <w:r w:rsidR="004A7850" w:rsidRPr="007E02FD">
        <w:t xml:space="preserve">Table </w:t>
      </w:r>
      <w:r w:rsidR="004A7850">
        <w:rPr>
          <w:noProof/>
        </w:rPr>
        <w:t>6</w:t>
      </w:r>
      <w:r w:rsidR="00EF4D26">
        <w:rPr>
          <w:szCs w:val="20"/>
        </w:rPr>
        <w:fldChar w:fldCharType="end"/>
      </w:r>
      <w:r w:rsidR="00EF4D26">
        <w:rPr>
          <w:szCs w:val="20"/>
        </w:rPr>
        <w:t>)</w:t>
      </w:r>
      <w:r w:rsidR="00EF4D26">
        <w:rPr>
          <w:rFonts w:asciiTheme="minorHAnsi" w:hAnsiTheme="minorHAnsi"/>
          <w:snapToGrid w:val="0"/>
          <w:lang w:val="en-GB"/>
        </w:rPr>
        <w:t>.</w:t>
      </w:r>
      <w:r w:rsidR="006633D7">
        <w:rPr>
          <w:rFonts w:asciiTheme="minorHAnsi" w:hAnsiTheme="minorHAnsi"/>
          <w:snapToGrid w:val="0"/>
          <w:lang w:val="en-GB"/>
        </w:rPr>
        <w:t xml:space="preserve"> </w:t>
      </w:r>
      <w:r w:rsidR="003772C7">
        <w:rPr>
          <w:rFonts w:asciiTheme="minorHAnsi" w:hAnsiTheme="minorHAnsi"/>
          <w:snapToGrid w:val="0"/>
          <w:lang w:val="en-GB"/>
        </w:rPr>
        <w:t>The</w:t>
      </w:r>
      <w:r w:rsidR="006A5232">
        <w:rPr>
          <w:rFonts w:asciiTheme="minorHAnsi" w:hAnsiTheme="minorHAnsi"/>
          <w:snapToGrid w:val="0"/>
          <w:lang w:val="en-GB"/>
        </w:rPr>
        <w:t xml:space="preserve"> PBAC considered the</w:t>
      </w:r>
      <w:r w:rsidR="00327F04">
        <w:rPr>
          <w:rFonts w:asciiTheme="minorHAnsi" w:hAnsiTheme="minorHAnsi"/>
          <w:snapToGrid w:val="0"/>
          <w:lang w:val="en-GB"/>
        </w:rPr>
        <w:t xml:space="preserve"> clinical </w:t>
      </w:r>
      <w:r w:rsidR="006A5232">
        <w:rPr>
          <w:rFonts w:asciiTheme="minorHAnsi" w:hAnsiTheme="minorHAnsi"/>
          <w:snapToGrid w:val="0"/>
          <w:lang w:val="en-GB"/>
        </w:rPr>
        <w:t>benefit</w:t>
      </w:r>
      <w:r w:rsidR="00327F04">
        <w:rPr>
          <w:rFonts w:asciiTheme="minorHAnsi" w:hAnsiTheme="minorHAnsi"/>
          <w:snapToGrid w:val="0"/>
          <w:lang w:val="en-GB"/>
        </w:rPr>
        <w:t xml:space="preserve"> in the</w:t>
      </w:r>
      <w:r w:rsidR="003772C7">
        <w:rPr>
          <w:rFonts w:asciiTheme="minorHAnsi" w:hAnsiTheme="minorHAnsi"/>
          <w:snapToGrid w:val="0"/>
          <w:lang w:val="en-GB"/>
        </w:rPr>
        <w:t xml:space="preserve"> </w:t>
      </w:r>
      <w:r w:rsidR="00D95FE8">
        <w:rPr>
          <w:rFonts w:asciiTheme="minorHAnsi" w:hAnsiTheme="minorHAnsi"/>
          <w:snapToGrid w:val="0"/>
          <w:lang w:val="en-GB"/>
        </w:rPr>
        <w:t xml:space="preserve">incremental </w:t>
      </w:r>
      <w:r w:rsidR="008E5F74">
        <w:rPr>
          <w:rFonts w:asciiTheme="minorHAnsi" w:hAnsiTheme="minorHAnsi"/>
          <w:snapToGrid w:val="0"/>
          <w:lang w:val="en-GB"/>
        </w:rPr>
        <w:t>subgroup was</w:t>
      </w:r>
      <w:r w:rsidR="00DA6EEE">
        <w:rPr>
          <w:rFonts w:asciiTheme="minorHAnsi" w:hAnsiTheme="minorHAnsi"/>
          <w:snapToGrid w:val="0"/>
          <w:lang w:val="en-GB"/>
        </w:rPr>
        <w:t xml:space="preserve"> clinically meaningful</w:t>
      </w:r>
      <w:r w:rsidR="00C310A9">
        <w:rPr>
          <w:rFonts w:asciiTheme="minorHAnsi" w:hAnsiTheme="minorHAnsi"/>
          <w:snapToGrid w:val="0"/>
          <w:lang w:val="en-GB"/>
        </w:rPr>
        <w:t xml:space="preserve"> and </w:t>
      </w:r>
      <w:r w:rsidR="00D95FE8">
        <w:rPr>
          <w:rFonts w:asciiTheme="minorHAnsi" w:hAnsiTheme="minorHAnsi"/>
          <w:snapToGrid w:val="0"/>
          <w:lang w:val="en-GB"/>
        </w:rPr>
        <w:t>reflected that it was comparable</w:t>
      </w:r>
      <w:r w:rsidR="00C310A9">
        <w:rPr>
          <w:rFonts w:asciiTheme="minorHAnsi" w:hAnsiTheme="minorHAnsi"/>
          <w:snapToGrid w:val="0"/>
          <w:lang w:val="en-GB"/>
        </w:rPr>
        <w:t xml:space="preserve"> to the results </w:t>
      </w:r>
      <w:r w:rsidR="008E5F74">
        <w:rPr>
          <w:rFonts w:asciiTheme="minorHAnsi" w:hAnsiTheme="minorHAnsi"/>
          <w:snapToGrid w:val="0"/>
          <w:lang w:val="en-GB"/>
        </w:rPr>
        <w:t xml:space="preserve">previously </w:t>
      </w:r>
      <w:r w:rsidR="00BB379B">
        <w:rPr>
          <w:rFonts w:asciiTheme="minorHAnsi" w:hAnsiTheme="minorHAnsi"/>
          <w:snapToGrid w:val="0"/>
          <w:lang w:val="en-GB"/>
        </w:rPr>
        <w:t xml:space="preserve">accepted in the overlap subgroup </w:t>
      </w:r>
      <w:r w:rsidR="00C32921">
        <w:rPr>
          <w:rFonts w:asciiTheme="minorHAnsi" w:hAnsiTheme="minorHAnsi"/>
          <w:snapToGrid w:val="0"/>
          <w:lang w:val="en-GB"/>
        </w:rPr>
        <w:t>when non-inferiority to dapagliflozin was accepted</w:t>
      </w:r>
      <w:r w:rsidR="009E2022">
        <w:rPr>
          <w:rFonts w:asciiTheme="minorHAnsi" w:hAnsiTheme="minorHAnsi"/>
          <w:snapToGrid w:val="0"/>
          <w:lang w:val="en-GB"/>
        </w:rPr>
        <w:t>.</w:t>
      </w:r>
    </w:p>
    <w:p w14:paraId="23CF602E" w14:textId="29DD4D1D" w:rsidR="0035028A" w:rsidRPr="00416897" w:rsidRDefault="00DA6EEE" w:rsidP="00C11725">
      <w:pPr>
        <w:widowControl w:val="0"/>
        <w:numPr>
          <w:ilvl w:val="1"/>
          <w:numId w:val="33"/>
        </w:numPr>
        <w:spacing w:after="120"/>
        <w:rPr>
          <w:rFonts w:asciiTheme="minorHAnsi" w:hAnsiTheme="minorHAnsi"/>
          <w:snapToGrid w:val="0"/>
          <w:lang w:val="en-GB"/>
        </w:rPr>
      </w:pPr>
      <w:r w:rsidRPr="00416897">
        <w:rPr>
          <w:rFonts w:asciiTheme="minorHAnsi" w:hAnsiTheme="minorHAnsi"/>
          <w:snapToGrid w:val="0"/>
          <w:lang w:val="en-GB"/>
        </w:rPr>
        <w:t xml:space="preserve">The PBAC acknowledged that the magnitude of absolute </w:t>
      </w:r>
      <w:r w:rsidR="00BA4E0F" w:rsidRPr="00416897">
        <w:rPr>
          <w:rFonts w:asciiTheme="minorHAnsi" w:hAnsiTheme="minorHAnsi"/>
          <w:snapToGrid w:val="0"/>
          <w:lang w:val="en-GB"/>
        </w:rPr>
        <w:t xml:space="preserve">benefit </w:t>
      </w:r>
      <w:r w:rsidRPr="00416897">
        <w:rPr>
          <w:rFonts w:asciiTheme="minorHAnsi" w:hAnsiTheme="minorHAnsi"/>
          <w:snapToGrid w:val="0"/>
          <w:lang w:val="en-GB"/>
        </w:rPr>
        <w:t xml:space="preserve">would vary given the heterogeneous nature of </w:t>
      </w:r>
      <w:r w:rsidR="00C32921" w:rsidRPr="00416897">
        <w:rPr>
          <w:rFonts w:asciiTheme="minorHAnsi" w:hAnsiTheme="minorHAnsi"/>
          <w:snapToGrid w:val="0"/>
          <w:lang w:val="en-GB"/>
        </w:rPr>
        <w:t>CKD</w:t>
      </w:r>
      <w:r w:rsidRPr="00416897">
        <w:rPr>
          <w:rFonts w:asciiTheme="minorHAnsi" w:hAnsiTheme="minorHAnsi"/>
          <w:snapToGrid w:val="0"/>
          <w:lang w:val="en-GB"/>
        </w:rPr>
        <w:t xml:space="preserve"> </w:t>
      </w:r>
      <w:r w:rsidR="008939EA" w:rsidRPr="00416897">
        <w:rPr>
          <w:rFonts w:asciiTheme="minorHAnsi" w:hAnsiTheme="minorHAnsi"/>
          <w:snapToGrid w:val="0"/>
          <w:lang w:val="en-GB"/>
        </w:rPr>
        <w:t>populations and</w:t>
      </w:r>
      <w:r w:rsidR="00036A56" w:rsidRPr="00416897">
        <w:rPr>
          <w:rFonts w:asciiTheme="minorHAnsi" w:hAnsiTheme="minorHAnsi"/>
          <w:snapToGrid w:val="0"/>
          <w:lang w:val="en-GB"/>
        </w:rPr>
        <w:t xml:space="preserve"> was mindful of its previous concern </w:t>
      </w:r>
      <w:r w:rsidR="0059631F" w:rsidRPr="00416897">
        <w:rPr>
          <w:rFonts w:asciiTheme="minorHAnsi" w:hAnsiTheme="minorHAnsi"/>
          <w:snapToGrid w:val="0"/>
          <w:lang w:val="en-GB"/>
        </w:rPr>
        <w:t>r</w:t>
      </w:r>
      <w:r w:rsidR="00036A56" w:rsidRPr="00416897">
        <w:rPr>
          <w:rFonts w:asciiTheme="minorHAnsi" w:hAnsiTheme="minorHAnsi"/>
          <w:snapToGrid w:val="0"/>
          <w:lang w:val="en-GB"/>
        </w:rPr>
        <w:t>egard</w:t>
      </w:r>
      <w:r w:rsidR="0059631F" w:rsidRPr="00416897">
        <w:rPr>
          <w:rFonts w:asciiTheme="minorHAnsi" w:hAnsiTheme="minorHAnsi"/>
          <w:snapToGrid w:val="0"/>
          <w:lang w:val="en-GB"/>
        </w:rPr>
        <w:t>i</w:t>
      </w:r>
      <w:r w:rsidR="00036A56" w:rsidRPr="00416897">
        <w:rPr>
          <w:rFonts w:asciiTheme="minorHAnsi" w:hAnsiTheme="minorHAnsi"/>
          <w:snapToGrid w:val="0"/>
          <w:lang w:val="en-GB"/>
        </w:rPr>
        <w:t xml:space="preserve">ng </w:t>
      </w:r>
      <w:r w:rsidR="000763C6" w:rsidRPr="00416897">
        <w:rPr>
          <w:rFonts w:asciiTheme="minorHAnsi" w:hAnsiTheme="minorHAnsi"/>
          <w:snapToGrid w:val="0"/>
          <w:lang w:val="en-GB"/>
        </w:rPr>
        <w:t xml:space="preserve">efficacy in </w:t>
      </w:r>
      <w:r w:rsidR="0059631F" w:rsidRPr="00416897">
        <w:rPr>
          <w:rFonts w:asciiTheme="minorHAnsi" w:hAnsiTheme="minorHAnsi"/>
          <w:snapToGrid w:val="0"/>
          <w:lang w:val="en-GB"/>
        </w:rPr>
        <w:t>patients</w:t>
      </w:r>
      <w:r w:rsidR="00036A56" w:rsidRPr="00416897">
        <w:rPr>
          <w:rFonts w:asciiTheme="minorHAnsi" w:hAnsiTheme="minorHAnsi"/>
          <w:snapToGrid w:val="0"/>
          <w:lang w:val="en-GB"/>
        </w:rPr>
        <w:t xml:space="preserve"> with </w:t>
      </w:r>
      <w:r w:rsidR="0059631F" w:rsidRPr="00416897">
        <w:rPr>
          <w:rFonts w:asciiTheme="minorHAnsi" w:hAnsiTheme="minorHAnsi"/>
          <w:snapToGrid w:val="0"/>
          <w:lang w:val="en-GB"/>
        </w:rPr>
        <w:t xml:space="preserve">lower </w:t>
      </w:r>
      <w:r w:rsidR="000763C6">
        <w:t xml:space="preserve">albuminuria. The PBAC was reassured by the </w:t>
      </w:r>
      <w:r w:rsidR="00F40F8C">
        <w:t xml:space="preserve">two-year </w:t>
      </w:r>
      <w:r w:rsidR="000763C6">
        <w:t xml:space="preserve">follow-up data and </w:t>
      </w:r>
      <w:r w:rsidR="006E0737">
        <w:t xml:space="preserve">analyses </w:t>
      </w:r>
      <w:r w:rsidR="0035028A">
        <w:t>of</w:t>
      </w:r>
      <w:r w:rsidR="006E0737">
        <w:t xml:space="preserve"> the eGFR slope, which signalled a continuing benefit for pa</w:t>
      </w:r>
      <w:r w:rsidR="008576CF">
        <w:t>ti</w:t>
      </w:r>
      <w:r w:rsidR="006E0737">
        <w:t xml:space="preserve">ents </w:t>
      </w:r>
      <w:r w:rsidR="00EA0A9E">
        <w:t xml:space="preserve">on empagliflozin </w:t>
      </w:r>
      <w:r w:rsidR="008939EA">
        <w:t xml:space="preserve">beyond the </w:t>
      </w:r>
      <w:r w:rsidR="00EA0A9E">
        <w:t xml:space="preserve">end of the randomised trial phase, </w:t>
      </w:r>
      <w:r w:rsidR="006E0737">
        <w:t xml:space="preserve">regardless of </w:t>
      </w:r>
      <w:r w:rsidR="008576CF">
        <w:t xml:space="preserve">albuminuria level (see paragraphs </w:t>
      </w:r>
      <w:r w:rsidR="008576CF">
        <w:fldChar w:fldCharType="begin"/>
      </w:r>
      <w:r w:rsidR="008576CF">
        <w:instrText xml:space="preserve"> REF _Ref198890933 \r \h </w:instrText>
      </w:r>
      <w:r w:rsidR="008576CF">
        <w:fldChar w:fldCharType="separate"/>
      </w:r>
      <w:r w:rsidR="004A7850">
        <w:t>6.19</w:t>
      </w:r>
      <w:r w:rsidR="008576CF">
        <w:fldChar w:fldCharType="end"/>
      </w:r>
      <w:r w:rsidR="008576CF">
        <w:t xml:space="preserve">, </w:t>
      </w:r>
      <w:r w:rsidR="008576CF">
        <w:fldChar w:fldCharType="begin"/>
      </w:r>
      <w:r w:rsidR="008576CF">
        <w:instrText xml:space="preserve"> REF _Ref198890985 \r \h </w:instrText>
      </w:r>
      <w:r w:rsidR="008576CF">
        <w:fldChar w:fldCharType="separate"/>
      </w:r>
      <w:r w:rsidR="004A7850">
        <w:t>6.21</w:t>
      </w:r>
      <w:r w:rsidR="008576CF">
        <w:fldChar w:fldCharType="end"/>
      </w:r>
      <w:r w:rsidR="008576CF">
        <w:t xml:space="preserve"> and </w:t>
      </w:r>
      <w:r w:rsidR="008576CF">
        <w:fldChar w:fldCharType="begin"/>
      </w:r>
      <w:r w:rsidR="008576CF">
        <w:instrText xml:space="preserve"> REF _Ref198890987 \r \h </w:instrText>
      </w:r>
      <w:r w:rsidR="008576CF">
        <w:fldChar w:fldCharType="separate"/>
      </w:r>
      <w:r w:rsidR="004A7850">
        <w:t>6.22</w:t>
      </w:r>
      <w:r w:rsidR="008576CF">
        <w:fldChar w:fldCharType="end"/>
      </w:r>
      <w:r w:rsidR="008576CF">
        <w:t>).</w:t>
      </w:r>
      <w:r w:rsidR="00416897">
        <w:rPr>
          <w:rFonts w:asciiTheme="minorHAnsi" w:hAnsiTheme="minorHAnsi"/>
          <w:snapToGrid w:val="0"/>
          <w:lang w:val="en-GB"/>
        </w:rPr>
        <w:t xml:space="preserve"> </w:t>
      </w:r>
      <w:r w:rsidR="0035028A" w:rsidRPr="00416897">
        <w:rPr>
          <w:rFonts w:asciiTheme="minorHAnsi" w:hAnsiTheme="minorHAnsi"/>
          <w:snapToGrid w:val="0"/>
          <w:lang w:val="en-GB"/>
        </w:rPr>
        <w:t xml:space="preserve">The PBAC also noted </w:t>
      </w:r>
      <w:r w:rsidR="00416897">
        <w:rPr>
          <w:rFonts w:asciiTheme="minorHAnsi" w:hAnsiTheme="minorHAnsi"/>
          <w:snapToGrid w:val="0"/>
          <w:lang w:val="en-GB"/>
        </w:rPr>
        <w:t>Australia</w:t>
      </w:r>
      <w:r w:rsidR="006D1C08">
        <w:rPr>
          <w:rFonts w:asciiTheme="minorHAnsi" w:hAnsiTheme="minorHAnsi"/>
          <w:snapToGrid w:val="0"/>
          <w:lang w:val="en-GB"/>
        </w:rPr>
        <w:t>n</w:t>
      </w:r>
      <w:r w:rsidR="00416897">
        <w:rPr>
          <w:rFonts w:asciiTheme="minorHAnsi" w:hAnsiTheme="minorHAnsi"/>
          <w:snapToGrid w:val="0"/>
          <w:lang w:val="en-GB"/>
        </w:rPr>
        <w:t xml:space="preserve"> and </w:t>
      </w:r>
      <w:r w:rsidR="0035028A" w:rsidRPr="00416897">
        <w:rPr>
          <w:rFonts w:asciiTheme="minorHAnsi" w:hAnsiTheme="minorHAnsi"/>
          <w:snapToGrid w:val="0"/>
          <w:lang w:val="en-GB"/>
        </w:rPr>
        <w:t xml:space="preserve">international guidelines consistently </w:t>
      </w:r>
      <w:r w:rsidR="00E2146B" w:rsidRPr="00416897">
        <w:rPr>
          <w:rFonts w:asciiTheme="minorHAnsi" w:hAnsiTheme="minorHAnsi"/>
          <w:snapToGrid w:val="0"/>
          <w:lang w:val="en-GB"/>
        </w:rPr>
        <w:t xml:space="preserve">supported the inclusion of </w:t>
      </w:r>
      <w:r w:rsidR="006D1C08">
        <w:rPr>
          <w:rFonts w:asciiTheme="minorHAnsi" w:hAnsiTheme="minorHAnsi"/>
          <w:snapToGrid w:val="0"/>
          <w:lang w:val="en-GB"/>
        </w:rPr>
        <w:t>SGLT2 inhibitors</w:t>
      </w:r>
      <w:r w:rsidR="00E2146B" w:rsidRPr="00416897">
        <w:rPr>
          <w:rFonts w:asciiTheme="minorHAnsi" w:hAnsiTheme="minorHAnsi"/>
          <w:snapToGrid w:val="0"/>
          <w:lang w:val="en-GB"/>
        </w:rPr>
        <w:t xml:space="preserve"> for CKD in the incremental population.</w:t>
      </w:r>
    </w:p>
    <w:p w14:paraId="2A3BA26F" w14:textId="15584587" w:rsidR="00DF61E6" w:rsidRPr="00686327" w:rsidRDefault="004C3FF0" w:rsidP="00C11725">
      <w:pPr>
        <w:widowControl w:val="0"/>
        <w:numPr>
          <w:ilvl w:val="1"/>
          <w:numId w:val="33"/>
        </w:numPr>
        <w:spacing w:after="120"/>
        <w:rPr>
          <w:rFonts w:asciiTheme="minorHAnsi" w:hAnsiTheme="minorHAnsi"/>
          <w:snapToGrid w:val="0"/>
          <w:lang w:val="en-GB"/>
        </w:rPr>
      </w:pPr>
      <w:r>
        <w:t xml:space="preserve">The PBAC </w:t>
      </w:r>
      <w:r w:rsidR="000C01B4">
        <w:t>considered e</w:t>
      </w:r>
      <w:r>
        <w:t>mpa</w:t>
      </w:r>
      <w:r w:rsidR="000C01B4">
        <w:t>gliflozin was</w:t>
      </w:r>
      <w:r>
        <w:t xml:space="preserve"> effective in both </w:t>
      </w:r>
      <w:r w:rsidR="00457CB2">
        <w:t xml:space="preserve">the </w:t>
      </w:r>
      <w:r>
        <w:t>incremental and overlap pop</w:t>
      </w:r>
      <w:r w:rsidR="000C01B4">
        <w:t>ulations,</w:t>
      </w:r>
      <w:r>
        <w:t xml:space="preserve"> </w:t>
      </w:r>
      <w:r w:rsidR="000C01B4">
        <w:t>noting the magnitude of benefit would be</w:t>
      </w:r>
      <w:r>
        <w:t xml:space="preserve"> slightly less</w:t>
      </w:r>
      <w:r w:rsidR="00956D52">
        <w:t>, but still clinically meaningful,</w:t>
      </w:r>
      <w:r>
        <w:t xml:space="preserve"> </w:t>
      </w:r>
      <w:r w:rsidR="000C01B4">
        <w:t>i</w:t>
      </w:r>
      <w:r>
        <w:t>n</w:t>
      </w:r>
      <w:r w:rsidR="000C01B4">
        <w:t xml:space="preserve"> the</w:t>
      </w:r>
      <w:r>
        <w:t xml:space="preserve"> </w:t>
      </w:r>
      <w:r w:rsidR="000C01B4" w:rsidRPr="002676FF">
        <w:t xml:space="preserve">UACR &lt;200mg/g </w:t>
      </w:r>
      <w:r w:rsidR="00956D52">
        <w:t>subgroup</w:t>
      </w:r>
      <w:r w:rsidR="00B05AB2">
        <w:t xml:space="preserve"> in the long-term</w:t>
      </w:r>
      <w:r w:rsidR="00956D52">
        <w:t>. The PBAC noted</w:t>
      </w:r>
      <w:r w:rsidR="00BB5F58">
        <w:t xml:space="preserve"> most patients </w:t>
      </w:r>
      <w:r w:rsidR="00203F98">
        <w:t xml:space="preserve">accessing PBS treatment would </w:t>
      </w:r>
      <w:r w:rsidR="00686327">
        <w:t>have a higher UACR.</w:t>
      </w:r>
      <w:r w:rsidR="00276253">
        <w:t xml:space="preserve"> </w:t>
      </w:r>
      <w:r w:rsidR="00826393" w:rsidRPr="00686327">
        <w:rPr>
          <w:rFonts w:asciiTheme="minorHAnsi" w:hAnsiTheme="minorHAnsi"/>
          <w:snapToGrid w:val="0"/>
          <w:lang w:val="en-GB"/>
        </w:rPr>
        <w:t>Overall, the PBAC wa</w:t>
      </w:r>
      <w:r w:rsidR="00A163DE" w:rsidRPr="00686327">
        <w:rPr>
          <w:rFonts w:asciiTheme="minorHAnsi" w:hAnsiTheme="minorHAnsi"/>
          <w:snapToGrid w:val="0"/>
          <w:lang w:val="en-GB"/>
        </w:rPr>
        <w:t>s</w:t>
      </w:r>
      <w:r w:rsidR="00826393" w:rsidRPr="00686327">
        <w:rPr>
          <w:rFonts w:asciiTheme="minorHAnsi" w:hAnsiTheme="minorHAnsi"/>
          <w:snapToGrid w:val="0"/>
          <w:lang w:val="en-GB"/>
        </w:rPr>
        <w:t xml:space="preserve"> satisfied that</w:t>
      </w:r>
      <w:r w:rsidR="00A163DE" w:rsidRPr="00686327">
        <w:rPr>
          <w:rFonts w:asciiTheme="minorHAnsi" w:hAnsiTheme="minorHAnsi"/>
          <w:snapToGrid w:val="0"/>
          <w:lang w:val="en-GB"/>
        </w:rPr>
        <w:t>, despite the remaining uncertainty in the absolute magnitude of benefit, the claim of superior effectiveness in the incremental population compared to placebo</w:t>
      </w:r>
      <w:r w:rsidR="00D13B0D" w:rsidRPr="00686327">
        <w:rPr>
          <w:rFonts w:asciiTheme="minorHAnsi" w:hAnsiTheme="minorHAnsi"/>
          <w:snapToGrid w:val="0"/>
          <w:lang w:val="en-GB"/>
        </w:rPr>
        <w:t xml:space="preserve"> plu</w:t>
      </w:r>
      <w:r w:rsidR="005645A1" w:rsidRPr="00686327">
        <w:rPr>
          <w:rFonts w:asciiTheme="minorHAnsi" w:hAnsiTheme="minorHAnsi"/>
          <w:snapToGrid w:val="0"/>
          <w:lang w:val="en-GB"/>
        </w:rPr>
        <w:t>s</w:t>
      </w:r>
      <w:r w:rsidR="00A163DE" w:rsidRPr="00686327">
        <w:rPr>
          <w:rFonts w:asciiTheme="minorHAnsi" w:hAnsiTheme="minorHAnsi"/>
          <w:snapToGrid w:val="0"/>
          <w:lang w:val="en-GB"/>
        </w:rPr>
        <w:t xml:space="preserve"> standard care was </w:t>
      </w:r>
      <w:r w:rsidR="008939EA" w:rsidRPr="00686327">
        <w:rPr>
          <w:rFonts w:asciiTheme="minorHAnsi" w:hAnsiTheme="minorHAnsi"/>
          <w:snapToGrid w:val="0"/>
          <w:lang w:val="en-GB"/>
        </w:rPr>
        <w:t>reasonable</w:t>
      </w:r>
      <w:r w:rsidR="00A163DE" w:rsidRPr="00686327">
        <w:rPr>
          <w:rFonts w:asciiTheme="minorHAnsi" w:hAnsiTheme="minorHAnsi"/>
          <w:snapToGrid w:val="0"/>
          <w:lang w:val="en-GB"/>
        </w:rPr>
        <w:t>.</w:t>
      </w:r>
    </w:p>
    <w:p w14:paraId="17D697DA" w14:textId="77777777" w:rsidR="00276253" w:rsidRDefault="008B1338" w:rsidP="00104361">
      <w:pPr>
        <w:widowControl w:val="0"/>
        <w:numPr>
          <w:ilvl w:val="1"/>
          <w:numId w:val="33"/>
        </w:numPr>
        <w:spacing w:after="120"/>
      </w:pPr>
      <w:r w:rsidRPr="008939EA">
        <w:rPr>
          <w:rFonts w:asciiTheme="minorHAnsi" w:hAnsiTheme="minorHAnsi"/>
          <w:snapToGrid w:val="0"/>
          <w:lang w:val="en-GB"/>
        </w:rPr>
        <w:t xml:space="preserve">The PBAC </w:t>
      </w:r>
      <w:r w:rsidR="006E448E">
        <w:rPr>
          <w:rFonts w:asciiTheme="minorHAnsi" w:hAnsiTheme="minorHAnsi"/>
          <w:snapToGrid w:val="0"/>
          <w:lang w:val="en-GB"/>
        </w:rPr>
        <w:t xml:space="preserve">reaffirmed its </w:t>
      </w:r>
      <w:r w:rsidR="00337B16" w:rsidRPr="008939EA">
        <w:rPr>
          <w:rFonts w:asciiTheme="minorHAnsi" w:hAnsiTheme="minorHAnsi"/>
          <w:snapToGrid w:val="0"/>
          <w:lang w:val="en-GB"/>
        </w:rPr>
        <w:t>previous consider</w:t>
      </w:r>
      <w:r w:rsidR="006E448E">
        <w:rPr>
          <w:rFonts w:asciiTheme="minorHAnsi" w:hAnsiTheme="minorHAnsi"/>
          <w:snapToGrid w:val="0"/>
          <w:lang w:val="en-GB"/>
        </w:rPr>
        <w:t>ation</w:t>
      </w:r>
      <w:r w:rsidR="00337B16" w:rsidRPr="008939EA">
        <w:rPr>
          <w:rFonts w:asciiTheme="minorHAnsi" w:hAnsiTheme="minorHAnsi"/>
          <w:snapToGrid w:val="0"/>
          <w:lang w:val="en-GB"/>
        </w:rPr>
        <w:t xml:space="preserve"> </w:t>
      </w:r>
      <w:r w:rsidR="00946DBF" w:rsidRPr="008939EA">
        <w:rPr>
          <w:rFonts w:asciiTheme="minorHAnsi" w:hAnsiTheme="minorHAnsi"/>
          <w:snapToGrid w:val="0"/>
          <w:lang w:val="en-GB"/>
        </w:rPr>
        <w:t>that</w:t>
      </w:r>
      <w:r w:rsidRPr="008939EA">
        <w:rPr>
          <w:rFonts w:asciiTheme="minorHAnsi" w:hAnsiTheme="minorHAnsi"/>
          <w:snapToGrid w:val="0"/>
          <w:lang w:val="en-GB"/>
        </w:rPr>
        <w:t xml:space="preserve"> a claim of non-inferior comparative safety </w:t>
      </w:r>
      <w:r w:rsidR="00946DBF" w:rsidRPr="008939EA">
        <w:rPr>
          <w:rFonts w:asciiTheme="minorHAnsi" w:hAnsiTheme="minorHAnsi"/>
          <w:snapToGrid w:val="0"/>
          <w:lang w:val="en-GB"/>
        </w:rPr>
        <w:t xml:space="preserve">for empagliflozin versus </w:t>
      </w:r>
      <w:r w:rsidR="00541D45" w:rsidRPr="008939EA">
        <w:rPr>
          <w:rFonts w:asciiTheme="minorHAnsi" w:hAnsiTheme="minorHAnsi"/>
          <w:snapToGrid w:val="0"/>
          <w:lang w:val="en-GB"/>
        </w:rPr>
        <w:t>p</w:t>
      </w:r>
      <w:r w:rsidR="009133FC" w:rsidRPr="008939EA">
        <w:rPr>
          <w:rFonts w:asciiTheme="minorHAnsi" w:hAnsiTheme="minorHAnsi"/>
          <w:snapToGrid w:val="0"/>
          <w:lang w:val="en-GB"/>
        </w:rPr>
        <w:t>lacebo</w:t>
      </w:r>
      <w:r w:rsidR="005645A1">
        <w:rPr>
          <w:rFonts w:asciiTheme="minorHAnsi" w:hAnsiTheme="minorHAnsi"/>
          <w:snapToGrid w:val="0"/>
          <w:lang w:val="en-GB"/>
        </w:rPr>
        <w:t xml:space="preserve"> plus standard care</w:t>
      </w:r>
      <w:r w:rsidR="00541D45" w:rsidRPr="008939EA">
        <w:rPr>
          <w:rFonts w:asciiTheme="minorHAnsi" w:hAnsiTheme="minorHAnsi"/>
          <w:snapToGrid w:val="0"/>
          <w:lang w:val="en-GB"/>
        </w:rPr>
        <w:t xml:space="preserve"> in the incremental population was reasonable</w:t>
      </w:r>
      <w:r w:rsidR="00037565" w:rsidRPr="008939EA">
        <w:rPr>
          <w:rFonts w:asciiTheme="minorHAnsi" w:hAnsiTheme="minorHAnsi"/>
          <w:snapToGrid w:val="0"/>
          <w:lang w:val="en-GB"/>
        </w:rPr>
        <w:t xml:space="preserve"> (para 6.50, empagliflozin</w:t>
      </w:r>
      <w:r w:rsidR="00037565" w:rsidRPr="00037565">
        <w:t xml:space="preserve"> PSD, November 2023 PBAC meeting).</w:t>
      </w:r>
    </w:p>
    <w:p w14:paraId="34776E2C" w14:textId="77777777" w:rsidR="00276253" w:rsidRDefault="005C17B2" w:rsidP="00104361">
      <w:pPr>
        <w:widowControl w:val="0"/>
        <w:numPr>
          <w:ilvl w:val="1"/>
          <w:numId w:val="33"/>
        </w:numPr>
        <w:spacing w:after="120"/>
        <w:rPr>
          <w:rFonts w:asciiTheme="minorHAnsi" w:hAnsiTheme="minorHAnsi"/>
          <w:snapToGrid w:val="0"/>
          <w:lang w:val="en-GB"/>
        </w:rPr>
      </w:pPr>
      <w:r w:rsidRPr="00B633BA">
        <w:rPr>
          <w:snapToGrid w:val="0"/>
          <w:lang w:val="en-GB"/>
        </w:rPr>
        <w:t xml:space="preserve">The PBAC noted the </w:t>
      </w:r>
      <w:r>
        <w:rPr>
          <w:snapToGrid w:val="0"/>
          <w:lang w:val="en-GB"/>
        </w:rPr>
        <w:t>re</w:t>
      </w:r>
      <w:r w:rsidRPr="00B633BA">
        <w:rPr>
          <w:snapToGrid w:val="0"/>
          <w:lang w:val="en-GB"/>
        </w:rPr>
        <w:t xml:space="preserve">submission presented a </w:t>
      </w:r>
      <w:r w:rsidR="00965EBB">
        <w:rPr>
          <w:snapToGrid w:val="0"/>
          <w:lang w:val="en-GB"/>
        </w:rPr>
        <w:t xml:space="preserve">revised </w:t>
      </w:r>
      <w:r w:rsidR="001E727A">
        <w:rPr>
          <w:snapToGrid w:val="0"/>
          <w:lang w:val="en-GB"/>
        </w:rPr>
        <w:t xml:space="preserve">simplified </w:t>
      </w:r>
      <w:r w:rsidR="00AF10F0" w:rsidRPr="00943E26">
        <w:rPr>
          <w:rFonts w:asciiTheme="minorHAnsi" w:hAnsiTheme="minorHAnsi"/>
          <w:snapToGrid w:val="0"/>
          <w:lang w:val="en-GB"/>
        </w:rPr>
        <w:t xml:space="preserve">model structure aligned with that used in the dapagliflozin submission in response to the PBAC’s view </w:t>
      </w:r>
      <w:r w:rsidR="00334FE7" w:rsidRPr="00943E26">
        <w:rPr>
          <w:rFonts w:asciiTheme="minorHAnsi" w:hAnsiTheme="minorHAnsi"/>
          <w:snapToGrid w:val="0"/>
          <w:lang w:val="en-GB"/>
        </w:rPr>
        <w:t>that</w:t>
      </w:r>
      <w:r w:rsidR="00AF10F0" w:rsidRPr="00943E26">
        <w:rPr>
          <w:rFonts w:asciiTheme="minorHAnsi" w:hAnsiTheme="minorHAnsi"/>
          <w:snapToGrid w:val="0"/>
          <w:lang w:val="en-GB"/>
        </w:rPr>
        <w:t xml:space="preserve"> the economic analysis presented in the November 2023 </w:t>
      </w:r>
      <w:r w:rsidR="009E46F5" w:rsidRPr="00943E26">
        <w:rPr>
          <w:rFonts w:asciiTheme="minorHAnsi" w:hAnsiTheme="minorHAnsi"/>
          <w:snapToGrid w:val="0"/>
          <w:lang w:val="en-GB"/>
        </w:rPr>
        <w:t xml:space="preserve">empagliflozin </w:t>
      </w:r>
      <w:r w:rsidR="00AF10F0" w:rsidRPr="00943E26">
        <w:rPr>
          <w:rFonts w:asciiTheme="minorHAnsi" w:hAnsiTheme="minorHAnsi"/>
          <w:snapToGrid w:val="0"/>
          <w:lang w:val="en-GB"/>
        </w:rPr>
        <w:t>submission</w:t>
      </w:r>
      <w:r w:rsidR="004379CA">
        <w:rPr>
          <w:rFonts w:asciiTheme="minorHAnsi" w:hAnsiTheme="minorHAnsi"/>
          <w:snapToGrid w:val="0"/>
          <w:lang w:val="en-GB"/>
        </w:rPr>
        <w:t>, using microsimulation,</w:t>
      </w:r>
      <w:r w:rsidR="00AF10F0" w:rsidRPr="00943E26">
        <w:rPr>
          <w:rFonts w:asciiTheme="minorHAnsi" w:hAnsiTheme="minorHAnsi"/>
          <w:snapToGrid w:val="0"/>
          <w:lang w:val="en-GB"/>
        </w:rPr>
        <w:t xml:space="preserve"> was overly complex</w:t>
      </w:r>
      <w:r w:rsidR="00334FE7" w:rsidRPr="00943E26">
        <w:rPr>
          <w:rFonts w:asciiTheme="minorHAnsi" w:hAnsiTheme="minorHAnsi"/>
          <w:snapToGrid w:val="0"/>
          <w:lang w:val="en-GB"/>
        </w:rPr>
        <w:t>.</w:t>
      </w:r>
      <w:r w:rsidR="00AF10F0" w:rsidRPr="0071596B">
        <w:rPr>
          <w:rFonts w:asciiTheme="minorHAnsi" w:hAnsiTheme="minorHAnsi"/>
          <w:snapToGrid w:val="0"/>
          <w:lang w:val="en-GB"/>
        </w:rPr>
        <w:t xml:space="preserve"> </w:t>
      </w:r>
      <w:r w:rsidR="00613831">
        <w:rPr>
          <w:rFonts w:asciiTheme="minorHAnsi" w:hAnsiTheme="minorHAnsi"/>
          <w:snapToGrid w:val="0"/>
          <w:lang w:val="en-GB"/>
        </w:rPr>
        <w:t xml:space="preserve">The </w:t>
      </w:r>
      <w:r w:rsidR="00D93959">
        <w:rPr>
          <w:rFonts w:asciiTheme="minorHAnsi" w:hAnsiTheme="minorHAnsi"/>
          <w:snapToGrid w:val="0"/>
          <w:lang w:val="en-GB"/>
        </w:rPr>
        <w:t xml:space="preserve">resubmission </w:t>
      </w:r>
      <w:r w:rsidR="00613831">
        <w:rPr>
          <w:rFonts w:asciiTheme="minorHAnsi" w:hAnsiTheme="minorHAnsi"/>
          <w:snapToGrid w:val="0"/>
          <w:lang w:val="en-GB"/>
        </w:rPr>
        <w:t xml:space="preserve">model </w:t>
      </w:r>
      <w:r w:rsidR="00EC62C3">
        <w:rPr>
          <w:rFonts w:asciiTheme="minorHAnsi" w:hAnsiTheme="minorHAnsi"/>
          <w:snapToGrid w:val="0"/>
          <w:lang w:val="en-GB"/>
        </w:rPr>
        <w:t>combined</w:t>
      </w:r>
      <w:r w:rsidR="00EC62C3" w:rsidRPr="003B7C02">
        <w:t xml:space="preserve"> different CKD stages into a single CKD health state</w:t>
      </w:r>
      <w:r w:rsidR="00EC62C3">
        <w:t xml:space="preserve"> (stage 2-4)</w:t>
      </w:r>
      <w:r w:rsidR="00EC62C3" w:rsidRPr="003B7C02">
        <w:t xml:space="preserve"> and single ESKD health state</w:t>
      </w:r>
      <w:r w:rsidR="00613831">
        <w:rPr>
          <w:rFonts w:asciiTheme="minorHAnsi" w:hAnsiTheme="minorHAnsi"/>
          <w:snapToGrid w:val="0"/>
          <w:lang w:val="en-GB"/>
        </w:rPr>
        <w:t xml:space="preserve"> </w:t>
      </w:r>
      <w:r w:rsidR="00EC62C3">
        <w:rPr>
          <w:rFonts w:asciiTheme="minorHAnsi" w:hAnsiTheme="minorHAnsi"/>
          <w:snapToGrid w:val="0"/>
          <w:lang w:val="en-GB"/>
        </w:rPr>
        <w:t>(</w:t>
      </w:r>
      <w:r w:rsidR="00EC62C3">
        <w:t xml:space="preserve">conservative care, dialysis, transplant) and death. </w:t>
      </w:r>
      <w:r w:rsidR="00164623" w:rsidRPr="0071596B">
        <w:rPr>
          <w:rFonts w:asciiTheme="minorHAnsi" w:hAnsiTheme="minorHAnsi"/>
          <w:snapToGrid w:val="0"/>
          <w:lang w:val="en-GB"/>
        </w:rPr>
        <w:t>The PB</w:t>
      </w:r>
      <w:r w:rsidR="00BA08AE">
        <w:rPr>
          <w:rFonts w:asciiTheme="minorHAnsi" w:hAnsiTheme="minorHAnsi"/>
          <w:snapToGrid w:val="0"/>
          <w:lang w:val="en-GB"/>
        </w:rPr>
        <w:t>A</w:t>
      </w:r>
      <w:r w:rsidR="00164623" w:rsidRPr="0071596B">
        <w:rPr>
          <w:rFonts w:asciiTheme="minorHAnsi" w:hAnsiTheme="minorHAnsi"/>
          <w:snapToGrid w:val="0"/>
          <w:lang w:val="en-GB"/>
        </w:rPr>
        <w:t>C no</w:t>
      </w:r>
      <w:r w:rsidR="0071596B" w:rsidRPr="0071596B">
        <w:rPr>
          <w:rFonts w:asciiTheme="minorHAnsi" w:hAnsiTheme="minorHAnsi"/>
          <w:snapToGrid w:val="0"/>
          <w:lang w:val="en-GB"/>
        </w:rPr>
        <w:t>t</w:t>
      </w:r>
      <w:r w:rsidR="00164623" w:rsidRPr="0071596B">
        <w:rPr>
          <w:rFonts w:asciiTheme="minorHAnsi" w:hAnsiTheme="minorHAnsi"/>
          <w:snapToGrid w:val="0"/>
          <w:lang w:val="en-GB"/>
        </w:rPr>
        <w:t xml:space="preserve">ed the ESC’s concerns </w:t>
      </w:r>
      <w:r w:rsidR="0071596B" w:rsidRPr="0071596B">
        <w:rPr>
          <w:rFonts w:asciiTheme="minorHAnsi" w:hAnsiTheme="minorHAnsi"/>
          <w:snapToGrid w:val="0"/>
          <w:lang w:val="en-GB"/>
        </w:rPr>
        <w:t xml:space="preserve">regarding the </w:t>
      </w:r>
      <w:r w:rsidR="0071596B">
        <w:rPr>
          <w:rFonts w:asciiTheme="minorHAnsi" w:hAnsiTheme="minorHAnsi"/>
          <w:snapToGrid w:val="0"/>
          <w:lang w:val="en-GB"/>
        </w:rPr>
        <w:t>r</w:t>
      </w:r>
      <w:r w:rsidR="0071596B" w:rsidRPr="0071596B">
        <w:rPr>
          <w:rFonts w:asciiTheme="minorHAnsi" w:hAnsiTheme="minorHAnsi"/>
          <w:snapToGrid w:val="0"/>
          <w:lang w:val="en-GB"/>
        </w:rPr>
        <w:t>esubmission model, particularly</w:t>
      </w:r>
      <w:r w:rsidR="008131B1">
        <w:rPr>
          <w:rFonts w:asciiTheme="minorHAnsi" w:hAnsiTheme="minorHAnsi"/>
          <w:snapToGrid w:val="0"/>
          <w:lang w:val="en-GB"/>
        </w:rPr>
        <w:t xml:space="preserve"> that:</w:t>
      </w:r>
    </w:p>
    <w:p w14:paraId="30C01A3B" w14:textId="7121B05A" w:rsidR="008131B1" w:rsidRPr="007C0A37" w:rsidRDefault="00BA08AE" w:rsidP="00143ECC">
      <w:pPr>
        <w:pStyle w:val="COMexecsummnumbered"/>
        <w:numPr>
          <w:ilvl w:val="1"/>
          <w:numId w:val="32"/>
        </w:numPr>
        <w:ind w:left="1134"/>
        <w:rPr>
          <w:snapToGrid w:val="0"/>
          <w:lang w:val="en-GB"/>
        </w:rPr>
      </w:pPr>
      <w:r>
        <w:t>m</w:t>
      </w:r>
      <w:r w:rsidR="008131B1">
        <w:t xml:space="preserve">odelled risks of </w:t>
      </w:r>
      <w:r w:rsidR="00B62986">
        <w:t>events</w:t>
      </w:r>
      <w:r w:rsidR="008131B1">
        <w:t xml:space="preserve"> were heavily weighted by </w:t>
      </w:r>
      <w:r w:rsidR="008131B1" w:rsidRPr="007C0A37">
        <w:t>patients with eGFR</w:t>
      </w:r>
      <w:r w:rsidR="00391D1C">
        <w:t> </w:t>
      </w:r>
      <w:r w:rsidR="008131B1" w:rsidRPr="007C0A37">
        <w:t>&lt;45 mL/min/1.73m</w:t>
      </w:r>
      <w:r w:rsidR="008131B1" w:rsidRPr="007C0A37">
        <w:rPr>
          <w:vertAlign w:val="superscript"/>
        </w:rPr>
        <w:t>2</w:t>
      </w:r>
      <w:r w:rsidR="008131B1" w:rsidRPr="007C0A37">
        <w:t xml:space="preserve"> which may not be applicable to patients with milder disease</w:t>
      </w:r>
    </w:p>
    <w:p w14:paraId="54BB2119" w14:textId="5880B185" w:rsidR="008131B1" w:rsidRPr="0034649F" w:rsidRDefault="00BA08AE" w:rsidP="00143ECC">
      <w:pPr>
        <w:pStyle w:val="COMexecsummnumbered"/>
        <w:numPr>
          <w:ilvl w:val="1"/>
          <w:numId w:val="32"/>
        </w:numPr>
        <w:ind w:left="1134"/>
        <w:rPr>
          <w:snapToGrid w:val="0"/>
        </w:rPr>
      </w:pPr>
      <w:r>
        <w:rPr>
          <w:snapToGrid w:val="0"/>
        </w:rPr>
        <w:t>e</w:t>
      </w:r>
      <w:r w:rsidR="008131B1" w:rsidRPr="001815C7">
        <w:rPr>
          <w:snapToGrid w:val="0"/>
        </w:rPr>
        <w:t xml:space="preserve">stimates of </w:t>
      </w:r>
      <w:r w:rsidR="008131B1" w:rsidRPr="0034649F">
        <w:rPr>
          <w:snapToGrid w:val="0"/>
        </w:rPr>
        <w:t>ESKD treatment</w:t>
      </w:r>
      <w:r w:rsidR="008131B1" w:rsidRPr="001815C7">
        <w:rPr>
          <w:snapToGrid w:val="0"/>
        </w:rPr>
        <w:t xml:space="preserve"> duration, persistence and discontinuation</w:t>
      </w:r>
      <w:r w:rsidR="008131B1" w:rsidRPr="0034649F">
        <w:rPr>
          <w:snapToGrid w:val="0"/>
        </w:rPr>
        <w:t xml:space="preserve"> and</w:t>
      </w:r>
      <w:r w:rsidR="008131B1" w:rsidRPr="001815C7">
        <w:rPr>
          <w:snapToGrid w:val="0"/>
        </w:rPr>
        <w:t xml:space="preserve"> the</w:t>
      </w:r>
      <w:r w:rsidR="008131B1" w:rsidRPr="0034649F">
        <w:rPr>
          <w:snapToGrid w:val="0"/>
        </w:rPr>
        <w:t xml:space="preserve"> </w:t>
      </w:r>
      <w:r w:rsidR="008131B1" w:rsidRPr="001815C7">
        <w:rPr>
          <w:snapToGrid w:val="0"/>
        </w:rPr>
        <w:t xml:space="preserve">associated </w:t>
      </w:r>
      <w:r w:rsidR="008131B1" w:rsidRPr="0034649F">
        <w:rPr>
          <w:snapToGrid w:val="0"/>
        </w:rPr>
        <w:t>costs and ongoing treatment benefits may not be appropriate</w:t>
      </w:r>
    </w:p>
    <w:p w14:paraId="13130DBF" w14:textId="77777777" w:rsidR="00276253" w:rsidRDefault="00BA08AE" w:rsidP="00143ECC">
      <w:pPr>
        <w:pStyle w:val="COMexecsummnumbered"/>
        <w:numPr>
          <w:ilvl w:val="1"/>
          <w:numId w:val="32"/>
        </w:numPr>
        <w:ind w:left="1134"/>
        <w:rPr>
          <w:snapToGrid w:val="0"/>
          <w:lang w:val="en-GB"/>
        </w:rPr>
      </w:pPr>
      <w:r>
        <w:rPr>
          <w:snapToGrid w:val="0"/>
          <w:lang w:val="en-GB"/>
        </w:rPr>
        <w:lastRenderedPageBreak/>
        <w:t>w</w:t>
      </w:r>
      <w:r w:rsidR="008131B1">
        <w:rPr>
          <w:snapToGrid w:val="0"/>
          <w:lang w:val="en-GB"/>
        </w:rPr>
        <w:t>hile many of the sensitivity analyses resulted in the ICER being dominant, the estimated ICER was highly dependent on the choice of extrapolation function and thus uncertain</w:t>
      </w:r>
    </w:p>
    <w:p w14:paraId="65270AC8" w14:textId="6B395F89" w:rsidR="00573360" w:rsidRPr="001639CD" w:rsidRDefault="001639CD" w:rsidP="00143ECC">
      <w:pPr>
        <w:pStyle w:val="COMexecsummnumbered"/>
        <w:numPr>
          <w:ilvl w:val="1"/>
          <w:numId w:val="32"/>
        </w:numPr>
        <w:ind w:left="1134"/>
        <w:rPr>
          <w:snapToGrid w:val="0"/>
          <w:lang w:val="en-GB"/>
        </w:rPr>
      </w:pPr>
      <w:r>
        <w:t>99.7% of the incremental QALYs was accrued during the extrapolation period</w:t>
      </w:r>
    </w:p>
    <w:p w14:paraId="47E5F03C" w14:textId="0267672D" w:rsidR="00573360" w:rsidRDefault="00573360" w:rsidP="008262E7">
      <w:pPr>
        <w:pStyle w:val="COMexecsummnumbered"/>
        <w:numPr>
          <w:ilvl w:val="0"/>
          <w:numId w:val="0"/>
        </w:numPr>
        <w:ind w:left="720" w:hanging="11"/>
      </w:pPr>
      <w:r w:rsidRPr="00573360">
        <w:rPr>
          <w:snapToGrid w:val="0"/>
          <w:lang w:val="en-GB"/>
        </w:rPr>
        <w:t xml:space="preserve">The PBAC considered that the issues with the revised economic model in the resubmission </w:t>
      </w:r>
      <w:r w:rsidR="008C3C5C" w:rsidRPr="00573360">
        <w:rPr>
          <w:snapToGrid w:val="0"/>
          <w:lang w:val="en-GB"/>
        </w:rPr>
        <w:t>were</w:t>
      </w:r>
      <w:r>
        <w:t xml:space="preserve"> mostly driven by deficiencies in clinical data.</w:t>
      </w:r>
    </w:p>
    <w:p w14:paraId="052993A4" w14:textId="095E8A91" w:rsidR="00276253" w:rsidRDefault="00906DC4" w:rsidP="008C077F">
      <w:pPr>
        <w:widowControl w:val="0"/>
        <w:numPr>
          <w:ilvl w:val="1"/>
          <w:numId w:val="33"/>
        </w:numPr>
        <w:spacing w:after="120"/>
      </w:pPr>
      <w:r w:rsidRPr="008C077F">
        <w:rPr>
          <w:snapToGrid w:val="0"/>
          <w:lang w:val="en-GB"/>
        </w:rPr>
        <w:t xml:space="preserve">An additional sensitivity analysis </w:t>
      </w:r>
      <w:r w:rsidR="00610837" w:rsidRPr="008C077F">
        <w:rPr>
          <w:snapToGrid w:val="0"/>
          <w:lang w:val="en-GB"/>
        </w:rPr>
        <w:t>presented in the pre-PBAC response</w:t>
      </w:r>
      <w:r w:rsidR="009F39CC" w:rsidRPr="008C077F">
        <w:rPr>
          <w:snapToGrid w:val="0"/>
          <w:lang w:val="en-GB"/>
        </w:rPr>
        <w:t xml:space="preserve"> </w:t>
      </w:r>
      <w:r w:rsidR="00E66C1D" w:rsidRPr="008C077F">
        <w:rPr>
          <w:snapToGrid w:val="0"/>
          <w:lang w:val="en-GB"/>
        </w:rPr>
        <w:t>adjusted risk of CKD to ESKD to be the same as placebo</w:t>
      </w:r>
      <w:r w:rsidR="00286D57" w:rsidRPr="008C077F">
        <w:rPr>
          <w:snapToGrid w:val="0"/>
          <w:lang w:val="en-GB"/>
        </w:rPr>
        <w:t xml:space="preserve"> plus standard of care and starting at month 38 and full convergence at 180 months </w:t>
      </w:r>
      <w:r w:rsidR="00812BF6" w:rsidRPr="008C077F">
        <w:rPr>
          <w:snapToGrid w:val="0"/>
          <w:lang w:val="en-GB"/>
        </w:rPr>
        <w:t xml:space="preserve">and </w:t>
      </w:r>
      <w:r w:rsidR="00B510E1" w:rsidRPr="008C077F">
        <w:rPr>
          <w:snapToGrid w:val="0"/>
          <w:lang w:val="en-GB"/>
        </w:rPr>
        <w:t xml:space="preserve">resulted in an ICER of </w:t>
      </w:r>
      <w:r w:rsidR="00124C6A" w:rsidRPr="00124C6A">
        <w:rPr>
          <w:snapToGrid w:val="0"/>
        </w:rPr>
        <w:t>$5,000</w:t>
      </w:r>
      <w:r w:rsidR="00124C6A">
        <w:rPr>
          <w:snapToGrid w:val="0"/>
        </w:rPr>
        <w:t> </w:t>
      </w:r>
      <w:r w:rsidR="00124C6A" w:rsidRPr="00124C6A">
        <w:rPr>
          <w:snapToGrid w:val="0"/>
        </w:rPr>
        <w:t>to</w:t>
      </w:r>
      <w:r w:rsidR="00124C6A">
        <w:rPr>
          <w:snapToGrid w:val="0"/>
        </w:rPr>
        <w:t> </w:t>
      </w:r>
      <w:r w:rsidR="00124C6A" w:rsidRPr="00124C6A">
        <w:rPr>
          <w:snapToGrid w:val="0"/>
        </w:rPr>
        <w:t>&lt; $15,000</w:t>
      </w:r>
      <w:r w:rsidR="00124C6A">
        <w:rPr>
          <w:snapToGrid w:val="0"/>
        </w:rPr>
        <w:t xml:space="preserve"> </w:t>
      </w:r>
      <w:r w:rsidR="00812BF6" w:rsidRPr="008C077F">
        <w:rPr>
          <w:snapToGrid w:val="0"/>
          <w:lang w:val="en-GB"/>
        </w:rPr>
        <w:t xml:space="preserve">which </w:t>
      </w:r>
      <w:r w:rsidR="00214E3A" w:rsidRPr="008C077F">
        <w:rPr>
          <w:snapToGrid w:val="0"/>
          <w:lang w:val="en-GB"/>
        </w:rPr>
        <w:t xml:space="preserve">was considered by PBAC to be </w:t>
      </w:r>
      <w:r w:rsidR="00B764B7">
        <w:rPr>
          <w:snapToGrid w:val="0"/>
          <w:lang w:val="en-GB"/>
        </w:rPr>
        <w:t>more informative</w:t>
      </w:r>
      <w:r w:rsidR="00605DD8">
        <w:rPr>
          <w:snapToGrid w:val="0"/>
          <w:lang w:val="en-GB"/>
        </w:rPr>
        <w:t xml:space="preserve"> given the </w:t>
      </w:r>
      <w:r w:rsidR="005834DA">
        <w:rPr>
          <w:snapToGrid w:val="0"/>
          <w:lang w:val="en-GB"/>
        </w:rPr>
        <w:t>limited long-term evidence</w:t>
      </w:r>
      <w:r w:rsidR="00214E3A" w:rsidRPr="008C077F">
        <w:rPr>
          <w:snapToGrid w:val="0"/>
          <w:lang w:val="en-GB"/>
        </w:rPr>
        <w:t xml:space="preserve"> but still </w:t>
      </w:r>
      <w:r w:rsidR="00B764B7">
        <w:rPr>
          <w:snapToGrid w:val="0"/>
          <w:lang w:val="en-GB"/>
        </w:rPr>
        <w:t>likely</w:t>
      </w:r>
      <w:r w:rsidR="00214E3A" w:rsidRPr="008C077F">
        <w:rPr>
          <w:snapToGrid w:val="0"/>
          <w:lang w:val="en-GB"/>
        </w:rPr>
        <w:t xml:space="preserve"> optimistic</w:t>
      </w:r>
      <w:r w:rsidR="00DB6E67" w:rsidRPr="008C077F">
        <w:rPr>
          <w:snapToGrid w:val="0"/>
          <w:lang w:val="en-GB"/>
        </w:rPr>
        <w:t xml:space="preserve">. </w:t>
      </w:r>
      <w:r w:rsidR="00824697">
        <w:rPr>
          <w:snapToGrid w:val="0"/>
          <w:lang w:val="en-GB"/>
        </w:rPr>
        <w:t>T</w:t>
      </w:r>
      <w:r w:rsidR="00DB6E67" w:rsidRPr="008C077F">
        <w:rPr>
          <w:snapToGrid w:val="0"/>
          <w:lang w:val="en-GB"/>
        </w:rPr>
        <w:t>he PBAC noted that</w:t>
      </w:r>
      <w:r w:rsidR="00F12080">
        <w:rPr>
          <w:snapToGrid w:val="0"/>
          <w:lang w:val="en-GB"/>
        </w:rPr>
        <w:t>,</w:t>
      </w:r>
      <w:r w:rsidR="00DB6E67" w:rsidRPr="008C077F">
        <w:rPr>
          <w:snapToGrid w:val="0"/>
          <w:lang w:val="en-GB"/>
        </w:rPr>
        <w:t xml:space="preserve"> while multiple issues with the economic model </w:t>
      </w:r>
      <w:r w:rsidR="00F12080">
        <w:rPr>
          <w:snapToGrid w:val="0"/>
          <w:lang w:val="en-GB"/>
        </w:rPr>
        <w:t>created</w:t>
      </w:r>
      <w:r w:rsidR="00FC2000" w:rsidRPr="008C077F">
        <w:rPr>
          <w:snapToGrid w:val="0"/>
          <w:lang w:val="en-GB"/>
        </w:rPr>
        <w:t xml:space="preserve"> uncertainty, the ICER in the various sensitivity analyses were consistently low.</w:t>
      </w:r>
      <w:r w:rsidR="008C077F">
        <w:rPr>
          <w:snapToGrid w:val="0"/>
          <w:lang w:val="en-GB"/>
        </w:rPr>
        <w:t xml:space="preserve"> </w:t>
      </w:r>
      <w:r w:rsidR="00404600" w:rsidRPr="00121962">
        <w:t xml:space="preserve">The PBAC remained concerned that the model structure was not robust, however, at the </w:t>
      </w:r>
      <w:r w:rsidR="00404600">
        <w:t>recently reduced</w:t>
      </w:r>
      <w:r w:rsidR="00404600" w:rsidRPr="00121962">
        <w:t xml:space="preserve"> price</w:t>
      </w:r>
      <w:r w:rsidR="00F12080">
        <w:t>,</w:t>
      </w:r>
      <w:r w:rsidR="00404600" w:rsidRPr="00121962">
        <w:t xml:space="preserve"> the </w:t>
      </w:r>
      <w:r w:rsidR="00404600">
        <w:t>PBAC</w:t>
      </w:r>
      <w:r w:rsidR="00404600" w:rsidRPr="00121962">
        <w:t xml:space="preserve"> was confident that the ICER would be in an acceptable range, comparable to other treatments for chronic conditions.</w:t>
      </w:r>
    </w:p>
    <w:p w14:paraId="051BF141" w14:textId="2E24F8CB" w:rsidR="00614217" w:rsidRPr="00614217" w:rsidRDefault="00DF61E6" w:rsidP="00C11725">
      <w:pPr>
        <w:widowControl w:val="0"/>
        <w:numPr>
          <w:ilvl w:val="1"/>
          <w:numId w:val="33"/>
        </w:numPr>
        <w:spacing w:after="120"/>
      </w:pPr>
      <w:bookmarkStart w:id="62" w:name="_Ref199085537"/>
      <w:r w:rsidRPr="00980686">
        <w:rPr>
          <w:rFonts w:asciiTheme="minorHAnsi" w:hAnsiTheme="minorHAnsi"/>
          <w:snapToGrid w:val="0"/>
          <w:lang w:val="en-GB"/>
        </w:rPr>
        <w:t xml:space="preserve">PBAC </w:t>
      </w:r>
      <w:r w:rsidR="00515D18">
        <w:rPr>
          <w:rFonts w:asciiTheme="minorHAnsi" w:hAnsiTheme="minorHAnsi"/>
          <w:snapToGrid w:val="0"/>
          <w:lang w:val="en-GB"/>
        </w:rPr>
        <w:t xml:space="preserve">noted the </w:t>
      </w:r>
      <w:r w:rsidR="007502FB">
        <w:rPr>
          <w:rFonts w:asciiTheme="minorHAnsi" w:hAnsiTheme="minorHAnsi"/>
          <w:snapToGrid w:val="0"/>
          <w:lang w:val="en-GB"/>
        </w:rPr>
        <w:t xml:space="preserve">estimated eligible </w:t>
      </w:r>
      <w:proofErr w:type="gramStart"/>
      <w:r w:rsidR="007502FB">
        <w:rPr>
          <w:rFonts w:asciiTheme="minorHAnsi" w:hAnsiTheme="minorHAnsi"/>
          <w:snapToGrid w:val="0"/>
          <w:lang w:val="en-GB"/>
        </w:rPr>
        <w:t>population</w:t>
      </w:r>
      <w:proofErr w:type="gramEnd"/>
      <w:r w:rsidR="007502FB">
        <w:rPr>
          <w:rFonts w:asciiTheme="minorHAnsi" w:hAnsiTheme="minorHAnsi"/>
          <w:snapToGrid w:val="0"/>
          <w:lang w:val="en-GB"/>
        </w:rPr>
        <w:t xml:space="preserve"> </w:t>
      </w:r>
      <w:r w:rsidR="005A105F">
        <w:rPr>
          <w:rFonts w:asciiTheme="minorHAnsi" w:hAnsiTheme="minorHAnsi"/>
          <w:snapToGrid w:val="0"/>
          <w:lang w:val="en-GB"/>
        </w:rPr>
        <w:t xml:space="preserve">and </w:t>
      </w:r>
      <w:r w:rsidR="007502FB">
        <w:rPr>
          <w:rFonts w:asciiTheme="minorHAnsi" w:hAnsiTheme="minorHAnsi"/>
          <w:snapToGrid w:val="0"/>
          <w:lang w:val="en-GB"/>
        </w:rPr>
        <w:t>financial implications</w:t>
      </w:r>
      <w:r w:rsidR="005A105F">
        <w:rPr>
          <w:rFonts w:asciiTheme="minorHAnsi" w:hAnsiTheme="minorHAnsi"/>
          <w:snapToGrid w:val="0"/>
          <w:lang w:val="en-GB"/>
        </w:rPr>
        <w:t xml:space="preserve"> had increased since the November 2023 </w:t>
      </w:r>
      <w:r w:rsidR="00473FD6">
        <w:rPr>
          <w:rFonts w:asciiTheme="minorHAnsi" w:hAnsiTheme="minorHAnsi"/>
          <w:snapToGrid w:val="0"/>
          <w:lang w:val="en-GB"/>
        </w:rPr>
        <w:t>submission</w:t>
      </w:r>
      <w:r w:rsidR="00BE67DB" w:rsidRPr="00980686">
        <w:rPr>
          <w:rFonts w:asciiTheme="minorHAnsi" w:hAnsiTheme="minorHAnsi"/>
          <w:snapToGrid w:val="0"/>
          <w:lang w:val="en-GB"/>
        </w:rPr>
        <w:t xml:space="preserve">. </w:t>
      </w:r>
      <w:r w:rsidR="00B85CB3">
        <w:rPr>
          <w:rFonts w:asciiTheme="minorHAnsi" w:hAnsiTheme="minorHAnsi"/>
          <w:snapToGrid w:val="0"/>
          <w:lang w:val="en-GB"/>
        </w:rPr>
        <w:t>The</w:t>
      </w:r>
      <w:r w:rsidR="00BE67DB" w:rsidRPr="00980686">
        <w:rPr>
          <w:rFonts w:asciiTheme="minorHAnsi" w:hAnsiTheme="minorHAnsi"/>
          <w:snapToGrid w:val="0"/>
          <w:lang w:val="en-GB"/>
        </w:rPr>
        <w:t xml:space="preserve"> </w:t>
      </w:r>
      <w:r w:rsidR="0033514A" w:rsidRPr="00980686">
        <w:rPr>
          <w:rFonts w:asciiTheme="minorHAnsi" w:hAnsiTheme="minorHAnsi"/>
          <w:snapToGrid w:val="0"/>
          <w:lang w:val="en-GB"/>
        </w:rPr>
        <w:t xml:space="preserve">PBAC </w:t>
      </w:r>
      <w:r w:rsidR="00BE67DB" w:rsidRPr="00980686">
        <w:rPr>
          <w:rFonts w:asciiTheme="minorHAnsi" w:hAnsiTheme="minorHAnsi"/>
          <w:snapToGrid w:val="0"/>
          <w:lang w:val="en-GB"/>
        </w:rPr>
        <w:t xml:space="preserve">noted </w:t>
      </w:r>
      <w:r w:rsidR="0033514A" w:rsidRPr="00980686">
        <w:rPr>
          <w:rFonts w:asciiTheme="minorHAnsi" w:hAnsiTheme="minorHAnsi"/>
          <w:snapToGrid w:val="0"/>
          <w:lang w:val="en-GB"/>
        </w:rPr>
        <w:t xml:space="preserve">that </w:t>
      </w:r>
      <w:r w:rsidRPr="00980686">
        <w:rPr>
          <w:rFonts w:asciiTheme="minorHAnsi" w:hAnsiTheme="minorHAnsi"/>
          <w:snapToGrid w:val="0"/>
          <w:lang w:val="en-GB"/>
        </w:rPr>
        <w:t>estimated uptake rate</w:t>
      </w:r>
      <w:r w:rsidR="002F7116" w:rsidRPr="00980686">
        <w:rPr>
          <w:rFonts w:asciiTheme="minorHAnsi" w:hAnsiTheme="minorHAnsi"/>
          <w:snapToGrid w:val="0"/>
          <w:lang w:val="en-GB"/>
        </w:rPr>
        <w:t>s</w:t>
      </w:r>
      <w:r w:rsidR="002F7116" w:rsidRPr="003C6F89">
        <w:t xml:space="preserve">, previously considered </w:t>
      </w:r>
      <w:r w:rsidR="004D199A">
        <w:t xml:space="preserve">to have been </w:t>
      </w:r>
      <w:r w:rsidR="004D199A" w:rsidRPr="003C6F89">
        <w:t>underestimate</w:t>
      </w:r>
      <w:r w:rsidR="00BE67DB">
        <w:t>d</w:t>
      </w:r>
      <w:r w:rsidR="004D199A">
        <w:t xml:space="preserve"> </w:t>
      </w:r>
      <w:r w:rsidR="002F7116" w:rsidRPr="003C6F89">
        <w:t>by DUSC, were increased in the resubmission</w:t>
      </w:r>
      <w:r w:rsidR="002F7116">
        <w:t>.</w:t>
      </w:r>
      <w:r w:rsidR="002F7116" w:rsidRPr="003C6F89">
        <w:t xml:space="preserve"> </w:t>
      </w:r>
      <w:r w:rsidR="00C02EFE">
        <w:t>However, PBAC</w:t>
      </w:r>
      <w:r w:rsidR="00B46FF4">
        <w:t xml:space="preserve"> </w:t>
      </w:r>
      <w:r w:rsidR="004522B3">
        <w:t xml:space="preserve">noted </w:t>
      </w:r>
      <w:r w:rsidR="00B46FF4">
        <w:t>that</w:t>
      </w:r>
      <w:r w:rsidR="0063302D">
        <w:t xml:space="preserve"> </w:t>
      </w:r>
      <w:r w:rsidR="0063302D" w:rsidRPr="00980686">
        <w:rPr>
          <w:rFonts w:asciiTheme="minorHAnsi" w:hAnsiTheme="minorHAnsi"/>
          <w:snapToGrid w:val="0"/>
          <w:lang w:val="en-GB"/>
        </w:rPr>
        <w:t xml:space="preserve">in practice, </w:t>
      </w:r>
      <w:r w:rsidR="00B46FF4" w:rsidRPr="00980686">
        <w:rPr>
          <w:rFonts w:asciiTheme="minorHAnsi" w:hAnsiTheme="minorHAnsi"/>
          <w:snapToGrid w:val="0"/>
          <w:lang w:val="en-GB"/>
        </w:rPr>
        <w:t xml:space="preserve">uptake of medications for CKD </w:t>
      </w:r>
      <w:r w:rsidR="002C4904">
        <w:rPr>
          <w:rFonts w:asciiTheme="minorHAnsi" w:hAnsiTheme="minorHAnsi"/>
          <w:snapToGrid w:val="0"/>
          <w:lang w:val="en-GB"/>
        </w:rPr>
        <w:t>is</w:t>
      </w:r>
      <w:r w:rsidR="002C4904" w:rsidRPr="00980686">
        <w:rPr>
          <w:rFonts w:asciiTheme="minorHAnsi" w:hAnsiTheme="minorHAnsi"/>
          <w:snapToGrid w:val="0"/>
          <w:lang w:val="en-GB"/>
        </w:rPr>
        <w:t xml:space="preserve"> </w:t>
      </w:r>
      <w:r w:rsidR="00B46FF4">
        <w:rPr>
          <w:rFonts w:asciiTheme="minorHAnsi" w:hAnsiTheme="minorHAnsi"/>
          <w:snapToGrid w:val="0"/>
          <w:lang w:val="en-GB"/>
        </w:rPr>
        <w:t xml:space="preserve">generally </w:t>
      </w:r>
      <w:r w:rsidR="00B46FF4" w:rsidRPr="00980686">
        <w:rPr>
          <w:rFonts w:asciiTheme="minorHAnsi" w:hAnsiTheme="minorHAnsi"/>
          <w:snapToGrid w:val="0"/>
          <w:lang w:val="en-GB"/>
        </w:rPr>
        <w:t>low</w:t>
      </w:r>
      <w:r w:rsidR="00B46FF4">
        <w:rPr>
          <w:rFonts w:asciiTheme="minorHAnsi" w:hAnsiTheme="minorHAnsi"/>
          <w:snapToGrid w:val="0"/>
          <w:lang w:val="en-GB"/>
        </w:rPr>
        <w:t xml:space="preserve"> and </w:t>
      </w:r>
      <w:r w:rsidR="00A23637">
        <w:rPr>
          <w:rFonts w:asciiTheme="minorHAnsi" w:hAnsiTheme="minorHAnsi"/>
          <w:snapToGrid w:val="0"/>
          <w:lang w:val="en-GB"/>
        </w:rPr>
        <w:t xml:space="preserve">advised that </w:t>
      </w:r>
      <w:r w:rsidR="00B85CB3">
        <w:rPr>
          <w:rFonts w:asciiTheme="minorHAnsi" w:hAnsiTheme="minorHAnsi"/>
          <w:snapToGrid w:val="0"/>
          <w:lang w:val="en-GB"/>
        </w:rPr>
        <w:t xml:space="preserve">experience with uptake in the </w:t>
      </w:r>
      <w:r w:rsidR="00721D28">
        <w:rPr>
          <w:rFonts w:asciiTheme="minorHAnsi" w:hAnsiTheme="minorHAnsi"/>
          <w:snapToGrid w:val="0"/>
          <w:lang w:val="en-GB"/>
        </w:rPr>
        <w:t>overlap population</w:t>
      </w:r>
      <w:r w:rsidR="00A821BC">
        <w:rPr>
          <w:rFonts w:asciiTheme="minorHAnsi" w:hAnsiTheme="minorHAnsi"/>
          <w:snapToGrid w:val="0"/>
          <w:lang w:val="en-GB"/>
        </w:rPr>
        <w:t xml:space="preserve"> may be a </w:t>
      </w:r>
      <w:r w:rsidR="005F6FD8">
        <w:rPr>
          <w:rFonts w:asciiTheme="minorHAnsi" w:hAnsiTheme="minorHAnsi"/>
          <w:snapToGrid w:val="0"/>
          <w:lang w:val="en-GB"/>
        </w:rPr>
        <w:t>reasonable</w:t>
      </w:r>
      <w:r w:rsidR="00A821BC">
        <w:rPr>
          <w:rFonts w:asciiTheme="minorHAnsi" w:hAnsiTheme="minorHAnsi"/>
          <w:snapToGrid w:val="0"/>
          <w:lang w:val="en-GB"/>
        </w:rPr>
        <w:t xml:space="preserve"> indicator of </w:t>
      </w:r>
      <w:r w:rsidR="005F6FD8">
        <w:rPr>
          <w:rFonts w:asciiTheme="minorHAnsi" w:hAnsiTheme="minorHAnsi"/>
          <w:snapToGrid w:val="0"/>
          <w:lang w:val="en-GB"/>
        </w:rPr>
        <w:t>uptake in the incremental population</w:t>
      </w:r>
      <w:r w:rsidR="00C86102">
        <w:rPr>
          <w:rFonts w:asciiTheme="minorHAnsi" w:hAnsiTheme="minorHAnsi"/>
          <w:snapToGrid w:val="0"/>
          <w:lang w:val="en-GB"/>
        </w:rPr>
        <w:t>.</w:t>
      </w:r>
      <w:r w:rsidR="00C36B03">
        <w:rPr>
          <w:rFonts w:asciiTheme="minorHAnsi" w:hAnsiTheme="minorHAnsi"/>
          <w:snapToGrid w:val="0"/>
          <w:lang w:val="en-GB"/>
        </w:rPr>
        <w:t xml:space="preserve"> The PBA</w:t>
      </w:r>
      <w:r w:rsidR="003246C6">
        <w:rPr>
          <w:rFonts w:asciiTheme="minorHAnsi" w:hAnsiTheme="minorHAnsi"/>
          <w:snapToGrid w:val="0"/>
          <w:lang w:val="en-GB"/>
        </w:rPr>
        <w:t>C</w:t>
      </w:r>
      <w:r w:rsidR="00C36B03">
        <w:rPr>
          <w:rFonts w:asciiTheme="minorHAnsi" w:hAnsiTheme="minorHAnsi"/>
          <w:snapToGrid w:val="0"/>
          <w:lang w:val="en-GB"/>
        </w:rPr>
        <w:t xml:space="preserve"> </w:t>
      </w:r>
      <w:r w:rsidR="001154A7">
        <w:rPr>
          <w:rFonts w:asciiTheme="minorHAnsi" w:hAnsiTheme="minorHAnsi"/>
          <w:snapToGrid w:val="0"/>
          <w:lang w:val="en-GB"/>
        </w:rPr>
        <w:t xml:space="preserve">also </w:t>
      </w:r>
      <w:r w:rsidR="00C36B03">
        <w:rPr>
          <w:rFonts w:asciiTheme="minorHAnsi" w:hAnsiTheme="minorHAnsi"/>
          <w:snapToGrid w:val="0"/>
          <w:lang w:val="en-GB"/>
        </w:rPr>
        <w:t>noted the</w:t>
      </w:r>
      <w:r w:rsidR="003246C6">
        <w:rPr>
          <w:rFonts w:asciiTheme="minorHAnsi" w:hAnsiTheme="minorHAnsi"/>
          <w:snapToGrid w:val="0"/>
          <w:lang w:val="en-GB"/>
        </w:rPr>
        <w:t xml:space="preserve"> reduced price from 1 April 2025 resulted in a</w:t>
      </w:r>
      <w:r w:rsidR="001D19D9">
        <w:rPr>
          <w:rFonts w:asciiTheme="minorHAnsi" w:hAnsiTheme="minorHAnsi"/>
          <w:snapToGrid w:val="0"/>
          <w:lang w:val="en-GB"/>
        </w:rPr>
        <w:t xml:space="preserve"> </w:t>
      </w:r>
      <w:r w:rsidR="00F108C8" w:rsidRPr="00F108C8">
        <w:rPr>
          <w:rFonts w:asciiTheme="minorHAnsi" w:hAnsiTheme="minorHAnsi"/>
          <w:snapToGrid w:val="0"/>
          <w:lang w:val="en-GB"/>
        </w:rPr>
        <w:t>$10 million to &lt; $20 million</w:t>
      </w:r>
      <w:r w:rsidR="00276253">
        <w:t xml:space="preserve"> </w:t>
      </w:r>
      <w:r w:rsidR="001D19D9">
        <w:rPr>
          <w:rFonts w:asciiTheme="minorHAnsi" w:hAnsiTheme="minorHAnsi"/>
          <w:snapToGrid w:val="0"/>
          <w:lang w:val="en-GB"/>
        </w:rPr>
        <w:t>lower cost</w:t>
      </w:r>
      <w:r w:rsidR="003246C6">
        <w:rPr>
          <w:rFonts w:asciiTheme="minorHAnsi" w:hAnsiTheme="minorHAnsi"/>
          <w:snapToGrid w:val="0"/>
          <w:lang w:val="en-GB"/>
        </w:rPr>
        <w:t xml:space="preserve"> to the PBS </w:t>
      </w:r>
      <w:r w:rsidR="003246C6" w:rsidRPr="00FB5677">
        <w:t>over the six-year period</w:t>
      </w:r>
      <w:r w:rsidR="00D52894">
        <w:t xml:space="preserve">, compared to </w:t>
      </w:r>
      <w:r w:rsidR="00795103">
        <w:t xml:space="preserve">the cost based on </w:t>
      </w:r>
      <w:r w:rsidR="001D19D9">
        <w:t xml:space="preserve">previous </w:t>
      </w:r>
      <w:r w:rsidR="00D52894">
        <w:t>prices (se</w:t>
      </w:r>
      <w:r w:rsidR="00D64A87">
        <w:t>e</w:t>
      </w:r>
      <w:r w:rsidR="00D52894">
        <w:t xml:space="preserve"> paragraph </w:t>
      </w:r>
      <w:r w:rsidR="00D52894">
        <w:fldChar w:fldCharType="begin"/>
      </w:r>
      <w:r w:rsidR="00D52894">
        <w:instrText xml:space="preserve"> REF _Ref198908764 \r \h </w:instrText>
      </w:r>
      <w:r w:rsidR="00D52894">
        <w:fldChar w:fldCharType="separate"/>
      </w:r>
      <w:r w:rsidR="004A7850">
        <w:t>6.77</w:t>
      </w:r>
      <w:r w:rsidR="00D52894">
        <w:fldChar w:fldCharType="end"/>
      </w:r>
      <w:r w:rsidR="00D52894">
        <w:t>).</w:t>
      </w:r>
      <w:bookmarkEnd w:id="62"/>
    </w:p>
    <w:p w14:paraId="6F46381F" w14:textId="56F0291C" w:rsidR="00276253" w:rsidRDefault="00320CAA" w:rsidP="00C11725">
      <w:pPr>
        <w:widowControl w:val="0"/>
        <w:numPr>
          <w:ilvl w:val="1"/>
          <w:numId w:val="33"/>
        </w:numPr>
        <w:spacing w:after="120"/>
        <w:rPr>
          <w:rFonts w:asciiTheme="minorHAnsi" w:hAnsiTheme="minorHAnsi"/>
          <w:snapToGrid w:val="0"/>
          <w:lang w:val="en-GB"/>
        </w:rPr>
      </w:pPr>
      <w:r>
        <w:rPr>
          <w:rFonts w:asciiTheme="minorHAnsi" w:hAnsiTheme="minorHAnsi"/>
          <w:snapToGrid w:val="0"/>
          <w:lang w:val="en-GB"/>
        </w:rPr>
        <w:t>The PBAC</w:t>
      </w:r>
      <w:r w:rsidR="00BE6AD0">
        <w:rPr>
          <w:rFonts w:asciiTheme="minorHAnsi" w:hAnsiTheme="minorHAnsi"/>
          <w:snapToGrid w:val="0"/>
          <w:lang w:val="en-GB"/>
        </w:rPr>
        <w:t xml:space="preserve"> considered that </w:t>
      </w:r>
      <w:r w:rsidR="00775388">
        <w:rPr>
          <w:rFonts w:asciiTheme="minorHAnsi" w:hAnsiTheme="minorHAnsi"/>
          <w:snapToGrid w:val="0"/>
          <w:lang w:val="en-GB"/>
        </w:rPr>
        <w:t xml:space="preserve">an increase </w:t>
      </w:r>
      <w:r w:rsidR="001827FA">
        <w:rPr>
          <w:rFonts w:asciiTheme="minorHAnsi" w:hAnsiTheme="minorHAnsi"/>
          <w:snapToGrid w:val="0"/>
          <w:lang w:val="en-GB"/>
        </w:rPr>
        <w:t>to the current</w:t>
      </w:r>
      <w:r w:rsidR="00BE6AD0">
        <w:rPr>
          <w:rFonts w:asciiTheme="minorHAnsi" w:hAnsiTheme="minorHAnsi"/>
          <w:snapToGrid w:val="0"/>
          <w:lang w:val="en-GB"/>
        </w:rPr>
        <w:t xml:space="preserve"> </w:t>
      </w:r>
      <w:r w:rsidR="00E75857">
        <w:rPr>
          <w:rFonts w:asciiTheme="minorHAnsi" w:hAnsiTheme="minorHAnsi"/>
          <w:snapToGrid w:val="0"/>
          <w:lang w:val="en-GB"/>
        </w:rPr>
        <w:t xml:space="preserve">risk sharing </w:t>
      </w:r>
      <w:r w:rsidR="00E308D8">
        <w:rPr>
          <w:rFonts w:asciiTheme="minorHAnsi" w:hAnsiTheme="minorHAnsi"/>
          <w:snapToGrid w:val="0"/>
          <w:lang w:val="en-GB"/>
        </w:rPr>
        <w:t>arrang</w:t>
      </w:r>
      <w:r w:rsidR="002E48DF">
        <w:rPr>
          <w:rFonts w:asciiTheme="minorHAnsi" w:hAnsiTheme="minorHAnsi"/>
          <w:snapToGrid w:val="0"/>
          <w:lang w:val="en-GB"/>
        </w:rPr>
        <w:t>e</w:t>
      </w:r>
      <w:r w:rsidR="00E308D8">
        <w:rPr>
          <w:rFonts w:asciiTheme="minorHAnsi" w:hAnsiTheme="minorHAnsi"/>
          <w:snapToGrid w:val="0"/>
          <w:lang w:val="en-GB"/>
        </w:rPr>
        <w:t>ment</w:t>
      </w:r>
      <w:r w:rsidR="004A5E0B">
        <w:rPr>
          <w:rFonts w:asciiTheme="minorHAnsi" w:hAnsiTheme="minorHAnsi"/>
          <w:snapToGrid w:val="0"/>
          <w:lang w:val="en-GB"/>
        </w:rPr>
        <w:t xml:space="preserve"> exp</w:t>
      </w:r>
      <w:r w:rsidR="0003496A">
        <w:rPr>
          <w:rFonts w:asciiTheme="minorHAnsi" w:hAnsiTheme="minorHAnsi"/>
          <w:snapToGrid w:val="0"/>
          <w:lang w:val="en-GB"/>
        </w:rPr>
        <w:t>enditure caps</w:t>
      </w:r>
      <w:r w:rsidR="00E308D8">
        <w:rPr>
          <w:rFonts w:asciiTheme="minorHAnsi" w:hAnsiTheme="minorHAnsi"/>
          <w:snapToGrid w:val="0"/>
          <w:lang w:val="en-GB"/>
        </w:rPr>
        <w:t xml:space="preserve"> </w:t>
      </w:r>
      <w:r w:rsidR="00775388">
        <w:rPr>
          <w:rFonts w:asciiTheme="minorHAnsi" w:hAnsiTheme="minorHAnsi"/>
          <w:snapToGrid w:val="0"/>
          <w:lang w:val="en-GB"/>
        </w:rPr>
        <w:t>was</w:t>
      </w:r>
      <w:r w:rsidR="00E308D8">
        <w:rPr>
          <w:rFonts w:asciiTheme="minorHAnsi" w:hAnsiTheme="minorHAnsi"/>
          <w:snapToGrid w:val="0"/>
          <w:lang w:val="en-GB"/>
        </w:rPr>
        <w:t xml:space="preserve"> appropriate</w:t>
      </w:r>
      <w:r w:rsidR="006C42F3">
        <w:rPr>
          <w:rFonts w:asciiTheme="minorHAnsi" w:hAnsiTheme="minorHAnsi"/>
          <w:snapToGrid w:val="0"/>
          <w:lang w:val="en-GB"/>
        </w:rPr>
        <w:t xml:space="preserve"> and should be based on</w:t>
      </w:r>
      <w:r w:rsidR="00FD1F30">
        <w:rPr>
          <w:rFonts w:asciiTheme="minorHAnsi" w:hAnsiTheme="minorHAnsi"/>
          <w:snapToGrid w:val="0"/>
          <w:lang w:val="en-GB"/>
        </w:rPr>
        <w:t xml:space="preserve"> </w:t>
      </w:r>
      <w:r w:rsidR="003A33AB" w:rsidRPr="003A33AB">
        <w:rPr>
          <w:rFonts w:asciiTheme="minorHAnsi" w:hAnsiTheme="minorHAnsi"/>
          <w:snapToGrid w:val="0"/>
          <w:color w:val="000000"/>
          <w:w w:val="60"/>
          <w:shd w:val="solid" w:color="000000" w:fill="000000"/>
          <w:fitText w:val="470" w:id="-663468793"/>
          <w:lang w:val="en-GB"/>
          <w14:textFill>
            <w14:solidFill>
              <w14:srgbClr w14:val="000000">
                <w14:alpha w14:val="100000"/>
              </w14:srgbClr>
            </w14:solidFill>
          </w14:textFill>
        </w:rPr>
        <w:t>|||  ||</w:t>
      </w:r>
      <w:r w:rsidR="003A33AB" w:rsidRPr="003A33AB">
        <w:rPr>
          <w:rFonts w:asciiTheme="minorHAnsi" w:hAnsiTheme="minorHAnsi"/>
          <w:snapToGrid w:val="0"/>
          <w:color w:val="000000"/>
          <w:spacing w:val="6"/>
          <w:w w:val="60"/>
          <w:shd w:val="solid" w:color="000000" w:fill="000000"/>
          <w:fitText w:val="470" w:id="-663468793"/>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0"/>
          <w:shd w:val="solid" w:color="000000" w:fill="000000"/>
          <w:fitText w:val="470" w:id="-663468792"/>
          <w:lang w:val="en-GB"/>
          <w14:textFill>
            <w14:solidFill>
              <w14:srgbClr w14:val="000000">
                <w14:alpha w14:val="100000"/>
              </w14:srgbClr>
            </w14:solidFill>
          </w14:textFill>
        </w:rPr>
        <w:t>|||  ||</w:t>
      </w:r>
      <w:r w:rsidR="003A33AB" w:rsidRPr="003A33AB">
        <w:rPr>
          <w:rFonts w:asciiTheme="minorHAnsi" w:hAnsiTheme="minorHAnsi"/>
          <w:snapToGrid w:val="0"/>
          <w:color w:val="000000"/>
          <w:spacing w:val="6"/>
          <w:w w:val="60"/>
          <w:shd w:val="solid" w:color="000000" w:fill="000000"/>
          <w:fitText w:val="470" w:id="-663468792"/>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2"/>
          <w:shd w:val="solid" w:color="000000" w:fill="000000"/>
          <w:fitText w:val="480" w:id="-663468791"/>
          <w:lang w:val="en-GB"/>
          <w14:textFill>
            <w14:solidFill>
              <w14:srgbClr w14:val="000000">
                <w14:alpha w14:val="100000"/>
              </w14:srgbClr>
            </w14:solidFill>
          </w14:textFill>
        </w:rPr>
        <w:t>|||  ||</w:t>
      </w:r>
      <w:r w:rsidR="003A33AB" w:rsidRPr="003A33AB">
        <w:rPr>
          <w:rFonts w:asciiTheme="minorHAnsi" w:hAnsiTheme="minorHAnsi"/>
          <w:snapToGrid w:val="0"/>
          <w:color w:val="000000"/>
          <w:spacing w:val="2"/>
          <w:w w:val="62"/>
          <w:shd w:val="solid" w:color="000000" w:fill="000000"/>
          <w:fitText w:val="480" w:id="-663468791"/>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0"/>
          <w:shd w:val="solid" w:color="000000" w:fill="000000"/>
          <w:fitText w:val="470" w:id="-663468790"/>
          <w:lang w:val="en-GB"/>
          <w14:textFill>
            <w14:solidFill>
              <w14:srgbClr w14:val="000000">
                <w14:alpha w14:val="100000"/>
              </w14:srgbClr>
            </w14:solidFill>
          </w14:textFill>
        </w:rPr>
        <w:t>|||  ||</w:t>
      </w:r>
      <w:r w:rsidR="003A33AB" w:rsidRPr="003A33AB">
        <w:rPr>
          <w:rFonts w:asciiTheme="minorHAnsi" w:hAnsiTheme="minorHAnsi"/>
          <w:snapToGrid w:val="0"/>
          <w:color w:val="000000"/>
          <w:spacing w:val="6"/>
          <w:w w:val="60"/>
          <w:shd w:val="solid" w:color="000000" w:fill="000000"/>
          <w:fitText w:val="470" w:id="-663468790"/>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0"/>
          <w:shd w:val="solid" w:color="000000" w:fill="000000"/>
          <w:fitText w:val="470" w:id="-663468789"/>
          <w:lang w:val="en-GB"/>
          <w14:textFill>
            <w14:solidFill>
              <w14:srgbClr w14:val="000000">
                <w14:alpha w14:val="100000"/>
              </w14:srgbClr>
            </w14:solidFill>
          </w14:textFill>
        </w:rPr>
        <w:t>|||  ||</w:t>
      </w:r>
      <w:r w:rsidR="003A33AB" w:rsidRPr="003A33AB">
        <w:rPr>
          <w:rFonts w:asciiTheme="minorHAnsi" w:hAnsiTheme="minorHAnsi"/>
          <w:snapToGrid w:val="0"/>
          <w:color w:val="000000"/>
          <w:spacing w:val="6"/>
          <w:w w:val="60"/>
          <w:shd w:val="solid" w:color="000000" w:fill="000000"/>
          <w:fitText w:val="470" w:id="-663468789"/>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0"/>
          <w:shd w:val="solid" w:color="000000" w:fill="000000"/>
          <w:fitText w:val="470" w:id="-663468788"/>
          <w:lang w:val="en-GB"/>
          <w14:textFill>
            <w14:solidFill>
              <w14:srgbClr w14:val="000000">
                <w14:alpha w14:val="100000"/>
              </w14:srgbClr>
            </w14:solidFill>
          </w14:textFill>
        </w:rPr>
        <w:t>|||  ||</w:t>
      </w:r>
      <w:r w:rsidR="003A33AB" w:rsidRPr="003A33AB">
        <w:rPr>
          <w:rFonts w:asciiTheme="minorHAnsi" w:hAnsiTheme="minorHAnsi"/>
          <w:snapToGrid w:val="0"/>
          <w:color w:val="000000"/>
          <w:spacing w:val="6"/>
          <w:w w:val="60"/>
          <w:shd w:val="solid" w:color="000000" w:fill="000000"/>
          <w:fitText w:val="470" w:id="-663468788"/>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0"/>
          <w:shd w:val="solid" w:color="000000" w:fill="000000"/>
          <w:fitText w:val="470" w:id="-663468787"/>
          <w:lang w:val="en-GB"/>
          <w14:textFill>
            <w14:solidFill>
              <w14:srgbClr w14:val="000000">
                <w14:alpha w14:val="100000"/>
              </w14:srgbClr>
            </w14:solidFill>
          </w14:textFill>
        </w:rPr>
        <w:t>|||  ||</w:t>
      </w:r>
      <w:r w:rsidR="003A33AB" w:rsidRPr="003A33AB">
        <w:rPr>
          <w:rFonts w:asciiTheme="minorHAnsi" w:hAnsiTheme="minorHAnsi"/>
          <w:snapToGrid w:val="0"/>
          <w:color w:val="000000"/>
          <w:spacing w:val="6"/>
          <w:w w:val="60"/>
          <w:shd w:val="solid" w:color="000000" w:fill="000000"/>
          <w:fitText w:val="470" w:id="-663468787"/>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0"/>
          <w:shd w:val="solid" w:color="000000" w:fill="000000"/>
          <w:fitText w:val="470" w:id="-663468786"/>
          <w:lang w:val="en-GB"/>
          <w14:textFill>
            <w14:solidFill>
              <w14:srgbClr w14:val="000000">
                <w14:alpha w14:val="100000"/>
              </w14:srgbClr>
            </w14:solidFill>
          </w14:textFill>
        </w:rPr>
        <w:t>|||  ||</w:t>
      </w:r>
      <w:r w:rsidR="003A33AB" w:rsidRPr="003A33AB">
        <w:rPr>
          <w:rFonts w:asciiTheme="minorHAnsi" w:hAnsiTheme="minorHAnsi"/>
          <w:snapToGrid w:val="0"/>
          <w:color w:val="000000"/>
          <w:spacing w:val="6"/>
          <w:w w:val="60"/>
          <w:shd w:val="solid" w:color="000000" w:fill="000000"/>
          <w:fitText w:val="470" w:id="-663468786"/>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0"/>
          <w:shd w:val="solid" w:color="000000" w:fill="000000"/>
          <w:fitText w:val="470" w:id="-663468785"/>
          <w:lang w:val="en-GB"/>
          <w14:textFill>
            <w14:solidFill>
              <w14:srgbClr w14:val="000000">
                <w14:alpha w14:val="100000"/>
              </w14:srgbClr>
            </w14:solidFill>
          </w14:textFill>
        </w:rPr>
        <w:t>|||  ||</w:t>
      </w:r>
      <w:r w:rsidR="003A33AB" w:rsidRPr="003A33AB">
        <w:rPr>
          <w:rFonts w:asciiTheme="minorHAnsi" w:hAnsiTheme="minorHAnsi"/>
          <w:snapToGrid w:val="0"/>
          <w:color w:val="000000"/>
          <w:spacing w:val="6"/>
          <w:w w:val="60"/>
          <w:shd w:val="solid" w:color="000000" w:fill="000000"/>
          <w:fitText w:val="470" w:id="-663468785"/>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0"/>
          <w:shd w:val="solid" w:color="000000" w:fill="000000"/>
          <w:fitText w:val="470" w:id="-663468784"/>
          <w:lang w:val="en-GB"/>
          <w14:textFill>
            <w14:solidFill>
              <w14:srgbClr w14:val="000000">
                <w14:alpha w14:val="100000"/>
              </w14:srgbClr>
            </w14:solidFill>
          </w14:textFill>
        </w:rPr>
        <w:t>|||  ||</w:t>
      </w:r>
      <w:r w:rsidR="003A33AB" w:rsidRPr="003A33AB">
        <w:rPr>
          <w:rFonts w:asciiTheme="minorHAnsi" w:hAnsiTheme="minorHAnsi"/>
          <w:snapToGrid w:val="0"/>
          <w:color w:val="000000"/>
          <w:spacing w:val="6"/>
          <w:w w:val="60"/>
          <w:shd w:val="solid" w:color="000000" w:fill="000000"/>
          <w:fitText w:val="470" w:id="-663468784"/>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0"/>
          <w:shd w:val="solid" w:color="000000" w:fill="000000"/>
          <w:fitText w:val="470" w:id="-663468800"/>
          <w:lang w:val="en-GB"/>
          <w14:textFill>
            <w14:solidFill>
              <w14:srgbClr w14:val="000000">
                <w14:alpha w14:val="100000"/>
              </w14:srgbClr>
            </w14:solidFill>
          </w14:textFill>
        </w:rPr>
        <w:t>|||  ||</w:t>
      </w:r>
      <w:r w:rsidR="003A33AB" w:rsidRPr="003A33AB">
        <w:rPr>
          <w:rFonts w:asciiTheme="minorHAnsi" w:hAnsiTheme="minorHAnsi"/>
          <w:snapToGrid w:val="0"/>
          <w:color w:val="000000"/>
          <w:spacing w:val="6"/>
          <w:w w:val="60"/>
          <w:shd w:val="solid" w:color="000000" w:fill="000000"/>
          <w:fitText w:val="470" w:id="-663468800"/>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2"/>
          <w:shd w:val="solid" w:color="000000" w:fill="000000"/>
          <w:fitText w:val="480" w:id="-663468799"/>
          <w:lang w:val="en-GB"/>
          <w14:textFill>
            <w14:solidFill>
              <w14:srgbClr w14:val="000000">
                <w14:alpha w14:val="100000"/>
              </w14:srgbClr>
            </w14:solidFill>
          </w14:textFill>
        </w:rPr>
        <w:t>|||  ||</w:t>
      </w:r>
      <w:r w:rsidR="003A33AB" w:rsidRPr="003A33AB">
        <w:rPr>
          <w:rFonts w:asciiTheme="minorHAnsi" w:hAnsiTheme="minorHAnsi"/>
          <w:snapToGrid w:val="0"/>
          <w:color w:val="000000"/>
          <w:spacing w:val="2"/>
          <w:w w:val="62"/>
          <w:shd w:val="solid" w:color="000000" w:fill="000000"/>
          <w:fitText w:val="480" w:id="-663468799"/>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0"/>
          <w:shd w:val="solid" w:color="000000" w:fill="000000"/>
          <w:fitText w:val="470" w:id="-663468798"/>
          <w:lang w:val="en-GB"/>
          <w14:textFill>
            <w14:solidFill>
              <w14:srgbClr w14:val="000000">
                <w14:alpha w14:val="100000"/>
              </w14:srgbClr>
            </w14:solidFill>
          </w14:textFill>
        </w:rPr>
        <w:t>|||  ||</w:t>
      </w:r>
      <w:r w:rsidR="003A33AB" w:rsidRPr="003A33AB">
        <w:rPr>
          <w:rFonts w:asciiTheme="minorHAnsi" w:hAnsiTheme="minorHAnsi"/>
          <w:snapToGrid w:val="0"/>
          <w:color w:val="000000"/>
          <w:spacing w:val="6"/>
          <w:w w:val="60"/>
          <w:shd w:val="solid" w:color="000000" w:fill="000000"/>
          <w:fitText w:val="470" w:id="-663468798"/>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0"/>
          <w:shd w:val="solid" w:color="000000" w:fill="000000"/>
          <w:fitText w:val="470" w:id="-663468797"/>
          <w:lang w:val="en-GB"/>
          <w14:textFill>
            <w14:solidFill>
              <w14:srgbClr w14:val="000000">
                <w14:alpha w14:val="100000"/>
              </w14:srgbClr>
            </w14:solidFill>
          </w14:textFill>
        </w:rPr>
        <w:t>|||  ||</w:t>
      </w:r>
      <w:r w:rsidR="003A33AB" w:rsidRPr="003A33AB">
        <w:rPr>
          <w:rFonts w:asciiTheme="minorHAnsi" w:hAnsiTheme="minorHAnsi"/>
          <w:snapToGrid w:val="0"/>
          <w:color w:val="000000"/>
          <w:spacing w:val="6"/>
          <w:w w:val="60"/>
          <w:shd w:val="solid" w:color="000000" w:fill="000000"/>
          <w:fitText w:val="470" w:id="-663468797"/>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2"/>
          <w:shd w:val="solid" w:color="000000" w:fill="000000"/>
          <w:fitText w:val="480" w:id="-663468796"/>
          <w:lang w:val="en-GB"/>
          <w14:textFill>
            <w14:solidFill>
              <w14:srgbClr w14:val="000000">
                <w14:alpha w14:val="100000"/>
              </w14:srgbClr>
            </w14:solidFill>
          </w14:textFill>
        </w:rPr>
        <w:t>|||  ||</w:t>
      </w:r>
      <w:r w:rsidR="003A33AB" w:rsidRPr="003A33AB">
        <w:rPr>
          <w:rFonts w:asciiTheme="minorHAnsi" w:hAnsiTheme="minorHAnsi"/>
          <w:snapToGrid w:val="0"/>
          <w:color w:val="000000"/>
          <w:spacing w:val="2"/>
          <w:w w:val="62"/>
          <w:shd w:val="solid" w:color="000000" w:fill="000000"/>
          <w:fitText w:val="480" w:id="-663468796"/>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3A33AB">
        <w:rPr>
          <w:rFonts w:asciiTheme="minorHAnsi" w:hAnsiTheme="minorHAnsi"/>
          <w:snapToGrid w:val="0"/>
          <w:color w:val="000000"/>
          <w:w w:val="60"/>
          <w:shd w:val="solid" w:color="000000" w:fill="000000"/>
          <w:fitText w:val="470" w:id="-663468795"/>
          <w:lang w:val="en-GB"/>
          <w14:textFill>
            <w14:solidFill>
              <w14:srgbClr w14:val="000000">
                <w14:alpha w14:val="100000"/>
              </w14:srgbClr>
            </w14:solidFill>
          </w14:textFill>
        </w:rPr>
        <w:t>|||  ||</w:t>
      </w:r>
      <w:r w:rsidR="003A33AB" w:rsidRPr="003A33AB">
        <w:rPr>
          <w:rFonts w:asciiTheme="minorHAnsi" w:hAnsiTheme="minorHAnsi"/>
          <w:snapToGrid w:val="0"/>
          <w:color w:val="000000"/>
          <w:spacing w:val="6"/>
          <w:w w:val="60"/>
          <w:shd w:val="solid" w:color="000000" w:fill="000000"/>
          <w:fitText w:val="470" w:id="-663468795"/>
          <w:lang w:val="en-GB"/>
          <w14:textFill>
            <w14:solidFill>
              <w14:srgbClr w14:val="000000">
                <w14:alpha w14:val="100000"/>
              </w14:srgbClr>
            </w14:solidFill>
          </w14:textFill>
        </w:rPr>
        <w:t>|</w:t>
      </w:r>
      <w:r w:rsidR="00C10404" w:rsidRPr="00C10404">
        <w:rPr>
          <w:rFonts w:asciiTheme="minorHAnsi" w:hAnsiTheme="minorHAnsi"/>
          <w:snapToGrid w:val="0"/>
          <w:lang w:val="en-GB"/>
        </w:rPr>
        <w:t xml:space="preserve"> </w:t>
      </w:r>
      <w:r w:rsidR="003A33AB" w:rsidRPr="00577370">
        <w:rPr>
          <w:rFonts w:asciiTheme="minorHAnsi" w:hAnsiTheme="minorHAnsi"/>
          <w:snapToGrid w:val="0"/>
          <w:color w:val="000000"/>
          <w:w w:val="60"/>
          <w:shd w:val="solid" w:color="000000" w:fill="000000"/>
          <w:fitText w:val="470" w:id="-663468794"/>
          <w:lang w:val="en-GB"/>
          <w14:textFill>
            <w14:solidFill>
              <w14:srgbClr w14:val="000000">
                <w14:alpha w14:val="100000"/>
              </w14:srgbClr>
            </w14:solidFill>
          </w14:textFill>
        </w:rPr>
        <w:t>|||  ||</w:t>
      </w:r>
      <w:r w:rsidR="003A33AB" w:rsidRPr="00577370">
        <w:rPr>
          <w:rFonts w:asciiTheme="minorHAnsi" w:hAnsiTheme="minorHAnsi"/>
          <w:snapToGrid w:val="0"/>
          <w:color w:val="000000"/>
          <w:spacing w:val="6"/>
          <w:w w:val="60"/>
          <w:shd w:val="solid" w:color="000000" w:fill="000000"/>
          <w:fitText w:val="470" w:id="-663468794"/>
          <w:lang w:val="en-GB"/>
          <w14:textFill>
            <w14:solidFill>
              <w14:srgbClr w14:val="000000">
                <w14:alpha w14:val="100000"/>
              </w14:srgbClr>
            </w14:solidFill>
          </w14:textFill>
        </w:rPr>
        <w:t>|</w:t>
      </w:r>
      <w:r w:rsidR="001827FA">
        <w:rPr>
          <w:rFonts w:asciiTheme="minorHAnsi" w:hAnsiTheme="minorHAnsi"/>
          <w:snapToGrid w:val="0"/>
          <w:lang w:val="en-GB"/>
        </w:rPr>
        <w:t>.</w:t>
      </w:r>
    </w:p>
    <w:p w14:paraId="1FE9CAF1" w14:textId="7DB6F79D" w:rsidR="00DF61E6" w:rsidRPr="00B57D09" w:rsidRDefault="00B57D09" w:rsidP="00331972">
      <w:pPr>
        <w:widowControl w:val="0"/>
        <w:numPr>
          <w:ilvl w:val="1"/>
          <w:numId w:val="33"/>
        </w:numPr>
        <w:spacing w:after="120"/>
        <w:rPr>
          <w:rFonts w:asciiTheme="minorHAnsi" w:hAnsiTheme="minorHAnsi" w:cstheme="minorHAnsi"/>
          <w:b/>
          <w:lang w:val="en-GB"/>
        </w:rPr>
      </w:pPr>
      <w:r w:rsidRPr="00B57D09">
        <w:rPr>
          <w:rFonts w:eastAsia="Calibri" w:cs="Calibri"/>
          <w:szCs w:val="22"/>
        </w:rPr>
        <w:t xml:space="preserve">The </w:t>
      </w:r>
      <w:r w:rsidR="00DF61E6" w:rsidRPr="00B57D09">
        <w:rPr>
          <w:rFonts w:asciiTheme="minorHAnsi" w:hAnsiTheme="minorHAnsi" w:cstheme="minorHAnsi"/>
          <w:lang w:val="en-GB"/>
        </w:rPr>
        <w:t xml:space="preserve">PBAC found that the criteria prescribed by the </w:t>
      </w:r>
      <w:r w:rsidR="00DF61E6" w:rsidRPr="00B57D09">
        <w:rPr>
          <w:rFonts w:asciiTheme="minorHAnsi" w:hAnsiTheme="minorHAnsi" w:cstheme="minorHAnsi"/>
          <w:i/>
          <w:lang w:val="en-GB"/>
        </w:rPr>
        <w:t xml:space="preserve">National Health (Pharmaceuticals and </w:t>
      </w:r>
      <w:r w:rsidR="00DF61E6" w:rsidRPr="00331972">
        <w:rPr>
          <w:rFonts w:asciiTheme="minorHAnsi" w:hAnsiTheme="minorHAnsi"/>
          <w:snapToGrid w:val="0"/>
          <w:lang w:val="en-GB"/>
        </w:rPr>
        <w:t>Vaccines</w:t>
      </w:r>
      <w:r w:rsidR="00DF61E6" w:rsidRPr="00B57D09">
        <w:rPr>
          <w:rFonts w:asciiTheme="minorHAnsi" w:hAnsiTheme="minorHAnsi" w:cstheme="minorHAnsi"/>
          <w:i/>
          <w:lang w:val="en-GB"/>
        </w:rPr>
        <w:t xml:space="preserve"> – Cost Recovery) Regulations 2022</w:t>
      </w:r>
      <w:r w:rsidR="00DF61E6" w:rsidRPr="00B57D09">
        <w:rPr>
          <w:rFonts w:asciiTheme="minorHAnsi" w:hAnsiTheme="minorHAnsi" w:cstheme="minorHAnsi"/>
          <w:lang w:val="en-GB"/>
        </w:rPr>
        <w:t xml:space="preserve"> for Pricing Pathway A were not met. Specifically</w:t>
      </w:r>
      <w:r w:rsidR="00CD1F9D" w:rsidRPr="00B57D09">
        <w:rPr>
          <w:rFonts w:asciiTheme="minorHAnsi" w:hAnsiTheme="minorHAnsi" w:cstheme="minorHAnsi"/>
          <w:lang w:val="en-GB"/>
        </w:rPr>
        <w:t>,</w:t>
      </w:r>
      <w:r w:rsidR="00DF61E6" w:rsidRPr="00B57D09">
        <w:rPr>
          <w:rFonts w:asciiTheme="minorHAnsi" w:hAnsiTheme="minorHAnsi" w:cstheme="minorHAnsi"/>
          <w:lang w:val="en-GB"/>
        </w:rPr>
        <w:t xml:space="preserve"> the PBAC found that in the circumstances of its recommendation for </w:t>
      </w:r>
      <w:r w:rsidR="00CD1F9D" w:rsidRPr="00B57D09">
        <w:rPr>
          <w:rFonts w:asciiTheme="minorHAnsi" w:hAnsiTheme="minorHAnsi" w:cstheme="minorHAnsi"/>
          <w:lang w:val="en-GB"/>
        </w:rPr>
        <w:t>empagliflozin</w:t>
      </w:r>
      <w:r w:rsidR="00DF61E6" w:rsidRPr="00B57D09">
        <w:rPr>
          <w:rFonts w:asciiTheme="minorHAnsi" w:hAnsiTheme="minorHAnsi" w:cstheme="minorHAnsi"/>
          <w:lang w:val="en-GB"/>
        </w:rPr>
        <w:t>:</w:t>
      </w:r>
    </w:p>
    <w:p w14:paraId="4AEEA472" w14:textId="77777777" w:rsidR="00276253" w:rsidRDefault="00DF61E6" w:rsidP="007C3DB2">
      <w:pPr>
        <w:widowControl w:val="0"/>
        <w:numPr>
          <w:ilvl w:val="1"/>
          <w:numId w:val="29"/>
        </w:numPr>
        <w:spacing w:after="120"/>
        <w:ind w:left="1134"/>
        <w:rPr>
          <w:rFonts w:asciiTheme="minorHAnsi" w:hAnsiTheme="minorHAnsi" w:cstheme="minorHAnsi"/>
          <w:lang w:val="en-GB"/>
        </w:rPr>
      </w:pPr>
      <w:r w:rsidRPr="00763DFB">
        <w:rPr>
          <w:rFonts w:asciiTheme="minorHAnsi" w:hAnsiTheme="minorHAnsi" w:cstheme="minorHAnsi"/>
          <w:lang w:val="en-GB"/>
        </w:rPr>
        <w:t>The treatment is</w:t>
      </w:r>
      <w:r w:rsidR="00BD22E7">
        <w:rPr>
          <w:rFonts w:asciiTheme="minorHAnsi" w:hAnsiTheme="minorHAnsi" w:cstheme="minorHAnsi"/>
          <w:lang w:val="en-GB"/>
        </w:rPr>
        <w:t xml:space="preserve"> not</w:t>
      </w:r>
      <w:r w:rsidRPr="00763DFB">
        <w:rPr>
          <w:rFonts w:asciiTheme="minorHAnsi" w:hAnsiTheme="minorHAnsi" w:cstheme="minorHAnsi"/>
          <w:lang w:val="en-GB"/>
        </w:rPr>
        <w:t xml:space="preserve"> expected to provide a substantial and clinically relevant improvement in efficacy over alternative therapies,</w:t>
      </w:r>
      <w:r w:rsidR="00BD22E7">
        <w:rPr>
          <w:rFonts w:asciiTheme="minorHAnsi" w:hAnsiTheme="minorHAnsi" w:cstheme="minorHAnsi"/>
          <w:lang w:val="en-GB"/>
        </w:rPr>
        <w:t xml:space="preserve"> </w:t>
      </w:r>
      <w:r w:rsidR="00777FD7">
        <w:rPr>
          <w:rFonts w:asciiTheme="minorHAnsi" w:hAnsiTheme="minorHAnsi" w:cstheme="minorHAnsi"/>
          <w:lang w:val="en-GB"/>
        </w:rPr>
        <w:t xml:space="preserve">based on </w:t>
      </w:r>
      <w:r w:rsidR="00B9267E">
        <w:rPr>
          <w:rFonts w:asciiTheme="minorHAnsi" w:hAnsiTheme="minorHAnsi" w:cstheme="minorHAnsi"/>
          <w:lang w:val="en-GB"/>
        </w:rPr>
        <w:t>the</w:t>
      </w:r>
      <w:r w:rsidR="00420129">
        <w:rPr>
          <w:rFonts w:asciiTheme="minorHAnsi" w:hAnsiTheme="minorHAnsi" w:cstheme="minorHAnsi"/>
          <w:lang w:val="en-GB"/>
        </w:rPr>
        <w:t xml:space="preserve"> uncertain </w:t>
      </w:r>
      <w:r w:rsidR="00420129" w:rsidRPr="00981EEC">
        <w:t>magnitude of benefit</w:t>
      </w:r>
      <w:r w:rsidR="00420129">
        <w:t xml:space="preserve"> in the</w:t>
      </w:r>
      <w:r w:rsidR="00B9267E">
        <w:rPr>
          <w:rFonts w:asciiTheme="minorHAnsi" w:hAnsiTheme="minorHAnsi" w:cstheme="minorHAnsi"/>
          <w:lang w:val="en-GB"/>
        </w:rPr>
        <w:t xml:space="preserve"> </w:t>
      </w:r>
      <w:r w:rsidR="00965D3E">
        <w:rPr>
          <w:rFonts w:asciiTheme="minorHAnsi" w:hAnsiTheme="minorHAnsi" w:cstheme="minorHAnsi"/>
          <w:lang w:val="en-GB"/>
        </w:rPr>
        <w:t xml:space="preserve">incremental </w:t>
      </w:r>
      <w:r w:rsidR="00B9267E">
        <w:rPr>
          <w:rFonts w:asciiTheme="minorHAnsi" w:hAnsiTheme="minorHAnsi" w:cstheme="minorHAnsi"/>
          <w:lang w:val="en-GB"/>
        </w:rPr>
        <w:t xml:space="preserve">subgroup </w:t>
      </w:r>
      <w:r w:rsidR="00A16BD5">
        <w:rPr>
          <w:rFonts w:asciiTheme="minorHAnsi" w:hAnsiTheme="minorHAnsi" w:cstheme="minorHAnsi"/>
          <w:lang w:val="en-GB"/>
        </w:rPr>
        <w:t xml:space="preserve">beyond </w:t>
      </w:r>
      <w:r w:rsidR="00BD22E7">
        <w:rPr>
          <w:rFonts w:asciiTheme="minorHAnsi" w:hAnsiTheme="minorHAnsi" w:cstheme="minorHAnsi"/>
          <w:lang w:val="en-GB"/>
        </w:rPr>
        <w:t xml:space="preserve">the </w:t>
      </w:r>
      <w:r w:rsidR="00777FD7">
        <w:rPr>
          <w:rFonts w:asciiTheme="minorHAnsi" w:hAnsiTheme="minorHAnsi" w:cstheme="minorHAnsi"/>
          <w:lang w:val="en-GB"/>
        </w:rPr>
        <w:t xml:space="preserve">24-month </w:t>
      </w:r>
      <w:r w:rsidR="008309DE">
        <w:rPr>
          <w:rFonts w:asciiTheme="minorHAnsi" w:hAnsiTheme="minorHAnsi" w:cstheme="minorHAnsi"/>
          <w:lang w:val="en-GB"/>
        </w:rPr>
        <w:t>EMPA-KIDNEY trial</w:t>
      </w:r>
      <w:r w:rsidR="00965D3E">
        <w:rPr>
          <w:rFonts w:asciiTheme="minorHAnsi" w:hAnsiTheme="minorHAnsi" w:cstheme="minorHAnsi"/>
          <w:lang w:val="en-GB"/>
        </w:rPr>
        <w:t xml:space="preserve"> </w:t>
      </w:r>
      <w:proofErr w:type="gramStart"/>
      <w:r w:rsidR="00965D3E">
        <w:rPr>
          <w:rFonts w:asciiTheme="minorHAnsi" w:hAnsiTheme="minorHAnsi" w:cstheme="minorHAnsi"/>
          <w:lang w:val="en-GB"/>
        </w:rPr>
        <w:t>period</w:t>
      </w:r>
      <w:r w:rsidRPr="00763DFB">
        <w:rPr>
          <w:rFonts w:asciiTheme="minorHAnsi" w:hAnsiTheme="minorHAnsi" w:cstheme="minorHAnsi"/>
          <w:lang w:val="en-GB"/>
        </w:rPr>
        <w:t>;</w:t>
      </w:r>
      <w:proofErr w:type="gramEnd"/>
    </w:p>
    <w:p w14:paraId="1A533BC7" w14:textId="103747A9" w:rsidR="00DF61E6" w:rsidRPr="00763DFB" w:rsidRDefault="00DF61E6" w:rsidP="007C3DB2">
      <w:pPr>
        <w:widowControl w:val="0"/>
        <w:numPr>
          <w:ilvl w:val="1"/>
          <w:numId w:val="29"/>
        </w:numPr>
        <w:spacing w:after="120"/>
        <w:ind w:left="1134"/>
        <w:rPr>
          <w:rFonts w:asciiTheme="minorHAnsi" w:hAnsiTheme="minorHAnsi" w:cstheme="minorHAnsi"/>
          <w:lang w:val="en-GB"/>
        </w:rPr>
      </w:pPr>
      <w:r w:rsidRPr="00763DFB">
        <w:rPr>
          <w:rFonts w:asciiTheme="minorHAnsi" w:hAnsiTheme="minorHAnsi" w:cstheme="minorHAnsi"/>
          <w:lang w:val="en-GB"/>
        </w:rPr>
        <w:t>The treatment is not expected to address a high and urgent unmet clinical need</w:t>
      </w:r>
      <w:r w:rsidR="00F12080">
        <w:rPr>
          <w:rFonts w:asciiTheme="minorHAnsi" w:hAnsiTheme="minorHAnsi" w:cstheme="minorHAnsi"/>
          <w:lang w:val="en-GB"/>
        </w:rPr>
        <w:t>,</w:t>
      </w:r>
      <w:r w:rsidR="00276253">
        <w:rPr>
          <w:rFonts w:asciiTheme="minorHAnsi" w:hAnsiTheme="minorHAnsi" w:cstheme="minorHAnsi"/>
          <w:lang w:val="en-GB"/>
        </w:rPr>
        <w:t xml:space="preserve"> </w:t>
      </w:r>
      <w:r w:rsidR="00DF34F0">
        <w:rPr>
          <w:rFonts w:asciiTheme="minorHAnsi" w:hAnsiTheme="minorHAnsi" w:cstheme="minorHAnsi"/>
          <w:lang w:val="en-GB"/>
        </w:rPr>
        <w:t xml:space="preserve">given </w:t>
      </w:r>
      <w:r w:rsidR="00D0382E">
        <w:rPr>
          <w:rFonts w:asciiTheme="minorHAnsi" w:hAnsiTheme="minorHAnsi" w:cstheme="minorHAnsi"/>
          <w:lang w:val="en-GB"/>
        </w:rPr>
        <w:t xml:space="preserve">this is a request for </w:t>
      </w:r>
      <w:r w:rsidR="00A20178">
        <w:rPr>
          <w:rFonts w:asciiTheme="minorHAnsi" w:hAnsiTheme="minorHAnsi" w:cstheme="minorHAnsi"/>
          <w:lang w:val="en-GB"/>
        </w:rPr>
        <w:t>the</w:t>
      </w:r>
      <w:r w:rsidR="00D0382E">
        <w:rPr>
          <w:rFonts w:asciiTheme="minorHAnsi" w:hAnsiTheme="minorHAnsi" w:cstheme="minorHAnsi"/>
          <w:lang w:val="en-GB"/>
        </w:rPr>
        <w:t xml:space="preserve"> extension of an existing listing </w:t>
      </w:r>
      <w:r w:rsidR="00073081">
        <w:rPr>
          <w:rFonts w:asciiTheme="minorHAnsi" w:hAnsiTheme="minorHAnsi" w:cstheme="minorHAnsi"/>
          <w:lang w:val="en-GB"/>
        </w:rPr>
        <w:t xml:space="preserve">in a heterogeneous </w:t>
      </w:r>
      <w:r w:rsidR="00073081">
        <w:rPr>
          <w:rFonts w:asciiTheme="minorHAnsi" w:hAnsiTheme="minorHAnsi" w:cstheme="minorHAnsi"/>
          <w:lang w:val="en-GB"/>
        </w:rPr>
        <w:lastRenderedPageBreak/>
        <w:t xml:space="preserve">patient </w:t>
      </w:r>
      <w:proofErr w:type="gramStart"/>
      <w:r w:rsidR="00073081">
        <w:rPr>
          <w:rFonts w:asciiTheme="minorHAnsi" w:hAnsiTheme="minorHAnsi" w:cstheme="minorHAnsi"/>
          <w:lang w:val="en-GB"/>
        </w:rPr>
        <w:t>population</w:t>
      </w:r>
      <w:r w:rsidR="00977D1D" w:rsidRPr="00763DFB">
        <w:rPr>
          <w:rFonts w:asciiTheme="minorHAnsi" w:hAnsiTheme="minorHAnsi" w:cstheme="minorHAnsi"/>
          <w:lang w:val="en-GB"/>
        </w:rPr>
        <w:t>;</w:t>
      </w:r>
      <w:proofErr w:type="gramEnd"/>
    </w:p>
    <w:p w14:paraId="05D0B925" w14:textId="77777777" w:rsidR="00276253" w:rsidRDefault="00DF61E6" w:rsidP="007C3DB2">
      <w:pPr>
        <w:widowControl w:val="0"/>
        <w:numPr>
          <w:ilvl w:val="1"/>
          <w:numId w:val="29"/>
        </w:numPr>
        <w:spacing w:after="120"/>
        <w:ind w:left="1134"/>
        <w:rPr>
          <w:rFonts w:asciiTheme="minorHAnsi" w:hAnsiTheme="minorHAnsi" w:cstheme="minorHAnsi"/>
          <w:lang w:val="en-GB"/>
        </w:rPr>
      </w:pPr>
      <w:r w:rsidRPr="006B7AA0">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F12080">
        <w:rPr>
          <w:rFonts w:asciiTheme="minorHAnsi" w:hAnsiTheme="minorHAnsi" w:cstheme="minorHAnsi"/>
          <w:lang w:val="en-GB"/>
        </w:rPr>
        <w:t>.</w:t>
      </w:r>
    </w:p>
    <w:p w14:paraId="77C690BC" w14:textId="77777777" w:rsidR="00276253" w:rsidRDefault="00244519" w:rsidP="007C3DB2">
      <w:pPr>
        <w:pStyle w:val="ListParagraph"/>
        <w:widowControl w:val="0"/>
        <w:numPr>
          <w:ilvl w:val="1"/>
          <w:numId w:val="33"/>
        </w:numPr>
        <w:spacing w:before="120" w:after="120"/>
        <w:rPr>
          <w:rFonts w:asciiTheme="minorHAnsi" w:hAnsiTheme="minorHAnsi"/>
          <w:bCs/>
          <w:snapToGrid w:val="0"/>
          <w:lang w:val="en-GB"/>
        </w:rPr>
      </w:pPr>
      <w:r w:rsidRPr="006B7AA0">
        <w:rPr>
          <w:rFonts w:asciiTheme="minorHAnsi" w:hAnsiTheme="minorHAnsi"/>
          <w:bCs/>
          <w:snapToGrid w:val="0"/>
          <w:lang w:val="en-GB"/>
        </w:rPr>
        <w:t>The PBAC noted that this submission is not eligible for an Independent Review as it received a positive recommendation</w:t>
      </w:r>
      <w:r w:rsidR="006B7AA0">
        <w:rPr>
          <w:rFonts w:asciiTheme="minorHAnsi" w:hAnsiTheme="minorHAnsi"/>
          <w:bCs/>
          <w:snapToGrid w:val="0"/>
          <w:lang w:val="en-GB"/>
        </w:rPr>
        <w:t>.</w:t>
      </w:r>
    </w:p>
    <w:p w14:paraId="4092321D" w14:textId="07342D9D" w:rsidR="00DF61E6" w:rsidRPr="00525B39" w:rsidRDefault="00DF61E6" w:rsidP="00124C6A">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1B3BAE3" w14:textId="77777777" w:rsidR="00276253" w:rsidRDefault="00DF61E6" w:rsidP="00610AE3">
      <w:pPr>
        <w:rPr>
          <w:rFonts w:asciiTheme="minorHAnsi" w:hAnsiTheme="minorHAnsi"/>
          <w:bCs/>
          <w:snapToGrid w:val="0"/>
          <w:lang w:val="en-GB"/>
        </w:rPr>
      </w:pPr>
      <w:r w:rsidRPr="00525B39">
        <w:rPr>
          <w:rFonts w:asciiTheme="minorHAnsi" w:hAnsiTheme="minorHAnsi"/>
          <w:bCs/>
          <w:snapToGrid w:val="0"/>
          <w:lang w:val="en-GB"/>
        </w:rPr>
        <w:t>Recommended</w:t>
      </w:r>
    </w:p>
    <w:p w14:paraId="1D944061" w14:textId="0F40BD88" w:rsidR="00DF61E6" w:rsidRPr="00907671" w:rsidRDefault="00DF61E6" w:rsidP="00104361">
      <w:pPr>
        <w:pStyle w:val="2-SectionHeading"/>
        <w:numPr>
          <w:ilvl w:val="0"/>
          <w:numId w:val="33"/>
        </w:numPr>
        <w:outlineLvl w:val="0"/>
      </w:pPr>
      <w:r w:rsidRPr="00907671">
        <w:t>Recommended listing</w:t>
      </w:r>
    </w:p>
    <w:p w14:paraId="16D12BD9" w14:textId="3A24CD0F" w:rsidR="002B554C" w:rsidRPr="00E42ACF" w:rsidRDefault="00DF61E6" w:rsidP="00E42ACF">
      <w:pPr>
        <w:widowControl w:val="0"/>
        <w:numPr>
          <w:ilvl w:val="1"/>
          <w:numId w:val="33"/>
        </w:numPr>
        <w:spacing w:before="120" w:after="120"/>
        <w:rPr>
          <w:rFonts w:asciiTheme="minorHAnsi" w:hAnsiTheme="minorHAnsi"/>
          <w:b/>
          <w:bCs/>
          <w:snapToGrid w:val="0"/>
        </w:rPr>
      </w:pPr>
      <w:r w:rsidRPr="005510B7">
        <w:rPr>
          <w:rFonts w:asciiTheme="minorHAnsi" w:hAnsiTheme="minorHAnsi"/>
          <w:bCs/>
          <w:snapToGrid w:val="0"/>
        </w:rPr>
        <w:t>Amend existin</w:t>
      </w:r>
      <w:r w:rsidR="005510B7">
        <w:rPr>
          <w:rFonts w:asciiTheme="minorHAnsi" w:hAnsiTheme="minorHAnsi"/>
          <w:bCs/>
          <w:snapToGrid w:val="0"/>
        </w:rPr>
        <w:t xml:space="preserve">g </w:t>
      </w:r>
      <w:r w:rsidRPr="005510B7">
        <w:rPr>
          <w:rFonts w:asciiTheme="minorHAnsi" w:hAnsiTheme="minorHAnsi"/>
          <w:bCs/>
          <w:snapToGrid w:val="0"/>
        </w:rPr>
        <w:t>listing as follows: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4"/>
        <w:gridCol w:w="927"/>
        <w:gridCol w:w="812"/>
        <w:gridCol w:w="811"/>
        <w:gridCol w:w="812"/>
        <w:gridCol w:w="1824"/>
        <w:gridCol w:w="7"/>
      </w:tblGrid>
      <w:tr w:rsidR="002B554C" w:rsidRPr="00431AF1" w14:paraId="3C4C5F5D" w14:textId="77777777" w:rsidTr="007F4AA0">
        <w:trPr>
          <w:cantSplit/>
          <w:trHeight w:val="20"/>
        </w:trPr>
        <w:tc>
          <w:tcPr>
            <w:tcW w:w="3824" w:type="dxa"/>
            <w:vAlign w:val="center"/>
          </w:tcPr>
          <w:p w14:paraId="718BE325" w14:textId="77777777" w:rsidR="002B554C" w:rsidRPr="00431AF1" w:rsidRDefault="002B554C" w:rsidP="007F4AA0">
            <w:pPr>
              <w:keepLines/>
              <w:rPr>
                <w:rFonts w:ascii="Arial Narrow" w:hAnsi="Arial Narrow"/>
                <w:b/>
                <w:bCs/>
                <w:iCs/>
                <w:sz w:val="20"/>
                <w:szCs w:val="20"/>
              </w:rPr>
            </w:pPr>
            <w:r w:rsidRPr="00431AF1">
              <w:rPr>
                <w:rFonts w:ascii="Arial Narrow" w:hAnsi="Arial Narrow"/>
                <w:b/>
                <w:bCs/>
                <w:iCs/>
                <w:sz w:val="20"/>
                <w:szCs w:val="20"/>
              </w:rPr>
              <w:t>MEDICINAL PRODUCT</w:t>
            </w:r>
          </w:p>
          <w:p w14:paraId="1E95FD4F" w14:textId="77777777" w:rsidR="002B554C" w:rsidRPr="00431AF1" w:rsidRDefault="002B554C" w:rsidP="007F4AA0">
            <w:pPr>
              <w:keepLines/>
              <w:rPr>
                <w:rFonts w:ascii="Arial Narrow" w:hAnsi="Arial Narrow"/>
                <w:b/>
                <w:iCs/>
                <w:sz w:val="20"/>
                <w:szCs w:val="20"/>
              </w:rPr>
            </w:pPr>
            <w:r w:rsidRPr="00431AF1">
              <w:rPr>
                <w:rFonts w:ascii="Arial Narrow" w:hAnsi="Arial Narrow"/>
                <w:b/>
                <w:bCs/>
                <w:iCs/>
                <w:sz w:val="20"/>
                <w:szCs w:val="20"/>
              </w:rPr>
              <w:t>medicinal product pack</w:t>
            </w:r>
          </w:p>
        </w:tc>
        <w:tc>
          <w:tcPr>
            <w:tcW w:w="927" w:type="dxa"/>
            <w:vAlign w:val="center"/>
          </w:tcPr>
          <w:p w14:paraId="7B2376EB" w14:textId="77777777" w:rsidR="002B554C" w:rsidRPr="00431AF1" w:rsidRDefault="002B554C" w:rsidP="007F4AA0">
            <w:pPr>
              <w:keepLines/>
              <w:jc w:val="center"/>
              <w:rPr>
                <w:rFonts w:ascii="Arial Narrow" w:hAnsi="Arial Narrow"/>
                <w:b/>
                <w:iCs/>
                <w:sz w:val="20"/>
                <w:szCs w:val="20"/>
              </w:rPr>
            </w:pPr>
            <w:r w:rsidRPr="00431AF1">
              <w:rPr>
                <w:rFonts w:ascii="Arial Narrow" w:hAnsi="Arial Narrow"/>
                <w:b/>
                <w:iCs/>
                <w:sz w:val="20"/>
                <w:szCs w:val="20"/>
              </w:rPr>
              <w:t>PBS item code</w:t>
            </w:r>
          </w:p>
        </w:tc>
        <w:tc>
          <w:tcPr>
            <w:tcW w:w="812" w:type="dxa"/>
            <w:vAlign w:val="center"/>
          </w:tcPr>
          <w:p w14:paraId="1A96108E" w14:textId="77777777" w:rsidR="002B554C" w:rsidRPr="00431AF1" w:rsidRDefault="002B554C" w:rsidP="007F4AA0">
            <w:pPr>
              <w:keepLines/>
              <w:jc w:val="center"/>
              <w:rPr>
                <w:rFonts w:ascii="Arial Narrow" w:hAnsi="Arial Narrow"/>
                <w:b/>
                <w:iCs/>
                <w:sz w:val="20"/>
                <w:szCs w:val="20"/>
              </w:rPr>
            </w:pPr>
            <w:r w:rsidRPr="00431AF1">
              <w:rPr>
                <w:rFonts w:ascii="Arial Narrow" w:hAnsi="Arial Narrow"/>
                <w:b/>
                <w:iCs/>
                <w:sz w:val="20"/>
                <w:szCs w:val="20"/>
              </w:rPr>
              <w:t>Max. qty packs</w:t>
            </w:r>
          </w:p>
        </w:tc>
        <w:tc>
          <w:tcPr>
            <w:tcW w:w="811" w:type="dxa"/>
            <w:vAlign w:val="center"/>
          </w:tcPr>
          <w:p w14:paraId="0A05E2BE" w14:textId="77777777" w:rsidR="002B554C" w:rsidRPr="00431AF1" w:rsidRDefault="002B554C" w:rsidP="007F4AA0">
            <w:pPr>
              <w:keepLines/>
              <w:jc w:val="center"/>
              <w:rPr>
                <w:rFonts w:ascii="Arial Narrow" w:hAnsi="Arial Narrow"/>
                <w:b/>
                <w:iCs/>
                <w:sz w:val="20"/>
                <w:szCs w:val="20"/>
              </w:rPr>
            </w:pPr>
            <w:r w:rsidRPr="00431AF1">
              <w:rPr>
                <w:rFonts w:ascii="Arial Narrow" w:hAnsi="Arial Narrow"/>
                <w:b/>
                <w:iCs/>
                <w:sz w:val="20"/>
                <w:szCs w:val="20"/>
              </w:rPr>
              <w:t>Max. qty units</w:t>
            </w:r>
          </w:p>
        </w:tc>
        <w:tc>
          <w:tcPr>
            <w:tcW w:w="812" w:type="dxa"/>
            <w:vAlign w:val="center"/>
          </w:tcPr>
          <w:p w14:paraId="1ED84D9F" w14:textId="77777777" w:rsidR="002B554C" w:rsidRPr="00431AF1" w:rsidRDefault="002B554C" w:rsidP="007F4AA0">
            <w:pPr>
              <w:keepLines/>
              <w:jc w:val="center"/>
              <w:rPr>
                <w:rFonts w:ascii="Arial Narrow" w:hAnsi="Arial Narrow"/>
                <w:b/>
                <w:bCs/>
                <w:iCs/>
                <w:sz w:val="20"/>
                <w:szCs w:val="20"/>
              </w:rPr>
            </w:pPr>
            <w:r w:rsidRPr="00431AF1">
              <w:rPr>
                <w:rFonts w:ascii="Arial Narrow" w:hAnsi="Arial Narrow"/>
                <w:b/>
                <w:bCs/>
                <w:iCs/>
                <w:sz w:val="20"/>
                <w:szCs w:val="20"/>
              </w:rPr>
              <w:t>№.of</w:t>
            </w:r>
          </w:p>
          <w:p w14:paraId="6B2681E2" w14:textId="77777777" w:rsidR="002B554C" w:rsidRPr="00431AF1" w:rsidRDefault="002B554C" w:rsidP="007F4AA0">
            <w:pPr>
              <w:keepLines/>
              <w:jc w:val="center"/>
              <w:rPr>
                <w:rFonts w:ascii="Arial Narrow" w:hAnsi="Arial Narrow"/>
                <w:b/>
                <w:bCs/>
                <w:iCs/>
                <w:sz w:val="20"/>
                <w:szCs w:val="20"/>
              </w:rPr>
            </w:pPr>
            <w:r w:rsidRPr="00431AF1">
              <w:rPr>
                <w:rFonts w:ascii="Arial Narrow" w:hAnsi="Arial Narrow"/>
                <w:b/>
                <w:bCs/>
                <w:iCs/>
                <w:sz w:val="20"/>
                <w:szCs w:val="20"/>
              </w:rPr>
              <w:t>Rpts</w:t>
            </w:r>
          </w:p>
        </w:tc>
        <w:tc>
          <w:tcPr>
            <w:tcW w:w="1831" w:type="dxa"/>
            <w:gridSpan w:val="2"/>
            <w:vAlign w:val="center"/>
          </w:tcPr>
          <w:p w14:paraId="3F51B2FD" w14:textId="77777777" w:rsidR="002B554C" w:rsidRPr="00431AF1" w:rsidRDefault="002B554C" w:rsidP="007F4AA0">
            <w:pPr>
              <w:keepLines/>
              <w:rPr>
                <w:rFonts w:ascii="Arial Narrow" w:hAnsi="Arial Narrow"/>
                <w:b/>
                <w:iCs/>
                <w:sz w:val="20"/>
                <w:szCs w:val="20"/>
                <w:lang w:val="fr-FR"/>
              </w:rPr>
            </w:pPr>
            <w:r w:rsidRPr="00431AF1">
              <w:rPr>
                <w:rFonts w:ascii="Arial Narrow" w:hAnsi="Arial Narrow"/>
                <w:b/>
                <w:iCs/>
                <w:sz w:val="20"/>
                <w:szCs w:val="20"/>
              </w:rPr>
              <w:t>Available brands</w:t>
            </w:r>
          </w:p>
        </w:tc>
      </w:tr>
      <w:tr w:rsidR="002B554C" w:rsidRPr="00431AF1" w14:paraId="084E0D9F" w14:textId="77777777" w:rsidTr="007F4AA0">
        <w:trPr>
          <w:cantSplit/>
          <w:trHeight w:val="20"/>
        </w:trPr>
        <w:tc>
          <w:tcPr>
            <w:tcW w:w="9017" w:type="dxa"/>
            <w:gridSpan w:val="7"/>
            <w:vAlign w:val="center"/>
          </w:tcPr>
          <w:p w14:paraId="58F34940" w14:textId="77777777" w:rsidR="002B554C" w:rsidRPr="00431AF1" w:rsidRDefault="002B554C" w:rsidP="007F4AA0">
            <w:pPr>
              <w:keepLines/>
              <w:rPr>
                <w:rFonts w:ascii="Arial Narrow" w:hAnsi="Arial Narrow"/>
                <w:iCs/>
                <w:sz w:val="20"/>
                <w:szCs w:val="20"/>
              </w:rPr>
            </w:pPr>
            <w:r w:rsidRPr="00431AF1">
              <w:rPr>
                <w:rFonts w:ascii="Arial Narrow" w:hAnsi="Arial Narrow"/>
                <w:iCs/>
                <w:sz w:val="20"/>
                <w:szCs w:val="20"/>
              </w:rPr>
              <w:t>EMPAGLIFLOZIN</w:t>
            </w:r>
          </w:p>
        </w:tc>
      </w:tr>
      <w:tr w:rsidR="002B554C" w:rsidRPr="00431AF1" w14:paraId="63009025" w14:textId="77777777" w:rsidTr="007F4AA0">
        <w:trPr>
          <w:cantSplit/>
          <w:trHeight w:val="20"/>
        </w:trPr>
        <w:tc>
          <w:tcPr>
            <w:tcW w:w="3824" w:type="dxa"/>
            <w:vAlign w:val="center"/>
          </w:tcPr>
          <w:p w14:paraId="356D396C" w14:textId="77777777" w:rsidR="002B554C" w:rsidRPr="00431AF1" w:rsidRDefault="002B554C" w:rsidP="007F4AA0">
            <w:pPr>
              <w:keepLines/>
              <w:rPr>
                <w:rFonts w:ascii="Arial Narrow" w:hAnsi="Arial Narrow"/>
                <w:iCs/>
                <w:sz w:val="20"/>
                <w:szCs w:val="20"/>
              </w:rPr>
            </w:pPr>
            <w:r w:rsidRPr="00431AF1">
              <w:rPr>
                <w:rFonts w:ascii="Arial Narrow" w:hAnsi="Arial Narrow"/>
                <w:iCs/>
                <w:sz w:val="20"/>
                <w:szCs w:val="20"/>
              </w:rPr>
              <w:t xml:space="preserve">empagliflozin 10 mg tablet, 30 </w:t>
            </w:r>
          </w:p>
        </w:tc>
        <w:tc>
          <w:tcPr>
            <w:tcW w:w="927" w:type="dxa"/>
            <w:vAlign w:val="center"/>
          </w:tcPr>
          <w:p w14:paraId="3A40A19A" w14:textId="77777777" w:rsidR="002B554C" w:rsidRPr="00431AF1" w:rsidRDefault="002B554C" w:rsidP="007F4AA0">
            <w:pPr>
              <w:keepLines/>
              <w:jc w:val="center"/>
              <w:rPr>
                <w:rFonts w:ascii="Arial Narrow" w:hAnsi="Arial Narrow"/>
                <w:iCs/>
                <w:sz w:val="20"/>
                <w:szCs w:val="20"/>
              </w:rPr>
            </w:pPr>
            <w:r w:rsidRPr="00431AF1">
              <w:rPr>
                <w:rFonts w:ascii="Arial Narrow" w:hAnsi="Arial Narrow"/>
                <w:iCs/>
                <w:sz w:val="20"/>
                <w:szCs w:val="20"/>
              </w:rPr>
              <w:t>14092Q</w:t>
            </w:r>
          </w:p>
        </w:tc>
        <w:tc>
          <w:tcPr>
            <w:tcW w:w="812" w:type="dxa"/>
            <w:vAlign w:val="center"/>
          </w:tcPr>
          <w:p w14:paraId="5C8461B7" w14:textId="77777777" w:rsidR="002B554C" w:rsidRPr="00431AF1" w:rsidRDefault="002B554C" w:rsidP="007F4AA0">
            <w:pPr>
              <w:keepLines/>
              <w:jc w:val="center"/>
              <w:rPr>
                <w:rFonts w:ascii="Arial Narrow" w:hAnsi="Arial Narrow"/>
                <w:iCs/>
                <w:sz w:val="20"/>
                <w:szCs w:val="20"/>
              </w:rPr>
            </w:pPr>
            <w:r w:rsidRPr="00431AF1">
              <w:rPr>
                <w:rFonts w:ascii="Arial Narrow" w:hAnsi="Arial Narrow"/>
                <w:iCs/>
                <w:sz w:val="20"/>
                <w:szCs w:val="20"/>
              </w:rPr>
              <w:t>1</w:t>
            </w:r>
          </w:p>
        </w:tc>
        <w:tc>
          <w:tcPr>
            <w:tcW w:w="811" w:type="dxa"/>
            <w:vAlign w:val="center"/>
          </w:tcPr>
          <w:p w14:paraId="5DA5A257" w14:textId="77777777" w:rsidR="002B554C" w:rsidRPr="00431AF1" w:rsidRDefault="002B554C" w:rsidP="007F4AA0">
            <w:pPr>
              <w:keepLines/>
              <w:jc w:val="center"/>
              <w:rPr>
                <w:rFonts w:ascii="Arial Narrow" w:hAnsi="Arial Narrow"/>
                <w:iCs/>
                <w:sz w:val="20"/>
                <w:szCs w:val="20"/>
              </w:rPr>
            </w:pPr>
            <w:r w:rsidRPr="00431AF1">
              <w:rPr>
                <w:rFonts w:ascii="Arial Narrow" w:hAnsi="Arial Narrow"/>
                <w:iCs/>
                <w:sz w:val="20"/>
                <w:szCs w:val="20"/>
              </w:rPr>
              <w:t>30</w:t>
            </w:r>
          </w:p>
        </w:tc>
        <w:tc>
          <w:tcPr>
            <w:tcW w:w="812" w:type="dxa"/>
            <w:vAlign w:val="center"/>
          </w:tcPr>
          <w:p w14:paraId="3651BCEC" w14:textId="77777777" w:rsidR="002B554C" w:rsidRPr="00431AF1" w:rsidRDefault="002B554C" w:rsidP="007F4AA0">
            <w:pPr>
              <w:keepLines/>
              <w:jc w:val="center"/>
              <w:rPr>
                <w:rFonts w:ascii="Arial Narrow" w:hAnsi="Arial Narrow"/>
                <w:iCs/>
                <w:sz w:val="20"/>
                <w:szCs w:val="20"/>
              </w:rPr>
            </w:pPr>
            <w:r w:rsidRPr="00431AF1">
              <w:rPr>
                <w:rFonts w:ascii="Arial Narrow" w:hAnsi="Arial Narrow"/>
                <w:iCs/>
                <w:sz w:val="20"/>
                <w:szCs w:val="20"/>
              </w:rPr>
              <w:t>5</w:t>
            </w:r>
          </w:p>
        </w:tc>
        <w:tc>
          <w:tcPr>
            <w:tcW w:w="1831" w:type="dxa"/>
            <w:gridSpan w:val="2"/>
            <w:vAlign w:val="center"/>
          </w:tcPr>
          <w:p w14:paraId="78C970FD" w14:textId="77777777" w:rsidR="002B554C" w:rsidRPr="00431AF1" w:rsidRDefault="002B554C" w:rsidP="007F4AA0">
            <w:pPr>
              <w:keepLines/>
              <w:rPr>
                <w:rFonts w:ascii="Arial Narrow" w:hAnsi="Arial Narrow"/>
                <w:iCs/>
                <w:sz w:val="20"/>
                <w:szCs w:val="20"/>
              </w:rPr>
            </w:pPr>
            <w:r w:rsidRPr="00431AF1">
              <w:rPr>
                <w:rFonts w:ascii="Arial Narrow" w:hAnsi="Arial Narrow"/>
                <w:iCs/>
                <w:sz w:val="20"/>
                <w:szCs w:val="20"/>
              </w:rPr>
              <w:t>Jardiance</w:t>
            </w:r>
          </w:p>
        </w:tc>
      </w:tr>
      <w:tr w:rsidR="002B554C" w:rsidRPr="00431AF1" w14:paraId="4528B2ED" w14:textId="77777777" w:rsidTr="007F4AA0">
        <w:tblPrEx>
          <w:tblCellMar>
            <w:top w:w="15" w:type="dxa"/>
            <w:bottom w:w="15" w:type="dxa"/>
          </w:tblCellMar>
          <w:tblLook w:val="04A0" w:firstRow="1" w:lastRow="0" w:firstColumn="1" w:lastColumn="0" w:noHBand="0" w:noVBand="1"/>
        </w:tblPrEx>
        <w:trPr>
          <w:trHeight w:val="20"/>
        </w:trPr>
        <w:tc>
          <w:tcPr>
            <w:tcW w:w="9017" w:type="dxa"/>
            <w:gridSpan w:val="7"/>
            <w:tcBorders>
              <w:top w:val="single" w:sz="4" w:space="0" w:color="auto"/>
              <w:left w:val="single" w:sz="4" w:space="0" w:color="auto"/>
              <w:right w:val="single" w:sz="4" w:space="0" w:color="auto"/>
            </w:tcBorders>
            <w:vAlign w:val="center"/>
          </w:tcPr>
          <w:p w14:paraId="27A6CD8F" w14:textId="77777777" w:rsidR="002B554C" w:rsidRPr="00431AF1" w:rsidRDefault="002B554C" w:rsidP="007F4AA0">
            <w:pPr>
              <w:rPr>
                <w:rFonts w:ascii="Arial Narrow" w:hAnsi="Arial Narrow"/>
                <w:iCs/>
                <w:sz w:val="20"/>
                <w:szCs w:val="20"/>
              </w:rPr>
            </w:pPr>
          </w:p>
        </w:tc>
      </w:tr>
      <w:tr w:rsidR="00E42ACF" w:rsidRPr="00431AF1" w14:paraId="53106E53" w14:textId="77777777" w:rsidTr="00E42ACF">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202F565A" w14:textId="77777777" w:rsidR="00E42ACF" w:rsidRPr="00431AF1" w:rsidRDefault="00E42ACF" w:rsidP="007F4AA0">
            <w:pPr>
              <w:keepLines/>
              <w:rPr>
                <w:rFonts w:ascii="Arial Narrow" w:hAnsi="Arial Narrow"/>
                <w:iCs/>
                <w:sz w:val="20"/>
                <w:szCs w:val="20"/>
              </w:rPr>
            </w:pPr>
            <w:r w:rsidRPr="00431AF1">
              <w:rPr>
                <w:rFonts w:ascii="Arial Narrow" w:hAnsi="Arial Narrow"/>
                <w:b/>
                <w:iCs/>
                <w:sz w:val="20"/>
                <w:szCs w:val="20"/>
              </w:rPr>
              <w:t>Category / Program:</w:t>
            </w:r>
            <w:r w:rsidRPr="00431AF1">
              <w:rPr>
                <w:rFonts w:ascii="Arial Narrow" w:hAnsi="Arial Narrow"/>
                <w:iCs/>
                <w:color w:val="FF0000"/>
                <w:sz w:val="20"/>
                <w:szCs w:val="20"/>
              </w:rPr>
              <w:t xml:space="preserve"> </w:t>
            </w:r>
            <w:r w:rsidRPr="00431AF1">
              <w:rPr>
                <w:rFonts w:ascii="Arial Narrow" w:eastAsia="Calibri" w:hAnsi="Arial Narrow"/>
                <w:iCs/>
                <w:sz w:val="20"/>
                <w:szCs w:val="20"/>
              </w:rPr>
              <w:fldChar w:fldCharType="begin">
                <w:ffData>
                  <w:name w:val="Check1"/>
                  <w:enabled/>
                  <w:calcOnExit w:val="0"/>
                  <w:checkBox>
                    <w:sizeAuto/>
                    <w:default w:val="1"/>
                  </w:checkBox>
                </w:ffData>
              </w:fldChar>
            </w:r>
            <w:bookmarkStart w:id="63" w:name="Check1"/>
            <w:r w:rsidRPr="00431AF1">
              <w:rPr>
                <w:rFonts w:ascii="Arial Narrow" w:eastAsia="Calibri" w:hAnsi="Arial Narrow"/>
                <w:iCs/>
                <w:sz w:val="20"/>
                <w:szCs w:val="20"/>
              </w:rPr>
              <w:instrText xml:space="preserve"> FORMCHECKBOX </w:instrText>
            </w:r>
            <w:r w:rsidRPr="00431AF1">
              <w:rPr>
                <w:rFonts w:ascii="Arial Narrow" w:eastAsia="Calibri" w:hAnsi="Arial Narrow"/>
                <w:iCs/>
                <w:sz w:val="20"/>
                <w:szCs w:val="20"/>
              </w:rPr>
            </w:r>
            <w:r w:rsidRPr="00431AF1">
              <w:rPr>
                <w:rFonts w:ascii="Arial Narrow" w:eastAsia="Calibri" w:hAnsi="Arial Narrow"/>
                <w:iCs/>
                <w:sz w:val="20"/>
                <w:szCs w:val="20"/>
              </w:rPr>
              <w:fldChar w:fldCharType="separate"/>
            </w:r>
            <w:r w:rsidRPr="00431AF1">
              <w:rPr>
                <w:rFonts w:ascii="Arial Narrow" w:eastAsia="Calibri" w:hAnsi="Arial Narrow"/>
                <w:iCs/>
                <w:sz w:val="20"/>
                <w:szCs w:val="20"/>
              </w:rPr>
              <w:fldChar w:fldCharType="end"/>
            </w:r>
            <w:bookmarkEnd w:id="63"/>
            <w:r w:rsidRPr="00431AF1">
              <w:rPr>
                <w:rFonts w:ascii="Arial Narrow" w:eastAsia="Calibri" w:hAnsi="Arial Narrow"/>
                <w:iCs/>
                <w:sz w:val="20"/>
                <w:szCs w:val="20"/>
              </w:rPr>
              <w:t xml:space="preserve"> GENERAL - General Schedule (Code GE) </w:t>
            </w:r>
          </w:p>
        </w:tc>
      </w:tr>
      <w:tr w:rsidR="00E42ACF" w:rsidRPr="00431AF1" w14:paraId="6EDF5F4C" w14:textId="77777777" w:rsidTr="00E42ACF">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1DE4D580" w14:textId="77777777" w:rsidR="00E42ACF" w:rsidRPr="00431AF1" w:rsidRDefault="00E42ACF" w:rsidP="007F4AA0">
            <w:pPr>
              <w:keepLines/>
              <w:rPr>
                <w:rFonts w:ascii="Arial Narrow" w:hAnsi="Arial Narrow"/>
                <w:b/>
                <w:iCs/>
                <w:sz w:val="20"/>
                <w:szCs w:val="20"/>
              </w:rPr>
            </w:pPr>
            <w:r w:rsidRPr="00431AF1">
              <w:rPr>
                <w:rFonts w:ascii="Arial Narrow" w:hAnsi="Arial Narrow"/>
                <w:b/>
                <w:iCs/>
                <w:sz w:val="20"/>
                <w:szCs w:val="20"/>
              </w:rPr>
              <w:t xml:space="preserve">Prescriber type: </w:t>
            </w:r>
            <w:r w:rsidRPr="00431AF1">
              <w:rPr>
                <w:rFonts w:ascii="Arial Narrow" w:hAnsi="Arial Narrow"/>
                <w:iCs/>
                <w:sz w:val="20"/>
                <w:szCs w:val="20"/>
              </w:rPr>
              <w:fldChar w:fldCharType="begin">
                <w:ffData>
                  <w:name w:val=""/>
                  <w:enabled/>
                  <w:calcOnExit w:val="0"/>
                  <w:checkBox>
                    <w:sizeAuto/>
                    <w:default w:val="1"/>
                  </w:checkBox>
                </w:ffData>
              </w:fldChar>
            </w:r>
            <w:r w:rsidRPr="00431AF1">
              <w:rPr>
                <w:rFonts w:ascii="Arial Narrow" w:hAnsi="Arial Narrow"/>
                <w:iCs/>
                <w:sz w:val="20"/>
                <w:szCs w:val="20"/>
              </w:rPr>
              <w:instrText xml:space="preserve"> FORMCHECKBOX </w:instrText>
            </w:r>
            <w:r w:rsidRPr="00431AF1">
              <w:rPr>
                <w:rFonts w:ascii="Arial Narrow" w:hAnsi="Arial Narrow"/>
                <w:iCs/>
                <w:sz w:val="20"/>
                <w:szCs w:val="20"/>
              </w:rPr>
            </w:r>
            <w:r w:rsidRPr="00431AF1">
              <w:rPr>
                <w:rFonts w:ascii="Arial Narrow" w:hAnsi="Arial Narrow"/>
                <w:iCs/>
                <w:sz w:val="20"/>
                <w:szCs w:val="20"/>
              </w:rPr>
              <w:fldChar w:fldCharType="separate"/>
            </w:r>
            <w:r w:rsidRPr="00431AF1">
              <w:rPr>
                <w:rFonts w:ascii="Arial Narrow" w:hAnsi="Arial Narrow"/>
                <w:iCs/>
                <w:sz w:val="20"/>
                <w:szCs w:val="20"/>
              </w:rPr>
              <w:fldChar w:fldCharType="end"/>
            </w:r>
            <w:r w:rsidRPr="00431AF1">
              <w:rPr>
                <w:rFonts w:ascii="Arial Narrow" w:hAnsi="Arial Narrow"/>
                <w:iCs/>
                <w:sz w:val="20"/>
                <w:szCs w:val="20"/>
              </w:rPr>
              <w:t xml:space="preserve">Medical Practitioners </w:t>
            </w:r>
            <w:r w:rsidRPr="00431AF1">
              <w:rPr>
                <w:rFonts w:ascii="Arial Narrow" w:hAnsi="Arial Narrow"/>
                <w:iCs/>
                <w:sz w:val="20"/>
                <w:szCs w:val="20"/>
              </w:rPr>
              <w:fldChar w:fldCharType="begin">
                <w:ffData>
                  <w:name w:val="Check3"/>
                  <w:enabled/>
                  <w:calcOnExit w:val="0"/>
                  <w:checkBox>
                    <w:sizeAuto/>
                    <w:default w:val="1"/>
                  </w:checkBox>
                </w:ffData>
              </w:fldChar>
            </w:r>
            <w:r w:rsidRPr="00431AF1">
              <w:rPr>
                <w:rFonts w:ascii="Arial Narrow" w:hAnsi="Arial Narrow"/>
                <w:iCs/>
                <w:sz w:val="20"/>
                <w:szCs w:val="20"/>
              </w:rPr>
              <w:instrText xml:space="preserve"> FORMCHECKBOX </w:instrText>
            </w:r>
            <w:r w:rsidRPr="00431AF1">
              <w:rPr>
                <w:rFonts w:ascii="Arial Narrow" w:hAnsi="Arial Narrow"/>
                <w:iCs/>
                <w:sz w:val="20"/>
                <w:szCs w:val="20"/>
              </w:rPr>
            </w:r>
            <w:r w:rsidRPr="00431AF1">
              <w:rPr>
                <w:rFonts w:ascii="Arial Narrow" w:hAnsi="Arial Narrow"/>
                <w:iCs/>
                <w:sz w:val="20"/>
                <w:szCs w:val="20"/>
              </w:rPr>
              <w:fldChar w:fldCharType="separate"/>
            </w:r>
            <w:r w:rsidRPr="00431AF1">
              <w:rPr>
                <w:rFonts w:ascii="Arial Narrow" w:hAnsi="Arial Narrow"/>
                <w:iCs/>
                <w:sz w:val="20"/>
                <w:szCs w:val="20"/>
              </w:rPr>
              <w:fldChar w:fldCharType="end"/>
            </w:r>
            <w:r w:rsidRPr="00431AF1">
              <w:rPr>
                <w:rFonts w:ascii="Arial Narrow" w:hAnsi="Arial Narrow"/>
                <w:iCs/>
                <w:sz w:val="20"/>
                <w:szCs w:val="20"/>
              </w:rPr>
              <w:t xml:space="preserve">Nurse practitioners </w:t>
            </w:r>
          </w:p>
        </w:tc>
      </w:tr>
      <w:tr w:rsidR="00E42ACF" w:rsidRPr="00431AF1" w14:paraId="37994721" w14:textId="77777777" w:rsidTr="00E42ACF">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tcBorders>
              <w:top w:val="single" w:sz="4" w:space="0" w:color="auto"/>
              <w:left w:val="single" w:sz="4" w:space="0" w:color="auto"/>
              <w:bottom w:val="single" w:sz="4" w:space="0" w:color="auto"/>
              <w:right w:val="single" w:sz="4" w:space="0" w:color="auto"/>
            </w:tcBorders>
            <w:vAlign w:val="center"/>
          </w:tcPr>
          <w:p w14:paraId="66110FD5" w14:textId="77777777" w:rsidR="00E42ACF" w:rsidRPr="00431AF1" w:rsidRDefault="00E42ACF" w:rsidP="007F4AA0">
            <w:pPr>
              <w:keepLines/>
              <w:rPr>
                <w:rFonts w:ascii="Arial Narrow" w:eastAsia="Calibri" w:hAnsi="Arial Narrow"/>
                <w:iCs/>
                <w:color w:val="FF0000"/>
                <w:sz w:val="20"/>
                <w:szCs w:val="20"/>
              </w:rPr>
            </w:pPr>
            <w:r w:rsidRPr="00431AF1">
              <w:rPr>
                <w:rFonts w:ascii="Arial Narrow" w:hAnsi="Arial Narrow"/>
                <w:b/>
                <w:iCs/>
                <w:sz w:val="20"/>
                <w:szCs w:val="20"/>
              </w:rPr>
              <w:t xml:space="preserve">Restriction type: </w:t>
            </w:r>
            <w:r w:rsidRPr="00431AF1">
              <w:rPr>
                <w:rFonts w:ascii="Arial Narrow" w:eastAsia="Calibri" w:hAnsi="Arial Narrow"/>
                <w:iCs/>
                <w:sz w:val="20"/>
                <w:szCs w:val="20"/>
              </w:rPr>
              <w:fldChar w:fldCharType="begin">
                <w:ffData>
                  <w:name w:val=""/>
                  <w:enabled/>
                  <w:calcOnExit w:val="0"/>
                  <w:checkBox>
                    <w:sizeAuto/>
                    <w:default w:val="1"/>
                  </w:checkBox>
                </w:ffData>
              </w:fldChar>
            </w:r>
            <w:r w:rsidRPr="00431AF1">
              <w:rPr>
                <w:rFonts w:ascii="Arial Narrow" w:eastAsia="Calibri" w:hAnsi="Arial Narrow"/>
                <w:iCs/>
                <w:sz w:val="20"/>
                <w:szCs w:val="20"/>
              </w:rPr>
              <w:instrText xml:space="preserve"> FORMCHECKBOX </w:instrText>
            </w:r>
            <w:r w:rsidRPr="00431AF1">
              <w:rPr>
                <w:rFonts w:ascii="Arial Narrow" w:eastAsia="Calibri" w:hAnsi="Arial Narrow"/>
                <w:iCs/>
                <w:sz w:val="20"/>
                <w:szCs w:val="20"/>
              </w:rPr>
            </w:r>
            <w:r w:rsidRPr="00431AF1">
              <w:rPr>
                <w:rFonts w:ascii="Arial Narrow" w:eastAsia="Calibri" w:hAnsi="Arial Narrow"/>
                <w:iCs/>
                <w:sz w:val="20"/>
                <w:szCs w:val="20"/>
              </w:rPr>
              <w:fldChar w:fldCharType="separate"/>
            </w:r>
            <w:r w:rsidRPr="00431AF1">
              <w:rPr>
                <w:rFonts w:ascii="Arial Narrow" w:eastAsia="Calibri" w:hAnsi="Arial Narrow"/>
                <w:iCs/>
                <w:sz w:val="20"/>
                <w:szCs w:val="20"/>
              </w:rPr>
              <w:fldChar w:fldCharType="end"/>
            </w:r>
            <w:r w:rsidRPr="00431AF1">
              <w:rPr>
                <w:rFonts w:ascii="Arial Narrow" w:eastAsia="Calibri" w:hAnsi="Arial Narrow"/>
                <w:iCs/>
                <w:sz w:val="20"/>
                <w:szCs w:val="20"/>
              </w:rPr>
              <w:t xml:space="preserve">Authority Required (Streamlined) [new/existing code] </w:t>
            </w:r>
          </w:p>
        </w:tc>
      </w:tr>
      <w:tr w:rsidR="00E42ACF" w:rsidRPr="00431AF1" w14:paraId="110C233C" w14:textId="77777777" w:rsidTr="00E42ACF">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26916D0C" w14:textId="77777777" w:rsidR="00E42ACF" w:rsidRPr="00431AF1" w:rsidRDefault="00E42ACF" w:rsidP="007F4AA0">
            <w:pPr>
              <w:rPr>
                <w:rFonts w:ascii="Arial Narrow" w:hAnsi="Arial Narrow"/>
                <w:b/>
                <w:bCs/>
                <w:iCs/>
                <w:color w:val="333333"/>
                <w:sz w:val="20"/>
                <w:szCs w:val="20"/>
              </w:rPr>
            </w:pPr>
            <w:r w:rsidRPr="00431AF1">
              <w:rPr>
                <w:rFonts w:ascii="Arial Narrow" w:hAnsi="Arial Narrow"/>
                <w:b/>
                <w:bCs/>
                <w:iCs/>
                <w:color w:val="333333"/>
                <w:sz w:val="20"/>
                <w:szCs w:val="20"/>
              </w:rPr>
              <w:t>Administrative Advice:</w:t>
            </w:r>
          </w:p>
          <w:p w14:paraId="341126D9" w14:textId="77777777" w:rsidR="00E42ACF" w:rsidRPr="00431AF1" w:rsidRDefault="00E42ACF" w:rsidP="007F4AA0">
            <w:pPr>
              <w:rPr>
                <w:rFonts w:ascii="Arial Narrow" w:hAnsi="Arial Narrow"/>
                <w:iCs/>
                <w:color w:val="333333"/>
                <w:sz w:val="20"/>
                <w:szCs w:val="20"/>
              </w:rPr>
            </w:pPr>
            <w:r w:rsidRPr="00431AF1">
              <w:rPr>
                <w:rFonts w:ascii="Arial Narrow" w:hAnsi="Arial Narrow"/>
                <w:b/>
                <w:bCs/>
                <w:iCs/>
                <w:color w:val="333333"/>
                <w:sz w:val="20"/>
                <w:szCs w:val="20"/>
              </w:rPr>
              <w:t>Continuing Therapy Only:</w:t>
            </w:r>
            <w:r w:rsidRPr="00431AF1">
              <w:rPr>
                <w:rFonts w:ascii="Arial Narrow" w:hAnsi="Arial Narrow"/>
                <w:iCs/>
                <w:color w:val="333333"/>
                <w:sz w:val="20"/>
                <w:szCs w:val="20"/>
              </w:rPr>
              <w:t xml:space="preserve"> 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E42ACF" w:rsidRPr="00431AF1" w14:paraId="3993FAA1" w14:textId="77777777" w:rsidTr="00E42ACF">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70850169" w14:textId="77777777" w:rsidR="00E42ACF" w:rsidRPr="00431AF1" w:rsidRDefault="00E42ACF" w:rsidP="007F4AA0">
            <w:pPr>
              <w:rPr>
                <w:rFonts w:ascii="Arial Narrow" w:hAnsi="Arial Narrow"/>
                <w:iCs/>
                <w:color w:val="333333"/>
                <w:sz w:val="20"/>
                <w:szCs w:val="20"/>
              </w:rPr>
            </w:pPr>
            <w:r w:rsidRPr="00431AF1">
              <w:rPr>
                <w:rFonts w:ascii="Arial Narrow" w:hAnsi="Arial Narrow"/>
                <w:b/>
                <w:bCs/>
                <w:iCs/>
                <w:color w:val="333333"/>
                <w:sz w:val="20"/>
                <w:szCs w:val="20"/>
              </w:rPr>
              <w:t xml:space="preserve">Administrative Advice: </w:t>
            </w:r>
            <w:r w:rsidRPr="00431AF1">
              <w:rPr>
                <w:rFonts w:ascii="Arial Narrow" w:hAnsi="Arial Narrow"/>
                <w:iCs/>
                <w:color w:val="333333"/>
                <w:sz w:val="20"/>
                <w:szCs w:val="20"/>
              </w:rPr>
              <w:t>No increase in the maximum quantity or number of units may be authorised.</w:t>
            </w:r>
          </w:p>
        </w:tc>
      </w:tr>
      <w:tr w:rsidR="00E42ACF" w:rsidRPr="00431AF1" w14:paraId="4DC33259" w14:textId="77777777" w:rsidTr="00E42ACF">
        <w:tblPrEx>
          <w:tblCellMar>
            <w:top w:w="15" w:type="dxa"/>
            <w:bottom w:w="15" w:type="dxa"/>
          </w:tblCellMar>
          <w:tblLook w:val="04A0" w:firstRow="1" w:lastRow="0" w:firstColumn="1" w:lastColumn="0" w:noHBand="0" w:noVBand="1"/>
        </w:tblPrEx>
        <w:trPr>
          <w:gridAfter w:val="1"/>
          <w:wAfter w:w="7" w:type="dxa"/>
          <w:trHeight w:val="20"/>
        </w:trPr>
        <w:tc>
          <w:tcPr>
            <w:tcW w:w="9010" w:type="dxa"/>
            <w:gridSpan w:val="6"/>
            <w:vAlign w:val="center"/>
          </w:tcPr>
          <w:p w14:paraId="60483918" w14:textId="77777777" w:rsidR="00E42ACF" w:rsidRPr="00431AF1" w:rsidRDefault="00E42ACF" w:rsidP="007F4AA0">
            <w:pPr>
              <w:rPr>
                <w:rFonts w:ascii="Arial Narrow" w:hAnsi="Arial Narrow"/>
                <w:iCs/>
                <w:color w:val="333333"/>
                <w:sz w:val="20"/>
                <w:szCs w:val="20"/>
              </w:rPr>
            </w:pPr>
            <w:r w:rsidRPr="00431AF1">
              <w:rPr>
                <w:rFonts w:ascii="Arial Narrow" w:hAnsi="Arial Narrow"/>
                <w:b/>
                <w:bCs/>
                <w:iCs/>
                <w:color w:val="333333"/>
                <w:sz w:val="20"/>
                <w:szCs w:val="20"/>
              </w:rPr>
              <w:t xml:space="preserve">Administrative Advice: </w:t>
            </w:r>
            <w:r w:rsidRPr="00431AF1">
              <w:rPr>
                <w:rFonts w:ascii="Arial Narrow" w:hAnsi="Arial Narrow"/>
                <w:iCs/>
                <w:color w:val="333333"/>
                <w:sz w:val="20"/>
                <w:szCs w:val="20"/>
              </w:rPr>
              <w:t>No increase in the maximum number of repeats may be authorised.</w:t>
            </w:r>
          </w:p>
        </w:tc>
      </w:tr>
      <w:tr w:rsidR="00E42ACF" w:rsidRPr="00431AF1" w14:paraId="7BAED697"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4E8FBF68" w14:textId="77777777" w:rsidR="00E42ACF" w:rsidRPr="00431AF1" w:rsidRDefault="00E42ACF" w:rsidP="007F4AA0">
            <w:pPr>
              <w:keepLines/>
              <w:rPr>
                <w:rFonts w:ascii="Arial Narrow" w:hAnsi="Arial Narrow"/>
                <w:iCs/>
                <w:sz w:val="20"/>
                <w:szCs w:val="20"/>
              </w:rPr>
            </w:pPr>
            <w:r w:rsidRPr="00431AF1">
              <w:rPr>
                <w:rFonts w:ascii="Arial Narrow" w:hAnsi="Arial Narrow"/>
                <w:b/>
                <w:bCs/>
                <w:iCs/>
                <w:sz w:val="20"/>
                <w:szCs w:val="20"/>
              </w:rPr>
              <w:t xml:space="preserve">Episodicity: </w:t>
            </w:r>
            <w:r w:rsidRPr="00431AF1">
              <w:rPr>
                <w:rFonts w:ascii="Arial Narrow" w:hAnsi="Arial Narrow"/>
                <w:iCs/>
                <w:sz w:val="20"/>
                <w:szCs w:val="20"/>
              </w:rPr>
              <w:t>Chronic</w:t>
            </w:r>
          </w:p>
        </w:tc>
      </w:tr>
      <w:tr w:rsidR="00E42ACF" w:rsidRPr="00431AF1" w14:paraId="11000B67" w14:textId="77777777" w:rsidTr="00E42ACF">
        <w:tblPrEx>
          <w:tblCellMar>
            <w:top w:w="15" w:type="dxa"/>
            <w:bottom w:w="15" w:type="dxa"/>
          </w:tblCellMar>
          <w:tblLook w:val="04A0" w:firstRow="1" w:lastRow="0" w:firstColumn="1" w:lastColumn="0" w:noHBand="0" w:noVBand="1"/>
        </w:tblPrEx>
        <w:trPr>
          <w:gridAfter w:val="1"/>
          <w:wAfter w:w="7" w:type="dxa"/>
          <w:cantSplit/>
          <w:trHeight w:val="35"/>
        </w:trPr>
        <w:tc>
          <w:tcPr>
            <w:tcW w:w="9010" w:type="dxa"/>
            <w:gridSpan w:val="6"/>
            <w:vAlign w:val="center"/>
          </w:tcPr>
          <w:p w14:paraId="17CC3AFF" w14:textId="77777777" w:rsidR="00E42ACF" w:rsidRPr="00431AF1" w:rsidRDefault="00E42ACF" w:rsidP="007F4AA0">
            <w:pPr>
              <w:keepLines/>
              <w:rPr>
                <w:rFonts w:ascii="Arial Narrow" w:hAnsi="Arial Narrow"/>
                <w:b/>
                <w:bCs/>
                <w:iCs/>
                <w:sz w:val="20"/>
                <w:szCs w:val="20"/>
              </w:rPr>
            </w:pPr>
            <w:r w:rsidRPr="00431AF1">
              <w:rPr>
                <w:rFonts w:ascii="Arial Narrow" w:hAnsi="Arial Narrow"/>
                <w:b/>
                <w:bCs/>
                <w:iCs/>
                <w:sz w:val="20"/>
                <w:szCs w:val="20"/>
              </w:rPr>
              <w:t xml:space="preserve">Severity: </w:t>
            </w:r>
            <w:r w:rsidRPr="00431AF1">
              <w:rPr>
                <w:rFonts w:ascii="Arial Narrow" w:hAnsi="Arial Narrow"/>
                <w:bCs/>
                <w:iCs/>
                <w:sz w:val="20"/>
                <w:szCs w:val="20"/>
              </w:rPr>
              <w:t>n/a</w:t>
            </w:r>
          </w:p>
        </w:tc>
      </w:tr>
      <w:tr w:rsidR="00E42ACF" w:rsidRPr="00431AF1" w14:paraId="70DAB987"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6B24A57" w14:textId="77777777" w:rsidR="00E42ACF" w:rsidRPr="00431AF1" w:rsidRDefault="00E42ACF" w:rsidP="007F4AA0">
            <w:pPr>
              <w:keepLines/>
              <w:rPr>
                <w:rFonts w:ascii="Arial Narrow" w:hAnsi="Arial Narrow"/>
                <w:b/>
                <w:bCs/>
                <w:iCs/>
                <w:color w:val="333333"/>
                <w:sz w:val="20"/>
                <w:szCs w:val="20"/>
              </w:rPr>
            </w:pPr>
            <w:r w:rsidRPr="00431AF1">
              <w:rPr>
                <w:rFonts w:ascii="Arial Narrow" w:hAnsi="Arial Narrow"/>
                <w:b/>
                <w:bCs/>
                <w:iCs/>
                <w:color w:val="333333"/>
                <w:sz w:val="20"/>
                <w:szCs w:val="20"/>
              </w:rPr>
              <w:t xml:space="preserve">Condition: </w:t>
            </w:r>
            <w:r w:rsidRPr="00431AF1">
              <w:rPr>
                <w:rFonts w:ascii="Arial Narrow" w:hAnsi="Arial Narrow"/>
                <w:bCs/>
                <w:iCs/>
                <w:color w:val="333333"/>
                <w:sz w:val="20"/>
                <w:szCs w:val="20"/>
              </w:rPr>
              <w:t>Kidney disease</w:t>
            </w:r>
          </w:p>
        </w:tc>
      </w:tr>
      <w:tr w:rsidR="00E42ACF" w:rsidRPr="00431AF1" w14:paraId="7D473674"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01B0F8D8" w14:textId="77777777" w:rsidR="00E42ACF" w:rsidRPr="00431AF1" w:rsidRDefault="00E42ACF" w:rsidP="007F4AA0">
            <w:pPr>
              <w:keepLines/>
              <w:rPr>
                <w:rFonts w:ascii="Arial Narrow" w:hAnsi="Arial Narrow"/>
                <w:iCs/>
                <w:color w:val="333333"/>
                <w:sz w:val="20"/>
                <w:szCs w:val="20"/>
              </w:rPr>
            </w:pPr>
            <w:r w:rsidRPr="00431AF1">
              <w:rPr>
                <w:rFonts w:ascii="Arial Narrow" w:hAnsi="Arial Narrow"/>
                <w:b/>
                <w:bCs/>
                <w:iCs/>
                <w:color w:val="333333"/>
                <w:sz w:val="20"/>
                <w:szCs w:val="20"/>
              </w:rPr>
              <w:t>Indication:</w:t>
            </w:r>
            <w:r w:rsidRPr="00431AF1">
              <w:rPr>
                <w:rFonts w:ascii="Arial Narrow" w:hAnsi="Arial Narrow"/>
                <w:iCs/>
                <w:color w:val="333333"/>
                <w:sz w:val="20"/>
                <w:szCs w:val="20"/>
              </w:rPr>
              <w:t xml:space="preserve"> Chronic kidney disease</w:t>
            </w:r>
          </w:p>
        </w:tc>
      </w:tr>
      <w:tr w:rsidR="00E42ACF" w:rsidRPr="00431AF1" w14:paraId="7606E77C"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322950A0" w14:textId="77777777" w:rsidR="00E42ACF" w:rsidRPr="00431AF1" w:rsidRDefault="00E42ACF" w:rsidP="007F4AA0">
            <w:pPr>
              <w:rPr>
                <w:rFonts w:ascii="Arial Narrow" w:hAnsi="Arial Narrow"/>
                <w:iCs/>
                <w:sz w:val="20"/>
                <w:szCs w:val="20"/>
              </w:rPr>
            </w:pPr>
            <w:r w:rsidRPr="00431AF1">
              <w:rPr>
                <w:rFonts w:ascii="Arial Narrow" w:hAnsi="Arial Narrow"/>
                <w:b/>
                <w:bCs/>
                <w:iCs/>
                <w:color w:val="333333"/>
                <w:sz w:val="20"/>
                <w:szCs w:val="20"/>
              </w:rPr>
              <w:t xml:space="preserve">Treatment </w:t>
            </w:r>
            <w:r w:rsidRPr="00431AF1">
              <w:rPr>
                <w:rFonts w:ascii="Arial Narrow" w:hAnsi="Arial Narrow"/>
                <w:b/>
                <w:bCs/>
                <w:iCs/>
                <w:sz w:val="20"/>
                <w:szCs w:val="20"/>
              </w:rPr>
              <w:t>Phase:</w:t>
            </w:r>
            <w:r w:rsidRPr="00431AF1">
              <w:rPr>
                <w:rFonts w:ascii="Arial Narrow" w:hAnsi="Arial Narrow"/>
                <w:iCs/>
                <w:sz w:val="20"/>
                <w:szCs w:val="20"/>
              </w:rPr>
              <w:t xml:space="preserve"> n/a</w:t>
            </w:r>
          </w:p>
        </w:tc>
      </w:tr>
      <w:tr w:rsidR="00E42ACF" w:rsidRPr="00431AF1" w14:paraId="2B8D75C7"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69969B72" w14:textId="77777777" w:rsidR="00E42ACF" w:rsidRDefault="00E42ACF" w:rsidP="007F4AA0">
            <w:pPr>
              <w:rPr>
                <w:rFonts w:ascii="Arial Narrow" w:hAnsi="Arial Narrow"/>
                <w:b/>
                <w:bCs/>
                <w:iCs/>
                <w:color w:val="333333"/>
                <w:sz w:val="20"/>
                <w:szCs w:val="20"/>
              </w:rPr>
            </w:pPr>
            <w:r w:rsidRPr="00431AF1">
              <w:rPr>
                <w:rFonts w:ascii="Arial Narrow" w:hAnsi="Arial Narrow"/>
                <w:b/>
                <w:bCs/>
                <w:iCs/>
                <w:color w:val="333333"/>
                <w:sz w:val="20"/>
                <w:szCs w:val="20"/>
              </w:rPr>
              <w:t>Clinical criteria:</w:t>
            </w:r>
          </w:p>
          <w:p w14:paraId="09DAD797" w14:textId="2061F8E8" w:rsidR="00E42ACF" w:rsidRPr="00431AF1" w:rsidRDefault="00E42ACF" w:rsidP="007F4AA0">
            <w:pPr>
              <w:rPr>
                <w:rFonts w:ascii="Arial Narrow" w:hAnsi="Arial Narrow"/>
                <w:iCs/>
                <w:sz w:val="20"/>
                <w:szCs w:val="20"/>
              </w:rPr>
            </w:pPr>
          </w:p>
        </w:tc>
      </w:tr>
      <w:tr w:rsidR="00E42ACF" w:rsidRPr="00431AF1" w14:paraId="099CC1C7"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8254A36" w14:textId="77777777" w:rsidR="00E42ACF" w:rsidRPr="00431AF1" w:rsidRDefault="00E42ACF" w:rsidP="007F4AA0">
            <w:pPr>
              <w:rPr>
                <w:rFonts w:ascii="Arial Narrow" w:hAnsi="Arial Narrow"/>
                <w:iCs/>
                <w:sz w:val="20"/>
                <w:szCs w:val="20"/>
              </w:rPr>
            </w:pPr>
            <w:r w:rsidRPr="00431AF1">
              <w:rPr>
                <w:rFonts w:ascii="Arial Narrow" w:hAnsi="Arial Narrow"/>
                <w:iCs/>
                <w:sz w:val="20"/>
                <w:szCs w:val="20"/>
              </w:rPr>
              <w:t>Patient must have a diagnosis of chronic kidney disease, defined as abnormalities of at least one of: (i) kidney structure, (ii) kidney function, present for at least 3 months, prior to initiating treatment with this drug</w:t>
            </w:r>
          </w:p>
        </w:tc>
      </w:tr>
      <w:tr w:rsidR="00E42ACF" w:rsidRPr="00431AF1" w14:paraId="4685D508"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0E75568B" w14:textId="77777777" w:rsidR="00E42ACF" w:rsidRPr="00431AF1" w:rsidRDefault="00E42ACF" w:rsidP="007F4AA0">
            <w:pPr>
              <w:rPr>
                <w:rFonts w:ascii="Arial Narrow" w:hAnsi="Arial Narrow"/>
                <w:iCs/>
                <w:sz w:val="20"/>
                <w:szCs w:val="20"/>
              </w:rPr>
            </w:pPr>
            <w:r w:rsidRPr="00431AF1">
              <w:rPr>
                <w:rFonts w:ascii="Arial Narrow" w:hAnsi="Arial Narrow"/>
                <w:b/>
                <w:bCs/>
                <w:iCs/>
                <w:color w:val="333333"/>
                <w:sz w:val="20"/>
                <w:szCs w:val="20"/>
              </w:rPr>
              <w:t>AND</w:t>
            </w:r>
          </w:p>
        </w:tc>
      </w:tr>
      <w:tr w:rsidR="00E42ACF" w:rsidRPr="00431AF1" w14:paraId="289A9A39"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1F15F667" w14:textId="77777777" w:rsidR="00E42ACF" w:rsidRPr="00431AF1" w:rsidRDefault="00E42ACF" w:rsidP="007F4AA0">
            <w:pPr>
              <w:rPr>
                <w:rFonts w:ascii="Arial Narrow" w:hAnsi="Arial Narrow"/>
                <w:iCs/>
                <w:sz w:val="20"/>
                <w:szCs w:val="20"/>
              </w:rPr>
            </w:pPr>
            <w:r w:rsidRPr="00431AF1">
              <w:rPr>
                <w:rFonts w:ascii="Arial Narrow" w:hAnsi="Arial Narrow"/>
                <w:b/>
                <w:bCs/>
                <w:iCs/>
                <w:color w:val="333333"/>
                <w:sz w:val="20"/>
                <w:szCs w:val="20"/>
              </w:rPr>
              <w:t>Clinical criteria:</w:t>
            </w:r>
          </w:p>
        </w:tc>
      </w:tr>
      <w:tr w:rsidR="00E42ACF" w:rsidRPr="00431AF1" w14:paraId="29658C9C"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051FA0B9" w14:textId="77777777" w:rsidR="00E42ACF" w:rsidRPr="00431AF1" w:rsidRDefault="00E42ACF" w:rsidP="007F4AA0">
            <w:pPr>
              <w:rPr>
                <w:rFonts w:ascii="Arial Narrow" w:hAnsi="Arial Narrow"/>
                <w:iCs/>
                <w:sz w:val="20"/>
                <w:szCs w:val="20"/>
              </w:rPr>
            </w:pPr>
            <w:r w:rsidRPr="00431AF1">
              <w:rPr>
                <w:rFonts w:ascii="Arial Narrow" w:hAnsi="Arial Narrow"/>
                <w:iCs/>
                <w:sz w:val="20"/>
                <w:szCs w:val="20"/>
              </w:rPr>
              <w:t>Patient must have an estimated glomerular filtration rate of between 20 to 90 mL/min/1.73 m2 inclusive prior to initiating treatment with this drug</w:t>
            </w:r>
          </w:p>
        </w:tc>
      </w:tr>
      <w:tr w:rsidR="00E42ACF" w:rsidRPr="00431AF1" w14:paraId="200262D1"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42B7CB63" w14:textId="77777777" w:rsidR="00E42ACF" w:rsidRPr="00431AF1" w:rsidRDefault="00E42ACF" w:rsidP="007F4AA0">
            <w:pPr>
              <w:rPr>
                <w:rFonts w:ascii="Arial Narrow" w:hAnsi="Arial Narrow"/>
                <w:iCs/>
                <w:color w:val="333333"/>
                <w:sz w:val="20"/>
                <w:szCs w:val="20"/>
              </w:rPr>
            </w:pPr>
            <w:r w:rsidRPr="00431AF1">
              <w:rPr>
                <w:rFonts w:ascii="Arial Narrow" w:hAnsi="Arial Narrow"/>
                <w:b/>
                <w:bCs/>
                <w:iCs/>
                <w:color w:val="333333"/>
                <w:sz w:val="20"/>
                <w:szCs w:val="20"/>
              </w:rPr>
              <w:t>AND</w:t>
            </w:r>
          </w:p>
        </w:tc>
      </w:tr>
      <w:tr w:rsidR="00E42ACF" w:rsidRPr="00431AF1" w14:paraId="48E2352E"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093B741D" w14:textId="77777777" w:rsidR="00E42ACF" w:rsidRPr="00431AF1" w:rsidRDefault="00E42ACF" w:rsidP="007F4AA0">
            <w:pPr>
              <w:rPr>
                <w:rFonts w:ascii="Arial Narrow" w:hAnsi="Arial Narrow"/>
                <w:iCs/>
                <w:color w:val="333333"/>
                <w:sz w:val="20"/>
                <w:szCs w:val="20"/>
              </w:rPr>
            </w:pPr>
            <w:r w:rsidRPr="00431AF1">
              <w:rPr>
                <w:rFonts w:ascii="Arial Narrow" w:hAnsi="Arial Narrow"/>
                <w:b/>
                <w:bCs/>
                <w:iCs/>
                <w:color w:val="333333"/>
                <w:sz w:val="20"/>
                <w:szCs w:val="20"/>
              </w:rPr>
              <w:t>Clinical criteria:</w:t>
            </w:r>
          </w:p>
        </w:tc>
      </w:tr>
      <w:tr w:rsidR="00E42ACF" w:rsidRPr="00431AF1" w14:paraId="122521A7"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271600B0" w14:textId="69DE9A84" w:rsidR="00E42ACF" w:rsidRPr="00431AF1" w:rsidRDefault="00E42ACF" w:rsidP="007F4AA0">
            <w:pPr>
              <w:rPr>
                <w:rFonts w:ascii="Arial Narrow" w:hAnsi="Arial Narrow"/>
                <w:iCs/>
                <w:sz w:val="20"/>
                <w:szCs w:val="20"/>
              </w:rPr>
            </w:pPr>
            <w:r w:rsidRPr="00431AF1">
              <w:rPr>
                <w:rFonts w:ascii="Arial Narrow" w:hAnsi="Arial Narrow"/>
                <w:iCs/>
                <w:sz w:val="20"/>
                <w:szCs w:val="20"/>
              </w:rPr>
              <w:t>Patient must have a urinary albumin to creatinine ratio of at least 200 mg/g (22.6mg/mmol) if the patient has an estimated glomerular filtration rate of between 45 to 90 mL/min/1.73 m</w:t>
            </w:r>
            <w:r w:rsidRPr="00431AF1">
              <w:rPr>
                <w:rFonts w:ascii="Arial Narrow" w:hAnsi="Arial Narrow"/>
                <w:iCs/>
                <w:sz w:val="20"/>
                <w:szCs w:val="20"/>
                <w:vertAlign w:val="superscript"/>
              </w:rPr>
              <w:t xml:space="preserve">2 </w:t>
            </w:r>
            <w:r w:rsidRPr="00431AF1">
              <w:rPr>
                <w:rFonts w:ascii="Arial Narrow" w:hAnsi="Arial Narrow"/>
                <w:iCs/>
                <w:sz w:val="20"/>
                <w:szCs w:val="20"/>
              </w:rPr>
              <w:t>inclusive prior to initiating treatment with this drug</w:t>
            </w:r>
          </w:p>
        </w:tc>
      </w:tr>
      <w:tr w:rsidR="00E42ACF" w:rsidRPr="00431AF1" w14:paraId="1312F333"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5A9EA453" w14:textId="77777777" w:rsidR="00E42ACF" w:rsidRPr="00431AF1" w:rsidRDefault="00E42ACF" w:rsidP="007F4AA0">
            <w:pPr>
              <w:rPr>
                <w:rFonts w:ascii="Arial Narrow" w:hAnsi="Arial Narrow"/>
                <w:iCs/>
                <w:color w:val="333333"/>
                <w:sz w:val="20"/>
                <w:szCs w:val="20"/>
              </w:rPr>
            </w:pPr>
            <w:r w:rsidRPr="00431AF1">
              <w:rPr>
                <w:rFonts w:ascii="Arial Narrow" w:hAnsi="Arial Narrow"/>
                <w:b/>
                <w:bCs/>
                <w:iCs/>
                <w:color w:val="333333"/>
                <w:sz w:val="20"/>
                <w:szCs w:val="20"/>
              </w:rPr>
              <w:lastRenderedPageBreak/>
              <w:t>AND</w:t>
            </w:r>
          </w:p>
        </w:tc>
      </w:tr>
      <w:tr w:rsidR="00E42ACF" w:rsidRPr="00431AF1" w14:paraId="78B0AAF1"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3BE26E5D" w14:textId="77777777" w:rsidR="00E42ACF" w:rsidRPr="00431AF1" w:rsidRDefault="00E42ACF" w:rsidP="007F4AA0">
            <w:pPr>
              <w:rPr>
                <w:rFonts w:ascii="Arial Narrow" w:hAnsi="Arial Narrow"/>
                <w:iCs/>
                <w:color w:val="333333"/>
                <w:sz w:val="20"/>
                <w:szCs w:val="20"/>
              </w:rPr>
            </w:pPr>
            <w:r w:rsidRPr="00431AF1">
              <w:rPr>
                <w:rFonts w:ascii="Arial Narrow" w:hAnsi="Arial Narrow"/>
                <w:b/>
                <w:bCs/>
                <w:iCs/>
                <w:color w:val="333333"/>
                <w:sz w:val="20"/>
                <w:szCs w:val="20"/>
              </w:rPr>
              <w:t>Clinical criteria:</w:t>
            </w:r>
          </w:p>
        </w:tc>
      </w:tr>
      <w:tr w:rsidR="00E42ACF" w:rsidRPr="00431AF1" w14:paraId="29F54181"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4A89F7D3" w14:textId="77777777" w:rsidR="00E42ACF" w:rsidRPr="00431AF1" w:rsidRDefault="00E42ACF" w:rsidP="007F4AA0">
            <w:pPr>
              <w:rPr>
                <w:rFonts w:ascii="Arial Narrow" w:hAnsi="Arial Narrow"/>
                <w:iCs/>
                <w:sz w:val="20"/>
                <w:szCs w:val="20"/>
              </w:rPr>
            </w:pPr>
            <w:r w:rsidRPr="00431AF1">
              <w:rPr>
                <w:rFonts w:ascii="Arial Narrow" w:hAnsi="Arial Narrow"/>
                <w:iCs/>
                <w:sz w:val="20"/>
                <w:szCs w:val="20"/>
              </w:rPr>
              <w:t>Patient must discontinue treatment with this drug prior to initiating renal replacement therapy, defined as dialysis or kidney transplant</w:t>
            </w:r>
          </w:p>
        </w:tc>
      </w:tr>
      <w:tr w:rsidR="00E42ACF" w:rsidRPr="00431AF1" w14:paraId="79CA42FA"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3CCF5A5C" w14:textId="77777777" w:rsidR="00E42ACF" w:rsidRPr="00431AF1" w:rsidRDefault="00E42ACF" w:rsidP="007F4AA0">
            <w:pPr>
              <w:keepNext/>
              <w:rPr>
                <w:rFonts w:ascii="Arial Narrow" w:hAnsi="Arial Narrow"/>
                <w:iCs/>
                <w:color w:val="333333"/>
                <w:sz w:val="20"/>
                <w:szCs w:val="20"/>
              </w:rPr>
            </w:pPr>
            <w:r w:rsidRPr="00431AF1">
              <w:rPr>
                <w:rFonts w:ascii="Arial Narrow" w:hAnsi="Arial Narrow"/>
                <w:b/>
                <w:bCs/>
                <w:iCs/>
                <w:color w:val="333333"/>
                <w:sz w:val="20"/>
                <w:szCs w:val="20"/>
              </w:rPr>
              <w:t>AND</w:t>
            </w:r>
          </w:p>
        </w:tc>
      </w:tr>
      <w:tr w:rsidR="00E42ACF" w:rsidRPr="00431AF1" w14:paraId="0F3F8C2E"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2784084F" w14:textId="77777777" w:rsidR="00E42ACF" w:rsidRPr="00431AF1" w:rsidRDefault="00E42ACF" w:rsidP="007F4AA0">
            <w:pPr>
              <w:keepNext/>
              <w:rPr>
                <w:rFonts w:ascii="Arial Narrow" w:hAnsi="Arial Narrow"/>
                <w:b/>
                <w:bCs/>
                <w:iCs/>
                <w:color w:val="333333"/>
                <w:sz w:val="20"/>
                <w:szCs w:val="20"/>
              </w:rPr>
            </w:pPr>
            <w:r w:rsidRPr="00431AF1">
              <w:rPr>
                <w:rFonts w:ascii="Arial Narrow" w:hAnsi="Arial Narrow"/>
                <w:b/>
                <w:bCs/>
                <w:iCs/>
                <w:color w:val="333333"/>
                <w:sz w:val="20"/>
                <w:szCs w:val="20"/>
              </w:rPr>
              <w:t>Clinical criteria:</w:t>
            </w:r>
          </w:p>
        </w:tc>
      </w:tr>
      <w:tr w:rsidR="00E42ACF" w:rsidRPr="00431AF1" w14:paraId="632554D6"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2FF4F344" w14:textId="77777777" w:rsidR="00E42ACF" w:rsidRPr="00431AF1" w:rsidRDefault="00E42ACF" w:rsidP="007F4AA0">
            <w:pPr>
              <w:rPr>
                <w:rFonts w:ascii="Arial Narrow" w:hAnsi="Arial Narrow"/>
                <w:iCs/>
                <w:sz w:val="20"/>
                <w:szCs w:val="20"/>
              </w:rPr>
            </w:pPr>
            <w:r w:rsidRPr="00431AF1">
              <w:rPr>
                <w:rFonts w:ascii="Arial Narrow" w:hAnsi="Arial Narrow"/>
                <w:iCs/>
                <w:sz w:val="20"/>
                <w:szCs w:val="20"/>
              </w:rPr>
              <w:t>Patient must not be receiving treatment with another sodium-glucose co-transporter 2 (SGLT2) inhibitor</w:t>
            </w:r>
          </w:p>
        </w:tc>
      </w:tr>
      <w:tr w:rsidR="00E42ACF" w:rsidRPr="00431AF1" w14:paraId="384B343D"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D246533" w14:textId="77777777" w:rsidR="00E42ACF" w:rsidRPr="00431AF1" w:rsidRDefault="00E42ACF" w:rsidP="007F4AA0">
            <w:pPr>
              <w:rPr>
                <w:rFonts w:ascii="Arial Narrow" w:hAnsi="Arial Narrow"/>
                <w:iCs/>
                <w:sz w:val="20"/>
                <w:szCs w:val="20"/>
              </w:rPr>
            </w:pPr>
            <w:r w:rsidRPr="00431AF1">
              <w:rPr>
                <w:rFonts w:ascii="Arial Narrow" w:hAnsi="Arial Narrow"/>
                <w:b/>
                <w:bCs/>
                <w:iCs/>
                <w:color w:val="333333"/>
                <w:sz w:val="20"/>
                <w:szCs w:val="20"/>
              </w:rPr>
              <w:t>AND</w:t>
            </w:r>
          </w:p>
        </w:tc>
      </w:tr>
      <w:tr w:rsidR="00E42ACF" w:rsidRPr="00431AF1" w14:paraId="7580F59D"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7D80693" w14:textId="77777777" w:rsidR="00E42ACF" w:rsidRPr="00431AF1" w:rsidRDefault="00E42ACF" w:rsidP="007F4AA0">
            <w:pPr>
              <w:rPr>
                <w:rFonts w:ascii="Arial Narrow" w:hAnsi="Arial Narrow"/>
                <w:iCs/>
                <w:sz w:val="20"/>
                <w:szCs w:val="20"/>
              </w:rPr>
            </w:pPr>
            <w:r w:rsidRPr="00431AF1">
              <w:rPr>
                <w:rFonts w:ascii="Arial Narrow" w:hAnsi="Arial Narrow"/>
                <w:b/>
                <w:bCs/>
                <w:iCs/>
                <w:color w:val="333333"/>
                <w:sz w:val="20"/>
                <w:szCs w:val="20"/>
              </w:rPr>
              <w:t>Clinical criteria:</w:t>
            </w:r>
          </w:p>
        </w:tc>
      </w:tr>
      <w:tr w:rsidR="00E42ACF" w:rsidRPr="00431AF1" w14:paraId="05C1D28B"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239AD3F3" w14:textId="77777777" w:rsidR="00E42ACF" w:rsidRPr="00431AF1" w:rsidRDefault="00E42ACF" w:rsidP="007F4AA0">
            <w:pPr>
              <w:rPr>
                <w:rFonts w:ascii="Arial Narrow" w:hAnsi="Arial Narrow"/>
                <w:iCs/>
                <w:sz w:val="20"/>
                <w:szCs w:val="20"/>
              </w:rPr>
            </w:pPr>
            <w:r w:rsidRPr="00431AF1">
              <w:rPr>
                <w:rFonts w:ascii="Arial Narrow" w:hAnsi="Arial Narrow"/>
                <w:iCs/>
                <w:sz w:val="20"/>
                <w:szCs w:val="20"/>
              </w:rPr>
              <w:t>Patient must be stabilised, for at least 4 weeks, on either: (i) an ACE inhibitor or (ii) an angiotensin II receptor antagonist, unless medically contraindicated, prior to initiation of combination therapy with this drug</w:t>
            </w:r>
          </w:p>
        </w:tc>
      </w:tr>
      <w:tr w:rsidR="00E42ACF" w:rsidRPr="00431AF1" w14:paraId="6A9980C0"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tcPr>
          <w:p w14:paraId="3CD5A14B" w14:textId="77777777" w:rsidR="00E42ACF" w:rsidRPr="00431AF1" w:rsidRDefault="00E42ACF" w:rsidP="007F4AA0">
            <w:pPr>
              <w:rPr>
                <w:rFonts w:ascii="Arial Narrow" w:hAnsi="Arial Narrow"/>
                <w:iCs/>
                <w:color w:val="333333"/>
                <w:sz w:val="20"/>
                <w:szCs w:val="20"/>
              </w:rPr>
            </w:pPr>
          </w:p>
        </w:tc>
      </w:tr>
      <w:tr w:rsidR="00E42ACF" w:rsidRPr="00431AF1" w14:paraId="2A177BB8" w14:textId="77777777" w:rsidTr="00E42ACF">
        <w:tblPrEx>
          <w:tblCellMar>
            <w:top w:w="15" w:type="dxa"/>
            <w:bottom w:w="15" w:type="dxa"/>
          </w:tblCellMar>
          <w:tblLook w:val="04A0" w:firstRow="1" w:lastRow="0" w:firstColumn="1" w:lastColumn="0" w:noHBand="0" w:noVBand="1"/>
        </w:tblPrEx>
        <w:trPr>
          <w:gridAfter w:val="1"/>
          <w:wAfter w:w="7" w:type="dxa"/>
          <w:cantSplit/>
          <w:trHeight w:val="20"/>
        </w:trPr>
        <w:tc>
          <w:tcPr>
            <w:tcW w:w="9010" w:type="dxa"/>
            <w:gridSpan w:val="6"/>
            <w:vAlign w:val="center"/>
            <w:hideMark/>
          </w:tcPr>
          <w:p w14:paraId="3231585B" w14:textId="77777777" w:rsidR="00E42ACF" w:rsidRPr="00431AF1" w:rsidRDefault="00E42ACF" w:rsidP="007F4AA0">
            <w:pPr>
              <w:rPr>
                <w:rFonts w:ascii="Arial Narrow" w:hAnsi="Arial Narrow"/>
                <w:iCs/>
                <w:sz w:val="20"/>
                <w:szCs w:val="20"/>
              </w:rPr>
            </w:pPr>
            <w:r w:rsidRPr="00431AF1">
              <w:rPr>
                <w:rFonts w:ascii="Arial Narrow" w:hAnsi="Arial Narrow"/>
                <w:b/>
                <w:bCs/>
                <w:iCs/>
                <w:color w:val="333333"/>
                <w:sz w:val="20"/>
                <w:szCs w:val="20"/>
              </w:rPr>
              <w:t>Prescribing Instructions</w:t>
            </w:r>
            <w:r w:rsidRPr="00431AF1">
              <w:rPr>
                <w:rFonts w:ascii="Arial Narrow" w:hAnsi="Arial Narrow"/>
                <w:b/>
                <w:bCs/>
                <w:iCs/>
                <w:sz w:val="20"/>
                <w:szCs w:val="20"/>
              </w:rPr>
              <w:t xml:space="preserve">: </w:t>
            </w:r>
            <w:r w:rsidRPr="00431AF1">
              <w:rPr>
                <w:rFonts w:ascii="Arial Narrow" w:hAnsi="Arial Narrow"/>
                <w:iCs/>
                <w:sz w:val="20"/>
                <w:szCs w:val="20"/>
              </w:rPr>
              <w:t>Patients with polycystic kidney disease, lupus nephritis or ANCA-associated vasculitis; patients requiring or with a recent history of cytotoxic or immunosuppressive therapy for kidney disease; and patients with an organ transplant are not eligible for treatment with this drug.</w:t>
            </w:r>
          </w:p>
        </w:tc>
      </w:tr>
    </w:tbl>
    <w:p w14:paraId="3E567E8E" w14:textId="6C15C973" w:rsidR="002C5099" w:rsidRDefault="00431AF1" w:rsidP="007F1DC9">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40A25AF2" w14:textId="00232AF4" w:rsidR="000C7B42" w:rsidRPr="00387E32" w:rsidRDefault="000C7B42" w:rsidP="00387E32">
      <w:pPr>
        <w:pStyle w:val="2-SectionHeading"/>
        <w:numPr>
          <w:ilvl w:val="0"/>
          <w:numId w:val="33"/>
        </w:numPr>
        <w:outlineLvl w:val="0"/>
      </w:pPr>
      <w:r w:rsidRPr="00061CBE">
        <w:t>Context for Decision</w:t>
      </w:r>
    </w:p>
    <w:p w14:paraId="2F87BAED" w14:textId="77777777" w:rsidR="000C7B42" w:rsidRPr="00061CBE" w:rsidRDefault="000C7B42" w:rsidP="005446C9">
      <w:pPr>
        <w:spacing w:before="120" w:after="120"/>
        <w:ind w:left="720"/>
        <w:rPr>
          <w:bCs/>
          <w:lang w:val="en-GB"/>
        </w:rPr>
      </w:pPr>
      <w:r w:rsidRPr="00061CB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51AD4BE" w14:textId="68F4AAE2" w:rsidR="000C7B42" w:rsidRPr="00061CBE" w:rsidRDefault="000C7B42" w:rsidP="00387E32">
      <w:pPr>
        <w:pStyle w:val="2-SectionHeading"/>
        <w:numPr>
          <w:ilvl w:val="0"/>
          <w:numId w:val="33"/>
        </w:numPr>
        <w:outlineLvl w:val="0"/>
      </w:pPr>
      <w:r w:rsidRPr="00061CBE">
        <w:t>Sponsor’s Comment</w:t>
      </w:r>
    </w:p>
    <w:p w14:paraId="62B449AD" w14:textId="732EE5EC" w:rsidR="00C82418" w:rsidRPr="00D847F7" w:rsidRDefault="000C7B42" w:rsidP="00124C6A">
      <w:pPr>
        <w:ind w:left="720"/>
        <w:rPr>
          <w:bCs/>
        </w:rPr>
      </w:pPr>
      <w:r w:rsidRPr="00061CBE">
        <w:rPr>
          <w:bCs/>
        </w:rPr>
        <w:t>The sponsor had no comment.</w:t>
      </w:r>
    </w:p>
    <w:sectPr w:rsidR="00C82418" w:rsidRPr="00D847F7" w:rsidSect="003A1B36">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22275" w14:textId="77777777" w:rsidR="00E71915" w:rsidRDefault="00E71915" w:rsidP="00124A51">
      <w:r>
        <w:separator/>
      </w:r>
    </w:p>
    <w:p w14:paraId="31D0C4E3" w14:textId="77777777" w:rsidR="00E71915" w:rsidRDefault="00E71915"/>
    <w:p w14:paraId="311DFEE6" w14:textId="77777777" w:rsidR="00E71915" w:rsidRDefault="00E71915"/>
    <w:p w14:paraId="66C88D80" w14:textId="77777777" w:rsidR="00E71915" w:rsidRDefault="00E71915"/>
  </w:endnote>
  <w:endnote w:type="continuationSeparator" w:id="0">
    <w:p w14:paraId="3225629C" w14:textId="77777777" w:rsidR="00E71915" w:rsidRDefault="00E71915" w:rsidP="00124A51">
      <w:r>
        <w:continuationSeparator/>
      </w:r>
    </w:p>
    <w:p w14:paraId="5F44BDCE" w14:textId="77777777" w:rsidR="00E71915" w:rsidRDefault="00E71915"/>
    <w:p w14:paraId="6B327E72" w14:textId="77777777" w:rsidR="00E71915" w:rsidRDefault="00E71915"/>
    <w:p w14:paraId="0B29C9DD" w14:textId="77777777" w:rsidR="00E71915" w:rsidRDefault="00E71915"/>
  </w:endnote>
  <w:endnote w:type="continuationNotice" w:id="1">
    <w:p w14:paraId="5A8D5995" w14:textId="77777777" w:rsidR="00E71915" w:rsidRDefault="00E719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2A979" w14:textId="4A104D91" w:rsidR="003A33AB" w:rsidRDefault="00CA2495">
    <w:pPr>
      <w:pStyle w:val="Footer"/>
    </w:pPr>
    <w:r>
      <w:rPr>
        <w:noProof/>
      </w:rPr>
      <mc:AlternateContent>
        <mc:Choice Requires="wps">
          <w:drawing>
            <wp:anchor distT="0" distB="0" distL="0" distR="0" simplePos="0" relativeHeight="251668480" behindDoc="0" locked="0" layoutInCell="1" allowOverlap="1" wp14:anchorId="6E7C9082" wp14:editId="71E5A0CD">
              <wp:simplePos x="635" y="635"/>
              <wp:positionH relativeFrom="page">
                <wp:align>center</wp:align>
              </wp:positionH>
              <wp:positionV relativeFrom="page">
                <wp:align>bottom</wp:align>
              </wp:positionV>
              <wp:extent cx="551815" cy="376555"/>
              <wp:effectExtent l="0" t="0" r="635" b="0"/>
              <wp:wrapNone/>
              <wp:docPr id="138628889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E96A94A" w14:textId="24E96708" w:rsidR="00CA2495" w:rsidRPr="00CA2495" w:rsidRDefault="00CA2495" w:rsidP="00CA2495">
                          <w:pPr>
                            <w:rPr>
                              <w:rFonts w:eastAsia="Calibri" w:cs="Calibri"/>
                              <w:noProof/>
                              <w:color w:val="FF0000"/>
                            </w:rPr>
                          </w:pPr>
                          <w:r w:rsidRPr="00CA249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7C9082"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6E96A94A" w14:textId="24E96708" w:rsidR="00CA2495" w:rsidRPr="00CA2495" w:rsidRDefault="00CA2495" w:rsidP="00CA2495">
                    <w:pPr>
                      <w:rPr>
                        <w:rFonts w:eastAsia="Calibri" w:cs="Calibri"/>
                        <w:noProof/>
                        <w:color w:val="FF0000"/>
                      </w:rPr>
                    </w:pPr>
                    <w:r w:rsidRPr="00CA2495">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32FE" w14:textId="4B6191EB" w:rsidR="00746B6A" w:rsidRDefault="00CA2495">
    <w:pPr>
      <w:pStyle w:val="Footer"/>
      <w:jc w:val="center"/>
      <w:rPr>
        <w:b/>
        <w:bCs/>
      </w:rPr>
    </w:pPr>
    <w:r>
      <w:rPr>
        <w:b/>
        <w:bCs/>
        <w:noProof/>
      </w:rPr>
      <mc:AlternateContent>
        <mc:Choice Requires="wps">
          <w:drawing>
            <wp:anchor distT="0" distB="0" distL="0" distR="0" simplePos="0" relativeHeight="251669504" behindDoc="0" locked="0" layoutInCell="1" allowOverlap="1" wp14:anchorId="7927CDB8" wp14:editId="14124861">
              <wp:simplePos x="635" y="635"/>
              <wp:positionH relativeFrom="page">
                <wp:align>center</wp:align>
              </wp:positionH>
              <wp:positionV relativeFrom="page">
                <wp:align>bottom</wp:align>
              </wp:positionV>
              <wp:extent cx="551815" cy="376555"/>
              <wp:effectExtent l="0" t="0" r="635" b="0"/>
              <wp:wrapNone/>
              <wp:docPr id="322308704"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0B062B6" w14:textId="39C7DC80" w:rsidR="00CA2495" w:rsidRPr="00CA2495" w:rsidRDefault="00CA2495" w:rsidP="00CA2495">
                          <w:pPr>
                            <w:rPr>
                              <w:rFonts w:eastAsia="Calibri" w:cs="Calibri"/>
                              <w:noProof/>
                              <w:color w:val="FF0000"/>
                            </w:rPr>
                          </w:pPr>
                          <w:r w:rsidRPr="00CA249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27CDB8"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70B062B6" w14:textId="39C7DC80" w:rsidR="00CA2495" w:rsidRPr="00CA2495" w:rsidRDefault="00CA2495" w:rsidP="00CA2495">
                    <w:pPr>
                      <w:rPr>
                        <w:rFonts w:eastAsia="Calibri" w:cs="Calibri"/>
                        <w:noProof/>
                        <w:color w:val="FF0000"/>
                      </w:rPr>
                    </w:pPr>
                    <w:r w:rsidRPr="00CA2495">
                      <w:rPr>
                        <w:rFonts w:eastAsia="Calibri" w:cs="Calibri"/>
                        <w:noProof/>
                        <w:color w:val="FF0000"/>
                      </w:rPr>
                      <w:t>OFFICIAL</w:t>
                    </w:r>
                  </w:p>
                </w:txbxContent>
              </v:textbox>
              <w10:wrap anchorx="page" anchory="page"/>
            </v:shape>
          </w:pict>
        </mc:Fallback>
      </mc:AlternateContent>
    </w:r>
  </w:p>
  <w:sdt>
    <w:sdtPr>
      <w:rPr>
        <w:b/>
        <w:bCs/>
      </w:rPr>
      <w:id w:val="-490327136"/>
      <w:docPartObj>
        <w:docPartGallery w:val="Page Numbers (Bottom of Page)"/>
        <w:docPartUnique/>
      </w:docPartObj>
    </w:sdtPr>
    <w:sdtEndPr>
      <w:rPr>
        <w:noProof/>
      </w:rPr>
    </w:sdtEndPr>
    <w:sdtContent>
      <w:p w14:paraId="2986CC86" w14:textId="0F9DFE80" w:rsidR="00C10602" w:rsidRDefault="00C10602">
        <w:pPr>
          <w:pStyle w:val="Footer"/>
          <w:jc w:val="center"/>
          <w:rPr>
            <w:b/>
            <w:bCs/>
          </w:rPr>
        </w:pPr>
      </w:p>
      <w:p w14:paraId="2D7794D5" w14:textId="63C8CDAA" w:rsidR="004738EF" w:rsidRPr="004738EF" w:rsidRDefault="004738EF">
        <w:pPr>
          <w:pStyle w:val="Footer"/>
          <w:jc w:val="center"/>
          <w:rPr>
            <w:b/>
            <w:bCs/>
          </w:rPr>
        </w:pPr>
        <w:r w:rsidRPr="004738EF">
          <w:rPr>
            <w:b/>
            <w:bCs/>
          </w:rPr>
          <w:fldChar w:fldCharType="begin"/>
        </w:r>
        <w:r w:rsidRPr="004738EF">
          <w:rPr>
            <w:b/>
            <w:bCs/>
          </w:rPr>
          <w:instrText xml:space="preserve"> PAGE   \* MERGEFORMAT </w:instrText>
        </w:r>
        <w:r w:rsidRPr="004738EF">
          <w:rPr>
            <w:b/>
            <w:bCs/>
          </w:rPr>
          <w:fldChar w:fldCharType="separate"/>
        </w:r>
        <w:r w:rsidRPr="004738EF">
          <w:rPr>
            <w:b/>
            <w:bCs/>
            <w:noProof/>
          </w:rPr>
          <w:t>2</w:t>
        </w:r>
        <w:r w:rsidRPr="004738EF">
          <w:rPr>
            <w:b/>
            <w:bCs/>
            <w:noProof/>
          </w:rPr>
          <w:fldChar w:fldCharType="end"/>
        </w:r>
      </w:p>
    </w:sdtContent>
  </w:sdt>
  <w:p w14:paraId="6FDCB39D" w14:textId="77777777" w:rsidR="00D76617" w:rsidRPr="00A549B2" w:rsidRDefault="00D76617" w:rsidP="00217FF6">
    <w:pPr>
      <w:pStyle w:val="Footer"/>
      <w:tabs>
        <w:tab w:val="center" w:pos="4678"/>
        <w:tab w:val="right" w:pos="9356"/>
      </w:tabs>
      <w:jc w:val="right"/>
      <w:rPr>
        <w:rFonts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2D077" w14:textId="43948546" w:rsidR="003A33AB" w:rsidRDefault="00CA2495">
    <w:pPr>
      <w:pStyle w:val="Footer"/>
    </w:pPr>
    <w:r>
      <w:rPr>
        <w:noProof/>
      </w:rPr>
      <mc:AlternateContent>
        <mc:Choice Requires="wps">
          <w:drawing>
            <wp:anchor distT="0" distB="0" distL="0" distR="0" simplePos="0" relativeHeight="251667456" behindDoc="0" locked="0" layoutInCell="1" allowOverlap="1" wp14:anchorId="33C995C3" wp14:editId="42B000B9">
              <wp:simplePos x="635" y="635"/>
              <wp:positionH relativeFrom="page">
                <wp:align>center</wp:align>
              </wp:positionH>
              <wp:positionV relativeFrom="page">
                <wp:align>bottom</wp:align>
              </wp:positionV>
              <wp:extent cx="551815" cy="376555"/>
              <wp:effectExtent l="0" t="0" r="635" b="0"/>
              <wp:wrapNone/>
              <wp:docPr id="1344583531"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EF710E" w14:textId="22D10ADE" w:rsidR="00CA2495" w:rsidRPr="00CA2495" w:rsidRDefault="00CA2495" w:rsidP="00CA2495">
                          <w:pPr>
                            <w:rPr>
                              <w:rFonts w:eastAsia="Calibri" w:cs="Calibri"/>
                              <w:noProof/>
                              <w:color w:val="FF0000"/>
                            </w:rPr>
                          </w:pPr>
                          <w:r w:rsidRPr="00CA2495">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C995C3"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fill o:detectmouseclick="t"/>
              <v:textbox style="mso-fit-shape-to-text:t" inset="0,0,0,15pt">
                <w:txbxContent>
                  <w:p w14:paraId="5EEF710E" w14:textId="22D10ADE" w:rsidR="00CA2495" w:rsidRPr="00CA2495" w:rsidRDefault="00CA2495" w:rsidP="00CA2495">
                    <w:pPr>
                      <w:rPr>
                        <w:rFonts w:eastAsia="Calibri" w:cs="Calibri"/>
                        <w:noProof/>
                        <w:color w:val="FF0000"/>
                      </w:rPr>
                    </w:pPr>
                    <w:r w:rsidRPr="00CA2495">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08F4A" w14:textId="77777777" w:rsidR="00E71915" w:rsidRDefault="00E71915">
      <w:r>
        <w:separator/>
      </w:r>
    </w:p>
  </w:footnote>
  <w:footnote w:type="continuationSeparator" w:id="0">
    <w:p w14:paraId="64035A0B" w14:textId="77777777" w:rsidR="00E71915" w:rsidRDefault="00E71915">
      <w:r>
        <w:continuationSeparator/>
      </w:r>
    </w:p>
  </w:footnote>
  <w:footnote w:type="continuationNotice" w:id="1">
    <w:p w14:paraId="418EB4AA" w14:textId="77777777" w:rsidR="00E71915" w:rsidRDefault="00E71915"/>
  </w:footnote>
  <w:footnote w:id="2">
    <w:p w14:paraId="785D6450" w14:textId="28E9DBFD" w:rsidR="0010703F" w:rsidRDefault="0010703F">
      <w:pPr>
        <w:pStyle w:val="FootnoteText"/>
      </w:pPr>
      <w:r>
        <w:rPr>
          <w:rStyle w:val="FootnoteReference"/>
        </w:rPr>
        <w:footnoteRef/>
      </w:r>
      <w:r>
        <w:t xml:space="preserve"> </w:t>
      </w:r>
      <w:r w:rsidR="00720565" w:rsidRPr="001153AC">
        <w:rPr>
          <w:noProof/>
        </w:rPr>
        <w:t>AIHW, 2011, 2020</w:t>
      </w:r>
    </w:p>
  </w:footnote>
  <w:footnote w:id="3">
    <w:p w14:paraId="66CE2122" w14:textId="625EAA66" w:rsidR="00C45462" w:rsidRDefault="00C45462">
      <w:pPr>
        <w:pStyle w:val="FootnoteText"/>
      </w:pPr>
      <w:r>
        <w:rPr>
          <w:rStyle w:val="FootnoteReference"/>
        </w:rPr>
        <w:footnoteRef/>
      </w:r>
      <w:r>
        <w:t xml:space="preserve"> </w:t>
      </w:r>
      <w:r w:rsidR="00832EC0" w:rsidRPr="00832EC0">
        <w:t xml:space="preserve">Herrington WG et al., </w:t>
      </w:r>
      <w:r w:rsidR="00AF06B4" w:rsidRPr="00832EC0">
        <w:t>2025</w:t>
      </w:r>
      <w:r w:rsidR="00AF06B4">
        <w:t xml:space="preserve">, </w:t>
      </w:r>
      <w:r w:rsidR="00832EC0" w:rsidRPr="00832EC0">
        <w:t xml:space="preserve">Long-Term Effects of Empagliflozin in Patients with Chronic Kidney Disease. </w:t>
      </w:r>
      <w:r w:rsidR="00832EC0" w:rsidRPr="00832EC0">
        <w:rPr>
          <w:i/>
          <w:iCs/>
        </w:rPr>
        <w:t>N Engl J Med.</w:t>
      </w:r>
      <w:r w:rsidR="00832EC0" w:rsidRPr="00832EC0">
        <w:t>;392(8): 777-787</w:t>
      </w:r>
    </w:p>
  </w:footnote>
  <w:footnote w:id="4">
    <w:p w14:paraId="37FC9F1B" w14:textId="74A9F3E3" w:rsidR="00425EE3" w:rsidRDefault="00425EE3" w:rsidP="00425EE3">
      <w:pPr>
        <w:pStyle w:val="FootnoteText"/>
      </w:pPr>
      <w:r>
        <w:rPr>
          <w:rStyle w:val="FootnoteReference"/>
        </w:rPr>
        <w:footnoteRef/>
      </w:r>
      <w:r>
        <w:t xml:space="preserve"> Staplin, N et al, ‘Effects of empagliflozin on progression of chronic kidney disease: a prespecified secondary analysis from the EMPA-KIDNEY trial’ </w:t>
      </w:r>
      <w:r w:rsidRPr="00A85B00">
        <w:rPr>
          <w:i/>
          <w:iCs/>
        </w:rPr>
        <w:t>The Lancet Diabetes &amp; Endocrinology</w:t>
      </w:r>
      <w:r>
        <w:t xml:space="preserve">, Volume 12, Issue 1, 39 </w:t>
      </w:r>
      <w:r w:rsidR="00662445">
        <w:t>–</w:t>
      </w:r>
      <w:r>
        <w:t xml:space="preserve"> 50</w:t>
      </w:r>
      <w:r w:rsidR="00662445">
        <w:t xml:space="preserve">, </w:t>
      </w:r>
      <w:r w:rsidR="00662445" w:rsidRPr="00662445">
        <w:t>January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65CF" w14:textId="75F0F92F" w:rsidR="003A33AB" w:rsidRDefault="00CA2495">
    <w:pPr>
      <w:pStyle w:val="Header"/>
    </w:pPr>
    <w:r>
      <w:rPr>
        <w:noProof/>
      </w:rPr>
      <mc:AlternateContent>
        <mc:Choice Requires="wps">
          <w:drawing>
            <wp:anchor distT="0" distB="0" distL="0" distR="0" simplePos="0" relativeHeight="251665408" behindDoc="0" locked="0" layoutInCell="1" allowOverlap="1" wp14:anchorId="38948705" wp14:editId="35BAE7EE">
              <wp:simplePos x="635" y="635"/>
              <wp:positionH relativeFrom="page">
                <wp:align>center</wp:align>
              </wp:positionH>
              <wp:positionV relativeFrom="page">
                <wp:align>top</wp:align>
              </wp:positionV>
              <wp:extent cx="551815" cy="376555"/>
              <wp:effectExtent l="0" t="0" r="635" b="4445"/>
              <wp:wrapNone/>
              <wp:docPr id="100878456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DEC9A7" w14:textId="1AEAD121" w:rsidR="00CA2495" w:rsidRPr="00CA2495" w:rsidRDefault="00CA2495" w:rsidP="00CA2495">
                          <w:pPr>
                            <w:rPr>
                              <w:rFonts w:eastAsia="Calibri" w:cs="Calibri"/>
                              <w:noProof/>
                              <w:color w:val="FF0000"/>
                            </w:rPr>
                          </w:pPr>
                          <w:r w:rsidRPr="00CA249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948705" id="_x0000_t202" coordsize="21600,21600" o:spt="202" path="m,l,21600r21600,l21600,xe">
              <v:stroke joinstyle="miter"/>
              <v:path gradientshapeok="t" o:connecttype="rect"/>
            </v:shapetype>
            <v:shape id="Text Box 8" o:spid="_x0000_s1026" type="#_x0000_t202" alt="OFFICIAL" style="position:absolute;left:0;text-align:left;margin-left:0;margin-top:0;width:43.45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fill o:detectmouseclick="t"/>
              <v:textbox style="mso-fit-shape-to-text:t" inset="0,15pt,0,0">
                <w:txbxContent>
                  <w:p w14:paraId="41DEC9A7" w14:textId="1AEAD121" w:rsidR="00CA2495" w:rsidRPr="00CA2495" w:rsidRDefault="00CA2495" w:rsidP="00CA2495">
                    <w:pPr>
                      <w:rPr>
                        <w:rFonts w:eastAsia="Calibri" w:cs="Calibri"/>
                        <w:noProof/>
                        <w:color w:val="FF0000"/>
                      </w:rPr>
                    </w:pPr>
                    <w:r w:rsidRPr="00CA2495">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0A19" w14:textId="32E8A22C" w:rsidR="00997B55" w:rsidRPr="00061CBE" w:rsidRDefault="00CA2495" w:rsidP="00997B55">
    <w:pPr>
      <w:pStyle w:val="Header"/>
      <w:keepNext w:val="0"/>
      <w:rPr>
        <w:rFonts w:asciiTheme="minorHAnsi" w:eastAsiaTheme="minorHAnsi" w:hAnsiTheme="minorHAnsi" w:cstheme="minorHAnsi"/>
        <w:bCs/>
        <w:i w:val="0"/>
        <w:color w:val="808080"/>
      </w:rPr>
    </w:pPr>
    <w:r>
      <w:rPr>
        <w:rFonts w:asciiTheme="minorHAnsi" w:eastAsiaTheme="minorHAnsi" w:hAnsiTheme="minorHAnsi" w:cstheme="minorHAnsi"/>
        <w:bCs/>
        <w:noProof/>
        <w:color w:val="808080"/>
      </w:rPr>
      <mc:AlternateContent>
        <mc:Choice Requires="wps">
          <w:drawing>
            <wp:anchor distT="0" distB="0" distL="0" distR="0" simplePos="0" relativeHeight="251666432" behindDoc="0" locked="0" layoutInCell="1" allowOverlap="1" wp14:anchorId="21A253D8" wp14:editId="0F921993">
              <wp:simplePos x="635" y="635"/>
              <wp:positionH relativeFrom="page">
                <wp:align>center</wp:align>
              </wp:positionH>
              <wp:positionV relativeFrom="page">
                <wp:align>top</wp:align>
              </wp:positionV>
              <wp:extent cx="551815" cy="376555"/>
              <wp:effectExtent l="0" t="0" r="635" b="4445"/>
              <wp:wrapNone/>
              <wp:docPr id="126379790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181ED7" w14:textId="0D64146C" w:rsidR="00CA2495" w:rsidRPr="00CA2495" w:rsidRDefault="00CA2495" w:rsidP="00CA2495">
                          <w:pPr>
                            <w:rPr>
                              <w:rFonts w:eastAsia="Calibri" w:cs="Calibri"/>
                              <w:noProof/>
                              <w:color w:val="FF0000"/>
                            </w:rPr>
                          </w:pPr>
                          <w:r w:rsidRPr="00CA249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A253D8" id="_x0000_t202" coordsize="21600,21600" o:spt="202" path="m,l,21600r21600,l21600,xe">
              <v:stroke joinstyle="miter"/>
              <v:path gradientshapeok="t" o:connecttype="rect"/>
            </v:shapetype>
            <v:shape id="Text Box 9" o:spid="_x0000_s1027" type="#_x0000_t202" alt="OFFICIAL" style="position:absolute;left:0;text-align:left;margin-left:0;margin-top:0;width:43.4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fill o:detectmouseclick="t"/>
              <v:textbox style="mso-fit-shape-to-text:t" inset="0,15pt,0,0">
                <w:txbxContent>
                  <w:p w14:paraId="59181ED7" w14:textId="0D64146C" w:rsidR="00CA2495" w:rsidRPr="00CA2495" w:rsidRDefault="00CA2495" w:rsidP="00CA2495">
                    <w:pPr>
                      <w:rPr>
                        <w:rFonts w:eastAsia="Calibri" w:cs="Calibri"/>
                        <w:noProof/>
                        <w:color w:val="FF0000"/>
                      </w:rPr>
                    </w:pPr>
                    <w:r w:rsidRPr="00CA2495">
                      <w:rPr>
                        <w:rFonts w:eastAsia="Calibri" w:cs="Calibri"/>
                        <w:noProof/>
                        <w:color w:val="FF0000"/>
                      </w:rPr>
                      <w:t>OFFICIAL</w:t>
                    </w:r>
                  </w:p>
                </w:txbxContent>
              </v:textbox>
              <w10:wrap anchorx="page" anchory="page"/>
            </v:shape>
          </w:pict>
        </mc:Fallback>
      </mc:AlternateContent>
    </w:r>
    <w:r w:rsidR="00997B55" w:rsidRPr="00061CBE">
      <w:rPr>
        <w:rFonts w:asciiTheme="minorHAnsi" w:eastAsiaTheme="minorHAnsi" w:hAnsiTheme="minorHAnsi" w:cstheme="minorHAnsi"/>
        <w:bCs/>
        <w:color w:val="808080"/>
      </w:rPr>
      <w:t xml:space="preserve">Public Summary Document – </w:t>
    </w:r>
    <w:r w:rsidR="00D33408">
      <w:rPr>
        <w:rFonts w:asciiTheme="minorHAnsi" w:eastAsiaTheme="minorHAnsi" w:hAnsiTheme="minorHAnsi" w:cstheme="minorHAnsi"/>
        <w:bCs/>
        <w:color w:val="808080"/>
      </w:rPr>
      <w:t>May</w:t>
    </w:r>
    <w:r w:rsidR="00997B55" w:rsidRPr="00061CBE">
      <w:rPr>
        <w:rFonts w:asciiTheme="minorHAnsi" w:eastAsiaTheme="minorHAnsi" w:hAnsiTheme="minorHAnsi" w:cstheme="minorHAnsi"/>
        <w:bCs/>
        <w:color w:val="808080"/>
      </w:rPr>
      <w:t xml:space="preserve"> </w:t>
    </w:r>
    <w:r w:rsidR="00D33408">
      <w:rPr>
        <w:rFonts w:asciiTheme="minorHAnsi" w:eastAsiaTheme="minorHAnsi" w:hAnsiTheme="minorHAnsi" w:cstheme="minorHAnsi"/>
        <w:bCs/>
        <w:color w:val="808080"/>
      </w:rPr>
      <w:t>2025</w:t>
    </w:r>
    <w:r w:rsidR="00997B55" w:rsidRPr="00061CBE">
      <w:rPr>
        <w:rFonts w:asciiTheme="minorHAnsi" w:eastAsiaTheme="minorHAnsi" w:hAnsiTheme="minorHAnsi" w:cstheme="minorHAnsi"/>
        <w:bCs/>
        <w:color w:val="808080"/>
      </w:rPr>
      <w:t xml:space="preserve"> PBAC Meeting</w:t>
    </w:r>
  </w:p>
  <w:p w14:paraId="295A2C23" w14:textId="77777777" w:rsidR="00C10602" w:rsidRDefault="00C10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0AA6" w14:textId="44361899" w:rsidR="003A33AB" w:rsidRDefault="00CA2495">
    <w:pPr>
      <w:pStyle w:val="Header"/>
    </w:pPr>
    <w:r>
      <w:rPr>
        <w:noProof/>
      </w:rPr>
      <mc:AlternateContent>
        <mc:Choice Requires="wps">
          <w:drawing>
            <wp:anchor distT="0" distB="0" distL="0" distR="0" simplePos="0" relativeHeight="251664384" behindDoc="0" locked="0" layoutInCell="1" allowOverlap="1" wp14:anchorId="6A5A7C32" wp14:editId="68AF53F7">
              <wp:simplePos x="635" y="635"/>
              <wp:positionH relativeFrom="page">
                <wp:align>center</wp:align>
              </wp:positionH>
              <wp:positionV relativeFrom="page">
                <wp:align>top</wp:align>
              </wp:positionV>
              <wp:extent cx="551815" cy="376555"/>
              <wp:effectExtent l="0" t="0" r="635" b="4445"/>
              <wp:wrapNone/>
              <wp:docPr id="128820446"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EB58B5F" w14:textId="25B09FFE" w:rsidR="00CA2495" w:rsidRPr="00CA2495" w:rsidRDefault="00CA2495" w:rsidP="00CA2495">
                          <w:pPr>
                            <w:rPr>
                              <w:rFonts w:eastAsia="Calibri" w:cs="Calibri"/>
                              <w:noProof/>
                              <w:color w:val="FF0000"/>
                            </w:rPr>
                          </w:pPr>
                          <w:r w:rsidRPr="00CA2495">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5A7C32" id="_x0000_t202" coordsize="21600,21600" o:spt="202" path="m,l,21600r21600,l21600,xe">
              <v:stroke joinstyle="miter"/>
              <v:path gradientshapeok="t" o:connecttype="rect"/>
            </v:shapetype>
            <v:shape id="Text Box 7" o:spid="_x0000_s1030"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fill o:detectmouseclick="t"/>
              <v:textbox style="mso-fit-shape-to-text:t" inset="0,15pt,0,0">
                <w:txbxContent>
                  <w:p w14:paraId="4EB58B5F" w14:textId="25B09FFE" w:rsidR="00CA2495" w:rsidRPr="00CA2495" w:rsidRDefault="00CA2495" w:rsidP="00CA2495">
                    <w:pPr>
                      <w:rPr>
                        <w:rFonts w:eastAsia="Calibri" w:cs="Calibri"/>
                        <w:noProof/>
                        <w:color w:val="FF0000"/>
                      </w:rPr>
                    </w:pPr>
                    <w:r w:rsidRPr="00CA2495">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89E1156"/>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FE7617"/>
    <w:multiLevelType w:val="multilevel"/>
    <w:tmpl w:val="26201EEE"/>
    <w:lvl w:ilvl="0">
      <w:start w:val="6"/>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BF573E"/>
    <w:multiLevelType w:val="multilevel"/>
    <w:tmpl w:val="F918CD58"/>
    <w:lvl w:ilvl="0">
      <w:start w:val="1"/>
      <w:numFmt w:val="decimal"/>
      <w:lvlText w:val="%1"/>
      <w:lvlJc w:val="left"/>
      <w:pPr>
        <w:ind w:left="720" w:hanging="720"/>
      </w:pPr>
      <w:rPr>
        <w:rFonts w:hint="default"/>
        <w:b/>
      </w:rPr>
    </w:lvl>
    <w:lvl w:ilvl="1">
      <w:start w:val="1"/>
      <w:numFmt w:val="bullet"/>
      <w:lvlText w:val=""/>
      <w:lvlJc w:val="left"/>
      <w:pPr>
        <w:ind w:left="1496"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A46CE9"/>
    <w:multiLevelType w:val="hybridMultilevel"/>
    <w:tmpl w:val="07E665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B219F8"/>
    <w:multiLevelType w:val="hybridMultilevel"/>
    <w:tmpl w:val="CC8A3E0E"/>
    <w:lvl w:ilvl="0" w:tplc="C7800C28">
      <w:start w:val="1"/>
      <w:numFmt w:val="bullet"/>
      <w:pStyle w:val="COMexecsummmainissuesbullets"/>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B6274A"/>
    <w:multiLevelType w:val="hybridMultilevel"/>
    <w:tmpl w:val="D8105846"/>
    <w:lvl w:ilvl="0" w:tplc="FFAE603C">
      <w:start w:val="1"/>
      <w:numFmt w:val="decimal"/>
      <w:lvlText w:val="%1."/>
      <w:lvlJc w:val="left"/>
      <w:pPr>
        <w:ind w:left="360" w:hanging="360"/>
      </w:pPr>
      <w:rPr>
        <w:rFonts w:ascii="Calibri" w:eastAsiaTheme="minorHAnsi" w:hAnsi="Calibri" w:cs="Calibri"/>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3FE6F2C"/>
    <w:multiLevelType w:val="hybridMultilevel"/>
    <w:tmpl w:val="ED36B782"/>
    <w:lvl w:ilvl="0" w:tplc="878A1B70">
      <w:numFmt w:val="bullet"/>
      <w:lvlText w:val="-"/>
      <w:lvlJc w:val="left"/>
      <w:pPr>
        <w:ind w:left="720" w:hanging="360"/>
      </w:pPr>
      <w:rPr>
        <w:rFonts w:ascii="Calibri Light" w:eastAsia="Calibri"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8C4AAF"/>
    <w:multiLevelType w:val="hybridMultilevel"/>
    <w:tmpl w:val="D06E921E"/>
    <w:lvl w:ilvl="0" w:tplc="0C090001">
      <w:start w:val="1"/>
      <w:numFmt w:val="bullet"/>
      <w:lvlText w:val=""/>
      <w:lvlJc w:val="left"/>
      <w:pPr>
        <w:ind w:left="1496" w:hanging="360"/>
      </w:pPr>
      <w:rPr>
        <w:rFonts w:ascii="Symbol" w:hAnsi="Symbol" w:hint="default"/>
      </w:rPr>
    </w:lvl>
    <w:lvl w:ilvl="1" w:tplc="0C090003" w:tentative="1">
      <w:start w:val="1"/>
      <w:numFmt w:val="bullet"/>
      <w:lvlText w:val="o"/>
      <w:lvlJc w:val="left"/>
      <w:pPr>
        <w:ind w:left="2216" w:hanging="360"/>
      </w:pPr>
      <w:rPr>
        <w:rFonts w:ascii="Courier New" w:hAnsi="Courier New" w:cs="Courier New" w:hint="default"/>
      </w:rPr>
    </w:lvl>
    <w:lvl w:ilvl="2" w:tplc="0C090005" w:tentative="1">
      <w:start w:val="1"/>
      <w:numFmt w:val="bullet"/>
      <w:lvlText w:val=""/>
      <w:lvlJc w:val="left"/>
      <w:pPr>
        <w:ind w:left="2936" w:hanging="360"/>
      </w:pPr>
      <w:rPr>
        <w:rFonts w:ascii="Wingdings" w:hAnsi="Wingdings" w:hint="default"/>
      </w:rPr>
    </w:lvl>
    <w:lvl w:ilvl="3" w:tplc="0C090001" w:tentative="1">
      <w:start w:val="1"/>
      <w:numFmt w:val="bullet"/>
      <w:lvlText w:val=""/>
      <w:lvlJc w:val="left"/>
      <w:pPr>
        <w:ind w:left="3656" w:hanging="360"/>
      </w:pPr>
      <w:rPr>
        <w:rFonts w:ascii="Symbol" w:hAnsi="Symbol" w:hint="default"/>
      </w:rPr>
    </w:lvl>
    <w:lvl w:ilvl="4" w:tplc="0C090003" w:tentative="1">
      <w:start w:val="1"/>
      <w:numFmt w:val="bullet"/>
      <w:lvlText w:val="o"/>
      <w:lvlJc w:val="left"/>
      <w:pPr>
        <w:ind w:left="4376" w:hanging="360"/>
      </w:pPr>
      <w:rPr>
        <w:rFonts w:ascii="Courier New" w:hAnsi="Courier New" w:cs="Courier New" w:hint="default"/>
      </w:rPr>
    </w:lvl>
    <w:lvl w:ilvl="5" w:tplc="0C090005" w:tentative="1">
      <w:start w:val="1"/>
      <w:numFmt w:val="bullet"/>
      <w:lvlText w:val=""/>
      <w:lvlJc w:val="left"/>
      <w:pPr>
        <w:ind w:left="5096" w:hanging="360"/>
      </w:pPr>
      <w:rPr>
        <w:rFonts w:ascii="Wingdings" w:hAnsi="Wingdings" w:hint="default"/>
      </w:rPr>
    </w:lvl>
    <w:lvl w:ilvl="6" w:tplc="0C090001" w:tentative="1">
      <w:start w:val="1"/>
      <w:numFmt w:val="bullet"/>
      <w:lvlText w:val=""/>
      <w:lvlJc w:val="left"/>
      <w:pPr>
        <w:ind w:left="5816" w:hanging="360"/>
      </w:pPr>
      <w:rPr>
        <w:rFonts w:ascii="Symbol" w:hAnsi="Symbol" w:hint="default"/>
      </w:rPr>
    </w:lvl>
    <w:lvl w:ilvl="7" w:tplc="0C090003" w:tentative="1">
      <w:start w:val="1"/>
      <w:numFmt w:val="bullet"/>
      <w:lvlText w:val="o"/>
      <w:lvlJc w:val="left"/>
      <w:pPr>
        <w:ind w:left="6536" w:hanging="360"/>
      </w:pPr>
      <w:rPr>
        <w:rFonts w:ascii="Courier New" w:hAnsi="Courier New" w:cs="Courier New" w:hint="default"/>
      </w:rPr>
    </w:lvl>
    <w:lvl w:ilvl="8" w:tplc="0C090005" w:tentative="1">
      <w:start w:val="1"/>
      <w:numFmt w:val="bullet"/>
      <w:lvlText w:val=""/>
      <w:lvlJc w:val="left"/>
      <w:pPr>
        <w:ind w:left="7256"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FAB8EED8"/>
    <w:lvl w:ilvl="0" w:tplc="8708BECA">
      <w:start w:val="1"/>
      <w:numFmt w:val="bullet"/>
      <w:pStyle w:val="COMexecsumm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B832EB"/>
    <w:multiLevelType w:val="hybridMultilevel"/>
    <w:tmpl w:val="3C700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82056"/>
    <w:multiLevelType w:val="multilevel"/>
    <w:tmpl w:val="C3C609A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BC6051"/>
    <w:multiLevelType w:val="hybridMultilevel"/>
    <w:tmpl w:val="8A24208E"/>
    <w:lvl w:ilvl="0" w:tplc="878A1B70">
      <w:numFmt w:val="bullet"/>
      <w:lvlText w:val="-"/>
      <w:lvlJc w:val="left"/>
      <w:pPr>
        <w:ind w:left="720" w:hanging="360"/>
      </w:pPr>
      <w:rPr>
        <w:rFonts w:ascii="Calibri Light" w:eastAsia="Calibr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52452D"/>
    <w:multiLevelType w:val="multilevel"/>
    <w:tmpl w:val="19AA0AA8"/>
    <w:lvl w:ilvl="0">
      <w:start w:val="1"/>
      <w:numFmt w:val="decimal"/>
      <w:pStyle w:val="COMH1-numbered"/>
      <w:lvlText w:val="%1"/>
      <w:lvlJc w:val="left"/>
      <w:pPr>
        <w:ind w:left="720" w:hanging="720"/>
      </w:pPr>
      <w:rPr>
        <w:rFonts w:hint="default"/>
        <w:b/>
      </w:rPr>
    </w:lvl>
    <w:lvl w:ilvl="1">
      <w:start w:val="1"/>
      <w:numFmt w:val="decimal"/>
      <w:pStyle w:val="COMexecsummnumbered"/>
      <w:lvlText w:val="%1.%2"/>
      <w:lvlJc w:val="left"/>
      <w:pPr>
        <w:ind w:left="720" w:hanging="720"/>
      </w:pPr>
      <w:rPr>
        <w:rFonts w:hint="default"/>
        <w:b w:val="0"/>
        <w:bCs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D33AF8"/>
    <w:multiLevelType w:val="hybridMultilevel"/>
    <w:tmpl w:val="F8FA1CA6"/>
    <w:lvl w:ilvl="0" w:tplc="399A3B2E">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912F75"/>
    <w:multiLevelType w:val="hybridMultilevel"/>
    <w:tmpl w:val="C046EDB6"/>
    <w:lvl w:ilvl="0" w:tplc="9AD8E340">
      <w:start w:val="1"/>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0E6479"/>
    <w:multiLevelType w:val="hybridMultilevel"/>
    <w:tmpl w:val="6262CE40"/>
    <w:lvl w:ilvl="0" w:tplc="FFFFFFFF">
      <w:start w:val="1"/>
      <w:numFmt w:val="decimal"/>
      <w:lvlText w:val="%1."/>
      <w:lvlJc w:val="left"/>
      <w:pPr>
        <w:ind w:left="720" w:hanging="360"/>
      </w:pPr>
      <w:rPr>
        <w:rFonts w:asciiTheme="minorHAnsi" w:hAnsiTheme="minorHAnsi" w:cstheme="minorHAnsi" w:hint="default"/>
        <w:i/>
        <w:iCs/>
        <w:sz w:val="22"/>
        <w:szCs w:val="22"/>
      </w:rPr>
    </w:lvl>
    <w:lvl w:ilvl="1" w:tplc="0C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9585744"/>
    <w:multiLevelType w:val="multilevel"/>
    <w:tmpl w:val="BF54A9BE"/>
    <w:lvl w:ilvl="0">
      <w:start w:val="7"/>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9A25F4"/>
    <w:multiLevelType w:val="multilevel"/>
    <w:tmpl w:val="6C42BFB2"/>
    <w:styleLink w:val="Style1"/>
    <w:lvl w:ilvl="0">
      <w:start w:val="2"/>
      <w:numFmt w:val="upperLetter"/>
      <w:lvlText w:val="%1(ii)."/>
      <w:lvlJc w:val="left"/>
      <w:pPr>
        <w:ind w:left="1077" w:hanging="1077"/>
      </w:pPr>
      <w:rPr>
        <w:rFonts w:asciiTheme="minorHAnsi" w:hAnsiTheme="minorHAnsi" w:hint="default"/>
        <w:b/>
        <w:i w:val="0"/>
        <w:sz w:val="32"/>
      </w:rPr>
    </w:lvl>
    <w:lvl w:ilvl="1">
      <w:start w:val="1"/>
      <w:numFmt w:val="decimal"/>
      <w:lvlText w:val="%1(ii).%2"/>
      <w:lvlJc w:val="left"/>
      <w:pPr>
        <w:ind w:left="1077" w:hanging="1077"/>
      </w:pPr>
      <w:rPr>
        <w:rFonts w:asciiTheme="minorHAnsi" w:hAnsiTheme="minorHAnsi" w:hint="default"/>
        <w:b/>
        <w:i w:val="0"/>
        <w:sz w:val="28"/>
      </w:rPr>
    </w:lvl>
    <w:lvl w:ilvl="2">
      <w:start w:val="1"/>
      <w:numFmt w:val="decimal"/>
      <w:lvlText w:val="%1(ii).%2.%3"/>
      <w:lvlJc w:val="left"/>
      <w:pPr>
        <w:ind w:left="1077" w:hanging="1077"/>
      </w:pPr>
      <w:rPr>
        <w:rFonts w:asciiTheme="minorHAnsi" w:hAnsiTheme="minorHAnsi" w:hint="default"/>
        <w:b/>
        <w:i w:val="0"/>
        <w:sz w:val="28"/>
      </w:rPr>
    </w:lvl>
    <w:lvl w:ilvl="3">
      <w:start w:val="1"/>
      <w:numFmt w:val="decimal"/>
      <w:lvlText w:val="%1(ii).%2.%3.%4"/>
      <w:lvlJc w:val="left"/>
      <w:pPr>
        <w:ind w:left="1077" w:hanging="1077"/>
      </w:pPr>
      <w:rPr>
        <w:rFonts w:ascii="Arial" w:hAnsi="Arial" w:hint="default"/>
        <w:b/>
        <w:sz w:val="22"/>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26"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AB57B19"/>
    <w:multiLevelType w:val="hybridMultilevel"/>
    <w:tmpl w:val="6A4A0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84D033C"/>
    <w:multiLevelType w:val="multilevel"/>
    <w:tmpl w:val="C3C609A0"/>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bCs w:val="0"/>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30"/>
  </w:num>
  <w:num w:numId="2" w16cid:durableId="917793048">
    <w:abstractNumId w:val="13"/>
  </w:num>
  <w:num w:numId="3" w16cid:durableId="1048839230">
    <w:abstractNumId w:val="30"/>
  </w:num>
  <w:num w:numId="4" w16cid:durableId="521091235">
    <w:abstractNumId w:val="0"/>
  </w:num>
  <w:num w:numId="5" w16cid:durableId="2123836775">
    <w:abstractNumId w:val="14"/>
  </w:num>
  <w:num w:numId="6" w16cid:durableId="690643893">
    <w:abstractNumId w:val="6"/>
  </w:num>
  <w:num w:numId="7" w16cid:durableId="1893955755">
    <w:abstractNumId w:val="19"/>
  </w:num>
  <w:num w:numId="8" w16cid:durableId="2092967121">
    <w:abstractNumId w:val="10"/>
  </w:num>
  <w:num w:numId="9" w16cid:durableId="1075084198">
    <w:abstractNumId w:val="25"/>
  </w:num>
  <w:num w:numId="10" w16cid:durableId="1854297485">
    <w:abstractNumId w:val="17"/>
  </w:num>
  <w:num w:numId="11" w16cid:durableId="1021971401">
    <w:abstractNumId w:val="8"/>
  </w:num>
  <w:num w:numId="12" w16cid:durableId="1376853151">
    <w:abstractNumId w:val="23"/>
  </w:num>
  <w:num w:numId="13" w16cid:durableId="126240624">
    <w:abstractNumId w:val="28"/>
  </w:num>
  <w:num w:numId="14" w16cid:durableId="220680450">
    <w:abstractNumId w:val="5"/>
  </w:num>
  <w:num w:numId="15" w16cid:durableId="1769883711">
    <w:abstractNumId w:val="6"/>
  </w:num>
  <w:num w:numId="16" w16cid:durableId="1600062788">
    <w:abstractNumId w:val="30"/>
  </w:num>
  <w:num w:numId="17" w16cid:durableId="1783454283">
    <w:abstractNumId w:val="12"/>
  </w:num>
  <w:num w:numId="18" w16cid:durableId="1442803483">
    <w:abstractNumId w:val="15"/>
  </w:num>
  <w:num w:numId="19" w16cid:durableId="1120537584">
    <w:abstractNumId w:val="30"/>
  </w:num>
  <w:num w:numId="20" w16cid:durableId="288904810">
    <w:abstractNumId w:val="30"/>
  </w:num>
  <w:num w:numId="21" w16cid:durableId="1573005167">
    <w:abstractNumId w:val="20"/>
  </w:num>
  <w:num w:numId="22" w16cid:durableId="408699874">
    <w:abstractNumId w:val="21"/>
  </w:num>
  <w:num w:numId="23" w16cid:durableId="1569418770">
    <w:abstractNumId w:val="2"/>
  </w:num>
  <w:num w:numId="24" w16cid:durableId="705176722">
    <w:abstractNumId w:val="1"/>
  </w:num>
  <w:num w:numId="25" w16cid:durableId="1926569401">
    <w:abstractNumId w:val="9"/>
  </w:num>
  <w:num w:numId="26" w16cid:durableId="1979457665">
    <w:abstractNumId w:val="11"/>
  </w:num>
  <w:num w:numId="27" w16cid:durableId="2038313566">
    <w:abstractNumId w:val="7"/>
  </w:num>
  <w:num w:numId="28" w16cid:durableId="129744317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997201">
    <w:abstractNumId w:val="29"/>
  </w:num>
  <w:num w:numId="30" w16cid:durableId="121121426">
    <w:abstractNumId w:val="18"/>
  </w:num>
  <w:num w:numId="31" w16cid:durableId="1162701555">
    <w:abstractNumId w:val="16"/>
  </w:num>
  <w:num w:numId="32" w16cid:durableId="862747919">
    <w:abstractNumId w:val="4"/>
  </w:num>
  <w:num w:numId="33" w16cid:durableId="930237086">
    <w:abstractNumId w:val="24"/>
  </w:num>
  <w:num w:numId="34" w16cid:durableId="1786196361">
    <w:abstractNumId w:val="3"/>
  </w:num>
  <w:num w:numId="35" w16cid:durableId="861285436">
    <w:abstractNumId w:val="18"/>
  </w:num>
  <w:num w:numId="36" w16cid:durableId="11046152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73274223">
    <w:abstractNumId w:val="18"/>
  </w:num>
  <w:num w:numId="38" w16cid:durableId="1638993694">
    <w:abstractNumId w:val="18"/>
  </w:num>
  <w:num w:numId="39" w16cid:durableId="241332315">
    <w:abstractNumId w:val="18"/>
  </w:num>
  <w:num w:numId="40" w16cid:durableId="1075324142">
    <w:abstractNumId w:val="18"/>
  </w:num>
  <w:num w:numId="41" w16cid:durableId="373314824">
    <w:abstractNumId w:val="22"/>
  </w:num>
  <w:num w:numId="42" w16cid:durableId="1818451743">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56"/>
    <w:rsid w:val="00000790"/>
    <w:rsid w:val="00000C66"/>
    <w:rsid w:val="0000110B"/>
    <w:rsid w:val="0000221E"/>
    <w:rsid w:val="000022C9"/>
    <w:rsid w:val="00002B01"/>
    <w:rsid w:val="000030D6"/>
    <w:rsid w:val="00003499"/>
    <w:rsid w:val="00003834"/>
    <w:rsid w:val="000039B7"/>
    <w:rsid w:val="00003A8A"/>
    <w:rsid w:val="00004BE1"/>
    <w:rsid w:val="00005289"/>
    <w:rsid w:val="000056B9"/>
    <w:rsid w:val="00005AF2"/>
    <w:rsid w:val="00006021"/>
    <w:rsid w:val="0000612E"/>
    <w:rsid w:val="0000639A"/>
    <w:rsid w:val="000063E3"/>
    <w:rsid w:val="00006456"/>
    <w:rsid w:val="00007905"/>
    <w:rsid w:val="00010E6B"/>
    <w:rsid w:val="0001106A"/>
    <w:rsid w:val="00011154"/>
    <w:rsid w:val="00011558"/>
    <w:rsid w:val="000120EA"/>
    <w:rsid w:val="00012297"/>
    <w:rsid w:val="00013247"/>
    <w:rsid w:val="0001349C"/>
    <w:rsid w:val="000145E9"/>
    <w:rsid w:val="00015886"/>
    <w:rsid w:val="000160AD"/>
    <w:rsid w:val="000162EF"/>
    <w:rsid w:val="00016A44"/>
    <w:rsid w:val="00017321"/>
    <w:rsid w:val="000173AA"/>
    <w:rsid w:val="0001751A"/>
    <w:rsid w:val="0002033F"/>
    <w:rsid w:val="000207C9"/>
    <w:rsid w:val="00021A22"/>
    <w:rsid w:val="00021E92"/>
    <w:rsid w:val="0002225F"/>
    <w:rsid w:val="00023763"/>
    <w:rsid w:val="00023B03"/>
    <w:rsid w:val="00023CFD"/>
    <w:rsid w:val="00023DCD"/>
    <w:rsid w:val="00024E7C"/>
    <w:rsid w:val="00024E97"/>
    <w:rsid w:val="00024EB5"/>
    <w:rsid w:val="00025038"/>
    <w:rsid w:val="00026300"/>
    <w:rsid w:val="00026735"/>
    <w:rsid w:val="000274B8"/>
    <w:rsid w:val="000279FB"/>
    <w:rsid w:val="00027DC7"/>
    <w:rsid w:val="00030921"/>
    <w:rsid w:val="00030A3D"/>
    <w:rsid w:val="00032256"/>
    <w:rsid w:val="00032377"/>
    <w:rsid w:val="00032638"/>
    <w:rsid w:val="000327D5"/>
    <w:rsid w:val="000333FF"/>
    <w:rsid w:val="00033639"/>
    <w:rsid w:val="00033863"/>
    <w:rsid w:val="000339F6"/>
    <w:rsid w:val="00033D8C"/>
    <w:rsid w:val="00033EE5"/>
    <w:rsid w:val="000342F5"/>
    <w:rsid w:val="000344B6"/>
    <w:rsid w:val="0003496A"/>
    <w:rsid w:val="00034B2C"/>
    <w:rsid w:val="0003559B"/>
    <w:rsid w:val="0003576F"/>
    <w:rsid w:val="0003598F"/>
    <w:rsid w:val="00035DC0"/>
    <w:rsid w:val="000360D2"/>
    <w:rsid w:val="000361AC"/>
    <w:rsid w:val="0003674E"/>
    <w:rsid w:val="00036829"/>
    <w:rsid w:val="00036A56"/>
    <w:rsid w:val="000370EC"/>
    <w:rsid w:val="00037128"/>
    <w:rsid w:val="00037565"/>
    <w:rsid w:val="000375F4"/>
    <w:rsid w:val="0003779A"/>
    <w:rsid w:val="0004060A"/>
    <w:rsid w:val="00040895"/>
    <w:rsid w:val="0004093E"/>
    <w:rsid w:val="000410A0"/>
    <w:rsid w:val="000427E2"/>
    <w:rsid w:val="00042D88"/>
    <w:rsid w:val="00042FD0"/>
    <w:rsid w:val="000435EE"/>
    <w:rsid w:val="00043C37"/>
    <w:rsid w:val="00044425"/>
    <w:rsid w:val="00044FCF"/>
    <w:rsid w:val="00045017"/>
    <w:rsid w:val="00045A2B"/>
    <w:rsid w:val="0004613A"/>
    <w:rsid w:val="0004698F"/>
    <w:rsid w:val="00046D64"/>
    <w:rsid w:val="0004748D"/>
    <w:rsid w:val="00047BAB"/>
    <w:rsid w:val="00047CB9"/>
    <w:rsid w:val="000502AF"/>
    <w:rsid w:val="000502BB"/>
    <w:rsid w:val="00050398"/>
    <w:rsid w:val="000508C2"/>
    <w:rsid w:val="00052EDC"/>
    <w:rsid w:val="0005391D"/>
    <w:rsid w:val="000539D0"/>
    <w:rsid w:val="00054111"/>
    <w:rsid w:val="00054621"/>
    <w:rsid w:val="000546D7"/>
    <w:rsid w:val="00054A8D"/>
    <w:rsid w:val="00054F6E"/>
    <w:rsid w:val="00054FE8"/>
    <w:rsid w:val="000555A4"/>
    <w:rsid w:val="000557C1"/>
    <w:rsid w:val="00055B7F"/>
    <w:rsid w:val="00056ECF"/>
    <w:rsid w:val="00057F71"/>
    <w:rsid w:val="000604DF"/>
    <w:rsid w:val="00060A16"/>
    <w:rsid w:val="00061E78"/>
    <w:rsid w:val="000622B6"/>
    <w:rsid w:val="00062324"/>
    <w:rsid w:val="000631B4"/>
    <w:rsid w:val="00063789"/>
    <w:rsid w:val="00063B27"/>
    <w:rsid w:val="00063D2E"/>
    <w:rsid w:val="00064F73"/>
    <w:rsid w:val="000653B5"/>
    <w:rsid w:val="00066293"/>
    <w:rsid w:val="00066360"/>
    <w:rsid w:val="00066830"/>
    <w:rsid w:val="00066AF8"/>
    <w:rsid w:val="00066B93"/>
    <w:rsid w:val="00066F55"/>
    <w:rsid w:val="00067042"/>
    <w:rsid w:val="00067453"/>
    <w:rsid w:val="00067502"/>
    <w:rsid w:val="00067E7F"/>
    <w:rsid w:val="00070CF7"/>
    <w:rsid w:val="00070EE3"/>
    <w:rsid w:val="000711AE"/>
    <w:rsid w:val="0007123B"/>
    <w:rsid w:val="00071248"/>
    <w:rsid w:val="00071B37"/>
    <w:rsid w:val="000720B9"/>
    <w:rsid w:val="00072137"/>
    <w:rsid w:val="00072744"/>
    <w:rsid w:val="00072ADF"/>
    <w:rsid w:val="00073081"/>
    <w:rsid w:val="000737F7"/>
    <w:rsid w:val="00073D87"/>
    <w:rsid w:val="00074E6B"/>
    <w:rsid w:val="0007519D"/>
    <w:rsid w:val="000763C6"/>
    <w:rsid w:val="0007672F"/>
    <w:rsid w:val="000768AA"/>
    <w:rsid w:val="00076A0B"/>
    <w:rsid w:val="00076B54"/>
    <w:rsid w:val="00076E71"/>
    <w:rsid w:val="00076F71"/>
    <w:rsid w:val="00077208"/>
    <w:rsid w:val="000773AC"/>
    <w:rsid w:val="00077495"/>
    <w:rsid w:val="000774F0"/>
    <w:rsid w:val="00080909"/>
    <w:rsid w:val="00080F3E"/>
    <w:rsid w:val="000812CA"/>
    <w:rsid w:val="00081E63"/>
    <w:rsid w:val="00081FCD"/>
    <w:rsid w:val="00082305"/>
    <w:rsid w:val="0008258D"/>
    <w:rsid w:val="00082D1F"/>
    <w:rsid w:val="00083BD8"/>
    <w:rsid w:val="00083E99"/>
    <w:rsid w:val="00084FA8"/>
    <w:rsid w:val="00085329"/>
    <w:rsid w:val="000856C5"/>
    <w:rsid w:val="00085816"/>
    <w:rsid w:val="00085C31"/>
    <w:rsid w:val="00085FFF"/>
    <w:rsid w:val="000861D0"/>
    <w:rsid w:val="00086B97"/>
    <w:rsid w:val="00086D1B"/>
    <w:rsid w:val="00086E95"/>
    <w:rsid w:val="00086EA7"/>
    <w:rsid w:val="00086F77"/>
    <w:rsid w:val="000874F4"/>
    <w:rsid w:val="000902D9"/>
    <w:rsid w:val="00090496"/>
    <w:rsid w:val="00090C7E"/>
    <w:rsid w:val="00090CE6"/>
    <w:rsid w:val="00091039"/>
    <w:rsid w:val="000911AC"/>
    <w:rsid w:val="0009131C"/>
    <w:rsid w:val="0009148E"/>
    <w:rsid w:val="000918EC"/>
    <w:rsid w:val="00092111"/>
    <w:rsid w:val="00092600"/>
    <w:rsid w:val="0009262B"/>
    <w:rsid w:val="00093310"/>
    <w:rsid w:val="00093462"/>
    <w:rsid w:val="00093864"/>
    <w:rsid w:val="0009445C"/>
    <w:rsid w:val="00094D45"/>
    <w:rsid w:val="000950E8"/>
    <w:rsid w:val="00095200"/>
    <w:rsid w:val="00095FDA"/>
    <w:rsid w:val="00095FE5"/>
    <w:rsid w:val="00096284"/>
    <w:rsid w:val="000962DC"/>
    <w:rsid w:val="00096884"/>
    <w:rsid w:val="00096D0C"/>
    <w:rsid w:val="00096D42"/>
    <w:rsid w:val="000A0094"/>
    <w:rsid w:val="000A07BA"/>
    <w:rsid w:val="000A07EC"/>
    <w:rsid w:val="000A0CFF"/>
    <w:rsid w:val="000A1BC0"/>
    <w:rsid w:val="000A2760"/>
    <w:rsid w:val="000A2B56"/>
    <w:rsid w:val="000A2F9E"/>
    <w:rsid w:val="000A3E47"/>
    <w:rsid w:val="000A4FE9"/>
    <w:rsid w:val="000A522B"/>
    <w:rsid w:val="000A5CF9"/>
    <w:rsid w:val="000A6039"/>
    <w:rsid w:val="000A66FD"/>
    <w:rsid w:val="000A6D63"/>
    <w:rsid w:val="000A7453"/>
    <w:rsid w:val="000A7ADF"/>
    <w:rsid w:val="000A7D08"/>
    <w:rsid w:val="000B0121"/>
    <w:rsid w:val="000B0670"/>
    <w:rsid w:val="000B075E"/>
    <w:rsid w:val="000B0E75"/>
    <w:rsid w:val="000B156E"/>
    <w:rsid w:val="000B160D"/>
    <w:rsid w:val="000B2145"/>
    <w:rsid w:val="000B246F"/>
    <w:rsid w:val="000B25DB"/>
    <w:rsid w:val="000B2850"/>
    <w:rsid w:val="000B2DCB"/>
    <w:rsid w:val="000B3407"/>
    <w:rsid w:val="000B3794"/>
    <w:rsid w:val="000B40EC"/>
    <w:rsid w:val="000B4F0D"/>
    <w:rsid w:val="000B583A"/>
    <w:rsid w:val="000B5CE0"/>
    <w:rsid w:val="000B6894"/>
    <w:rsid w:val="000B6CAC"/>
    <w:rsid w:val="000B7612"/>
    <w:rsid w:val="000B78AE"/>
    <w:rsid w:val="000B7BCE"/>
    <w:rsid w:val="000C01B4"/>
    <w:rsid w:val="000C0294"/>
    <w:rsid w:val="000C1279"/>
    <w:rsid w:val="000C1AE7"/>
    <w:rsid w:val="000C1AE9"/>
    <w:rsid w:val="000C1E6A"/>
    <w:rsid w:val="000C245D"/>
    <w:rsid w:val="000C29EA"/>
    <w:rsid w:val="000C3BF7"/>
    <w:rsid w:val="000C3DF9"/>
    <w:rsid w:val="000C4CF2"/>
    <w:rsid w:val="000C5649"/>
    <w:rsid w:val="000C5E13"/>
    <w:rsid w:val="000C5E62"/>
    <w:rsid w:val="000C627F"/>
    <w:rsid w:val="000C6713"/>
    <w:rsid w:val="000C6FDD"/>
    <w:rsid w:val="000C72BD"/>
    <w:rsid w:val="000C7B42"/>
    <w:rsid w:val="000D024A"/>
    <w:rsid w:val="000D0511"/>
    <w:rsid w:val="000D16A0"/>
    <w:rsid w:val="000D1BFC"/>
    <w:rsid w:val="000D1D5D"/>
    <w:rsid w:val="000D281A"/>
    <w:rsid w:val="000D2848"/>
    <w:rsid w:val="000D2ADD"/>
    <w:rsid w:val="000D2C3E"/>
    <w:rsid w:val="000D326A"/>
    <w:rsid w:val="000D39D4"/>
    <w:rsid w:val="000D3BFE"/>
    <w:rsid w:val="000D3E8B"/>
    <w:rsid w:val="000D49DD"/>
    <w:rsid w:val="000D51FB"/>
    <w:rsid w:val="000D527F"/>
    <w:rsid w:val="000D5C6C"/>
    <w:rsid w:val="000E00D7"/>
    <w:rsid w:val="000E0640"/>
    <w:rsid w:val="000E07D2"/>
    <w:rsid w:val="000E07EB"/>
    <w:rsid w:val="000E087E"/>
    <w:rsid w:val="000E0E88"/>
    <w:rsid w:val="000E135D"/>
    <w:rsid w:val="000E21A8"/>
    <w:rsid w:val="000E2F44"/>
    <w:rsid w:val="000E46BE"/>
    <w:rsid w:val="000E54DC"/>
    <w:rsid w:val="000E55AA"/>
    <w:rsid w:val="000E6EFD"/>
    <w:rsid w:val="000F00BA"/>
    <w:rsid w:val="000F00C8"/>
    <w:rsid w:val="000F0BEE"/>
    <w:rsid w:val="000F183B"/>
    <w:rsid w:val="000F21C5"/>
    <w:rsid w:val="000F2983"/>
    <w:rsid w:val="000F2AE0"/>
    <w:rsid w:val="000F2EF8"/>
    <w:rsid w:val="000F316A"/>
    <w:rsid w:val="000F32C2"/>
    <w:rsid w:val="000F3866"/>
    <w:rsid w:val="000F39BD"/>
    <w:rsid w:val="000F3C74"/>
    <w:rsid w:val="000F42C2"/>
    <w:rsid w:val="000F4BB8"/>
    <w:rsid w:val="000F4D5D"/>
    <w:rsid w:val="000F4FA9"/>
    <w:rsid w:val="000F53FB"/>
    <w:rsid w:val="000F5E1F"/>
    <w:rsid w:val="000F7127"/>
    <w:rsid w:val="000F7B54"/>
    <w:rsid w:val="000F7C05"/>
    <w:rsid w:val="001000B3"/>
    <w:rsid w:val="00100637"/>
    <w:rsid w:val="00100F8A"/>
    <w:rsid w:val="0010122A"/>
    <w:rsid w:val="001012BB"/>
    <w:rsid w:val="0010200D"/>
    <w:rsid w:val="00102239"/>
    <w:rsid w:val="001027A3"/>
    <w:rsid w:val="00102857"/>
    <w:rsid w:val="00102871"/>
    <w:rsid w:val="00103CF6"/>
    <w:rsid w:val="00104049"/>
    <w:rsid w:val="00104361"/>
    <w:rsid w:val="0010452E"/>
    <w:rsid w:val="00105715"/>
    <w:rsid w:val="00105AE2"/>
    <w:rsid w:val="00105F57"/>
    <w:rsid w:val="001060C6"/>
    <w:rsid w:val="00106ACE"/>
    <w:rsid w:val="00106B80"/>
    <w:rsid w:val="0010703F"/>
    <w:rsid w:val="00107C23"/>
    <w:rsid w:val="00107C3E"/>
    <w:rsid w:val="0011032E"/>
    <w:rsid w:val="00110F3E"/>
    <w:rsid w:val="00111280"/>
    <w:rsid w:val="001119AD"/>
    <w:rsid w:val="00111EC1"/>
    <w:rsid w:val="0011231D"/>
    <w:rsid w:val="001124DC"/>
    <w:rsid w:val="00112C61"/>
    <w:rsid w:val="0011348B"/>
    <w:rsid w:val="001141C7"/>
    <w:rsid w:val="001143E8"/>
    <w:rsid w:val="001154A7"/>
    <w:rsid w:val="0011575B"/>
    <w:rsid w:val="00115982"/>
    <w:rsid w:val="00115BE1"/>
    <w:rsid w:val="0011653C"/>
    <w:rsid w:val="00116C53"/>
    <w:rsid w:val="0011739F"/>
    <w:rsid w:val="00117CF3"/>
    <w:rsid w:val="001203FC"/>
    <w:rsid w:val="00120F4F"/>
    <w:rsid w:val="00121799"/>
    <w:rsid w:val="001217F8"/>
    <w:rsid w:val="00121A79"/>
    <w:rsid w:val="00121CDF"/>
    <w:rsid w:val="001222FC"/>
    <w:rsid w:val="001227B8"/>
    <w:rsid w:val="00122906"/>
    <w:rsid w:val="001233BE"/>
    <w:rsid w:val="00123902"/>
    <w:rsid w:val="0012432C"/>
    <w:rsid w:val="00124A51"/>
    <w:rsid w:val="00124C6A"/>
    <w:rsid w:val="001260D6"/>
    <w:rsid w:val="0012637C"/>
    <w:rsid w:val="001263E0"/>
    <w:rsid w:val="00126621"/>
    <w:rsid w:val="001269D4"/>
    <w:rsid w:val="00126B1D"/>
    <w:rsid w:val="001277C0"/>
    <w:rsid w:val="001301E9"/>
    <w:rsid w:val="00130BC3"/>
    <w:rsid w:val="00130FDA"/>
    <w:rsid w:val="00131268"/>
    <w:rsid w:val="00131D82"/>
    <w:rsid w:val="00131F0A"/>
    <w:rsid w:val="001324D2"/>
    <w:rsid w:val="00132B22"/>
    <w:rsid w:val="00132ED8"/>
    <w:rsid w:val="00133968"/>
    <w:rsid w:val="00133D36"/>
    <w:rsid w:val="00134D25"/>
    <w:rsid w:val="00135111"/>
    <w:rsid w:val="00136FFD"/>
    <w:rsid w:val="00137645"/>
    <w:rsid w:val="0014015A"/>
    <w:rsid w:val="00140CB8"/>
    <w:rsid w:val="00140CF3"/>
    <w:rsid w:val="00140E99"/>
    <w:rsid w:val="001412DA"/>
    <w:rsid w:val="00141591"/>
    <w:rsid w:val="00141BD3"/>
    <w:rsid w:val="00142254"/>
    <w:rsid w:val="0014288E"/>
    <w:rsid w:val="00143C43"/>
    <w:rsid w:val="00143C8B"/>
    <w:rsid w:val="00143CBF"/>
    <w:rsid w:val="00143ECC"/>
    <w:rsid w:val="00143F67"/>
    <w:rsid w:val="00145234"/>
    <w:rsid w:val="00145540"/>
    <w:rsid w:val="001456B0"/>
    <w:rsid w:val="00145C17"/>
    <w:rsid w:val="00145DCF"/>
    <w:rsid w:val="00146324"/>
    <w:rsid w:val="0014777A"/>
    <w:rsid w:val="001516C0"/>
    <w:rsid w:val="00151B2D"/>
    <w:rsid w:val="00151E4C"/>
    <w:rsid w:val="00152205"/>
    <w:rsid w:val="00152333"/>
    <w:rsid w:val="00153F6D"/>
    <w:rsid w:val="00153F96"/>
    <w:rsid w:val="001547AB"/>
    <w:rsid w:val="001548C7"/>
    <w:rsid w:val="00154922"/>
    <w:rsid w:val="0015494A"/>
    <w:rsid w:val="00154990"/>
    <w:rsid w:val="00155023"/>
    <w:rsid w:val="00155500"/>
    <w:rsid w:val="00155609"/>
    <w:rsid w:val="00156F8F"/>
    <w:rsid w:val="00157130"/>
    <w:rsid w:val="001574EC"/>
    <w:rsid w:val="001575EA"/>
    <w:rsid w:val="001576B1"/>
    <w:rsid w:val="00157ACC"/>
    <w:rsid w:val="00157B4F"/>
    <w:rsid w:val="0016047B"/>
    <w:rsid w:val="00160A4C"/>
    <w:rsid w:val="00161D02"/>
    <w:rsid w:val="00161F6D"/>
    <w:rsid w:val="00162171"/>
    <w:rsid w:val="00162913"/>
    <w:rsid w:val="00162C95"/>
    <w:rsid w:val="00162D19"/>
    <w:rsid w:val="0016347C"/>
    <w:rsid w:val="001636E4"/>
    <w:rsid w:val="001639CD"/>
    <w:rsid w:val="00163C58"/>
    <w:rsid w:val="00163EFF"/>
    <w:rsid w:val="00163F66"/>
    <w:rsid w:val="00164623"/>
    <w:rsid w:val="0016478E"/>
    <w:rsid w:val="00165C3A"/>
    <w:rsid w:val="00165EC4"/>
    <w:rsid w:val="001661FB"/>
    <w:rsid w:val="001667D9"/>
    <w:rsid w:val="00166BE8"/>
    <w:rsid w:val="00166D57"/>
    <w:rsid w:val="001671A0"/>
    <w:rsid w:val="00167534"/>
    <w:rsid w:val="0016767F"/>
    <w:rsid w:val="00167AFB"/>
    <w:rsid w:val="001708D3"/>
    <w:rsid w:val="00170E83"/>
    <w:rsid w:val="00171A25"/>
    <w:rsid w:val="00171BA1"/>
    <w:rsid w:val="0017218B"/>
    <w:rsid w:val="00172FD8"/>
    <w:rsid w:val="0017319D"/>
    <w:rsid w:val="00173565"/>
    <w:rsid w:val="001737B8"/>
    <w:rsid w:val="00173B07"/>
    <w:rsid w:val="00174B22"/>
    <w:rsid w:val="001751FA"/>
    <w:rsid w:val="001768F6"/>
    <w:rsid w:val="0017694F"/>
    <w:rsid w:val="00176CED"/>
    <w:rsid w:val="00177064"/>
    <w:rsid w:val="00177317"/>
    <w:rsid w:val="00177B0E"/>
    <w:rsid w:val="00177B26"/>
    <w:rsid w:val="00177F64"/>
    <w:rsid w:val="00180310"/>
    <w:rsid w:val="00180BFF"/>
    <w:rsid w:val="00180CBD"/>
    <w:rsid w:val="001815C7"/>
    <w:rsid w:val="00181991"/>
    <w:rsid w:val="00181A11"/>
    <w:rsid w:val="00181C10"/>
    <w:rsid w:val="00181D9C"/>
    <w:rsid w:val="001827FA"/>
    <w:rsid w:val="0018366A"/>
    <w:rsid w:val="001837FF"/>
    <w:rsid w:val="00183989"/>
    <w:rsid w:val="00184B0E"/>
    <w:rsid w:val="00184E21"/>
    <w:rsid w:val="00185C44"/>
    <w:rsid w:val="0018752F"/>
    <w:rsid w:val="00187803"/>
    <w:rsid w:val="00187AB9"/>
    <w:rsid w:val="00187C7F"/>
    <w:rsid w:val="00187F13"/>
    <w:rsid w:val="001909D7"/>
    <w:rsid w:val="001915A6"/>
    <w:rsid w:val="00192045"/>
    <w:rsid w:val="001920D5"/>
    <w:rsid w:val="0019223E"/>
    <w:rsid w:val="001937E8"/>
    <w:rsid w:val="00193838"/>
    <w:rsid w:val="00193E43"/>
    <w:rsid w:val="001945BF"/>
    <w:rsid w:val="00194AD8"/>
    <w:rsid w:val="00194E9C"/>
    <w:rsid w:val="00195222"/>
    <w:rsid w:val="00195452"/>
    <w:rsid w:val="001959CB"/>
    <w:rsid w:val="001963BF"/>
    <w:rsid w:val="001975D8"/>
    <w:rsid w:val="001A062F"/>
    <w:rsid w:val="001A07DE"/>
    <w:rsid w:val="001A090E"/>
    <w:rsid w:val="001A1423"/>
    <w:rsid w:val="001A16E3"/>
    <w:rsid w:val="001A178E"/>
    <w:rsid w:val="001A1D31"/>
    <w:rsid w:val="001A1F86"/>
    <w:rsid w:val="001A2408"/>
    <w:rsid w:val="001A255A"/>
    <w:rsid w:val="001A2AEB"/>
    <w:rsid w:val="001A39D1"/>
    <w:rsid w:val="001A3A0C"/>
    <w:rsid w:val="001A3B6C"/>
    <w:rsid w:val="001A43FA"/>
    <w:rsid w:val="001A47B5"/>
    <w:rsid w:val="001A47C5"/>
    <w:rsid w:val="001A4A00"/>
    <w:rsid w:val="001A4EBC"/>
    <w:rsid w:val="001A59FB"/>
    <w:rsid w:val="001A5A9F"/>
    <w:rsid w:val="001A5AE8"/>
    <w:rsid w:val="001A5E9E"/>
    <w:rsid w:val="001A632D"/>
    <w:rsid w:val="001A6354"/>
    <w:rsid w:val="001A6366"/>
    <w:rsid w:val="001A7AE8"/>
    <w:rsid w:val="001B0BE3"/>
    <w:rsid w:val="001B1280"/>
    <w:rsid w:val="001B1CDF"/>
    <w:rsid w:val="001B204E"/>
    <w:rsid w:val="001B2372"/>
    <w:rsid w:val="001B2396"/>
    <w:rsid w:val="001B23CE"/>
    <w:rsid w:val="001B2FC0"/>
    <w:rsid w:val="001B3443"/>
    <w:rsid w:val="001B360D"/>
    <w:rsid w:val="001B3A5C"/>
    <w:rsid w:val="001B46F4"/>
    <w:rsid w:val="001B4957"/>
    <w:rsid w:val="001B4D20"/>
    <w:rsid w:val="001B4DFD"/>
    <w:rsid w:val="001B593F"/>
    <w:rsid w:val="001B5DEB"/>
    <w:rsid w:val="001B63AA"/>
    <w:rsid w:val="001B6793"/>
    <w:rsid w:val="001B6969"/>
    <w:rsid w:val="001B6E99"/>
    <w:rsid w:val="001B736D"/>
    <w:rsid w:val="001B74AB"/>
    <w:rsid w:val="001B7A1A"/>
    <w:rsid w:val="001B7F84"/>
    <w:rsid w:val="001C002E"/>
    <w:rsid w:val="001C0094"/>
    <w:rsid w:val="001C1DA1"/>
    <w:rsid w:val="001C1F9B"/>
    <w:rsid w:val="001C271E"/>
    <w:rsid w:val="001C2A9B"/>
    <w:rsid w:val="001C2C3F"/>
    <w:rsid w:val="001C2D91"/>
    <w:rsid w:val="001C303C"/>
    <w:rsid w:val="001C3B8A"/>
    <w:rsid w:val="001C3DD6"/>
    <w:rsid w:val="001C4299"/>
    <w:rsid w:val="001C4874"/>
    <w:rsid w:val="001C4FF6"/>
    <w:rsid w:val="001C5DD9"/>
    <w:rsid w:val="001C5ED9"/>
    <w:rsid w:val="001C5F94"/>
    <w:rsid w:val="001C6E66"/>
    <w:rsid w:val="001C7862"/>
    <w:rsid w:val="001C7DC7"/>
    <w:rsid w:val="001D0DE0"/>
    <w:rsid w:val="001D1100"/>
    <w:rsid w:val="001D1391"/>
    <w:rsid w:val="001D19D9"/>
    <w:rsid w:val="001D1A42"/>
    <w:rsid w:val="001D1AA2"/>
    <w:rsid w:val="001D25D7"/>
    <w:rsid w:val="001D3C8C"/>
    <w:rsid w:val="001D4400"/>
    <w:rsid w:val="001D4E10"/>
    <w:rsid w:val="001D50B2"/>
    <w:rsid w:val="001D51D6"/>
    <w:rsid w:val="001D53EE"/>
    <w:rsid w:val="001D71F4"/>
    <w:rsid w:val="001D75E7"/>
    <w:rsid w:val="001D7645"/>
    <w:rsid w:val="001D7A56"/>
    <w:rsid w:val="001E0423"/>
    <w:rsid w:val="001E0BC1"/>
    <w:rsid w:val="001E14B3"/>
    <w:rsid w:val="001E15AE"/>
    <w:rsid w:val="001E18E8"/>
    <w:rsid w:val="001E1E86"/>
    <w:rsid w:val="001E226F"/>
    <w:rsid w:val="001E238E"/>
    <w:rsid w:val="001E2483"/>
    <w:rsid w:val="001E28CC"/>
    <w:rsid w:val="001E2B1E"/>
    <w:rsid w:val="001E2CFF"/>
    <w:rsid w:val="001E2F24"/>
    <w:rsid w:val="001E30D4"/>
    <w:rsid w:val="001E34DF"/>
    <w:rsid w:val="001E4249"/>
    <w:rsid w:val="001E51D1"/>
    <w:rsid w:val="001E52EB"/>
    <w:rsid w:val="001E61D2"/>
    <w:rsid w:val="001E62AB"/>
    <w:rsid w:val="001E6E21"/>
    <w:rsid w:val="001E6E70"/>
    <w:rsid w:val="001E727A"/>
    <w:rsid w:val="001E740C"/>
    <w:rsid w:val="001E7FDF"/>
    <w:rsid w:val="001F0182"/>
    <w:rsid w:val="001F0401"/>
    <w:rsid w:val="001F045F"/>
    <w:rsid w:val="001F07A9"/>
    <w:rsid w:val="001F0949"/>
    <w:rsid w:val="001F0AB4"/>
    <w:rsid w:val="001F0C9B"/>
    <w:rsid w:val="001F0D0B"/>
    <w:rsid w:val="001F103B"/>
    <w:rsid w:val="001F1235"/>
    <w:rsid w:val="001F1CA9"/>
    <w:rsid w:val="001F1CB3"/>
    <w:rsid w:val="001F22D9"/>
    <w:rsid w:val="001F289C"/>
    <w:rsid w:val="001F310C"/>
    <w:rsid w:val="001F38B5"/>
    <w:rsid w:val="001F3928"/>
    <w:rsid w:val="001F4081"/>
    <w:rsid w:val="001F4112"/>
    <w:rsid w:val="001F6684"/>
    <w:rsid w:val="001F7361"/>
    <w:rsid w:val="001F74A2"/>
    <w:rsid w:val="0020057F"/>
    <w:rsid w:val="0020069E"/>
    <w:rsid w:val="002011B0"/>
    <w:rsid w:val="002015BA"/>
    <w:rsid w:val="00201796"/>
    <w:rsid w:val="0020218B"/>
    <w:rsid w:val="00202ECC"/>
    <w:rsid w:val="00203019"/>
    <w:rsid w:val="00203154"/>
    <w:rsid w:val="00203181"/>
    <w:rsid w:val="002033C7"/>
    <w:rsid w:val="00203564"/>
    <w:rsid w:val="00203783"/>
    <w:rsid w:val="0020385F"/>
    <w:rsid w:val="00203F98"/>
    <w:rsid w:val="0020431A"/>
    <w:rsid w:val="0020471C"/>
    <w:rsid w:val="00204E1E"/>
    <w:rsid w:val="00205509"/>
    <w:rsid w:val="00205C9F"/>
    <w:rsid w:val="00206061"/>
    <w:rsid w:val="00206793"/>
    <w:rsid w:val="002068A0"/>
    <w:rsid w:val="00206CA9"/>
    <w:rsid w:val="00207021"/>
    <w:rsid w:val="002071F3"/>
    <w:rsid w:val="002071FE"/>
    <w:rsid w:val="0020732F"/>
    <w:rsid w:val="00207D00"/>
    <w:rsid w:val="002105C1"/>
    <w:rsid w:val="002107D2"/>
    <w:rsid w:val="002109E4"/>
    <w:rsid w:val="002116FD"/>
    <w:rsid w:val="00211913"/>
    <w:rsid w:val="00211F8C"/>
    <w:rsid w:val="002121F5"/>
    <w:rsid w:val="0021285F"/>
    <w:rsid w:val="0021331B"/>
    <w:rsid w:val="002138CE"/>
    <w:rsid w:val="00213EF5"/>
    <w:rsid w:val="002140A1"/>
    <w:rsid w:val="00214E3A"/>
    <w:rsid w:val="00215BEE"/>
    <w:rsid w:val="00215D75"/>
    <w:rsid w:val="00216BF5"/>
    <w:rsid w:val="002174D9"/>
    <w:rsid w:val="00217528"/>
    <w:rsid w:val="00217904"/>
    <w:rsid w:val="00217D9F"/>
    <w:rsid w:val="00217FF6"/>
    <w:rsid w:val="00220244"/>
    <w:rsid w:val="002203E2"/>
    <w:rsid w:val="00222841"/>
    <w:rsid w:val="00222A38"/>
    <w:rsid w:val="00222C49"/>
    <w:rsid w:val="00223B49"/>
    <w:rsid w:val="00223D5A"/>
    <w:rsid w:val="00223E55"/>
    <w:rsid w:val="002241B7"/>
    <w:rsid w:val="00224671"/>
    <w:rsid w:val="00224DCA"/>
    <w:rsid w:val="00224DD4"/>
    <w:rsid w:val="0022547F"/>
    <w:rsid w:val="00225518"/>
    <w:rsid w:val="002278A0"/>
    <w:rsid w:val="002279E1"/>
    <w:rsid w:val="00227C12"/>
    <w:rsid w:val="00227D84"/>
    <w:rsid w:val="002309CC"/>
    <w:rsid w:val="00230AED"/>
    <w:rsid w:val="00231BA9"/>
    <w:rsid w:val="00231BCD"/>
    <w:rsid w:val="00231DE6"/>
    <w:rsid w:val="0023209F"/>
    <w:rsid w:val="002327F3"/>
    <w:rsid w:val="00232CAD"/>
    <w:rsid w:val="00232F04"/>
    <w:rsid w:val="002337D9"/>
    <w:rsid w:val="00233C01"/>
    <w:rsid w:val="0023413C"/>
    <w:rsid w:val="002346F0"/>
    <w:rsid w:val="00234B3B"/>
    <w:rsid w:val="00235035"/>
    <w:rsid w:val="00235A3C"/>
    <w:rsid w:val="00236261"/>
    <w:rsid w:val="0023629D"/>
    <w:rsid w:val="00236C84"/>
    <w:rsid w:val="00237044"/>
    <w:rsid w:val="00237233"/>
    <w:rsid w:val="00237255"/>
    <w:rsid w:val="0023791E"/>
    <w:rsid w:val="00237E99"/>
    <w:rsid w:val="00237F76"/>
    <w:rsid w:val="00240557"/>
    <w:rsid w:val="00240AAA"/>
    <w:rsid w:val="00240D65"/>
    <w:rsid w:val="002411CB"/>
    <w:rsid w:val="00241248"/>
    <w:rsid w:val="00241C9C"/>
    <w:rsid w:val="00241D19"/>
    <w:rsid w:val="00242346"/>
    <w:rsid w:val="002424AF"/>
    <w:rsid w:val="0024263E"/>
    <w:rsid w:val="002429F6"/>
    <w:rsid w:val="00242F0F"/>
    <w:rsid w:val="00242F8A"/>
    <w:rsid w:val="00243978"/>
    <w:rsid w:val="002439DC"/>
    <w:rsid w:val="002440FA"/>
    <w:rsid w:val="00244111"/>
    <w:rsid w:val="002441D2"/>
    <w:rsid w:val="00244519"/>
    <w:rsid w:val="00244DC8"/>
    <w:rsid w:val="002455D5"/>
    <w:rsid w:val="00245688"/>
    <w:rsid w:val="002458BA"/>
    <w:rsid w:val="00245CE9"/>
    <w:rsid w:val="00245EE6"/>
    <w:rsid w:val="0024636C"/>
    <w:rsid w:val="00246E97"/>
    <w:rsid w:val="002470B6"/>
    <w:rsid w:val="00247910"/>
    <w:rsid w:val="00247925"/>
    <w:rsid w:val="00247CCB"/>
    <w:rsid w:val="00247FE5"/>
    <w:rsid w:val="00250712"/>
    <w:rsid w:val="00250ABF"/>
    <w:rsid w:val="00250BAE"/>
    <w:rsid w:val="00250C13"/>
    <w:rsid w:val="00251006"/>
    <w:rsid w:val="002513C3"/>
    <w:rsid w:val="002524D5"/>
    <w:rsid w:val="00252696"/>
    <w:rsid w:val="002529D4"/>
    <w:rsid w:val="00252C38"/>
    <w:rsid w:val="00252E84"/>
    <w:rsid w:val="00252FD7"/>
    <w:rsid w:val="0025322C"/>
    <w:rsid w:val="00253344"/>
    <w:rsid w:val="00253B1D"/>
    <w:rsid w:val="00253E27"/>
    <w:rsid w:val="002546A3"/>
    <w:rsid w:val="002548EC"/>
    <w:rsid w:val="002549DE"/>
    <w:rsid w:val="00254D0A"/>
    <w:rsid w:val="00254DCF"/>
    <w:rsid w:val="002551A8"/>
    <w:rsid w:val="00255327"/>
    <w:rsid w:val="0025534B"/>
    <w:rsid w:val="00255BB7"/>
    <w:rsid w:val="00255C47"/>
    <w:rsid w:val="0025693A"/>
    <w:rsid w:val="00257526"/>
    <w:rsid w:val="00257541"/>
    <w:rsid w:val="002578AD"/>
    <w:rsid w:val="00257A39"/>
    <w:rsid w:val="00257AC4"/>
    <w:rsid w:val="00257BBE"/>
    <w:rsid w:val="00261EEF"/>
    <w:rsid w:val="0026203D"/>
    <w:rsid w:val="00262165"/>
    <w:rsid w:val="00262A1A"/>
    <w:rsid w:val="00262A87"/>
    <w:rsid w:val="00264D26"/>
    <w:rsid w:val="002655AA"/>
    <w:rsid w:val="00265728"/>
    <w:rsid w:val="00265AE1"/>
    <w:rsid w:val="00266DBB"/>
    <w:rsid w:val="0026749C"/>
    <w:rsid w:val="00267501"/>
    <w:rsid w:val="00267642"/>
    <w:rsid w:val="002676FF"/>
    <w:rsid w:val="00267AEA"/>
    <w:rsid w:val="00267E41"/>
    <w:rsid w:val="002700E6"/>
    <w:rsid w:val="0027089E"/>
    <w:rsid w:val="00271F71"/>
    <w:rsid w:val="002723A5"/>
    <w:rsid w:val="00272619"/>
    <w:rsid w:val="0027294B"/>
    <w:rsid w:val="00273056"/>
    <w:rsid w:val="0027333B"/>
    <w:rsid w:val="00273AD4"/>
    <w:rsid w:val="00273EB4"/>
    <w:rsid w:val="00274250"/>
    <w:rsid w:val="002745AA"/>
    <w:rsid w:val="00274682"/>
    <w:rsid w:val="00275158"/>
    <w:rsid w:val="00275C5A"/>
    <w:rsid w:val="00276253"/>
    <w:rsid w:val="0027696F"/>
    <w:rsid w:val="00276BE3"/>
    <w:rsid w:val="00276D72"/>
    <w:rsid w:val="00277A67"/>
    <w:rsid w:val="00277B23"/>
    <w:rsid w:val="002802DC"/>
    <w:rsid w:val="00281014"/>
    <w:rsid w:val="002812CE"/>
    <w:rsid w:val="00283C78"/>
    <w:rsid w:val="0028414C"/>
    <w:rsid w:val="002847C7"/>
    <w:rsid w:val="00284CE2"/>
    <w:rsid w:val="00285BCE"/>
    <w:rsid w:val="0028665D"/>
    <w:rsid w:val="002866EE"/>
    <w:rsid w:val="00286D57"/>
    <w:rsid w:val="00287145"/>
    <w:rsid w:val="002874F9"/>
    <w:rsid w:val="00287B3B"/>
    <w:rsid w:val="002909F8"/>
    <w:rsid w:val="0029124A"/>
    <w:rsid w:val="00291BED"/>
    <w:rsid w:val="00292028"/>
    <w:rsid w:val="00292B43"/>
    <w:rsid w:val="00292BC4"/>
    <w:rsid w:val="00293DEE"/>
    <w:rsid w:val="00293FBC"/>
    <w:rsid w:val="002945E9"/>
    <w:rsid w:val="00295B5E"/>
    <w:rsid w:val="002972BF"/>
    <w:rsid w:val="00297C90"/>
    <w:rsid w:val="002A01F6"/>
    <w:rsid w:val="002A04F6"/>
    <w:rsid w:val="002A066D"/>
    <w:rsid w:val="002A11F8"/>
    <w:rsid w:val="002A1298"/>
    <w:rsid w:val="002A1420"/>
    <w:rsid w:val="002A14AB"/>
    <w:rsid w:val="002A1571"/>
    <w:rsid w:val="002A1AE7"/>
    <w:rsid w:val="002A2ADE"/>
    <w:rsid w:val="002A2F50"/>
    <w:rsid w:val="002A3D2F"/>
    <w:rsid w:val="002A3EE0"/>
    <w:rsid w:val="002A555D"/>
    <w:rsid w:val="002A56D1"/>
    <w:rsid w:val="002A598B"/>
    <w:rsid w:val="002A63AE"/>
    <w:rsid w:val="002A6E82"/>
    <w:rsid w:val="002A7496"/>
    <w:rsid w:val="002A7943"/>
    <w:rsid w:val="002A7E27"/>
    <w:rsid w:val="002B031A"/>
    <w:rsid w:val="002B05A1"/>
    <w:rsid w:val="002B09A4"/>
    <w:rsid w:val="002B0DDF"/>
    <w:rsid w:val="002B1295"/>
    <w:rsid w:val="002B1428"/>
    <w:rsid w:val="002B179B"/>
    <w:rsid w:val="002B18FA"/>
    <w:rsid w:val="002B195F"/>
    <w:rsid w:val="002B1C1F"/>
    <w:rsid w:val="002B209A"/>
    <w:rsid w:val="002B29EA"/>
    <w:rsid w:val="002B33E4"/>
    <w:rsid w:val="002B432F"/>
    <w:rsid w:val="002B4449"/>
    <w:rsid w:val="002B49E5"/>
    <w:rsid w:val="002B4BB3"/>
    <w:rsid w:val="002B554C"/>
    <w:rsid w:val="002B62B3"/>
    <w:rsid w:val="002B6754"/>
    <w:rsid w:val="002B67C0"/>
    <w:rsid w:val="002B6A08"/>
    <w:rsid w:val="002B6CCE"/>
    <w:rsid w:val="002B70CB"/>
    <w:rsid w:val="002B7E65"/>
    <w:rsid w:val="002C01BF"/>
    <w:rsid w:val="002C1390"/>
    <w:rsid w:val="002C1985"/>
    <w:rsid w:val="002C1B70"/>
    <w:rsid w:val="002C1C03"/>
    <w:rsid w:val="002C2510"/>
    <w:rsid w:val="002C2775"/>
    <w:rsid w:val="002C27C1"/>
    <w:rsid w:val="002C28F0"/>
    <w:rsid w:val="002C2DFB"/>
    <w:rsid w:val="002C35E6"/>
    <w:rsid w:val="002C36E3"/>
    <w:rsid w:val="002C3822"/>
    <w:rsid w:val="002C4904"/>
    <w:rsid w:val="002C4E57"/>
    <w:rsid w:val="002C5099"/>
    <w:rsid w:val="002C5889"/>
    <w:rsid w:val="002C5DCD"/>
    <w:rsid w:val="002C5E54"/>
    <w:rsid w:val="002C5EFC"/>
    <w:rsid w:val="002C6415"/>
    <w:rsid w:val="002C6F0C"/>
    <w:rsid w:val="002C71CE"/>
    <w:rsid w:val="002C735B"/>
    <w:rsid w:val="002C7880"/>
    <w:rsid w:val="002D08F8"/>
    <w:rsid w:val="002D0EBB"/>
    <w:rsid w:val="002D10FC"/>
    <w:rsid w:val="002D11FA"/>
    <w:rsid w:val="002D138A"/>
    <w:rsid w:val="002D2660"/>
    <w:rsid w:val="002D335D"/>
    <w:rsid w:val="002D3A2D"/>
    <w:rsid w:val="002D4201"/>
    <w:rsid w:val="002D4697"/>
    <w:rsid w:val="002D4936"/>
    <w:rsid w:val="002D5224"/>
    <w:rsid w:val="002D577C"/>
    <w:rsid w:val="002D5DCD"/>
    <w:rsid w:val="002D6437"/>
    <w:rsid w:val="002D697E"/>
    <w:rsid w:val="002D70AC"/>
    <w:rsid w:val="002D7432"/>
    <w:rsid w:val="002D7832"/>
    <w:rsid w:val="002E0338"/>
    <w:rsid w:val="002E05F1"/>
    <w:rsid w:val="002E1071"/>
    <w:rsid w:val="002E15B9"/>
    <w:rsid w:val="002E180E"/>
    <w:rsid w:val="002E1DB8"/>
    <w:rsid w:val="002E2158"/>
    <w:rsid w:val="002E27F1"/>
    <w:rsid w:val="002E3159"/>
    <w:rsid w:val="002E31E9"/>
    <w:rsid w:val="002E3C8B"/>
    <w:rsid w:val="002E448E"/>
    <w:rsid w:val="002E44C9"/>
    <w:rsid w:val="002E4793"/>
    <w:rsid w:val="002E48DF"/>
    <w:rsid w:val="002E4F02"/>
    <w:rsid w:val="002E50E9"/>
    <w:rsid w:val="002E545D"/>
    <w:rsid w:val="002E5547"/>
    <w:rsid w:val="002E55E7"/>
    <w:rsid w:val="002E5675"/>
    <w:rsid w:val="002E5C42"/>
    <w:rsid w:val="002E67D4"/>
    <w:rsid w:val="002E7722"/>
    <w:rsid w:val="002E77E3"/>
    <w:rsid w:val="002F07BA"/>
    <w:rsid w:val="002F08F2"/>
    <w:rsid w:val="002F0DA9"/>
    <w:rsid w:val="002F1014"/>
    <w:rsid w:val="002F1A3A"/>
    <w:rsid w:val="002F1E3B"/>
    <w:rsid w:val="002F1FF7"/>
    <w:rsid w:val="002F2B2D"/>
    <w:rsid w:val="002F2CC7"/>
    <w:rsid w:val="002F33D6"/>
    <w:rsid w:val="002F3585"/>
    <w:rsid w:val="002F375A"/>
    <w:rsid w:val="002F43AD"/>
    <w:rsid w:val="002F5174"/>
    <w:rsid w:val="002F53F6"/>
    <w:rsid w:val="002F56B0"/>
    <w:rsid w:val="002F58F7"/>
    <w:rsid w:val="002F5979"/>
    <w:rsid w:val="002F61A0"/>
    <w:rsid w:val="002F643C"/>
    <w:rsid w:val="002F6FD3"/>
    <w:rsid w:val="002F6FFC"/>
    <w:rsid w:val="002F7116"/>
    <w:rsid w:val="002F71C0"/>
    <w:rsid w:val="002F7254"/>
    <w:rsid w:val="002F73A9"/>
    <w:rsid w:val="002F74F1"/>
    <w:rsid w:val="002F792D"/>
    <w:rsid w:val="002F7CB2"/>
    <w:rsid w:val="003006CF"/>
    <w:rsid w:val="00301017"/>
    <w:rsid w:val="0030155F"/>
    <w:rsid w:val="003019AE"/>
    <w:rsid w:val="00302321"/>
    <w:rsid w:val="00302900"/>
    <w:rsid w:val="00302DDD"/>
    <w:rsid w:val="00303127"/>
    <w:rsid w:val="0030388D"/>
    <w:rsid w:val="003039AB"/>
    <w:rsid w:val="0030430D"/>
    <w:rsid w:val="0030587B"/>
    <w:rsid w:val="00305A02"/>
    <w:rsid w:val="0030692C"/>
    <w:rsid w:val="00306D98"/>
    <w:rsid w:val="00306DDB"/>
    <w:rsid w:val="003073F4"/>
    <w:rsid w:val="003074A0"/>
    <w:rsid w:val="0030760E"/>
    <w:rsid w:val="0030786C"/>
    <w:rsid w:val="00307B0B"/>
    <w:rsid w:val="00307FBA"/>
    <w:rsid w:val="0031031A"/>
    <w:rsid w:val="00310981"/>
    <w:rsid w:val="00310DCD"/>
    <w:rsid w:val="0031134B"/>
    <w:rsid w:val="00311D9B"/>
    <w:rsid w:val="003124D9"/>
    <w:rsid w:val="00312594"/>
    <w:rsid w:val="003129C8"/>
    <w:rsid w:val="00313BAF"/>
    <w:rsid w:val="00313C7A"/>
    <w:rsid w:val="00314A0F"/>
    <w:rsid w:val="00314F7F"/>
    <w:rsid w:val="003153CC"/>
    <w:rsid w:val="00315498"/>
    <w:rsid w:val="00315EFA"/>
    <w:rsid w:val="00316474"/>
    <w:rsid w:val="00320CAA"/>
    <w:rsid w:val="00320D9A"/>
    <w:rsid w:val="00320DC7"/>
    <w:rsid w:val="0032106E"/>
    <w:rsid w:val="00321160"/>
    <w:rsid w:val="00322107"/>
    <w:rsid w:val="00322355"/>
    <w:rsid w:val="00322846"/>
    <w:rsid w:val="00322ABC"/>
    <w:rsid w:val="00323749"/>
    <w:rsid w:val="00323FC9"/>
    <w:rsid w:val="00324366"/>
    <w:rsid w:val="003246C6"/>
    <w:rsid w:val="00325343"/>
    <w:rsid w:val="00325367"/>
    <w:rsid w:val="0032644B"/>
    <w:rsid w:val="00326DA7"/>
    <w:rsid w:val="00326EC2"/>
    <w:rsid w:val="003270D5"/>
    <w:rsid w:val="003270E4"/>
    <w:rsid w:val="00327F04"/>
    <w:rsid w:val="00330667"/>
    <w:rsid w:val="00330C68"/>
    <w:rsid w:val="00330D5F"/>
    <w:rsid w:val="00330DAA"/>
    <w:rsid w:val="00330F5C"/>
    <w:rsid w:val="00331972"/>
    <w:rsid w:val="00331A22"/>
    <w:rsid w:val="00331CA9"/>
    <w:rsid w:val="00332D9D"/>
    <w:rsid w:val="00333237"/>
    <w:rsid w:val="003335E8"/>
    <w:rsid w:val="00333967"/>
    <w:rsid w:val="00333E43"/>
    <w:rsid w:val="00333FE1"/>
    <w:rsid w:val="00334259"/>
    <w:rsid w:val="0033426C"/>
    <w:rsid w:val="00334B1C"/>
    <w:rsid w:val="00334FE7"/>
    <w:rsid w:val="0033514A"/>
    <w:rsid w:val="00335959"/>
    <w:rsid w:val="003366C9"/>
    <w:rsid w:val="0033681C"/>
    <w:rsid w:val="00336ACE"/>
    <w:rsid w:val="003371B0"/>
    <w:rsid w:val="00337B16"/>
    <w:rsid w:val="0034016E"/>
    <w:rsid w:val="0034028D"/>
    <w:rsid w:val="0034095B"/>
    <w:rsid w:val="00340DF1"/>
    <w:rsid w:val="00341F74"/>
    <w:rsid w:val="003445C3"/>
    <w:rsid w:val="003462F5"/>
    <w:rsid w:val="0034649F"/>
    <w:rsid w:val="00346644"/>
    <w:rsid w:val="00346B71"/>
    <w:rsid w:val="00346FF2"/>
    <w:rsid w:val="00347395"/>
    <w:rsid w:val="00347473"/>
    <w:rsid w:val="00347958"/>
    <w:rsid w:val="00347C5D"/>
    <w:rsid w:val="0035007D"/>
    <w:rsid w:val="0035028A"/>
    <w:rsid w:val="003517F9"/>
    <w:rsid w:val="00351BA9"/>
    <w:rsid w:val="00352A34"/>
    <w:rsid w:val="00353655"/>
    <w:rsid w:val="00353961"/>
    <w:rsid w:val="003540C8"/>
    <w:rsid w:val="003549F6"/>
    <w:rsid w:val="00354F64"/>
    <w:rsid w:val="00355185"/>
    <w:rsid w:val="00355888"/>
    <w:rsid w:val="0035620E"/>
    <w:rsid w:val="00356FB3"/>
    <w:rsid w:val="003575BE"/>
    <w:rsid w:val="0036019C"/>
    <w:rsid w:val="00360345"/>
    <w:rsid w:val="00361375"/>
    <w:rsid w:val="00361A05"/>
    <w:rsid w:val="00361A25"/>
    <w:rsid w:val="003624C4"/>
    <w:rsid w:val="00362C3D"/>
    <w:rsid w:val="00362F22"/>
    <w:rsid w:val="003631D4"/>
    <w:rsid w:val="00363243"/>
    <w:rsid w:val="00363AD8"/>
    <w:rsid w:val="00363B00"/>
    <w:rsid w:val="003654AC"/>
    <w:rsid w:val="003665D8"/>
    <w:rsid w:val="00366626"/>
    <w:rsid w:val="00366C9F"/>
    <w:rsid w:val="00367C60"/>
    <w:rsid w:val="00370025"/>
    <w:rsid w:val="00370485"/>
    <w:rsid w:val="0037080E"/>
    <w:rsid w:val="003710CF"/>
    <w:rsid w:val="0037116E"/>
    <w:rsid w:val="003717EA"/>
    <w:rsid w:val="00372509"/>
    <w:rsid w:val="003727B7"/>
    <w:rsid w:val="00372AD3"/>
    <w:rsid w:val="00372BB7"/>
    <w:rsid w:val="003732CF"/>
    <w:rsid w:val="0037358A"/>
    <w:rsid w:val="00373D11"/>
    <w:rsid w:val="0037429A"/>
    <w:rsid w:val="003743FB"/>
    <w:rsid w:val="00374BE5"/>
    <w:rsid w:val="003750B8"/>
    <w:rsid w:val="003750EB"/>
    <w:rsid w:val="003750F6"/>
    <w:rsid w:val="00375478"/>
    <w:rsid w:val="003760FC"/>
    <w:rsid w:val="003769F6"/>
    <w:rsid w:val="00376D95"/>
    <w:rsid w:val="0037720B"/>
    <w:rsid w:val="003772C7"/>
    <w:rsid w:val="0037791D"/>
    <w:rsid w:val="00377AA0"/>
    <w:rsid w:val="0038035A"/>
    <w:rsid w:val="003805D6"/>
    <w:rsid w:val="00380832"/>
    <w:rsid w:val="00380E39"/>
    <w:rsid w:val="00381DDB"/>
    <w:rsid w:val="003825C3"/>
    <w:rsid w:val="00382A2D"/>
    <w:rsid w:val="00382E9D"/>
    <w:rsid w:val="0038365C"/>
    <w:rsid w:val="0038369B"/>
    <w:rsid w:val="00383B78"/>
    <w:rsid w:val="00383B9C"/>
    <w:rsid w:val="0038454E"/>
    <w:rsid w:val="00385A9D"/>
    <w:rsid w:val="00387121"/>
    <w:rsid w:val="00387E32"/>
    <w:rsid w:val="00387FBE"/>
    <w:rsid w:val="003902B1"/>
    <w:rsid w:val="00390E0E"/>
    <w:rsid w:val="0039179C"/>
    <w:rsid w:val="00391814"/>
    <w:rsid w:val="00391D1C"/>
    <w:rsid w:val="00392121"/>
    <w:rsid w:val="0039278C"/>
    <w:rsid w:val="0039379B"/>
    <w:rsid w:val="00393A24"/>
    <w:rsid w:val="00394528"/>
    <w:rsid w:val="003950AA"/>
    <w:rsid w:val="00395B79"/>
    <w:rsid w:val="00395EC7"/>
    <w:rsid w:val="0039627C"/>
    <w:rsid w:val="00396896"/>
    <w:rsid w:val="00396A8E"/>
    <w:rsid w:val="00396D29"/>
    <w:rsid w:val="00396FD0"/>
    <w:rsid w:val="003975FA"/>
    <w:rsid w:val="00397946"/>
    <w:rsid w:val="00397CDF"/>
    <w:rsid w:val="00397D47"/>
    <w:rsid w:val="003A04FC"/>
    <w:rsid w:val="003A0AC4"/>
    <w:rsid w:val="003A10B2"/>
    <w:rsid w:val="003A16B6"/>
    <w:rsid w:val="003A1876"/>
    <w:rsid w:val="003A1A7A"/>
    <w:rsid w:val="003A1B36"/>
    <w:rsid w:val="003A1D15"/>
    <w:rsid w:val="003A2392"/>
    <w:rsid w:val="003A26FC"/>
    <w:rsid w:val="003A2831"/>
    <w:rsid w:val="003A302D"/>
    <w:rsid w:val="003A3106"/>
    <w:rsid w:val="003A33AB"/>
    <w:rsid w:val="003A3569"/>
    <w:rsid w:val="003A3575"/>
    <w:rsid w:val="003A3CB6"/>
    <w:rsid w:val="003A3ED1"/>
    <w:rsid w:val="003A433D"/>
    <w:rsid w:val="003A44DB"/>
    <w:rsid w:val="003A4AD2"/>
    <w:rsid w:val="003A4B72"/>
    <w:rsid w:val="003A4C14"/>
    <w:rsid w:val="003A6314"/>
    <w:rsid w:val="003A6362"/>
    <w:rsid w:val="003A78BF"/>
    <w:rsid w:val="003A7CD1"/>
    <w:rsid w:val="003B0A35"/>
    <w:rsid w:val="003B0C8E"/>
    <w:rsid w:val="003B0FED"/>
    <w:rsid w:val="003B16CA"/>
    <w:rsid w:val="003B1AE0"/>
    <w:rsid w:val="003B24A9"/>
    <w:rsid w:val="003B35C0"/>
    <w:rsid w:val="003B3971"/>
    <w:rsid w:val="003B3A0C"/>
    <w:rsid w:val="003B40E9"/>
    <w:rsid w:val="003B4F3E"/>
    <w:rsid w:val="003B4F8B"/>
    <w:rsid w:val="003B5252"/>
    <w:rsid w:val="003B55D1"/>
    <w:rsid w:val="003B5B61"/>
    <w:rsid w:val="003B60D1"/>
    <w:rsid w:val="003B6E52"/>
    <w:rsid w:val="003B7839"/>
    <w:rsid w:val="003B7B32"/>
    <w:rsid w:val="003B7B9F"/>
    <w:rsid w:val="003B7BFC"/>
    <w:rsid w:val="003B7C02"/>
    <w:rsid w:val="003C14C3"/>
    <w:rsid w:val="003C1654"/>
    <w:rsid w:val="003C1F29"/>
    <w:rsid w:val="003C3102"/>
    <w:rsid w:val="003C3224"/>
    <w:rsid w:val="003C4909"/>
    <w:rsid w:val="003C5542"/>
    <w:rsid w:val="003C56B4"/>
    <w:rsid w:val="003C5960"/>
    <w:rsid w:val="003C60E3"/>
    <w:rsid w:val="003C6AB6"/>
    <w:rsid w:val="003C6F89"/>
    <w:rsid w:val="003C6FF8"/>
    <w:rsid w:val="003C7C15"/>
    <w:rsid w:val="003C7D19"/>
    <w:rsid w:val="003C7D2F"/>
    <w:rsid w:val="003C7E4F"/>
    <w:rsid w:val="003C7F95"/>
    <w:rsid w:val="003D07AD"/>
    <w:rsid w:val="003D0C5A"/>
    <w:rsid w:val="003D1828"/>
    <w:rsid w:val="003D1DE4"/>
    <w:rsid w:val="003D1E9A"/>
    <w:rsid w:val="003D2422"/>
    <w:rsid w:val="003D2444"/>
    <w:rsid w:val="003D2742"/>
    <w:rsid w:val="003D2EA4"/>
    <w:rsid w:val="003D39A1"/>
    <w:rsid w:val="003D3D99"/>
    <w:rsid w:val="003D3FBF"/>
    <w:rsid w:val="003D42DA"/>
    <w:rsid w:val="003D45C3"/>
    <w:rsid w:val="003D4A30"/>
    <w:rsid w:val="003D5670"/>
    <w:rsid w:val="003D595F"/>
    <w:rsid w:val="003D5DC6"/>
    <w:rsid w:val="003D5DE7"/>
    <w:rsid w:val="003D61B7"/>
    <w:rsid w:val="003D72F9"/>
    <w:rsid w:val="003D7452"/>
    <w:rsid w:val="003D79BB"/>
    <w:rsid w:val="003D7C98"/>
    <w:rsid w:val="003D7D9D"/>
    <w:rsid w:val="003E019C"/>
    <w:rsid w:val="003E0543"/>
    <w:rsid w:val="003E1F44"/>
    <w:rsid w:val="003E42F0"/>
    <w:rsid w:val="003E4484"/>
    <w:rsid w:val="003E4654"/>
    <w:rsid w:val="003E5603"/>
    <w:rsid w:val="003E563C"/>
    <w:rsid w:val="003E56AA"/>
    <w:rsid w:val="003E59DB"/>
    <w:rsid w:val="003E5D95"/>
    <w:rsid w:val="003E5DC3"/>
    <w:rsid w:val="003E6047"/>
    <w:rsid w:val="003E6345"/>
    <w:rsid w:val="003E749E"/>
    <w:rsid w:val="003E753F"/>
    <w:rsid w:val="003E756F"/>
    <w:rsid w:val="003E76CF"/>
    <w:rsid w:val="003F0732"/>
    <w:rsid w:val="003F1CA7"/>
    <w:rsid w:val="003F2556"/>
    <w:rsid w:val="003F295D"/>
    <w:rsid w:val="003F3A5D"/>
    <w:rsid w:val="003F4156"/>
    <w:rsid w:val="003F4ABB"/>
    <w:rsid w:val="003F5783"/>
    <w:rsid w:val="003F5ADF"/>
    <w:rsid w:val="003F5CE2"/>
    <w:rsid w:val="003F6949"/>
    <w:rsid w:val="003F7068"/>
    <w:rsid w:val="004002BB"/>
    <w:rsid w:val="00400B29"/>
    <w:rsid w:val="004025FF"/>
    <w:rsid w:val="0040276E"/>
    <w:rsid w:val="00402812"/>
    <w:rsid w:val="00402845"/>
    <w:rsid w:val="004043AE"/>
    <w:rsid w:val="00404600"/>
    <w:rsid w:val="004047C5"/>
    <w:rsid w:val="004049F3"/>
    <w:rsid w:val="0040504B"/>
    <w:rsid w:val="00405145"/>
    <w:rsid w:val="0040573C"/>
    <w:rsid w:val="004059F4"/>
    <w:rsid w:val="00406165"/>
    <w:rsid w:val="00406284"/>
    <w:rsid w:val="004066FE"/>
    <w:rsid w:val="00407E8A"/>
    <w:rsid w:val="00407FE5"/>
    <w:rsid w:val="004101B0"/>
    <w:rsid w:val="004102AC"/>
    <w:rsid w:val="00410326"/>
    <w:rsid w:val="004105EB"/>
    <w:rsid w:val="004105F5"/>
    <w:rsid w:val="00410708"/>
    <w:rsid w:val="00410745"/>
    <w:rsid w:val="00410EC7"/>
    <w:rsid w:val="0041148C"/>
    <w:rsid w:val="00411B39"/>
    <w:rsid w:val="004127A7"/>
    <w:rsid w:val="00413A1E"/>
    <w:rsid w:val="00413C15"/>
    <w:rsid w:val="00413D8A"/>
    <w:rsid w:val="00414476"/>
    <w:rsid w:val="00414C2E"/>
    <w:rsid w:val="00414F1D"/>
    <w:rsid w:val="004151CF"/>
    <w:rsid w:val="004157F6"/>
    <w:rsid w:val="00416364"/>
    <w:rsid w:val="00416897"/>
    <w:rsid w:val="00416DA8"/>
    <w:rsid w:val="00416EA4"/>
    <w:rsid w:val="00417260"/>
    <w:rsid w:val="00417F3E"/>
    <w:rsid w:val="00420129"/>
    <w:rsid w:val="0042047F"/>
    <w:rsid w:val="00420AA6"/>
    <w:rsid w:val="00420B9F"/>
    <w:rsid w:val="0042104F"/>
    <w:rsid w:val="00421241"/>
    <w:rsid w:val="0042192C"/>
    <w:rsid w:val="0042213C"/>
    <w:rsid w:val="00422260"/>
    <w:rsid w:val="0042293C"/>
    <w:rsid w:val="00422E31"/>
    <w:rsid w:val="004230EA"/>
    <w:rsid w:val="004238C9"/>
    <w:rsid w:val="0042413F"/>
    <w:rsid w:val="00424659"/>
    <w:rsid w:val="004246BE"/>
    <w:rsid w:val="00424AE6"/>
    <w:rsid w:val="00424AF8"/>
    <w:rsid w:val="004257FA"/>
    <w:rsid w:val="00425EE3"/>
    <w:rsid w:val="004263D6"/>
    <w:rsid w:val="004269C9"/>
    <w:rsid w:val="00430A87"/>
    <w:rsid w:val="004319F8"/>
    <w:rsid w:val="00431AF1"/>
    <w:rsid w:val="00431E55"/>
    <w:rsid w:val="004321F6"/>
    <w:rsid w:val="00432BDC"/>
    <w:rsid w:val="00433044"/>
    <w:rsid w:val="00433764"/>
    <w:rsid w:val="00433992"/>
    <w:rsid w:val="00433EDC"/>
    <w:rsid w:val="00434088"/>
    <w:rsid w:val="00435377"/>
    <w:rsid w:val="004368F9"/>
    <w:rsid w:val="00436951"/>
    <w:rsid w:val="004375B9"/>
    <w:rsid w:val="004379CA"/>
    <w:rsid w:val="00437B36"/>
    <w:rsid w:val="00440347"/>
    <w:rsid w:val="004408C0"/>
    <w:rsid w:val="00441753"/>
    <w:rsid w:val="00441B75"/>
    <w:rsid w:val="00441C6E"/>
    <w:rsid w:val="0044231B"/>
    <w:rsid w:val="004428D0"/>
    <w:rsid w:val="00442C4B"/>
    <w:rsid w:val="00443467"/>
    <w:rsid w:val="00443A8D"/>
    <w:rsid w:val="00443FDE"/>
    <w:rsid w:val="00444185"/>
    <w:rsid w:val="004443A7"/>
    <w:rsid w:val="0044442C"/>
    <w:rsid w:val="0044553E"/>
    <w:rsid w:val="00445941"/>
    <w:rsid w:val="004464A1"/>
    <w:rsid w:val="004464EB"/>
    <w:rsid w:val="00446569"/>
    <w:rsid w:val="00446CF2"/>
    <w:rsid w:val="004470D1"/>
    <w:rsid w:val="004478E4"/>
    <w:rsid w:val="004479C8"/>
    <w:rsid w:val="00447D26"/>
    <w:rsid w:val="00447DFC"/>
    <w:rsid w:val="00447EEE"/>
    <w:rsid w:val="00450138"/>
    <w:rsid w:val="00450143"/>
    <w:rsid w:val="0045015B"/>
    <w:rsid w:val="004506E4"/>
    <w:rsid w:val="004522B3"/>
    <w:rsid w:val="004524A9"/>
    <w:rsid w:val="0045259C"/>
    <w:rsid w:val="004525D2"/>
    <w:rsid w:val="00453190"/>
    <w:rsid w:val="004540CE"/>
    <w:rsid w:val="004552F9"/>
    <w:rsid w:val="00455557"/>
    <w:rsid w:val="00455D45"/>
    <w:rsid w:val="00456BDF"/>
    <w:rsid w:val="00456D3A"/>
    <w:rsid w:val="00457615"/>
    <w:rsid w:val="00457744"/>
    <w:rsid w:val="00457AE2"/>
    <w:rsid w:val="00457CB2"/>
    <w:rsid w:val="00460CD3"/>
    <w:rsid w:val="00461ADD"/>
    <w:rsid w:val="00462CFA"/>
    <w:rsid w:val="00462E62"/>
    <w:rsid w:val="004636EC"/>
    <w:rsid w:val="00464595"/>
    <w:rsid w:val="00465609"/>
    <w:rsid w:val="004658B5"/>
    <w:rsid w:val="00465C29"/>
    <w:rsid w:val="004664C2"/>
    <w:rsid w:val="0046747B"/>
    <w:rsid w:val="00467842"/>
    <w:rsid w:val="00467D94"/>
    <w:rsid w:val="00470936"/>
    <w:rsid w:val="00471902"/>
    <w:rsid w:val="00471BBB"/>
    <w:rsid w:val="00471EA5"/>
    <w:rsid w:val="0047276B"/>
    <w:rsid w:val="00472988"/>
    <w:rsid w:val="00472A79"/>
    <w:rsid w:val="00473133"/>
    <w:rsid w:val="004738B9"/>
    <w:rsid w:val="004738EF"/>
    <w:rsid w:val="00473F19"/>
    <w:rsid w:val="00473FD6"/>
    <w:rsid w:val="00475076"/>
    <w:rsid w:val="004758C4"/>
    <w:rsid w:val="00475A49"/>
    <w:rsid w:val="00475E22"/>
    <w:rsid w:val="004766A4"/>
    <w:rsid w:val="00477A13"/>
    <w:rsid w:val="00477BE3"/>
    <w:rsid w:val="0048088E"/>
    <w:rsid w:val="00480AB4"/>
    <w:rsid w:val="00480F2B"/>
    <w:rsid w:val="004814D3"/>
    <w:rsid w:val="00481507"/>
    <w:rsid w:val="00481597"/>
    <w:rsid w:val="00481D22"/>
    <w:rsid w:val="00482720"/>
    <w:rsid w:val="00482B0A"/>
    <w:rsid w:val="00482B59"/>
    <w:rsid w:val="004835E7"/>
    <w:rsid w:val="004837DA"/>
    <w:rsid w:val="00484630"/>
    <w:rsid w:val="004846DD"/>
    <w:rsid w:val="00484EDE"/>
    <w:rsid w:val="004859E1"/>
    <w:rsid w:val="00486186"/>
    <w:rsid w:val="004867AB"/>
    <w:rsid w:val="004867E2"/>
    <w:rsid w:val="00486A09"/>
    <w:rsid w:val="004874B4"/>
    <w:rsid w:val="00490AD2"/>
    <w:rsid w:val="00490B17"/>
    <w:rsid w:val="00491B3A"/>
    <w:rsid w:val="004929CD"/>
    <w:rsid w:val="00492CFD"/>
    <w:rsid w:val="00493209"/>
    <w:rsid w:val="004932A2"/>
    <w:rsid w:val="0049417B"/>
    <w:rsid w:val="00494207"/>
    <w:rsid w:val="00494DD5"/>
    <w:rsid w:val="004956B1"/>
    <w:rsid w:val="004959C4"/>
    <w:rsid w:val="004960E6"/>
    <w:rsid w:val="004962D2"/>
    <w:rsid w:val="00496DED"/>
    <w:rsid w:val="00497790"/>
    <w:rsid w:val="004979B4"/>
    <w:rsid w:val="00497D64"/>
    <w:rsid w:val="00497F4C"/>
    <w:rsid w:val="004A050B"/>
    <w:rsid w:val="004A0657"/>
    <w:rsid w:val="004A08B3"/>
    <w:rsid w:val="004A0DA1"/>
    <w:rsid w:val="004A1085"/>
    <w:rsid w:val="004A13D6"/>
    <w:rsid w:val="004A2A2B"/>
    <w:rsid w:val="004A2BD3"/>
    <w:rsid w:val="004A2E8D"/>
    <w:rsid w:val="004A388C"/>
    <w:rsid w:val="004A38B5"/>
    <w:rsid w:val="004A3936"/>
    <w:rsid w:val="004A52E9"/>
    <w:rsid w:val="004A54F3"/>
    <w:rsid w:val="004A5E0B"/>
    <w:rsid w:val="004A6040"/>
    <w:rsid w:val="004A60C9"/>
    <w:rsid w:val="004A6597"/>
    <w:rsid w:val="004A723C"/>
    <w:rsid w:val="004A7296"/>
    <w:rsid w:val="004A7848"/>
    <w:rsid w:val="004A7850"/>
    <w:rsid w:val="004A793B"/>
    <w:rsid w:val="004A7AB3"/>
    <w:rsid w:val="004B04E6"/>
    <w:rsid w:val="004B1117"/>
    <w:rsid w:val="004B1CB4"/>
    <w:rsid w:val="004B20C8"/>
    <w:rsid w:val="004B23AB"/>
    <w:rsid w:val="004B2C15"/>
    <w:rsid w:val="004B2DBD"/>
    <w:rsid w:val="004B2E92"/>
    <w:rsid w:val="004B2F18"/>
    <w:rsid w:val="004B345A"/>
    <w:rsid w:val="004B3DDB"/>
    <w:rsid w:val="004B44CE"/>
    <w:rsid w:val="004B44FD"/>
    <w:rsid w:val="004B46E3"/>
    <w:rsid w:val="004B4B2A"/>
    <w:rsid w:val="004B4BC6"/>
    <w:rsid w:val="004B4E41"/>
    <w:rsid w:val="004B5CFC"/>
    <w:rsid w:val="004B625A"/>
    <w:rsid w:val="004B646C"/>
    <w:rsid w:val="004B6F79"/>
    <w:rsid w:val="004B6FBB"/>
    <w:rsid w:val="004B774D"/>
    <w:rsid w:val="004B7885"/>
    <w:rsid w:val="004B7A6E"/>
    <w:rsid w:val="004B7B3B"/>
    <w:rsid w:val="004B7D92"/>
    <w:rsid w:val="004C01F9"/>
    <w:rsid w:val="004C067E"/>
    <w:rsid w:val="004C0BD8"/>
    <w:rsid w:val="004C1868"/>
    <w:rsid w:val="004C1B2B"/>
    <w:rsid w:val="004C1C83"/>
    <w:rsid w:val="004C1D8F"/>
    <w:rsid w:val="004C2091"/>
    <w:rsid w:val="004C2AC2"/>
    <w:rsid w:val="004C2FB2"/>
    <w:rsid w:val="004C3B02"/>
    <w:rsid w:val="004C3FF0"/>
    <w:rsid w:val="004C4AED"/>
    <w:rsid w:val="004C5569"/>
    <w:rsid w:val="004C6374"/>
    <w:rsid w:val="004C7881"/>
    <w:rsid w:val="004C7A11"/>
    <w:rsid w:val="004D0496"/>
    <w:rsid w:val="004D053D"/>
    <w:rsid w:val="004D0747"/>
    <w:rsid w:val="004D0914"/>
    <w:rsid w:val="004D0D07"/>
    <w:rsid w:val="004D199A"/>
    <w:rsid w:val="004D2101"/>
    <w:rsid w:val="004D26B7"/>
    <w:rsid w:val="004D2C2D"/>
    <w:rsid w:val="004D2CD0"/>
    <w:rsid w:val="004D31E8"/>
    <w:rsid w:val="004D3883"/>
    <w:rsid w:val="004D394A"/>
    <w:rsid w:val="004D3990"/>
    <w:rsid w:val="004D4280"/>
    <w:rsid w:val="004D431B"/>
    <w:rsid w:val="004D462F"/>
    <w:rsid w:val="004D5363"/>
    <w:rsid w:val="004D5BC3"/>
    <w:rsid w:val="004D69B5"/>
    <w:rsid w:val="004D7227"/>
    <w:rsid w:val="004D7B5E"/>
    <w:rsid w:val="004E00FE"/>
    <w:rsid w:val="004E017C"/>
    <w:rsid w:val="004E05F4"/>
    <w:rsid w:val="004E0900"/>
    <w:rsid w:val="004E0992"/>
    <w:rsid w:val="004E0E7F"/>
    <w:rsid w:val="004E0EB8"/>
    <w:rsid w:val="004E14EC"/>
    <w:rsid w:val="004E18E9"/>
    <w:rsid w:val="004E2ADC"/>
    <w:rsid w:val="004E2D16"/>
    <w:rsid w:val="004E2F8C"/>
    <w:rsid w:val="004E34D1"/>
    <w:rsid w:val="004E3621"/>
    <w:rsid w:val="004E364E"/>
    <w:rsid w:val="004E3BDA"/>
    <w:rsid w:val="004E3DF0"/>
    <w:rsid w:val="004E4000"/>
    <w:rsid w:val="004E411C"/>
    <w:rsid w:val="004E424C"/>
    <w:rsid w:val="004E43B2"/>
    <w:rsid w:val="004E4B08"/>
    <w:rsid w:val="004E5C40"/>
    <w:rsid w:val="004E64DF"/>
    <w:rsid w:val="004E6B51"/>
    <w:rsid w:val="004E7F5E"/>
    <w:rsid w:val="004E7FDD"/>
    <w:rsid w:val="004F0800"/>
    <w:rsid w:val="004F0B60"/>
    <w:rsid w:val="004F0CD3"/>
    <w:rsid w:val="004F15DE"/>
    <w:rsid w:val="004F1C97"/>
    <w:rsid w:val="004F1D02"/>
    <w:rsid w:val="004F2679"/>
    <w:rsid w:val="004F2F21"/>
    <w:rsid w:val="004F3677"/>
    <w:rsid w:val="004F3DE5"/>
    <w:rsid w:val="004F598B"/>
    <w:rsid w:val="004F6913"/>
    <w:rsid w:val="004F6975"/>
    <w:rsid w:val="004F6C04"/>
    <w:rsid w:val="004F6E94"/>
    <w:rsid w:val="004F7865"/>
    <w:rsid w:val="004F7926"/>
    <w:rsid w:val="004F7C76"/>
    <w:rsid w:val="005002D9"/>
    <w:rsid w:val="00500354"/>
    <w:rsid w:val="0050116D"/>
    <w:rsid w:val="0050174E"/>
    <w:rsid w:val="00501854"/>
    <w:rsid w:val="0050219B"/>
    <w:rsid w:val="00502297"/>
    <w:rsid w:val="0050269C"/>
    <w:rsid w:val="00502BF5"/>
    <w:rsid w:val="00502F63"/>
    <w:rsid w:val="00503B8C"/>
    <w:rsid w:val="00503F17"/>
    <w:rsid w:val="00503F3A"/>
    <w:rsid w:val="005043F3"/>
    <w:rsid w:val="00504C17"/>
    <w:rsid w:val="00505B0F"/>
    <w:rsid w:val="0050604D"/>
    <w:rsid w:val="005068D3"/>
    <w:rsid w:val="00506928"/>
    <w:rsid w:val="00506DCA"/>
    <w:rsid w:val="00506F8F"/>
    <w:rsid w:val="00507577"/>
    <w:rsid w:val="005077EF"/>
    <w:rsid w:val="0050795C"/>
    <w:rsid w:val="0051199C"/>
    <w:rsid w:val="00511AD5"/>
    <w:rsid w:val="00511D0F"/>
    <w:rsid w:val="00511DC7"/>
    <w:rsid w:val="0051386E"/>
    <w:rsid w:val="005142C5"/>
    <w:rsid w:val="00514691"/>
    <w:rsid w:val="005146E4"/>
    <w:rsid w:val="00514FA8"/>
    <w:rsid w:val="0051501B"/>
    <w:rsid w:val="0051506D"/>
    <w:rsid w:val="005152B5"/>
    <w:rsid w:val="0051580A"/>
    <w:rsid w:val="00515886"/>
    <w:rsid w:val="00515D18"/>
    <w:rsid w:val="005160B9"/>
    <w:rsid w:val="0052123C"/>
    <w:rsid w:val="00521319"/>
    <w:rsid w:val="005216DE"/>
    <w:rsid w:val="00521898"/>
    <w:rsid w:val="00521F4D"/>
    <w:rsid w:val="00522BC8"/>
    <w:rsid w:val="00522E9E"/>
    <w:rsid w:val="0052322A"/>
    <w:rsid w:val="0052362E"/>
    <w:rsid w:val="00523AF2"/>
    <w:rsid w:val="00523C28"/>
    <w:rsid w:val="00523FCA"/>
    <w:rsid w:val="00524F34"/>
    <w:rsid w:val="0052549A"/>
    <w:rsid w:val="00526057"/>
    <w:rsid w:val="0052622F"/>
    <w:rsid w:val="00526C1D"/>
    <w:rsid w:val="00526C8B"/>
    <w:rsid w:val="00526DB5"/>
    <w:rsid w:val="005302F0"/>
    <w:rsid w:val="00530B6A"/>
    <w:rsid w:val="005315BC"/>
    <w:rsid w:val="0053176B"/>
    <w:rsid w:val="0053180A"/>
    <w:rsid w:val="00532D1F"/>
    <w:rsid w:val="00532DAD"/>
    <w:rsid w:val="00532F08"/>
    <w:rsid w:val="005341B3"/>
    <w:rsid w:val="0053455D"/>
    <w:rsid w:val="00535297"/>
    <w:rsid w:val="00535EEE"/>
    <w:rsid w:val="00536359"/>
    <w:rsid w:val="005367EF"/>
    <w:rsid w:val="00536CA6"/>
    <w:rsid w:val="00536F42"/>
    <w:rsid w:val="00537182"/>
    <w:rsid w:val="0053796B"/>
    <w:rsid w:val="00540A65"/>
    <w:rsid w:val="00540CE0"/>
    <w:rsid w:val="005417C1"/>
    <w:rsid w:val="005418DA"/>
    <w:rsid w:val="005419C4"/>
    <w:rsid w:val="00541D45"/>
    <w:rsid w:val="00541EDD"/>
    <w:rsid w:val="00542354"/>
    <w:rsid w:val="00542594"/>
    <w:rsid w:val="0054268C"/>
    <w:rsid w:val="005426E1"/>
    <w:rsid w:val="00542743"/>
    <w:rsid w:val="00542C2D"/>
    <w:rsid w:val="00542F0A"/>
    <w:rsid w:val="00543CEE"/>
    <w:rsid w:val="005441D6"/>
    <w:rsid w:val="005446C9"/>
    <w:rsid w:val="00544CD2"/>
    <w:rsid w:val="005450B1"/>
    <w:rsid w:val="00545222"/>
    <w:rsid w:val="005452E7"/>
    <w:rsid w:val="005453AF"/>
    <w:rsid w:val="00546668"/>
    <w:rsid w:val="0054733C"/>
    <w:rsid w:val="00547393"/>
    <w:rsid w:val="005478BD"/>
    <w:rsid w:val="005479E3"/>
    <w:rsid w:val="0055034A"/>
    <w:rsid w:val="005510B7"/>
    <w:rsid w:val="00551411"/>
    <w:rsid w:val="00551985"/>
    <w:rsid w:val="00551B27"/>
    <w:rsid w:val="00552113"/>
    <w:rsid w:val="0055273A"/>
    <w:rsid w:val="0055290B"/>
    <w:rsid w:val="00552A0A"/>
    <w:rsid w:val="00552B96"/>
    <w:rsid w:val="00552BD3"/>
    <w:rsid w:val="00552E2B"/>
    <w:rsid w:val="005532A0"/>
    <w:rsid w:val="005533D6"/>
    <w:rsid w:val="00554AEA"/>
    <w:rsid w:val="00554B88"/>
    <w:rsid w:val="00554FDD"/>
    <w:rsid w:val="00555109"/>
    <w:rsid w:val="00555232"/>
    <w:rsid w:val="005552F1"/>
    <w:rsid w:val="00555779"/>
    <w:rsid w:val="005569E5"/>
    <w:rsid w:val="00556B35"/>
    <w:rsid w:val="00557227"/>
    <w:rsid w:val="0055741A"/>
    <w:rsid w:val="00557B27"/>
    <w:rsid w:val="005611B7"/>
    <w:rsid w:val="005618D4"/>
    <w:rsid w:val="00561D35"/>
    <w:rsid w:val="00563C9B"/>
    <w:rsid w:val="005645A1"/>
    <w:rsid w:val="00564793"/>
    <w:rsid w:val="00564867"/>
    <w:rsid w:val="00565336"/>
    <w:rsid w:val="00565C79"/>
    <w:rsid w:val="00565DF0"/>
    <w:rsid w:val="0056696F"/>
    <w:rsid w:val="005673F6"/>
    <w:rsid w:val="00567A64"/>
    <w:rsid w:val="005705A9"/>
    <w:rsid w:val="00571C0D"/>
    <w:rsid w:val="00571DC4"/>
    <w:rsid w:val="00571F80"/>
    <w:rsid w:val="00572269"/>
    <w:rsid w:val="0057244A"/>
    <w:rsid w:val="00572B2E"/>
    <w:rsid w:val="00572BD0"/>
    <w:rsid w:val="00572F26"/>
    <w:rsid w:val="00573360"/>
    <w:rsid w:val="0057473E"/>
    <w:rsid w:val="005750C5"/>
    <w:rsid w:val="005752DE"/>
    <w:rsid w:val="005756A3"/>
    <w:rsid w:val="00575D60"/>
    <w:rsid w:val="00575D8D"/>
    <w:rsid w:val="00576972"/>
    <w:rsid w:val="00577248"/>
    <w:rsid w:val="00577370"/>
    <w:rsid w:val="005801A2"/>
    <w:rsid w:val="0058041F"/>
    <w:rsid w:val="005806DF"/>
    <w:rsid w:val="0058166B"/>
    <w:rsid w:val="005816D5"/>
    <w:rsid w:val="00581AB3"/>
    <w:rsid w:val="00583320"/>
    <w:rsid w:val="005834DA"/>
    <w:rsid w:val="00583699"/>
    <w:rsid w:val="005837D1"/>
    <w:rsid w:val="00583974"/>
    <w:rsid w:val="00583A3F"/>
    <w:rsid w:val="00583D92"/>
    <w:rsid w:val="00584302"/>
    <w:rsid w:val="0058441F"/>
    <w:rsid w:val="00584FF0"/>
    <w:rsid w:val="00585CDD"/>
    <w:rsid w:val="00586755"/>
    <w:rsid w:val="00587058"/>
    <w:rsid w:val="00587911"/>
    <w:rsid w:val="00587EC4"/>
    <w:rsid w:val="00591957"/>
    <w:rsid w:val="0059208D"/>
    <w:rsid w:val="00592E17"/>
    <w:rsid w:val="00592EE4"/>
    <w:rsid w:val="00593C35"/>
    <w:rsid w:val="00593C47"/>
    <w:rsid w:val="005946D2"/>
    <w:rsid w:val="00595564"/>
    <w:rsid w:val="005958CD"/>
    <w:rsid w:val="0059591E"/>
    <w:rsid w:val="00595B7E"/>
    <w:rsid w:val="0059631F"/>
    <w:rsid w:val="005966DE"/>
    <w:rsid w:val="005967F8"/>
    <w:rsid w:val="005969A3"/>
    <w:rsid w:val="00596BA0"/>
    <w:rsid w:val="00596FE5"/>
    <w:rsid w:val="00597B56"/>
    <w:rsid w:val="00597BF9"/>
    <w:rsid w:val="005A00F1"/>
    <w:rsid w:val="005A076D"/>
    <w:rsid w:val="005A0823"/>
    <w:rsid w:val="005A0C11"/>
    <w:rsid w:val="005A105F"/>
    <w:rsid w:val="005A1535"/>
    <w:rsid w:val="005A158E"/>
    <w:rsid w:val="005A170F"/>
    <w:rsid w:val="005A1BA5"/>
    <w:rsid w:val="005A2087"/>
    <w:rsid w:val="005A2164"/>
    <w:rsid w:val="005A2314"/>
    <w:rsid w:val="005A26AC"/>
    <w:rsid w:val="005A2D0E"/>
    <w:rsid w:val="005A309A"/>
    <w:rsid w:val="005A373D"/>
    <w:rsid w:val="005A3DE0"/>
    <w:rsid w:val="005A3F35"/>
    <w:rsid w:val="005A49CC"/>
    <w:rsid w:val="005A54B4"/>
    <w:rsid w:val="005A7E83"/>
    <w:rsid w:val="005B03DE"/>
    <w:rsid w:val="005B0B58"/>
    <w:rsid w:val="005B0DF3"/>
    <w:rsid w:val="005B1FDC"/>
    <w:rsid w:val="005B2105"/>
    <w:rsid w:val="005B3D23"/>
    <w:rsid w:val="005B416C"/>
    <w:rsid w:val="005B41EC"/>
    <w:rsid w:val="005B47C2"/>
    <w:rsid w:val="005B4AF7"/>
    <w:rsid w:val="005B4BE5"/>
    <w:rsid w:val="005B4E53"/>
    <w:rsid w:val="005B5857"/>
    <w:rsid w:val="005B5D50"/>
    <w:rsid w:val="005B5DBF"/>
    <w:rsid w:val="005B6A9D"/>
    <w:rsid w:val="005B6DB6"/>
    <w:rsid w:val="005B6E58"/>
    <w:rsid w:val="005B76E2"/>
    <w:rsid w:val="005B7F94"/>
    <w:rsid w:val="005C02C5"/>
    <w:rsid w:val="005C05EB"/>
    <w:rsid w:val="005C0CB5"/>
    <w:rsid w:val="005C12BF"/>
    <w:rsid w:val="005C17B2"/>
    <w:rsid w:val="005C19C4"/>
    <w:rsid w:val="005C1B83"/>
    <w:rsid w:val="005C1CE2"/>
    <w:rsid w:val="005C25FF"/>
    <w:rsid w:val="005C2C69"/>
    <w:rsid w:val="005C2D55"/>
    <w:rsid w:val="005C346B"/>
    <w:rsid w:val="005C35F8"/>
    <w:rsid w:val="005C3AD3"/>
    <w:rsid w:val="005C3E59"/>
    <w:rsid w:val="005C3EC2"/>
    <w:rsid w:val="005C4B68"/>
    <w:rsid w:val="005C53AE"/>
    <w:rsid w:val="005C5680"/>
    <w:rsid w:val="005C57C1"/>
    <w:rsid w:val="005C5ABC"/>
    <w:rsid w:val="005C5D04"/>
    <w:rsid w:val="005C6425"/>
    <w:rsid w:val="005C65BC"/>
    <w:rsid w:val="005C6838"/>
    <w:rsid w:val="005C7713"/>
    <w:rsid w:val="005D044D"/>
    <w:rsid w:val="005D07CD"/>
    <w:rsid w:val="005D0ABD"/>
    <w:rsid w:val="005D108F"/>
    <w:rsid w:val="005D17A0"/>
    <w:rsid w:val="005D18AD"/>
    <w:rsid w:val="005D26B4"/>
    <w:rsid w:val="005D2B52"/>
    <w:rsid w:val="005D3964"/>
    <w:rsid w:val="005D3C3E"/>
    <w:rsid w:val="005D402E"/>
    <w:rsid w:val="005D43FA"/>
    <w:rsid w:val="005D4433"/>
    <w:rsid w:val="005D48FC"/>
    <w:rsid w:val="005D55D0"/>
    <w:rsid w:val="005D5ACE"/>
    <w:rsid w:val="005D5B9C"/>
    <w:rsid w:val="005D611B"/>
    <w:rsid w:val="005D623E"/>
    <w:rsid w:val="005D6D9E"/>
    <w:rsid w:val="005D7C76"/>
    <w:rsid w:val="005D7CE5"/>
    <w:rsid w:val="005D7FF8"/>
    <w:rsid w:val="005E0E00"/>
    <w:rsid w:val="005E0F48"/>
    <w:rsid w:val="005E1995"/>
    <w:rsid w:val="005E3212"/>
    <w:rsid w:val="005E4145"/>
    <w:rsid w:val="005E4262"/>
    <w:rsid w:val="005E53B1"/>
    <w:rsid w:val="005E5B15"/>
    <w:rsid w:val="005E6417"/>
    <w:rsid w:val="005E6CBC"/>
    <w:rsid w:val="005E719F"/>
    <w:rsid w:val="005E72FF"/>
    <w:rsid w:val="005E73C0"/>
    <w:rsid w:val="005E7749"/>
    <w:rsid w:val="005E7B4E"/>
    <w:rsid w:val="005F07ED"/>
    <w:rsid w:val="005F09A5"/>
    <w:rsid w:val="005F0C56"/>
    <w:rsid w:val="005F12D7"/>
    <w:rsid w:val="005F1518"/>
    <w:rsid w:val="005F15A6"/>
    <w:rsid w:val="005F1D6E"/>
    <w:rsid w:val="005F2517"/>
    <w:rsid w:val="005F266A"/>
    <w:rsid w:val="005F2674"/>
    <w:rsid w:val="005F2706"/>
    <w:rsid w:val="005F2B56"/>
    <w:rsid w:val="005F2CBF"/>
    <w:rsid w:val="005F3C86"/>
    <w:rsid w:val="005F47C5"/>
    <w:rsid w:val="005F5172"/>
    <w:rsid w:val="005F5A91"/>
    <w:rsid w:val="005F606B"/>
    <w:rsid w:val="005F6669"/>
    <w:rsid w:val="005F6A8F"/>
    <w:rsid w:val="005F6BB7"/>
    <w:rsid w:val="005F6FD8"/>
    <w:rsid w:val="005F7588"/>
    <w:rsid w:val="005F781C"/>
    <w:rsid w:val="006009D7"/>
    <w:rsid w:val="00601190"/>
    <w:rsid w:val="00601408"/>
    <w:rsid w:val="006018F5"/>
    <w:rsid w:val="00601919"/>
    <w:rsid w:val="006028D3"/>
    <w:rsid w:val="00602D13"/>
    <w:rsid w:val="0060331F"/>
    <w:rsid w:val="00603330"/>
    <w:rsid w:val="00603DB9"/>
    <w:rsid w:val="00604178"/>
    <w:rsid w:val="00604EAB"/>
    <w:rsid w:val="00604F16"/>
    <w:rsid w:val="006056F2"/>
    <w:rsid w:val="00605DD8"/>
    <w:rsid w:val="00606FBA"/>
    <w:rsid w:val="00607669"/>
    <w:rsid w:val="006076F4"/>
    <w:rsid w:val="006078F2"/>
    <w:rsid w:val="00607AFD"/>
    <w:rsid w:val="006103FF"/>
    <w:rsid w:val="00610837"/>
    <w:rsid w:val="00610AE3"/>
    <w:rsid w:val="006115D8"/>
    <w:rsid w:val="0061174D"/>
    <w:rsid w:val="00611B12"/>
    <w:rsid w:val="006124B0"/>
    <w:rsid w:val="00612E8F"/>
    <w:rsid w:val="00612EBC"/>
    <w:rsid w:val="00612F97"/>
    <w:rsid w:val="00613236"/>
    <w:rsid w:val="0061345D"/>
    <w:rsid w:val="00613831"/>
    <w:rsid w:val="0061394A"/>
    <w:rsid w:val="00614217"/>
    <w:rsid w:val="006142E1"/>
    <w:rsid w:val="00614572"/>
    <w:rsid w:val="00614D1D"/>
    <w:rsid w:val="00614D9B"/>
    <w:rsid w:val="0061549B"/>
    <w:rsid w:val="006165E4"/>
    <w:rsid w:val="00616802"/>
    <w:rsid w:val="00616895"/>
    <w:rsid w:val="00616A3F"/>
    <w:rsid w:val="00617AA8"/>
    <w:rsid w:val="00617E12"/>
    <w:rsid w:val="0062005F"/>
    <w:rsid w:val="0062091C"/>
    <w:rsid w:val="00620C25"/>
    <w:rsid w:val="006212BA"/>
    <w:rsid w:val="00621477"/>
    <w:rsid w:val="00621ADA"/>
    <w:rsid w:val="00621C3B"/>
    <w:rsid w:val="00622B38"/>
    <w:rsid w:val="00622FB3"/>
    <w:rsid w:val="00623239"/>
    <w:rsid w:val="00623272"/>
    <w:rsid w:val="00623396"/>
    <w:rsid w:val="006235AE"/>
    <w:rsid w:val="00623933"/>
    <w:rsid w:val="00623996"/>
    <w:rsid w:val="00623F7B"/>
    <w:rsid w:val="00624B0D"/>
    <w:rsid w:val="00624BD4"/>
    <w:rsid w:val="0062633D"/>
    <w:rsid w:val="00626A39"/>
    <w:rsid w:val="00627980"/>
    <w:rsid w:val="00627BD5"/>
    <w:rsid w:val="006310DE"/>
    <w:rsid w:val="0063158F"/>
    <w:rsid w:val="00631D6B"/>
    <w:rsid w:val="00632183"/>
    <w:rsid w:val="006327BC"/>
    <w:rsid w:val="00632F91"/>
    <w:rsid w:val="0063302D"/>
    <w:rsid w:val="006330A1"/>
    <w:rsid w:val="0063453D"/>
    <w:rsid w:val="0063479F"/>
    <w:rsid w:val="0063494C"/>
    <w:rsid w:val="00634B12"/>
    <w:rsid w:val="006353F0"/>
    <w:rsid w:val="006357B5"/>
    <w:rsid w:val="006364A1"/>
    <w:rsid w:val="0063678E"/>
    <w:rsid w:val="0063686A"/>
    <w:rsid w:val="006368AC"/>
    <w:rsid w:val="0063749B"/>
    <w:rsid w:val="00637970"/>
    <w:rsid w:val="00637BFD"/>
    <w:rsid w:val="00637C5C"/>
    <w:rsid w:val="00640072"/>
    <w:rsid w:val="00640805"/>
    <w:rsid w:val="006412CE"/>
    <w:rsid w:val="00641C4E"/>
    <w:rsid w:val="00641FB3"/>
    <w:rsid w:val="006427B7"/>
    <w:rsid w:val="00643083"/>
    <w:rsid w:val="006438B7"/>
    <w:rsid w:val="00643969"/>
    <w:rsid w:val="00643C88"/>
    <w:rsid w:val="0064434C"/>
    <w:rsid w:val="00644593"/>
    <w:rsid w:val="00644AB0"/>
    <w:rsid w:val="00645204"/>
    <w:rsid w:val="00645832"/>
    <w:rsid w:val="00646D92"/>
    <w:rsid w:val="006471CC"/>
    <w:rsid w:val="006472FE"/>
    <w:rsid w:val="00647A29"/>
    <w:rsid w:val="00647F10"/>
    <w:rsid w:val="00650418"/>
    <w:rsid w:val="0065079F"/>
    <w:rsid w:val="006510FA"/>
    <w:rsid w:val="00651138"/>
    <w:rsid w:val="0065147A"/>
    <w:rsid w:val="006517F0"/>
    <w:rsid w:val="006520CA"/>
    <w:rsid w:val="0065238E"/>
    <w:rsid w:val="00652A28"/>
    <w:rsid w:val="00652BE3"/>
    <w:rsid w:val="006536AC"/>
    <w:rsid w:val="0065379F"/>
    <w:rsid w:val="00654550"/>
    <w:rsid w:val="00654D09"/>
    <w:rsid w:val="00654F6D"/>
    <w:rsid w:val="006559D0"/>
    <w:rsid w:val="00656188"/>
    <w:rsid w:val="006569F4"/>
    <w:rsid w:val="00656E58"/>
    <w:rsid w:val="0065715A"/>
    <w:rsid w:val="006574F5"/>
    <w:rsid w:val="00657FF4"/>
    <w:rsid w:val="0066064D"/>
    <w:rsid w:val="00660665"/>
    <w:rsid w:val="00660B61"/>
    <w:rsid w:val="006610F1"/>
    <w:rsid w:val="0066151F"/>
    <w:rsid w:val="00661C6B"/>
    <w:rsid w:val="00661D6B"/>
    <w:rsid w:val="00662445"/>
    <w:rsid w:val="0066253A"/>
    <w:rsid w:val="00662A25"/>
    <w:rsid w:val="00662C2F"/>
    <w:rsid w:val="00662D3E"/>
    <w:rsid w:val="006633D7"/>
    <w:rsid w:val="00663431"/>
    <w:rsid w:val="00664BD1"/>
    <w:rsid w:val="0066544E"/>
    <w:rsid w:val="00666605"/>
    <w:rsid w:val="0066685A"/>
    <w:rsid w:val="00666B35"/>
    <w:rsid w:val="006671CF"/>
    <w:rsid w:val="006672D7"/>
    <w:rsid w:val="00667BE3"/>
    <w:rsid w:val="00670046"/>
    <w:rsid w:val="00670DA8"/>
    <w:rsid w:val="00671004"/>
    <w:rsid w:val="006712DB"/>
    <w:rsid w:val="0067139B"/>
    <w:rsid w:val="00672646"/>
    <w:rsid w:val="006727CC"/>
    <w:rsid w:val="00672B63"/>
    <w:rsid w:val="00672CB9"/>
    <w:rsid w:val="00673654"/>
    <w:rsid w:val="00673696"/>
    <w:rsid w:val="00673DD0"/>
    <w:rsid w:val="00674C05"/>
    <w:rsid w:val="00674E42"/>
    <w:rsid w:val="006756F2"/>
    <w:rsid w:val="00675E52"/>
    <w:rsid w:val="006761C2"/>
    <w:rsid w:val="00676563"/>
    <w:rsid w:val="0067759B"/>
    <w:rsid w:val="00677A53"/>
    <w:rsid w:val="006805DE"/>
    <w:rsid w:val="00681146"/>
    <w:rsid w:val="006813F8"/>
    <w:rsid w:val="00681B5C"/>
    <w:rsid w:val="00682112"/>
    <w:rsid w:val="00682BA6"/>
    <w:rsid w:val="00682C5F"/>
    <w:rsid w:val="0068348B"/>
    <w:rsid w:val="0068367A"/>
    <w:rsid w:val="00683E28"/>
    <w:rsid w:val="00683F1E"/>
    <w:rsid w:val="0068560B"/>
    <w:rsid w:val="00686327"/>
    <w:rsid w:val="006866B0"/>
    <w:rsid w:val="00686957"/>
    <w:rsid w:val="006872BA"/>
    <w:rsid w:val="0068775C"/>
    <w:rsid w:val="00690532"/>
    <w:rsid w:val="00690795"/>
    <w:rsid w:val="006908FA"/>
    <w:rsid w:val="0069099D"/>
    <w:rsid w:val="00691648"/>
    <w:rsid w:val="006917D7"/>
    <w:rsid w:val="00691CAD"/>
    <w:rsid w:val="00692C68"/>
    <w:rsid w:val="00693376"/>
    <w:rsid w:val="00693B07"/>
    <w:rsid w:val="00693B90"/>
    <w:rsid w:val="00693D4B"/>
    <w:rsid w:val="0069434C"/>
    <w:rsid w:val="00694F44"/>
    <w:rsid w:val="00695FA0"/>
    <w:rsid w:val="00695FA4"/>
    <w:rsid w:val="00696241"/>
    <w:rsid w:val="0069665B"/>
    <w:rsid w:val="00696EF9"/>
    <w:rsid w:val="00696F51"/>
    <w:rsid w:val="00697688"/>
    <w:rsid w:val="006979A5"/>
    <w:rsid w:val="006A016F"/>
    <w:rsid w:val="006A01C2"/>
    <w:rsid w:val="006A039B"/>
    <w:rsid w:val="006A08ED"/>
    <w:rsid w:val="006A0DF7"/>
    <w:rsid w:val="006A0E97"/>
    <w:rsid w:val="006A11F3"/>
    <w:rsid w:val="006A13A2"/>
    <w:rsid w:val="006A212D"/>
    <w:rsid w:val="006A21C2"/>
    <w:rsid w:val="006A22DB"/>
    <w:rsid w:val="006A25B6"/>
    <w:rsid w:val="006A29FC"/>
    <w:rsid w:val="006A3C49"/>
    <w:rsid w:val="006A4078"/>
    <w:rsid w:val="006A4321"/>
    <w:rsid w:val="006A43D9"/>
    <w:rsid w:val="006A4B90"/>
    <w:rsid w:val="006A4CD8"/>
    <w:rsid w:val="006A5117"/>
    <w:rsid w:val="006A5232"/>
    <w:rsid w:val="006A5702"/>
    <w:rsid w:val="006A57F9"/>
    <w:rsid w:val="006A6B99"/>
    <w:rsid w:val="006A78F9"/>
    <w:rsid w:val="006A7A14"/>
    <w:rsid w:val="006A7E5F"/>
    <w:rsid w:val="006B0062"/>
    <w:rsid w:val="006B09F5"/>
    <w:rsid w:val="006B0C7D"/>
    <w:rsid w:val="006B160F"/>
    <w:rsid w:val="006B19BD"/>
    <w:rsid w:val="006B1BCB"/>
    <w:rsid w:val="006B2497"/>
    <w:rsid w:val="006B261B"/>
    <w:rsid w:val="006B2C90"/>
    <w:rsid w:val="006B34A1"/>
    <w:rsid w:val="006B35E6"/>
    <w:rsid w:val="006B3763"/>
    <w:rsid w:val="006B42D8"/>
    <w:rsid w:val="006B43A8"/>
    <w:rsid w:val="006B465A"/>
    <w:rsid w:val="006B4D6F"/>
    <w:rsid w:val="006B5119"/>
    <w:rsid w:val="006B5F5C"/>
    <w:rsid w:val="006B6DD0"/>
    <w:rsid w:val="006B7258"/>
    <w:rsid w:val="006B7612"/>
    <w:rsid w:val="006B7AA0"/>
    <w:rsid w:val="006B7DAA"/>
    <w:rsid w:val="006C0399"/>
    <w:rsid w:val="006C114F"/>
    <w:rsid w:val="006C1AB8"/>
    <w:rsid w:val="006C2A8E"/>
    <w:rsid w:val="006C3255"/>
    <w:rsid w:val="006C3880"/>
    <w:rsid w:val="006C3F26"/>
    <w:rsid w:val="006C42F3"/>
    <w:rsid w:val="006C47F2"/>
    <w:rsid w:val="006C4862"/>
    <w:rsid w:val="006C4E83"/>
    <w:rsid w:val="006C5C54"/>
    <w:rsid w:val="006C6752"/>
    <w:rsid w:val="006C6CCC"/>
    <w:rsid w:val="006C7713"/>
    <w:rsid w:val="006D0D17"/>
    <w:rsid w:val="006D124B"/>
    <w:rsid w:val="006D13F0"/>
    <w:rsid w:val="006D1C08"/>
    <w:rsid w:val="006D1F48"/>
    <w:rsid w:val="006D2146"/>
    <w:rsid w:val="006D2180"/>
    <w:rsid w:val="006D3C7D"/>
    <w:rsid w:val="006D445E"/>
    <w:rsid w:val="006D4659"/>
    <w:rsid w:val="006D50F3"/>
    <w:rsid w:val="006D5A57"/>
    <w:rsid w:val="006D5D5F"/>
    <w:rsid w:val="006D672F"/>
    <w:rsid w:val="006D68FB"/>
    <w:rsid w:val="006D6F9C"/>
    <w:rsid w:val="006D7C3B"/>
    <w:rsid w:val="006E00D4"/>
    <w:rsid w:val="006E0737"/>
    <w:rsid w:val="006E1445"/>
    <w:rsid w:val="006E2868"/>
    <w:rsid w:val="006E29BF"/>
    <w:rsid w:val="006E2FE4"/>
    <w:rsid w:val="006E3132"/>
    <w:rsid w:val="006E38D5"/>
    <w:rsid w:val="006E3C6D"/>
    <w:rsid w:val="006E448E"/>
    <w:rsid w:val="006E4B61"/>
    <w:rsid w:val="006E54AF"/>
    <w:rsid w:val="006E662E"/>
    <w:rsid w:val="006E6E66"/>
    <w:rsid w:val="006E70C2"/>
    <w:rsid w:val="006E71D2"/>
    <w:rsid w:val="006F01BB"/>
    <w:rsid w:val="006F02CF"/>
    <w:rsid w:val="006F0923"/>
    <w:rsid w:val="006F121B"/>
    <w:rsid w:val="006F172A"/>
    <w:rsid w:val="006F1D35"/>
    <w:rsid w:val="006F2663"/>
    <w:rsid w:val="006F289F"/>
    <w:rsid w:val="006F2EDA"/>
    <w:rsid w:val="006F306C"/>
    <w:rsid w:val="006F31E3"/>
    <w:rsid w:val="006F3558"/>
    <w:rsid w:val="006F364E"/>
    <w:rsid w:val="006F3D3C"/>
    <w:rsid w:val="006F63A5"/>
    <w:rsid w:val="006F6CFF"/>
    <w:rsid w:val="007009FA"/>
    <w:rsid w:val="00700A1A"/>
    <w:rsid w:val="0070129C"/>
    <w:rsid w:val="0070142B"/>
    <w:rsid w:val="00701DBE"/>
    <w:rsid w:val="00701DF6"/>
    <w:rsid w:val="0070276E"/>
    <w:rsid w:val="00702C22"/>
    <w:rsid w:val="00702C49"/>
    <w:rsid w:val="00702F8F"/>
    <w:rsid w:val="007031AC"/>
    <w:rsid w:val="00703908"/>
    <w:rsid w:val="00703E3A"/>
    <w:rsid w:val="00703E75"/>
    <w:rsid w:val="0070446C"/>
    <w:rsid w:val="0070470F"/>
    <w:rsid w:val="00704D82"/>
    <w:rsid w:val="00705597"/>
    <w:rsid w:val="00705901"/>
    <w:rsid w:val="007061CA"/>
    <w:rsid w:val="00706CAC"/>
    <w:rsid w:val="007079FC"/>
    <w:rsid w:val="00707D45"/>
    <w:rsid w:val="00707F70"/>
    <w:rsid w:val="00710360"/>
    <w:rsid w:val="00710516"/>
    <w:rsid w:val="00710AEF"/>
    <w:rsid w:val="00710F1D"/>
    <w:rsid w:val="00711A36"/>
    <w:rsid w:val="00711FFA"/>
    <w:rsid w:val="0071253E"/>
    <w:rsid w:val="007125D3"/>
    <w:rsid w:val="007135DC"/>
    <w:rsid w:val="00713953"/>
    <w:rsid w:val="00713D0F"/>
    <w:rsid w:val="00714C26"/>
    <w:rsid w:val="00714FEC"/>
    <w:rsid w:val="0071529C"/>
    <w:rsid w:val="0071596B"/>
    <w:rsid w:val="00715F4A"/>
    <w:rsid w:val="007170DA"/>
    <w:rsid w:val="007172AD"/>
    <w:rsid w:val="00717546"/>
    <w:rsid w:val="007176A7"/>
    <w:rsid w:val="00717E39"/>
    <w:rsid w:val="007204A9"/>
    <w:rsid w:val="00720565"/>
    <w:rsid w:val="00720801"/>
    <w:rsid w:val="007209A1"/>
    <w:rsid w:val="007209E0"/>
    <w:rsid w:val="00720C30"/>
    <w:rsid w:val="0072119A"/>
    <w:rsid w:val="00721D28"/>
    <w:rsid w:val="00722B1B"/>
    <w:rsid w:val="00722F52"/>
    <w:rsid w:val="0072387E"/>
    <w:rsid w:val="00723B77"/>
    <w:rsid w:val="0072416F"/>
    <w:rsid w:val="007250F2"/>
    <w:rsid w:val="00725F3E"/>
    <w:rsid w:val="00727315"/>
    <w:rsid w:val="00727472"/>
    <w:rsid w:val="00727C73"/>
    <w:rsid w:val="00727C94"/>
    <w:rsid w:val="00730491"/>
    <w:rsid w:val="00730663"/>
    <w:rsid w:val="007307C9"/>
    <w:rsid w:val="00730EB5"/>
    <w:rsid w:val="0073130E"/>
    <w:rsid w:val="00731580"/>
    <w:rsid w:val="00731B0A"/>
    <w:rsid w:val="00731EAE"/>
    <w:rsid w:val="0073268C"/>
    <w:rsid w:val="00732FA3"/>
    <w:rsid w:val="00733073"/>
    <w:rsid w:val="007336E7"/>
    <w:rsid w:val="00733E8C"/>
    <w:rsid w:val="00735033"/>
    <w:rsid w:val="007351B5"/>
    <w:rsid w:val="00735328"/>
    <w:rsid w:val="0073685B"/>
    <w:rsid w:val="00736BC0"/>
    <w:rsid w:val="007372B6"/>
    <w:rsid w:val="007401CC"/>
    <w:rsid w:val="0074042D"/>
    <w:rsid w:val="007409F0"/>
    <w:rsid w:val="00740CBB"/>
    <w:rsid w:val="00740E72"/>
    <w:rsid w:val="0074109D"/>
    <w:rsid w:val="00741534"/>
    <w:rsid w:val="00742245"/>
    <w:rsid w:val="0074283F"/>
    <w:rsid w:val="00743DAD"/>
    <w:rsid w:val="00744033"/>
    <w:rsid w:val="00744628"/>
    <w:rsid w:val="007449BF"/>
    <w:rsid w:val="00745935"/>
    <w:rsid w:val="007459B0"/>
    <w:rsid w:val="007459E7"/>
    <w:rsid w:val="00745E8B"/>
    <w:rsid w:val="007463FE"/>
    <w:rsid w:val="00746B6A"/>
    <w:rsid w:val="00746BC0"/>
    <w:rsid w:val="00746C52"/>
    <w:rsid w:val="00746CD1"/>
    <w:rsid w:val="00746E99"/>
    <w:rsid w:val="007470D1"/>
    <w:rsid w:val="00750052"/>
    <w:rsid w:val="007502FB"/>
    <w:rsid w:val="0075035A"/>
    <w:rsid w:val="00750858"/>
    <w:rsid w:val="007510B4"/>
    <w:rsid w:val="00752142"/>
    <w:rsid w:val="007523F9"/>
    <w:rsid w:val="0075256C"/>
    <w:rsid w:val="00752B45"/>
    <w:rsid w:val="0075357E"/>
    <w:rsid w:val="0075375C"/>
    <w:rsid w:val="00753B29"/>
    <w:rsid w:val="00753BAC"/>
    <w:rsid w:val="00753D30"/>
    <w:rsid w:val="007553F9"/>
    <w:rsid w:val="007557A4"/>
    <w:rsid w:val="007557C9"/>
    <w:rsid w:val="00755ED3"/>
    <w:rsid w:val="00756098"/>
    <w:rsid w:val="007573E8"/>
    <w:rsid w:val="00757CBD"/>
    <w:rsid w:val="00760824"/>
    <w:rsid w:val="00760BED"/>
    <w:rsid w:val="00760C4E"/>
    <w:rsid w:val="00760F9E"/>
    <w:rsid w:val="007616E6"/>
    <w:rsid w:val="0076178D"/>
    <w:rsid w:val="007627BE"/>
    <w:rsid w:val="0076320C"/>
    <w:rsid w:val="00763582"/>
    <w:rsid w:val="0076406F"/>
    <w:rsid w:val="00764D5F"/>
    <w:rsid w:val="00764F03"/>
    <w:rsid w:val="00765307"/>
    <w:rsid w:val="00765622"/>
    <w:rsid w:val="00765B1A"/>
    <w:rsid w:val="00765BD1"/>
    <w:rsid w:val="00765DC1"/>
    <w:rsid w:val="00765E03"/>
    <w:rsid w:val="007662FB"/>
    <w:rsid w:val="00766424"/>
    <w:rsid w:val="0076679C"/>
    <w:rsid w:val="00766D69"/>
    <w:rsid w:val="00767726"/>
    <w:rsid w:val="007706AE"/>
    <w:rsid w:val="00770727"/>
    <w:rsid w:val="00770C9F"/>
    <w:rsid w:val="00770E2B"/>
    <w:rsid w:val="0077183E"/>
    <w:rsid w:val="00772372"/>
    <w:rsid w:val="0077289B"/>
    <w:rsid w:val="007746B7"/>
    <w:rsid w:val="007748BE"/>
    <w:rsid w:val="007749AF"/>
    <w:rsid w:val="00774FA3"/>
    <w:rsid w:val="00775388"/>
    <w:rsid w:val="00775A91"/>
    <w:rsid w:val="00776A29"/>
    <w:rsid w:val="00776AAB"/>
    <w:rsid w:val="00776F82"/>
    <w:rsid w:val="00777335"/>
    <w:rsid w:val="00777FD7"/>
    <w:rsid w:val="00780AEE"/>
    <w:rsid w:val="00780D5F"/>
    <w:rsid w:val="00781189"/>
    <w:rsid w:val="0078146D"/>
    <w:rsid w:val="0078192F"/>
    <w:rsid w:val="0078214A"/>
    <w:rsid w:val="007821EB"/>
    <w:rsid w:val="00782A39"/>
    <w:rsid w:val="007830F9"/>
    <w:rsid w:val="00783A87"/>
    <w:rsid w:val="007843F2"/>
    <w:rsid w:val="007846FA"/>
    <w:rsid w:val="00784974"/>
    <w:rsid w:val="00785A9F"/>
    <w:rsid w:val="007867D4"/>
    <w:rsid w:val="0078696F"/>
    <w:rsid w:val="00786F28"/>
    <w:rsid w:val="0078772F"/>
    <w:rsid w:val="0079072E"/>
    <w:rsid w:val="007908AF"/>
    <w:rsid w:val="00791471"/>
    <w:rsid w:val="0079172B"/>
    <w:rsid w:val="00791D80"/>
    <w:rsid w:val="00792257"/>
    <w:rsid w:val="0079237F"/>
    <w:rsid w:val="007925C0"/>
    <w:rsid w:val="007925DF"/>
    <w:rsid w:val="00792C87"/>
    <w:rsid w:val="007933A9"/>
    <w:rsid w:val="00793561"/>
    <w:rsid w:val="00793949"/>
    <w:rsid w:val="00793A8E"/>
    <w:rsid w:val="00793F08"/>
    <w:rsid w:val="0079426D"/>
    <w:rsid w:val="00794D41"/>
    <w:rsid w:val="00794E14"/>
    <w:rsid w:val="00795103"/>
    <w:rsid w:val="00796D06"/>
    <w:rsid w:val="00797951"/>
    <w:rsid w:val="007A0854"/>
    <w:rsid w:val="007A08AA"/>
    <w:rsid w:val="007A0A12"/>
    <w:rsid w:val="007A0AB8"/>
    <w:rsid w:val="007A132D"/>
    <w:rsid w:val="007A1345"/>
    <w:rsid w:val="007A1953"/>
    <w:rsid w:val="007A2DDB"/>
    <w:rsid w:val="007A4D8A"/>
    <w:rsid w:val="007A526A"/>
    <w:rsid w:val="007A5BF2"/>
    <w:rsid w:val="007A5E3C"/>
    <w:rsid w:val="007A639F"/>
    <w:rsid w:val="007A70BA"/>
    <w:rsid w:val="007A778A"/>
    <w:rsid w:val="007A7793"/>
    <w:rsid w:val="007B01A2"/>
    <w:rsid w:val="007B0D68"/>
    <w:rsid w:val="007B1C3D"/>
    <w:rsid w:val="007B251D"/>
    <w:rsid w:val="007B2CBC"/>
    <w:rsid w:val="007B3533"/>
    <w:rsid w:val="007B3C0D"/>
    <w:rsid w:val="007B3D5B"/>
    <w:rsid w:val="007B46F2"/>
    <w:rsid w:val="007B471D"/>
    <w:rsid w:val="007B4CF6"/>
    <w:rsid w:val="007B4F49"/>
    <w:rsid w:val="007B4F58"/>
    <w:rsid w:val="007B528D"/>
    <w:rsid w:val="007B5DD1"/>
    <w:rsid w:val="007B63CA"/>
    <w:rsid w:val="007B6445"/>
    <w:rsid w:val="007B64C1"/>
    <w:rsid w:val="007B65B3"/>
    <w:rsid w:val="007B6823"/>
    <w:rsid w:val="007B6B5E"/>
    <w:rsid w:val="007B77D1"/>
    <w:rsid w:val="007B7BC9"/>
    <w:rsid w:val="007C07C7"/>
    <w:rsid w:val="007C0850"/>
    <w:rsid w:val="007C09A0"/>
    <w:rsid w:val="007C0A37"/>
    <w:rsid w:val="007C1725"/>
    <w:rsid w:val="007C1892"/>
    <w:rsid w:val="007C1CD9"/>
    <w:rsid w:val="007C22F1"/>
    <w:rsid w:val="007C329D"/>
    <w:rsid w:val="007C32EF"/>
    <w:rsid w:val="007C361D"/>
    <w:rsid w:val="007C3DB2"/>
    <w:rsid w:val="007C3E94"/>
    <w:rsid w:val="007C42FD"/>
    <w:rsid w:val="007C4B84"/>
    <w:rsid w:val="007C5152"/>
    <w:rsid w:val="007C53D5"/>
    <w:rsid w:val="007C566A"/>
    <w:rsid w:val="007C59AB"/>
    <w:rsid w:val="007C698F"/>
    <w:rsid w:val="007C70FF"/>
    <w:rsid w:val="007C7567"/>
    <w:rsid w:val="007C78A4"/>
    <w:rsid w:val="007C7A43"/>
    <w:rsid w:val="007C7C25"/>
    <w:rsid w:val="007C7CA7"/>
    <w:rsid w:val="007D004F"/>
    <w:rsid w:val="007D035F"/>
    <w:rsid w:val="007D06B2"/>
    <w:rsid w:val="007D080D"/>
    <w:rsid w:val="007D0B38"/>
    <w:rsid w:val="007D36F2"/>
    <w:rsid w:val="007D3A62"/>
    <w:rsid w:val="007D43A6"/>
    <w:rsid w:val="007D44E7"/>
    <w:rsid w:val="007D4D22"/>
    <w:rsid w:val="007D5440"/>
    <w:rsid w:val="007D546B"/>
    <w:rsid w:val="007D5994"/>
    <w:rsid w:val="007D649B"/>
    <w:rsid w:val="007D6600"/>
    <w:rsid w:val="007D69EB"/>
    <w:rsid w:val="007D7E9F"/>
    <w:rsid w:val="007D7F8B"/>
    <w:rsid w:val="007E0952"/>
    <w:rsid w:val="007E0E96"/>
    <w:rsid w:val="007E128F"/>
    <w:rsid w:val="007E1507"/>
    <w:rsid w:val="007E1689"/>
    <w:rsid w:val="007E1BE6"/>
    <w:rsid w:val="007E2D1E"/>
    <w:rsid w:val="007E45F7"/>
    <w:rsid w:val="007E4934"/>
    <w:rsid w:val="007E4E19"/>
    <w:rsid w:val="007E51D5"/>
    <w:rsid w:val="007E7872"/>
    <w:rsid w:val="007E7910"/>
    <w:rsid w:val="007E7D5A"/>
    <w:rsid w:val="007F0A7C"/>
    <w:rsid w:val="007F1017"/>
    <w:rsid w:val="007F16D0"/>
    <w:rsid w:val="007F17B8"/>
    <w:rsid w:val="007F1DC9"/>
    <w:rsid w:val="007F233D"/>
    <w:rsid w:val="007F31AC"/>
    <w:rsid w:val="007F369F"/>
    <w:rsid w:val="007F3887"/>
    <w:rsid w:val="007F3978"/>
    <w:rsid w:val="007F3B10"/>
    <w:rsid w:val="007F4A3F"/>
    <w:rsid w:val="007F4A61"/>
    <w:rsid w:val="007F4A6F"/>
    <w:rsid w:val="007F4AA0"/>
    <w:rsid w:val="007F4E44"/>
    <w:rsid w:val="007F5255"/>
    <w:rsid w:val="007F5265"/>
    <w:rsid w:val="007F56CC"/>
    <w:rsid w:val="007F5C23"/>
    <w:rsid w:val="007F61C2"/>
    <w:rsid w:val="007F6FA9"/>
    <w:rsid w:val="007F77D6"/>
    <w:rsid w:val="008002A8"/>
    <w:rsid w:val="00801439"/>
    <w:rsid w:val="0080151F"/>
    <w:rsid w:val="008033BE"/>
    <w:rsid w:val="00803454"/>
    <w:rsid w:val="00804D63"/>
    <w:rsid w:val="00804D95"/>
    <w:rsid w:val="00805142"/>
    <w:rsid w:val="008051E3"/>
    <w:rsid w:val="0080566B"/>
    <w:rsid w:val="008057A0"/>
    <w:rsid w:val="00805F91"/>
    <w:rsid w:val="00805FCE"/>
    <w:rsid w:val="00806487"/>
    <w:rsid w:val="00806793"/>
    <w:rsid w:val="00806EEA"/>
    <w:rsid w:val="00807A8B"/>
    <w:rsid w:val="00811383"/>
    <w:rsid w:val="00811871"/>
    <w:rsid w:val="00812149"/>
    <w:rsid w:val="00812260"/>
    <w:rsid w:val="00812885"/>
    <w:rsid w:val="0081293B"/>
    <w:rsid w:val="00812BF6"/>
    <w:rsid w:val="00812CAC"/>
    <w:rsid w:val="00813068"/>
    <w:rsid w:val="008131B1"/>
    <w:rsid w:val="008151CC"/>
    <w:rsid w:val="00816361"/>
    <w:rsid w:val="008166EF"/>
    <w:rsid w:val="00816861"/>
    <w:rsid w:val="00816FEF"/>
    <w:rsid w:val="008174E3"/>
    <w:rsid w:val="008202BF"/>
    <w:rsid w:val="00820A8C"/>
    <w:rsid w:val="00820E84"/>
    <w:rsid w:val="00820EEB"/>
    <w:rsid w:val="008211A8"/>
    <w:rsid w:val="008215FB"/>
    <w:rsid w:val="00821A76"/>
    <w:rsid w:val="008220CC"/>
    <w:rsid w:val="0082270C"/>
    <w:rsid w:val="008230D7"/>
    <w:rsid w:val="00823174"/>
    <w:rsid w:val="00824697"/>
    <w:rsid w:val="00824CD0"/>
    <w:rsid w:val="008254CF"/>
    <w:rsid w:val="008256B1"/>
    <w:rsid w:val="00825751"/>
    <w:rsid w:val="008262E7"/>
    <w:rsid w:val="00826393"/>
    <w:rsid w:val="00826396"/>
    <w:rsid w:val="008264EB"/>
    <w:rsid w:val="008268CE"/>
    <w:rsid w:val="0082731D"/>
    <w:rsid w:val="00827759"/>
    <w:rsid w:val="00827C23"/>
    <w:rsid w:val="008309D2"/>
    <w:rsid w:val="008309DE"/>
    <w:rsid w:val="00830CEB"/>
    <w:rsid w:val="00831A1B"/>
    <w:rsid w:val="00832EC0"/>
    <w:rsid w:val="00832F98"/>
    <w:rsid w:val="008335AE"/>
    <w:rsid w:val="00833B05"/>
    <w:rsid w:val="00833DFC"/>
    <w:rsid w:val="008342F4"/>
    <w:rsid w:val="00834D6B"/>
    <w:rsid w:val="00835232"/>
    <w:rsid w:val="00835394"/>
    <w:rsid w:val="008359EA"/>
    <w:rsid w:val="00835D8D"/>
    <w:rsid w:val="00835FA6"/>
    <w:rsid w:val="00836093"/>
    <w:rsid w:val="008362B4"/>
    <w:rsid w:val="00836832"/>
    <w:rsid w:val="008372D2"/>
    <w:rsid w:val="0083741D"/>
    <w:rsid w:val="00837478"/>
    <w:rsid w:val="00837B78"/>
    <w:rsid w:val="00837EA8"/>
    <w:rsid w:val="00840CA2"/>
    <w:rsid w:val="0084374F"/>
    <w:rsid w:val="0084468C"/>
    <w:rsid w:val="00844854"/>
    <w:rsid w:val="00844A22"/>
    <w:rsid w:val="00844C49"/>
    <w:rsid w:val="0084560A"/>
    <w:rsid w:val="00846779"/>
    <w:rsid w:val="008468FA"/>
    <w:rsid w:val="00846BF0"/>
    <w:rsid w:val="00846C6B"/>
    <w:rsid w:val="00847703"/>
    <w:rsid w:val="00847C0B"/>
    <w:rsid w:val="00847DF5"/>
    <w:rsid w:val="008508E6"/>
    <w:rsid w:val="00850EF0"/>
    <w:rsid w:val="00850F3D"/>
    <w:rsid w:val="008517BB"/>
    <w:rsid w:val="00851C2C"/>
    <w:rsid w:val="0085309D"/>
    <w:rsid w:val="00853120"/>
    <w:rsid w:val="00853407"/>
    <w:rsid w:val="008535BC"/>
    <w:rsid w:val="0085406B"/>
    <w:rsid w:val="00854328"/>
    <w:rsid w:val="00854617"/>
    <w:rsid w:val="008546E8"/>
    <w:rsid w:val="00854849"/>
    <w:rsid w:val="00854ED4"/>
    <w:rsid w:val="008551B0"/>
    <w:rsid w:val="00855321"/>
    <w:rsid w:val="008553CE"/>
    <w:rsid w:val="00855F6F"/>
    <w:rsid w:val="0085604D"/>
    <w:rsid w:val="00856050"/>
    <w:rsid w:val="00856736"/>
    <w:rsid w:val="00856897"/>
    <w:rsid w:val="008569F8"/>
    <w:rsid w:val="00856E9A"/>
    <w:rsid w:val="008576CF"/>
    <w:rsid w:val="0085799D"/>
    <w:rsid w:val="00857D2E"/>
    <w:rsid w:val="0086075D"/>
    <w:rsid w:val="00860919"/>
    <w:rsid w:val="00860E8E"/>
    <w:rsid w:val="0086161A"/>
    <w:rsid w:val="0086187D"/>
    <w:rsid w:val="00861A34"/>
    <w:rsid w:val="00861BA1"/>
    <w:rsid w:val="00861C20"/>
    <w:rsid w:val="00861DC6"/>
    <w:rsid w:val="00862041"/>
    <w:rsid w:val="00862502"/>
    <w:rsid w:val="00862552"/>
    <w:rsid w:val="00862CC1"/>
    <w:rsid w:val="0086338F"/>
    <w:rsid w:val="008642A7"/>
    <w:rsid w:val="00864918"/>
    <w:rsid w:val="00864BB2"/>
    <w:rsid w:val="00864CA5"/>
    <w:rsid w:val="008658BE"/>
    <w:rsid w:val="008660D4"/>
    <w:rsid w:val="008661A7"/>
    <w:rsid w:val="00866479"/>
    <w:rsid w:val="00866E80"/>
    <w:rsid w:val="00870705"/>
    <w:rsid w:val="00870BCD"/>
    <w:rsid w:val="00870C37"/>
    <w:rsid w:val="00870E53"/>
    <w:rsid w:val="00871183"/>
    <w:rsid w:val="00871201"/>
    <w:rsid w:val="00871574"/>
    <w:rsid w:val="00871B63"/>
    <w:rsid w:val="00871FA9"/>
    <w:rsid w:val="00872020"/>
    <w:rsid w:val="00872726"/>
    <w:rsid w:val="008728E9"/>
    <w:rsid w:val="00872DFB"/>
    <w:rsid w:val="00873261"/>
    <w:rsid w:val="00874F5D"/>
    <w:rsid w:val="0087522A"/>
    <w:rsid w:val="00875714"/>
    <w:rsid w:val="00875E54"/>
    <w:rsid w:val="00875FEE"/>
    <w:rsid w:val="00876384"/>
    <w:rsid w:val="00877FAE"/>
    <w:rsid w:val="00880C34"/>
    <w:rsid w:val="008817D0"/>
    <w:rsid w:val="00881FFC"/>
    <w:rsid w:val="00882530"/>
    <w:rsid w:val="008825D9"/>
    <w:rsid w:val="00882874"/>
    <w:rsid w:val="00882A18"/>
    <w:rsid w:val="00882E3C"/>
    <w:rsid w:val="0088308A"/>
    <w:rsid w:val="00883787"/>
    <w:rsid w:val="008855E4"/>
    <w:rsid w:val="00886089"/>
    <w:rsid w:val="0088639A"/>
    <w:rsid w:val="008864F6"/>
    <w:rsid w:val="00886CD2"/>
    <w:rsid w:val="00887F86"/>
    <w:rsid w:val="00890291"/>
    <w:rsid w:val="008909E3"/>
    <w:rsid w:val="00891158"/>
    <w:rsid w:val="00891D30"/>
    <w:rsid w:val="00891E6F"/>
    <w:rsid w:val="00892365"/>
    <w:rsid w:val="0089275D"/>
    <w:rsid w:val="008928ED"/>
    <w:rsid w:val="00892A36"/>
    <w:rsid w:val="00893239"/>
    <w:rsid w:val="008939EA"/>
    <w:rsid w:val="00893A88"/>
    <w:rsid w:val="0089420E"/>
    <w:rsid w:val="00894489"/>
    <w:rsid w:val="00894CD6"/>
    <w:rsid w:val="00894F15"/>
    <w:rsid w:val="00894F33"/>
    <w:rsid w:val="00895B7B"/>
    <w:rsid w:val="00896028"/>
    <w:rsid w:val="008963A5"/>
    <w:rsid w:val="00896D5D"/>
    <w:rsid w:val="0089729D"/>
    <w:rsid w:val="008973E5"/>
    <w:rsid w:val="00897EA9"/>
    <w:rsid w:val="008A0952"/>
    <w:rsid w:val="008A0B25"/>
    <w:rsid w:val="008A11A7"/>
    <w:rsid w:val="008A2672"/>
    <w:rsid w:val="008A2D09"/>
    <w:rsid w:val="008A2D3A"/>
    <w:rsid w:val="008A2FB4"/>
    <w:rsid w:val="008A3158"/>
    <w:rsid w:val="008A3363"/>
    <w:rsid w:val="008A3371"/>
    <w:rsid w:val="008A3A09"/>
    <w:rsid w:val="008A3C3E"/>
    <w:rsid w:val="008A3EED"/>
    <w:rsid w:val="008A3F4F"/>
    <w:rsid w:val="008A447E"/>
    <w:rsid w:val="008A5F6D"/>
    <w:rsid w:val="008A71EB"/>
    <w:rsid w:val="008A722C"/>
    <w:rsid w:val="008A77E0"/>
    <w:rsid w:val="008A79DE"/>
    <w:rsid w:val="008A79E8"/>
    <w:rsid w:val="008B0584"/>
    <w:rsid w:val="008B10C4"/>
    <w:rsid w:val="008B1338"/>
    <w:rsid w:val="008B1757"/>
    <w:rsid w:val="008B1C33"/>
    <w:rsid w:val="008B2DD4"/>
    <w:rsid w:val="008B40A0"/>
    <w:rsid w:val="008B40F3"/>
    <w:rsid w:val="008B445A"/>
    <w:rsid w:val="008B4B6F"/>
    <w:rsid w:val="008B5E09"/>
    <w:rsid w:val="008B63AC"/>
    <w:rsid w:val="008B674B"/>
    <w:rsid w:val="008B6D7B"/>
    <w:rsid w:val="008B7079"/>
    <w:rsid w:val="008B771A"/>
    <w:rsid w:val="008B7992"/>
    <w:rsid w:val="008B7B93"/>
    <w:rsid w:val="008B7D7E"/>
    <w:rsid w:val="008C077F"/>
    <w:rsid w:val="008C0946"/>
    <w:rsid w:val="008C1185"/>
    <w:rsid w:val="008C2154"/>
    <w:rsid w:val="008C2EE7"/>
    <w:rsid w:val="008C3571"/>
    <w:rsid w:val="008C3C5C"/>
    <w:rsid w:val="008C5610"/>
    <w:rsid w:val="008C5739"/>
    <w:rsid w:val="008C5889"/>
    <w:rsid w:val="008C5CB6"/>
    <w:rsid w:val="008C5FDE"/>
    <w:rsid w:val="008C61A6"/>
    <w:rsid w:val="008C6FC7"/>
    <w:rsid w:val="008C7282"/>
    <w:rsid w:val="008C7321"/>
    <w:rsid w:val="008C7ECB"/>
    <w:rsid w:val="008D0906"/>
    <w:rsid w:val="008D13E9"/>
    <w:rsid w:val="008D13F4"/>
    <w:rsid w:val="008D1449"/>
    <w:rsid w:val="008D19A8"/>
    <w:rsid w:val="008D27AA"/>
    <w:rsid w:val="008D3B86"/>
    <w:rsid w:val="008D43FD"/>
    <w:rsid w:val="008D4755"/>
    <w:rsid w:val="008D4A73"/>
    <w:rsid w:val="008D4C3D"/>
    <w:rsid w:val="008D58D4"/>
    <w:rsid w:val="008D5BE6"/>
    <w:rsid w:val="008D675C"/>
    <w:rsid w:val="008D6E2F"/>
    <w:rsid w:val="008D6E5C"/>
    <w:rsid w:val="008D743C"/>
    <w:rsid w:val="008D7F55"/>
    <w:rsid w:val="008E0D3C"/>
    <w:rsid w:val="008E0E7F"/>
    <w:rsid w:val="008E0FB4"/>
    <w:rsid w:val="008E140C"/>
    <w:rsid w:val="008E1B9E"/>
    <w:rsid w:val="008E2202"/>
    <w:rsid w:val="008E2319"/>
    <w:rsid w:val="008E2850"/>
    <w:rsid w:val="008E3BAD"/>
    <w:rsid w:val="008E3C73"/>
    <w:rsid w:val="008E4119"/>
    <w:rsid w:val="008E424A"/>
    <w:rsid w:val="008E5550"/>
    <w:rsid w:val="008E55AB"/>
    <w:rsid w:val="008E56B7"/>
    <w:rsid w:val="008E5CA9"/>
    <w:rsid w:val="008E5F74"/>
    <w:rsid w:val="008E6242"/>
    <w:rsid w:val="008E63BF"/>
    <w:rsid w:val="008E64ED"/>
    <w:rsid w:val="008E6B40"/>
    <w:rsid w:val="008E758F"/>
    <w:rsid w:val="008E7BCB"/>
    <w:rsid w:val="008F0B45"/>
    <w:rsid w:val="008F120A"/>
    <w:rsid w:val="008F1830"/>
    <w:rsid w:val="008F1ED8"/>
    <w:rsid w:val="008F27E0"/>
    <w:rsid w:val="008F3269"/>
    <w:rsid w:val="008F3731"/>
    <w:rsid w:val="008F4458"/>
    <w:rsid w:val="008F4677"/>
    <w:rsid w:val="008F48EB"/>
    <w:rsid w:val="008F4F0B"/>
    <w:rsid w:val="008F57A3"/>
    <w:rsid w:val="008F68D9"/>
    <w:rsid w:val="008F6A5E"/>
    <w:rsid w:val="008F6AFE"/>
    <w:rsid w:val="008F6CAD"/>
    <w:rsid w:val="00900167"/>
    <w:rsid w:val="00900204"/>
    <w:rsid w:val="0090050F"/>
    <w:rsid w:val="00900567"/>
    <w:rsid w:val="0090111B"/>
    <w:rsid w:val="009012BF"/>
    <w:rsid w:val="00902451"/>
    <w:rsid w:val="00902C23"/>
    <w:rsid w:val="00903057"/>
    <w:rsid w:val="009035D4"/>
    <w:rsid w:val="00903C4B"/>
    <w:rsid w:val="009046C4"/>
    <w:rsid w:val="00905D7E"/>
    <w:rsid w:val="009062A5"/>
    <w:rsid w:val="00906300"/>
    <w:rsid w:val="009065B7"/>
    <w:rsid w:val="00906A66"/>
    <w:rsid w:val="00906DC4"/>
    <w:rsid w:val="0090708D"/>
    <w:rsid w:val="00907319"/>
    <w:rsid w:val="00907699"/>
    <w:rsid w:val="00907E17"/>
    <w:rsid w:val="00910FA7"/>
    <w:rsid w:val="00911272"/>
    <w:rsid w:val="00911339"/>
    <w:rsid w:val="00911D95"/>
    <w:rsid w:val="009122CA"/>
    <w:rsid w:val="00912BF1"/>
    <w:rsid w:val="009133FC"/>
    <w:rsid w:val="009135D6"/>
    <w:rsid w:val="0091458C"/>
    <w:rsid w:val="00914C77"/>
    <w:rsid w:val="00914F15"/>
    <w:rsid w:val="0091537A"/>
    <w:rsid w:val="00916CBE"/>
    <w:rsid w:val="00917A70"/>
    <w:rsid w:val="00920950"/>
    <w:rsid w:val="00920AF2"/>
    <w:rsid w:val="00921153"/>
    <w:rsid w:val="0092169E"/>
    <w:rsid w:val="00921ACB"/>
    <w:rsid w:val="00921BB2"/>
    <w:rsid w:val="00922FBE"/>
    <w:rsid w:val="0092309D"/>
    <w:rsid w:val="009231DF"/>
    <w:rsid w:val="00923435"/>
    <w:rsid w:val="0092369B"/>
    <w:rsid w:val="009238F9"/>
    <w:rsid w:val="00924137"/>
    <w:rsid w:val="009266AF"/>
    <w:rsid w:val="00926ACF"/>
    <w:rsid w:val="0092722E"/>
    <w:rsid w:val="009279F5"/>
    <w:rsid w:val="009305DA"/>
    <w:rsid w:val="00930C95"/>
    <w:rsid w:val="00931F74"/>
    <w:rsid w:val="009327DA"/>
    <w:rsid w:val="009333D7"/>
    <w:rsid w:val="0093477D"/>
    <w:rsid w:val="00934988"/>
    <w:rsid w:val="00935001"/>
    <w:rsid w:val="00935B9D"/>
    <w:rsid w:val="00936969"/>
    <w:rsid w:val="00937089"/>
    <w:rsid w:val="00937B02"/>
    <w:rsid w:val="0094033B"/>
    <w:rsid w:val="00940545"/>
    <w:rsid w:val="00941058"/>
    <w:rsid w:val="0094173B"/>
    <w:rsid w:val="00941C8E"/>
    <w:rsid w:val="00942559"/>
    <w:rsid w:val="00942A5E"/>
    <w:rsid w:val="00943A4A"/>
    <w:rsid w:val="00943DCC"/>
    <w:rsid w:val="00943E26"/>
    <w:rsid w:val="009445B4"/>
    <w:rsid w:val="00944F8A"/>
    <w:rsid w:val="00945661"/>
    <w:rsid w:val="0094597A"/>
    <w:rsid w:val="009459AA"/>
    <w:rsid w:val="009467CD"/>
    <w:rsid w:val="00946AAB"/>
    <w:rsid w:val="00946DBF"/>
    <w:rsid w:val="00950D98"/>
    <w:rsid w:val="009510A2"/>
    <w:rsid w:val="00951183"/>
    <w:rsid w:val="00951570"/>
    <w:rsid w:val="00951B17"/>
    <w:rsid w:val="00952058"/>
    <w:rsid w:val="00953257"/>
    <w:rsid w:val="0095342D"/>
    <w:rsid w:val="009534D5"/>
    <w:rsid w:val="0095474C"/>
    <w:rsid w:val="0095498D"/>
    <w:rsid w:val="00954A90"/>
    <w:rsid w:val="00954C03"/>
    <w:rsid w:val="00954C55"/>
    <w:rsid w:val="00955295"/>
    <w:rsid w:val="00955BF8"/>
    <w:rsid w:val="00955EA7"/>
    <w:rsid w:val="00956D52"/>
    <w:rsid w:val="00957CE3"/>
    <w:rsid w:val="00957D92"/>
    <w:rsid w:val="00957ECA"/>
    <w:rsid w:val="00957F6E"/>
    <w:rsid w:val="00960927"/>
    <w:rsid w:val="0096150A"/>
    <w:rsid w:val="00961626"/>
    <w:rsid w:val="00962CB9"/>
    <w:rsid w:val="00964312"/>
    <w:rsid w:val="00965613"/>
    <w:rsid w:val="00965812"/>
    <w:rsid w:val="00965B8A"/>
    <w:rsid w:val="00965D3E"/>
    <w:rsid w:val="00965DC4"/>
    <w:rsid w:val="00965EBB"/>
    <w:rsid w:val="009677DB"/>
    <w:rsid w:val="00967B53"/>
    <w:rsid w:val="00970113"/>
    <w:rsid w:val="0097071F"/>
    <w:rsid w:val="009708CC"/>
    <w:rsid w:val="00970AAA"/>
    <w:rsid w:val="00971125"/>
    <w:rsid w:val="00971517"/>
    <w:rsid w:val="009717AC"/>
    <w:rsid w:val="009723C7"/>
    <w:rsid w:val="009728EC"/>
    <w:rsid w:val="00973085"/>
    <w:rsid w:val="00973B12"/>
    <w:rsid w:val="009748FA"/>
    <w:rsid w:val="0097495D"/>
    <w:rsid w:val="00975143"/>
    <w:rsid w:val="009751C1"/>
    <w:rsid w:val="00975645"/>
    <w:rsid w:val="00975B6F"/>
    <w:rsid w:val="0097758D"/>
    <w:rsid w:val="00977D1D"/>
    <w:rsid w:val="009803AE"/>
    <w:rsid w:val="00980686"/>
    <w:rsid w:val="00980971"/>
    <w:rsid w:val="009809FC"/>
    <w:rsid w:val="009811F1"/>
    <w:rsid w:val="0098262F"/>
    <w:rsid w:val="00982DFD"/>
    <w:rsid w:val="00983234"/>
    <w:rsid w:val="009832C7"/>
    <w:rsid w:val="009833AA"/>
    <w:rsid w:val="00983595"/>
    <w:rsid w:val="009836FB"/>
    <w:rsid w:val="00983E57"/>
    <w:rsid w:val="00984EEB"/>
    <w:rsid w:val="00985416"/>
    <w:rsid w:val="00985DE2"/>
    <w:rsid w:val="009862B6"/>
    <w:rsid w:val="0098675D"/>
    <w:rsid w:val="00987BA4"/>
    <w:rsid w:val="00987EE8"/>
    <w:rsid w:val="00991328"/>
    <w:rsid w:val="009926E0"/>
    <w:rsid w:val="00993B16"/>
    <w:rsid w:val="00993CA4"/>
    <w:rsid w:val="00993DD9"/>
    <w:rsid w:val="0099420E"/>
    <w:rsid w:val="00994415"/>
    <w:rsid w:val="0099451E"/>
    <w:rsid w:val="009949DE"/>
    <w:rsid w:val="00995543"/>
    <w:rsid w:val="00995A46"/>
    <w:rsid w:val="00996B1A"/>
    <w:rsid w:val="00996CCE"/>
    <w:rsid w:val="00997052"/>
    <w:rsid w:val="00997678"/>
    <w:rsid w:val="00997B55"/>
    <w:rsid w:val="009A0062"/>
    <w:rsid w:val="009A18F6"/>
    <w:rsid w:val="009A1986"/>
    <w:rsid w:val="009A2DCC"/>
    <w:rsid w:val="009A3530"/>
    <w:rsid w:val="009A45A8"/>
    <w:rsid w:val="009A5ABC"/>
    <w:rsid w:val="009A5C24"/>
    <w:rsid w:val="009A5E50"/>
    <w:rsid w:val="009A5E6C"/>
    <w:rsid w:val="009A6ABE"/>
    <w:rsid w:val="009A6C20"/>
    <w:rsid w:val="009A7513"/>
    <w:rsid w:val="009A7F10"/>
    <w:rsid w:val="009B089D"/>
    <w:rsid w:val="009B0F95"/>
    <w:rsid w:val="009B10D2"/>
    <w:rsid w:val="009B1A10"/>
    <w:rsid w:val="009B35C4"/>
    <w:rsid w:val="009B3E26"/>
    <w:rsid w:val="009B6105"/>
    <w:rsid w:val="009B6788"/>
    <w:rsid w:val="009B67AC"/>
    <w:rsid w:val="009B69F8"/>
    <w:rsid w:val="009B7387"/>
    <w:rsid w:val="009B7560"/>
    <w:rsid w:val="009B775D"/>
    <w:rsid w:val="009C0546"/>
    <w:rsid w:val="009C08E1"/>
    <w:rsid w:val="009C1271"/>
    <w:rsid w:val="009C1562"/>
    <w:rsid w:val="009C1A6E"/>
    <w:rsid w:val="009C1D54"/>
    <w:rsid w:val="009C1F3E"/>
    <w:rsid w:val="009C2454"/>
    <w:rsid w:val="009C2493"/>
    <w:rsid w:val="009C3706"/>
    <w:rsid w:val="009C3709"/>
    <w:rsid w:val="009C381A"/>
    <w:rsid w:val="009C3A3A"/>
    <w:rsid w:val="009C426B"/>
    <w:rsid w:val="009C44BB"/>
    <w:rsid w:val="009C4B58"/>
    <w:rsid w:val="009C4BBD"/>
    <w:rsid w:val="009C6822"/>
    <w:rsid w:val="009C6B98"/>
    <w:rsid w:val="009C6CEA"/>
    <w:rsid w:val="009C6F1A"/>
    <w:rsid w:val="009C7846"/>
    <w:rsid w:val="009C7B85"/>
    <w:rsid w:val="009D0254"/>
    <w:rsid w:val="009D048B"/>
    <w:rsid w:val="009D0D19"/>
    <w:rsid w:val="009D1A64"/>
    <w:rsid w:val="009D25AB"/>
    <w:rsid w:val="009D2681"/>
    <w:rsid w:val="009D2805"/>
    <w:rsid w:val="009D2B6C"/>
    <w:rsid w:val="009D3442"/>
    <w:rsid w:val="009D3F36"/>
    <w:rsid w:val="009D4068"/>
    <w:rsid w:val="009D41A9"/>
    <w:rsid w:val="009D4A95"/>
    <w:rsid w:val="009D4EA2"/>
    <w:rsid w:val="009D4FB6"/>
    <w:rsid w:val="009D503E"/>
    <w:rsid w:val="009D5B08"/>
    <w:rsid w:val="009D5B91"/>
    <w:rsid w:val="009D67A6"/>
    <w:rsid w:val="009D7050"/>
    <w:rsid w:val="009D76BE"/>
    <w:rsid w:val="009D792E"/>
    <w:rsid w:val="009D7A5D"/>
    <w:rsid w:val="009D7EAE"/>
    <w:rsid w:val="009E0DFE"/>
    <w:rsid w:val="009E141E"/>
    <w:rsid w:val="009E2022"/>
    <w:rsid w:val="009E249A"/>
    <w:rsid w:val="009E2833"/>
    <w:rsid w:val="009E2C74"/>
    <w:rsid w:val="009E2DDE"/>
    <w:rsid w:val="009E31F4"/>
    <w:rsid w:val="009E31F6"/>
    <w:rsid w:val="009E4361"/>
    <w:rsid w:val="009E461D"/>
    <w:rsid w:val="009E46F5"/>
    <w:rsid w:val="009E4AB1"/>
    <w:rsid w:val="009E4C07"/>
    <w:rsid w:val="009E6B79"/>
    <w:rsid w:val="009E6E0A"/>
    <w:rsid w:val="009E7540"/>
    <w:rsid w:val="009E7575"/>
    <w:rsid w:val="009E762A"/>
    <w:rsid w:val="009E777F"/>
    <w:rsid w:val="009E79A0"/>
    <w:rsid w:val="009F083E"/>
    <w:rsid w:val="009F1484"/>
    <w:rsid w:val="009F17D2"/>
    <w:rsid w:val="009F1870"/>
    <w:rsid w:val="009F1E24"/>
    <w:rsid w:val="009F1EDD"/>
    <w:rsid w:val="009F27F1"/>
    <w:rsid w:val="009F2B1D"/>
    <w:rsid w:val="009F3947"/>
    <w:rsid w:val="009F39CC"/>
    <w:rsid w:val="009F3DFD"/>
    <w:rsid w:val="009F4832"/>
    <w:rsid w:val="009F4EA4"/>
    <w:rsid w:val="009F6120"/>
    <w:rsid w:val="009F61AF"/>
    <w:rsid w:val="009F65E4"/>
    <w:rsid w:val="009F7616"/>
    <w:rsid w:val="009F76E5"/>
    <w:rsid w:val="009F7EC4"/>
    <w:rsid w:val="00A0087E"/>
    <w:rsid w:val="00A00D76"/>
    <w:rsid w:val="00A010F6"/>
    <w:rsid w:val="00A01184"/>
    <w:rsid w:val="00A01449"/>
    <w:rsid w:val="00A02770"/>
    <w:rsid w:val="00A02AC3"/>
    <w:rsid w:val="00A02FEE"/>
    <w:rsid w:val="00A037C2"/>
    <w:rsid w:val="00A03D43"/>
    <w:rsid w:val="00A040C8"/>
    <w:rsid w:val="00A04164"/>
    <w:rsid w:val="00A04380"/>
    <w:rsid w:val="00A043BF"/>
    <w:rsid w:val="00A04786"/>
    <w:rsid w:val="00A05472"/>
    <w:rsid w:val="00A05C32"/>
    <w:rsid w:val="00A062B7"/>
    <w:rsid w:val="00A0653F"/>
    <w:rsid w:val="00A07E72"/>
    <w:rsid w:val="00A11CD0"/>
    <w:rsid w:val="00A11ECC"/>
    <w:rsid w:val="00A1243D"/>
    <w:rsid w:val="00A12AD7"/>
    <w:rsid w:val="00A12E69"/>
    <w:rsid w:val="00A133DD"/>
    <w:rsid w:val="00A13948"/>
    <w:rsid w:val="00A13BCE"/>
    <w:rsid w:val="00A1555B"/>
    <w:rsid w:val="00A155C5"/>
    <w:rsid w:val="00A1566F"/>
    <w:rsid w:val="00A15BE5"/>
    <w:rsid w:val="00A160A4"/>
    <w:rsid w:val="00A163DE"/>
    <w:rsid w:val="00A16AD8"/>
    <w:rsid w:val="00A16BD5"/>
    <w:rsid w:val="00A16CD0"/>
    <w:rsid w:val="00A1704B"/>
    <w:rsid w:val="00A17846"/>
    <w:rsid w:val="00A17B6C"/>
    <w:rsid w:val="00A20178"/>
    <w:rsid w:val="00A2021E"/>
    <w:rsid w:val="00A2079F"/>
    <w:rsid w:val="00A2087E"/>
    <w:rsid w:val="00A20DA9"/>
    <w:rsid w:val="00A21A3E"/>
    <w:rsid w:val="00A21C95"/>
    <w:rsid w:val="00A21CF3"/>
    <w:rsid w:val="00A2319F"/>
    <w:rsid w:val="00A23637"/>
    <w:rsid w:val="00A23BBE"/>
    <w:rsid w:val="00A23E1A"/>
    <w:rsid w:val="00A24813"/>
    <w:rsid w:val="00A248B7"/>
    <w:rsid w:val="00A24A6D"/>
    <w:rsid w:val="00A24B64"/>
    <w:rsid w:val="00A24D26"/>
    <w:rsid w:val="00A24D7A"/>
    <w:rsid w:val="00A2521A"/>
    <w:rsid w:val="00A25765"/>
    <w:rsid w:val="00A2627B"/>
    <w:rsid w:val="00A27AEC"/>
    <w:rsid w:val="00A30366"/>
    <w:rsid w:val="00A30ED1"/>
    <w:rsid w:val="00A31CB6"/>
    <w:rsid w:val="00A320DB"/>
    <w:rsid w:val="00A3262D"/>
    <w:rsid w:val="00A3281A"/>
    <w:rsid w:val="00A33B7E"/>
    <w:rsid w:val="00A3463D"/>
    <w:rsid w:val="00A35566"/>
    <w:rsid w:val="00A35751"/>
    <w:rsid w:val="00A35CF3"/>
    <w:rsid w:val="00A35D16"/>
    <w:rsid w:val="00A3691A"/>
    <w:rsid w:val="00A37597"/>
    <w:rsid w:val="00A37981"/>
    <w:rsid w:val="00A37B32"/>
    <w:rsid w:val="00A37BCD"/>
    <w:rsid w:val="00A40414"/>
    <w:rsid w:val="00A4041F"/>
    <w:rsid w:val="00A40A85"/>
    <w:rsid w:val="00A41689"/>
    <w:rsid w:val="00A420D3"/>
    <w:rsid w:val="00A42592"/>
    <w:rsid w:val="00A426DA"/>
    <w:rsid w:val="00A428AB"/>
    <w:rsid w:val="00A42B53"/>
    <w:rsid w:val="00A42BC8"/>
    <w:rsid w:val="00A43C59"/>
    <w:rsid w:val="00A44C1F"/>
    <w:rsid w:val="00A44DA4"/>
    <w:rsid w:val="00A459B9"/>
    <w:rsid w:val="00A4725A"/>
    <w:rsid w:val="00A50551"/>
    <w:rsid w:val="00A50ECD"/>
    <w:rsid w:val="00A50F29"/>
    <w:rsid w:val="00A5102B"/>
    <w:rsid w:val="00A518F3"/>
    <w:rsid w:val="00A519D6"/>
    <w:rsid w:val="00A51C91"/>
    <w:rsid w:val="00A523BA"/>
    <w:rsid w:val="00A52729"/>
    <w:rsid w:val="00A528FF"/>
    <w:rsid w:val="00A52E86"/>
    <w:rsid w:val="00A53675"/>
    <w:rsid w:val="00A5434E"/>
    <w:rsid w:val="00A54419"/>
    <w:rsid w:val="00A54644"/>
    <w:rsid w:val="00A54D71"/>
    <w:rsid w:val="00A55393"/>
    <w:rsid w:val="00A55952"/>
    <w:rsid w:val="00A55A75"/>
    <w:rsid w:val="00A564D7"/>
    <w:rsid w:val="00A56B6A"/>
    <w:rsid w:val="00A578DC"/>
    <w:rsid w:val="00A57BC2"/>
    <w:rsid w:val="00A60130"/>
    <w:rsid w:val="00A60702"/>
    <w:rsid w:val="00A60E62"/>
    <w:rsid w:val="00A61C9B"/>
    <w:rsid w:val="00A61E43"/>
    <w:rsid w:val="00A623F9"/>
    <w:rsid w:val="00A62638"/>
    <w:rsid w:val="00A62CC9"/>
    <w:rsid w:val="00A634E6"/>
    <w:rsid w:val="00A6358B"/>
    <w:rsid w:val="00A63ECF"/>
    <w:rsid w:val="00A640E2"/>
    <w:rsid w:val="00A6418A"/>
    <w:rsid w:val="00A648DF"/>
    <w:rsid w:val="00A64D65"/>
    <w:rsid w:val="00A656CE"/>
    <w:rsid w:val="00A660F8"/>
    <w:rsid w:val="00A6725B"/>
    <w:rsid w:val="00A67931"/>
    <w:rsid w:val="00A67DF1"/>
    <w:rsid w:val="00A70513"/>
    <w:rsid w:val="00A70519"/>
    <w:rsid w:val="00A70605"/>
    <w:rsid w:val="00A70E99"/>
    <w:rsid w:val="00A7219F"/>
    <w:rsid w:val="00A724EC"/>
    <w:rsid w:val="00A726DC"/>
    <w:rsid w:val="00A72734"/>
    <w:rsid w:val="00A72894"/>
    <w:rsid w:val="00A729F9"/>
    <w:rsid w:val="00A73134"/>
    <w:rsid w:val="00A7365A"/>
    <w:rsid w:val="00A73B26"/>
    <w:rsid w:val="00A73C04"/>
    <w:rsid w:val="00A73C1C"/>
    <w:rsid w:val="00A73D54"/>
    <w:rsid w:val="00A7494E"/>
    <w:rsid w:val="00A75454"/>
    <w:rsid w:val="00A75BF2"/>
    <w:rsid w:val="00A76001"/>
    <w:rsid w:val="00A777B2"/>
    <w:rsid w:val="00A801E5"/>
    <w:rsid w:val="00A802E7"/>
    <w:rsid w:val="00A80AA9"/>
    <w:rsid w:val="00A80CD4"/>
    <w:rsid w:val="00A810AC"/>
    <w:rsid w:val="00A81986"/>
    <w:rsid w:val="00A821BC"/>
    <w:rsid w:val="00A82201"/>
    <w:rsid w:val="00A825D4"/>
    <w:rsid w:val="00A828F6"/>
    <w:rsid w:val="00A82B73"/>
    <w:rsid w:val="00A8347E"/>
    <w:rsid w:val="00A834A3"/>
    <w:rsid w:val="00A8566A"/>
    <w:rsid w:val="00A85B00"/>
    <w:rsid w:val="00A8612C"/>
    <w:rsid w:val="00A8683F"/>
    <w:rsid w:val="00A86B3C"/>
    <w:rsid w:val="00A86C46"/>
    <w:rsid w:val="00A86E8B"/>
    <w:rsid w:val="00A87164"/>
    <w:rsid w:val="00A871A9"/>
    <w:rsid w:val="00A906B3"/>
    <w:rsid w:val="00A9110F"/>
    <w:rsid w:val="00A91BD6"/>
    <w:rsid w:val="00A93072"/>
    <w:rsid w:val="00A938BD"/>
    <w:rsid w:val="00A93953"/>
    <w:rsid w:val="00A93976"/>
    <w:rsid w:val="00A9417E"/>
    <w:rsid w:val="00A9478E"/>
    <w:rsid w:val="00A9483F"/>
    <w:rsid w:val="00A94C7C"/>
    <w:rsid w:val="00A94F57"/>
    <w:rsid w:val="00A95636"/>
    <w:rsid w:val="00A959D8"/>
    <w:rsid w:val="00A963DD"/>
    <w:rsid w:val="00A969CF"/>
    <w:rsid w:val="00A96A53"/>
    <w:rsid w:val="00A97660"/>
    <w:rsid w:val="00A97BE3"/>
    <w:rsid w:val="00A97E25"/>
    <w:rsid w:val="00AA001C"/>
    <w:rsid w:val="00AA0150"/>
    <w:rsid w:val="00AA07AB"/>
    <w:rsid w:val="00AA10D5"/>
    <w:rsid w:val="00AA1104"/>
    <w:rsid w:val="00AA113D"/>
    <w:rsid w:val="00AA158C"/>
    <w:rsid w:val="00AA1F60"/>
    <w:rsid w:val="00AA24B6"/>
    <w:rsid w:val="00AA2A3C"/>
    <w:rsid w:val="00AA2C93"/>
    <w:rsid w:val="00AA3CC6"/>
    <w:rsid w:val="00AA3DC9"/>
    <w:rsid w:val="00AA3F84"/>
    <w:rsid w:val="00AA5154"/>
    <w:rsid w:val="00AA5F0A"/>
    <w:rsid w:val="00AA6BD5"/>
    <w:rsid w:val="00AA6BD8"/>
    <w:rsid w:val="00AA6C7D"/>
    <w:rsid w:val="00AA7167"/>
    <w:rsid w:val="00AA7278"/>
    <w:rsid w:val="00AA7814"/>
    <w:rsid w:val="00AA7FD6"/>
    <w:rsid w:val="00AB042A"/>
    <w:rsid w:val="00AB11AD"/>
    <w:rsid w:val="00AB19EF"/>
    <w:rsid w:val="00AB1C64"/>
    <w:rsid w:val="00AB1CC8"/>
    <w:rsid w:val="00AB2283"/>
    <w:rsid w:val="00AB248D"/>
    <w:rsid w:val="00AB2495"/>
    <w:rsid w:val="00AB2D34"/>
    <w:rsid w:val="00AB3430"/>
    <w:rsid w:val="00AB34C9"/>
    <w:rsid w:val="00AB37B9"/>
    <w:rsid w:val="00AB400C"/>
    <w:rsid w:val="00AB4158"/>
    <w:rsid w:val="00AB4877"/>
    <w:rsid w:val="00AB4AD1"/>
    <w:rsid w:val="00AB4D3F"/>
    <w:rsid w:val="00AB4D6A"/>
    <w:rsid w:val="00AB50A5"/>
    <w:rsid w:val="00AB5410"/>
    <w:rsid w:val="00AB5447"/>
    <w:rsid w:val="00AB5852"/>
    <w:rsid w:val="00AB5E07"/>
    <w:rsid w:val="00AB6304"/>
    <w:rsid w:val="00AB6F74"/>
    <w:rsid w:val="00AB72A0"/>
    <w:rsid w:val="00AB79B5"/>
    <w:rsid w:val="00AB7CFA"/>
    <w:rsid w:val="00AC09F0"/>
    <w:rsid w:val="00AC0C7E"/>
    <w:rsid w:val="00AC1274"/>
    <w:rsid w:val="00AC2041"/>
    <w:rsid w:val="00AC241F"/>
    <w:rsid w:val="00AC2AB1"/>
    <w:rsid w:val="00AC2D1C"/>
    <w:rsid w:val="00AC2D31"/>
    <w:rsid w:val="00AC3246"/>
    <w:rsid w:val="00AC3A69"/>
    <w:rsid w:val="00AC3B74"/>
    <w:rsid w:val="00AC4011"/>
    <w:rsid w:val="00AC41D7"/>
    <w:rsid w:val="00AC44F6"/>
    <w:rsid w:val="00AC48E3"/>
    <w:rsid w:val="00AC4FFF"/>
    <w:rsid w:val="00AC5008"/>
    <w:rsid w:val="00AC5B42"/>
    <w:rsid w:val="00AC5B48"/>
    <w:rsid w:val="00AC6008"/>
    <w:rsid w:val="00AC6099"/>
    <w:rsid w:val="00AC688F"/>
    <w:rsid w:val="00AC713C"/>
    <w:rsid w:val="00AC7C2C"/>
    <w:rsid w:val="00AD0D10"/>
    <w:rsid w:val="00AD0D12"/>
    <w:rsid w:val="00AD1450"/>
    <w:rsid w:val="00AD15E8"/>
    <w:rsid w:val="00AD16E0"/>
    <w:rsid w:val="00AD1F7C"/>
    <w:rsid w:val="00AD2EB6"/>
    <w:rsid w:val="00AD32BD"/>
    <w:rsid w:val="00AD356D"/>
    <w:rsid w:val="00AD3C4F"/>
    <w:rsid w:val="00AD41A0"/>
    <w:rsid w:val="00AD4264"/>
    <w:rsid w:val="00AD42AC"/>
    <w:rsid w:val="00AD4B4D"/>
    <w:rsid w:val="00AD5002"/>
    <w:rsid w:val="00AD57C2"/>
    <w:rsid w:val="00AD591B"/>
    <w:rsid w:val="00AD642A"/>
    <w:rsid w:val="00AD6502"/>
    <w:rsid w:val="00AD68A8"/>
    <w:rsid w:val="00AD6E83"/>
    <w:rsid w:val="00AE0695"/>
    <w:rsid w:val="00AE13BF"/>
    <w:rsid w:val="00AE1410"/>
    <w:rsid w:val="00AE1EC3"/>
    <w:rsid w:val="00AE2AC7"/>
    <w:rsid w:val="00AE2B6D"/>
    <w:rsid w:val="00AE3B80"/>
    <w:rsid w:val="00AE3E7E"/>
    <w:rsid w:val="00AE45FD"/>
    <w:rsid w:val="00AE4FF8"/>
    <w:rsid w:val="00AE6956"/>
    <w:rsid w:val="00AE7006"/>
    <w:rsid w:val="00AE76B2"/>
    <w:rsid w:val="00AE7E53"/>
    <w:rsid w:val="00AF06B4"/>
    <w:rsid w:val="00AF0711"/>
    <w:rsid w:val="00AF0877"/>
    <w:rsid w:val="00AF0AA0"/>
    <w:rsid w:val="00AF0D84"/>
    <w:rsid w:val="00AF1095"/>
    <w:rsid w:val="00AF10F0"/>
    <w:rsid w:val="00AF1315"/>
    <w:rsid w:val="00AF19BF"/>
    <w:rsid w:val="00AF2A49"/>
    <w:rsid w:val="00AF2DC3"/>
    <w:rsid w:val="00AF376B"/>
    <w:rsid w:val="00AF4255"/>
    <w:rsid w:val="00AF47CB"/>
    <w:rsid w:val="00AF5034"/>
    <w:rsid w:val="00AF52CE"/>
    <w:rsid w:val="00AF5706"/>
    <w:rsid w:val="00AF5F2F"/>
    <w:rsid w:val="00AF6305"/>
    <w:rsid w:val="00AF6816"/>
    <w:rsid w:val="00AF72BF"/>
    <w:rsid w:val="00AF7F4E"/>
    <w:rsid w:val="00B006E0"/>
    <w:rsid w:val="00B00A60"/>
    <w:rsid w:val="00B00DDE"/>
    <w:rsid w:val="00B029A0"/>
    <w:rsid w:val="00B033E5"/>
    <w:rsid w:val="00B036B3"/>
    <w:rsid w:val="00B03A63"/>
    <w:rsid w:val="00B04331"/>
    <w:rsid w:val="00B04F9D"/>
    <w:rsid w:val="00B05AB2"/>
    <w:rsid w:val="00B05EC7"/>
    <w:rsid w:val="00B0628B"/>
    <w:rsid w:val="00B062BF"/>
    <w:rsid w:val="00B06F06"/>
    <w:rsid w:val="00B07059"/>
    <w:rsid w:val="00B07584"/>
    <w:rsid w:val="00B0773D"/>
    <w:rsid w:val="00B07FD6"/>
    <w:rsid w:val="00B07FE5"/>
    <w:rsid w:val="00B10C48"/>
    <w:rsid w:val="00B10F05"/>
    <w:rsid w:val="00B116D8"/>
    <w:rsid w:val="00B11950"/>
    <w:rsid w:val="00B129A4"/>
    <w:rsid w:val="00B12E90"/>
    <w:rsid w:val="00B1365F"/>
    <w:rsid w:val="00B141F2"/>
    <w:rsid w:val="00B14A37"/>
    <w:rsid w:val="00B15185"/>
    <w:rsid w:val="00B15648"/>
    <w:rsid w:val="00B1621B"/>
    <w:rsid w:val="00B16714"/>
    <w:rsid w:val="00B168D0"/>
    <w:rsid w:val="00B17284"/>
    <w:rsid w:val="00B176A4"/>
    <w:rsid w:val="00B17C88"/>
    <w:rsid w:val="00B201A4"/>
    <w:rsid w:val="00B201D1"/>
    <w:rsid w:val="00B2071A"/>
    <w:rsid w:val="00B211B5"/>
    <w:rsid w:val="00B213A6"/>
    <w:rsid w:val="00B216C8"/>
    <w:rsid w:val="00B22477"/>
    <w:rsid w:val="00B235B0"/>
    <w:rsid w:val="00B238A4"/>
    <w:rsid w:val="00B24022"/>
    <w:rsid w:val="00B242BF"/>
    <w:rsid w:val="00B24799"/>
    <w:rsid w:val="00B24857"/>
    <w:rsid w:val="00B24DF6"/>
    <w:rsid w:val="00B2532F"/>
    <w:rsid w:val="00B25EF6"/>
    <w:rsid w:val="00B2619B"/>
    <w:rsid w:val="00B27A61"/>
    <w:rsid w:val="00B27E3B"/>
    <w:rsid w:val="00B3155C"/>
    <w:rsid w:val="00B3224E"/>
    <w:rsid w:val="00B327B4"/>
    <w:rsid w:val="00B33C66"/>
    <w:rsid w:val="00B34400"/>
    <w:rsid w:val="00B34C1C"/>
    <w:rsid w:val="00B34FE2"/>
    <w:rsid w:val="00B35166"/>
    <w:rsid w:val="00B355D9"/>
    <w:rsid w:val="00B357D8"/>
    <w:rsid w:val="00B35ABB"/>
    <w:rsid w:val="00B35C3F"/>
    <w:rsid w:val="00B360F4"/>
    <w:rsid w:val="00B36511"/>
    <w:rsid w:val="00B36925"/>
    <w:rsid w:val="00B36A00"/>
    <w:rsid w:val="00B37094"/>
    <w:rsid w:val="00B3792B"/>
    <w:rsid w:val="00B37BFC"/>
    <w:rsid w:val="00B4010A"/>
    <w:rsid w:val="00B40358"/>
    <w:rsid w:val="00B403C2"/>
    <w:rsid w:val="00B4057C"/>
    <w:rsid w:val="00B41614"/>
    <w:rsid w:val="00B42851"/>
    <w:rsid w:val="00B42DD8"/>
    <w:rsid w:val="00B42E68"/>
    <w:rsid w:val="00B42F80"/>
    <w:rsid w:val="00B435CB"/>
    <w:rsid w:val="00B43C6D"/>
    <w:rsid w:val="00B43C8A"/>
    <w:rsid w:val="00B44138"/>
    <w:rsid w:val="00B4481E"/>
    <w:rsid w:val="00B44B20"/>
    <w:rsid w:val="00B45100"/>
    <w:rsid w:val="00B459E5"/>
    <w:rsid w:val="00B45A35"/>
    <w:rsid w:val="00B45AC5"/>
    <w:rsid w:val="00B4604A"/>
    <w:rsid w:val="00B462B4"/>
    <w:rsid w:val="00B4640A"/>
    <w:rsid w:val="00B465EC"/>
    <w:rsid w:val="00B46FF4"/>
    <w:rsid w:val="00B470A9"/>
    <w:rsid w:val="00B479B4"/>
    <w:rsid w:val="00B47DC0"/>
    <w:rsid w:val="00B50321"/>
    <w:rsid w:val="00B505C8"/>
    <w:rsid w:val="00B50DB8"/>
    <w:rsid w:val="00B50F7F"/>
    <w:rsid w:val="00B510E1"/>
    <w:rsid w:val="00B515C6"/>
    <w:rsid w:val="00B53615"/>
    <w:rsid w:val="00B53654"/>
    <w:rsid w:val="00B53905"/>
    <w:rsid w:val="00B5437E"/>
    <w:rsid w:val="00B546DB"/>
    <w:rsid w:val="00B54B5B"/>
    <w:rsid w:val="00B5562E"/>
    <w:rsid w:val="00B55862"/>
    <w:rsid w:val="00B55D65"/>
    <w:rsid w:val="00B5611B"/>
    <w:rsid w:val="00B56305"/>
    <w:rsid w:val="00B56307"/>
    <w:rsid w:val="00B5684F"/>
    <w:rsid w:val="00B57000"/>
    <w:rsid w:val="00B576E5"/>
    <w:rsid w:val="00B57D09"/>
    <w:rsid w:val="00B60838"/>
    <w:rsid w:val="00B60939"/>
    <w:rsid w:val="00B60AFD"/>
    <w:rsid w:val="00B60BFE"/>
    <w:rsid w:val="00B615D7"/>
    <w:rsid w:val="00B61A70"/>
    <w:rsid w:val="00B61CE6"/>
    <w:rsid w:val="00B621C4"/>
    <w:rsid w:val="00B623F5"/>
    <w:rsid w:val="00B62715"/>
    <w:rsid w:val="00B62986"/>
    <w:rsid w:val="00B640A5"/>
    <w:rsid w:val="00B6426A"/>
    <w:rsid w:val="00B64ABE"/>
    <w:rsid w:val="00B64F96"/>
    <w:rsid w:val="00B64F9B"/>
    <w:rsid w:val="00B65545"/>
    <w:rsid w:val="00B65611"/>
    <w:rsid w:val="00B65D84"/>
    <w:rsid w:val="00B66359"/>
    <w:rsid w:val="00B67FFC"/>
    <w:rsid w:val="00B70550"/>
    <w:rsid w:val="00B70E8E"/>
    <w:rsid w:val="00B71625"/>
    <w:rsid w:val="00B71E1F"/>
    <w:rsid w:val="00B73925"/>
    <w:rsid w:val="00B73BF0"/>
    <w:rsid w:val="00B74D37"/>
    <w:rsid w:val="00B74EC9"/>
    <w:rsid w:val="00B75449"/>
    <w:rsid w:val="00B75C8B"/>
    <w:rsid w:val="00B75D39"/>
    <w:rsid w:val="00B764B7"/>
    <w:rsid w:val="00B76C6A"/>
    <w:rsid w:val="00B76C92"/>
    <w:rsid w:val="00B76E67"/>
    <w:rsid w:val="00B76FB5"/>
    <w:rsid w:val="00B77384"/>
    <w:rsid w:val="00B7770F"/>
    <w:rsid w:val="00B7789C"/>
    <w:rsid w:val="00B77A47"/>
    <w:rsid w:val="00B77A79"/>
    <w:rsid w:val="00B80416"/>
    <w:rsid w:val="00B80EFD"/>
    <w:rsid w:val="00B818A4"/>
    <w:rsid w:val="00B82353"/>
    <w:rsid w:val="00B82620"/>
    <w:rsid w:val="00B83739"/>
    <w:rsid w:val="00B83F17"/>
    <w:rsid w:val="00B84117"/>
    <w:rsid w:val="00B84D2B"/>
    <w:rsid w:val="00B8520C"/>
    <w:rsid w:val="00B854F0"/>
    <w:rsid w:val="00B858F0"/>
    <w:rsid w:val="00B85AA2"/>
    <w:rsid w:val="00B85CB3"/>
    <w:rsid w:val="00B8649C"/>
    <w:rsid w:val="00B8695D"/>
    <w:rsid w:val="00B86A88"/>
    <w:rsid w:val="00B87511"/>
    <w:rsid w:val="00B87791"/>
    <w:rsid w:val="00B8795A"/>
    <w:rsid w:val="00B87F0A"/>
    <w:rsid w:val="00B901DC"/>
    <w:rsid w:val="00B901E4"/>
    <w:rsid w:val="00B90DF8"/>
    <w:rsid w:val="00B910A3"/>
    <w:rsid w:val="00B9133F"/>
    <w:rsid w:val="00B921E2"/>
    <w:rsid w:val="00B92425"/>
    <w:rsid w:val="00B92565"/>
    <w:rsid w:val="00B9267E"/>
    <w:rsid w:val="00B92D0B"/>
    <w:rsid w:val="00B938B2"/>
    <w:rsid w:val="00B93BBF"/>
    <w:rsid w:val="00B94648"/>
    <w:rsid w:val="00B9478E"/>
    <w:rsid w:val="00B94945"/>
    <w:rsid w:val="00B94DD6"/>
    <w:rsid w:val="00B9513F"/>
    <w:rsid w:val="00B965B0"/>
    <w:rsid w:val="00B96915"/>
    <w:rsid w:val="00B9721D"/>
    <w:rsid w:val="00B975A9"/>
    <w:rsid w:val="00BA08AE"/>
    <w:rsid w:val="00BA0917"/>
    <w:rsid w:val="00BA18FF"/>
    <w:rsid w:val="00BA1EAE"/>
    <w:rsid w:val="00BA2155"/>
    <w:rsid w:val="00BA2433"/>
    <w:rsid w:val="00BA2460"/>
    <w:rsid w:val="00BA25DC"/>
    <w:rsid w:val="00BA2A10"/>
    <w:rsid w:val="00BA322D"/>
    <w:rsid w:val="00BA3DC0"/>
    <w:rsid w:val="00BA3F02"/>
    <w:rsid w:val="00BA407C"/>
    <w:rsid w:val="00BA470B"/>
    <w:rsid w:val="00BA4C03"/>
    <w:rsid w:val="00BA4E0F"/>
    <w:rsid w:val="00BA525E"/>
    <w:rsid w:val="00BA5B4E"/>
    <w:rsid w:val="00BA5F10"/>
    <w:rsid w:val="00BA60EB"/>
    <w:rsid w:val="00BA63FA"/>
    <w:rsid w:val="00BA6693"/>
    <w:rsid w:val="00BA6C36"/>
    <w:rsid w:val="00BA7399"/>
    <w:rsid w:val="00BA7D3F"/>
    <w:rsid w:val="00BB0029"/>
    <w:rsid w:val="00BB00B3"/>
    <w:rsid w:val="00BB0BDD"/>
    <w:rsid w:val="00BB0C65"/>
    <w:rsid w:val="00BB0F2C"/>
    <w:rsid w:val="00BB0F34"/>
    <w:rsid w:val="00BB10BE"/>
    <w:rsid w:val="00BB13CB"/>
    <w:rsid w:val="00BB176C"/>
    <w:rsid w:val="00BB18CF"/>
    <w:rsid w:val="00BB18F4"/>
    <w:rsid w:val="00BB2A73"/>
    <w:rsid w:val="00BB36F8"/>
    <w:rsid w:val="00BB379B"/>
    <w:rsid w:val="00BB3819"/>
    <w:rsid w:val="00BB3A45"/>
    <w:rsid w:val="00BB4569"/>
    <w:rsid w:val="00BB4ACC"/>
    <w:rsid w:val="00BB5F58"/>
    <w:rsid w:val="00BB6ABC"/>
    <w:rsid w:val="00BB6B15"/>
    <w:rsid w:val="00BB703E"/>
    <w:rsid w:val="00BB7150"/>
    <w:rsid w:val="00BB732D"/>
    <w:rsid w:val="00BB7405"/>
    <w:rsid w:val="00BB7C39"/>
    <w:rsid w:val="00BC0C3E"/>
    <w:rsid w:val="00BC0DBA"/>
    <w:rsid w:val="00BC179C"/>
    <w:rsid w:val="00BC1F1F"/>
    <w:rsid w:val="00BC32BE"/>
    <w:rsid w:val="00BC3631"/>
    <w:rsid w:val="00BC4C2C"/>
    <w:rsid w:val="00BC5163"/>
    <w:rsid w:val="00BC591F"/>
    <w:rsid w:val="00BC5FF3"/>
    <w:rsid w:val="00BC653E"/>
    <w:rsid w:val="00BC71E3"/>
    <w:rsid w:val="00BC7B06"/>
    <w:rsid w:val="00BC7D6D"/>
    <w:rsid w:val="00BD06AC"/>
    <w:rsid w:val="00BD1113"/>
    <w:rsid w:val="00BD11AA"/>
    <w:rsid w:val="00BD1FA7"/>
    <w:rsid w:val="00BD2108"/>
    <w:rsid w:val="00BD22E7"/>
    <w:rsid w:val="00BD23B4"/>
    <w:rsid w:val="00BD4197"/>
    <w:rsid w:val="00BD4D09"/>
    <w:rsid w:val="00BD55C6"/>
    <w:rsid w:val="00BD5881"/>
    <w:rsid w:val="00BD6113"/>
    <w:rsid w:val="00BD68A3"/>
    <w:rsid w:val="00BD6938"/>
    <w:rsid w:val="00BD6CF3"/>
    <w:rsid w:val="00BD7452"/>
    <w:rsid w:val="00BD7F72"/>
    <w:rsid w:val="00BE0309"/>
    <w:rsid w:val="00BE0ECA"/>
    <w:rsid w:val="00BE107C"/>
    <w:rsid w:val="00BE15D5"/>
    <w:rsid w:val="00BE17D0"/>
    <w:rsid w:val="00BE19E1"/>
    <w:rsid w:val="00BE2180"/>
    <w:rsid w:val="00BE21F2"/>
    <w:rsid w:val="00BE29B0"/>
    <w:rsid w:val="00BE3436"/>
    <w:rsid w:val="00BE3907"/>
    <w:rsid w:val="00BE3D32"/>
    <w:rsid w:val="00BE3F37"/>
    <w:rsid w:val="00BE4275"/>
    <w:rsid w:val="00BE4991"/>
    <w:rsid w:val="00BE55E5"/>
    <w:rsid w:val="00BE67DB"/>
    <w:rsid w:val="00BE6AD0"/>
    <w:rsid w:val="00BE6F93"/>
    <w:rsid w:val="00BF06AE"/>
    <w:rsid w:val="00BF06B0"/>
    <w:rsid w:val="00BF0F95"/>
    <w:rsid w:val="00BF1E7B"/>
    <w:rsid w:val="00BF221E"/>
    <w:rsid w:val="00BF2433"/>
    <w:rsid w:val="00BF2712"/>
    <w:rsid w:val="00BF2E6E"/>
    <w:rsid w:val="00BF2FDE"/>
    <w:rsid w:val="00BF3960"/>
    <w:rsid w:val="00BF3C02"/>
    <w:rsid w:val="00BF61C9"/>
    <w:rsid w:val="00BF622E"/>
    <w:rsid w:val="00BF66BE"/>
    <w:rsid w:val="00BF6C94"/>
    <w:rsid w:val="00BF6F39"/>
    <w:rsid w:val="00BF7E5C"/>
    <w:rsid w:val="00C001E2"/>
    <w:rsid w:val="00C00424"/>
    <w:rsid w:val="00C00A06"/>
    <w:rsid w:val="00C00BB0"/>
    <w:rsid w:val="00C00FE8"/>
    <w:rsid w:val="00C01B8A"/>
    <w:rsid w:val="00C02714"/>
    <w:rsid w:val="00C02BCB"/>
    <w:rsid w:val="00C02E8E"/>
    <w:rsid w:val="00C02EFE"/>
    <w:rsid w:val="00C03025"/>
    <w:rsid w:val="00C033D1"/>
    <w:rsid w:val="00C03D1F"/>
    <w:rsid w:val="00C05513"/>
    <w:rsid w:val="00C06A84"/>
    <w:rsid w:val="00C07F9F"/>
    <w:rsid w:val="00C10404"/>
    <w:rsid w:val="00C10602"/>
    <w:rsid w:val="00C11725"/>
    <w:rsid w:val="00C1179F"/>
    <w:rsid w:val="00C11B0C"/>
    <w:rsid w:val="00C11D41"/>
    <w:rsid w:val="00C12214"/>
    <w:rsid w:val="00C1278C"/>
    <w:rsid w:val="00C127B9"/>
    <w:rsid w:val="00C128FA"/>
    <w:rsid w:val="00C129B3"/>
    <w:rsid w:val="00C12C14"/>
    <w:rsid w:val="00C12E79"/>
    <w:rsid w:val="00C1389A"/>
    <w:rsid w:val="00C13A0C"/>
    <w:rsid w:val="00C1404C"/>
    <w:rsid w:val="00C15363"/>
    <w:rsid w:val="00C153E7"/>
    <w:rsid w:val="00C15F04"/>
    <w:rsid w:val="00C169A8"/>
    <w:rsid w:val="00C16A39"/>
    <w:rsid w:val="00C178EE"/>
    <w:rsid w:val="00C179B3"/>
    <w:rsid w:val="00C17A64"/>
    <w:rsid w:val="00C17DD2"/>
    <w:rsid w:val="00C17E3F"/>
    <w:rsid w:val="00C200AA"/>
    <w:rsid w:val="00C20166"/>
    <w:rsid w:val="00C20ADD"/>
    <w:rsid w:val="00C23035"/>
    <w:rsid w:val="00C23456"/>
    <w:rsid w:val="00C2375F"/>
    <w:rsid w:val="00C237ED"/>
    <w:rsid w:val="00C23FAC"/>
    <w:rsid w:val="00C24632"/>
    <w:rsid w:val="00C24902"/>
    <w:rsid w:val="00C24A50"/>
    <w:rsid w:val="00C24CC1"/>
    <w:rsid w:val="00C25418"/>
    <w:rsid w:val="00C2559E"/>
    <w:rsid w:val="00C25D9C"/>
    <w:rsid w:val="00C260D9"/>
    <w:rsid w:val="00C27657"/>
    <w:rsid w:val="00C2778B"/>
    <w:rsid w:val="00C30158"/>
    <w:rsid w:val="00C30809"/>
    <w:rsid w:val="00C3108F"/>
    <w:rsid w:val="00C310A9"/>
    <w:rsid w:val="00C31649"/>
    <w:rsid w:val="00C32257"/>
    <w:rsid w:val="00C32921"/>
    <w:rsid w:val="00C32A0B"/>
    <w:rsid w:val="00C32F00"/>
    <w:rsid w:val="00C3338C"/>
    <w:rsid w:val="00C33B37"/>
    <w:rsid w:val="00C33CB4"/>
    <w:rsid w:val="00C33CEF"/>
    <w:rsid w:val="00C3434C"/>
    <w:rsid w:val="00C343EC"/>
    <w:rsid w:val="00C34438"/>
    <w:rsid w:val="00C35A7A"/>
    <w:rsid w:val="00C36413"/>
    <w:rsid w:val="00C3666F"/>
    <w:rsid w:val="00C36ABB"/>
    <w:rsid w:val="00C36B03"/>
    <w:rsid w:val="00C36B84"/>
    <w:rsid w:val="00C371A6"/>
    <w:rsid w:val="00C40240"/>
    <w:rsid w:val="00C40385"/>
    <w:rsid w:val="00C40AE5"/>
    <w:rsid w:val="00C41669"/>
    <w:rsid w:val="00C41768"/>
    <w:rsid w:val="00C41FFB"/>
    <w:rsid w:val="00C4270A"/>
    <w:rsid w:val="00C4295F"/>
    <w:rsid w:val="00C435B2"/>
    <w:rsid w:val="00C43C21"/>
    <w:rsid w:val="00C43D7C"/>
    <w:rsid w:val="00C4451C"/>
    <w:rsid w:val="00C44D61"/>
    <w:rsid w:val="00C45099"/>
    <w:rsid w:val="00C45218"/>
    <w:rsid w:val="00C45462"/>
    <w:rsid w:val="00C45F99"/>
    <w:rsid w:val="00C462D8"/>
    <w:rsid w:val="00C46387"/>
    <w:rsid w:val="00C46402"/>
    <w:rsid w:val="00C46A42"/>
    <w:rsid w:val="00C475AA"/>
    <w:rsid w:val="00C47A49"/>
    <w:rsid w:val="00C51362"/>
    <w:rsid w:val="00C514F3"/>
    <w:rsid w:val="00C527C7"/>
    <w:rsid w:val="00C52882"/>
    <w:rsid w:val="00C52A20"/>
    <w:rsid w:val="00C52B58"/>
    <w:rsid w:val="00C52D23"/>
    <w:rsid w:val="00C52E47"/>
    <w:rsid w:val="00C52F16"/>
    <w:rsid w:val="00C52F19"/>
    <w:rsid w:val="00C53C98"/>
    <w:rsid w:val="00C540D5"/>
    <w:rsid w:val="00C54D1E"/>
    <w:rsid w:val="00C55276"/>
    <w:rsid w:val="00C557E7"/>
    <w:rsid w:val="00C564B4"/>
    <w:rsid w:val="00C56EEA"/>
    <w:rsid w:val="00C56FCF"/>
    <w:rsid w:val="00C57023"/>
    <w:rsid w:val="00C572F6"/>
    <w:rsid w:val="00C57515"/>
    <w:rsid w:val="00C5751C"/>
    <w:rsid w:val="00C57B6C"/>
    <w:rsid w:val="00C613EA"/>
    <w:rsid w:val="00C61A59"/>
    <w:rsid w:val="00C628A6"/>
    <w:rsid w:val="00C637F0"/>
    <w:rsid w:val="00C642F5"/>
    <w:rsid w:val="00C64344"/>
    <w:rsid w:val="00C64418"/>
    <w:rsid w:val="00C64B78"/>
    <w:rsid w:val="00C64D95"/>
    <w:rsid w:val="00C64EBB"/>
    <w:rsid w:val="00C65108"/>
    <w:rsid w:val="00C65576"/>
    <w:rsid w:val="00C65D06"/>
    <w:rsid w:val="00C66165"/>
    <w:rsid w:val="00C67361"/>
    <w:rsid w:val="00C70029"/>
    <w:rsid w:val="00C7053B"/>
    <w:rsid w:val="00C7060A"/>
    <w:rsid w:val="00C70803"/>
    <w:rsid w:val="00C71215"/>
    <w:rsid w:val="00C7151A"/>
    <w:rsid w:val="00C717E3"/>
    <w:rsid w:val="00C71F60"/>
    <w:rsid w:val="00C72241"/>
    <w:rsid w:val="00C72864"/>
    <w:rsid w:val="00C72C6B"/>
    <w:rsid w:val="00C74E4F"/>
    <w:rsid w:val="00C74ED6"/>
    <w:rsid w:val="00C74F3A"/>
    <w:rsid w:val="00C750C8"/>
    <w:rsid w:val="00C753C3"/>
    <w:rsid w:val="00C75570"/>
    <w:rsid w:val="00C7560F"/>
    <w:rsid w:val="00C757CD"/>
    <w:rsid w:val="00C75860"/>
    <w:rsid w:val="00C7615C"/>
    <w:rsid w:val="00C7662D"/>
    <w:rsid w:val="00C76A11"/>
    <w:rsid w:val="00C76C08"/>
    <w:rsid w:val="00C76FBD"/>
    <w:rsid w:val="00C77419"/>
    <w:rsid w:val="00C7761A"/>
    <w:rsid w:val="00C805B4"/>
    <w:rsid w:val="00C80A0E"/>
    <w:rsid w:val="00C80C87"/>
    <w:rsid w:val="00C8213F"/>
    <w:rsid w:val="00C82418"/>
    <w:rsid w:val="00C824C9"/>
    <w:rsid w:val="00C82BBE"/>
    <w:rsid w:val="00C82E2D"/>
    <w:rsid w:val="00C8303F"/>
    <w:rsid w:val="00C8346B"/>
    <w:rsid w:val="00C8351D"/>
    <w:rsid w:val="00C837DB"/>
    <w:rsid w:val="00C83ABC"/>
    <w:rsid w:val="00C840E1"/>
    <w:rsid w:val="00C8438E"/>
    <w:rsid w:val="00C8449F"/>
    <w:rsid w:val="00C84DE5"/>
    <w:rsid w:val="00C85154"/>
    <w:rsid w:val="00C85200"/>
    <w:rsid w:val="00C85537"/>
    <w:rsid w:val="00C85A70"/>
    <w:rsid w:val="00C85AB7"/>
    <w:rsid w:val="00C86102"/>
    <w:rsid w:val="00C861BF"/>
    <w:rsid w:val="00C875F4"/>
    <w:rsid w:val="00C87629"/>
    <w:rsid w:val="00C8797A"/>
    <w:rsid w:val="00C87DAF"/>
    <w:rsid w:val="00C900B8"/>
    <w:rsid w:val="00C90197"/>
    <w:rsid w:val="00C90C71"/>
    <w:rsid w:val="00C911F6"/>
    <w:rsid w:val="00C9198F"/>
    <w:rsid w:val="00C91FD1"/>
    <w:rsid w:val="00C92116"/>
    <w:rsid w:val="00C92462"/>
    <w:rsid w:val="00C931CF"/>
    <w:rsid w:val="00C93619"/>
    <w:rsid w:val="00C938CF"/>
    <w:rsid w:val="00C93E82"/>
    <w:rsid w:val="00C94053"/>
    <w:rsid w:val="00C94287"/>
    <w:rsid w:val="00C943D1"/>
    <w:rsid w:val="00C94F7D"/>
    <w:rsid w:val="00C95DB1"/>
    <w:rsid w:val="00C9624D"/>
    <w:rsid w:val="00C9649F"/>
    <w:rsid w:val="00C968B8"/>
    <w:rsid w:val="00C969DA"/>
    <w:rsid w:val="00C96C6B"/>
    <w:rsid w:val="00C96DF8"/>
    <w:rsid w:val="00C9702C"/>
    <w:rsid w:val="00C97218"/>
    <w:rsid w:val="00C976CC"/>
    <w:rsid w:val="00CA050F"/>
    <w:rsid w:val="00CA0D15"/>
    <w:rsid w:val="00CA1141"/>
    <w:rsid w:val="00CA14FA"/>
    <w:rsid w:val="00CA15D8"/>
    <w:rsid w:val="00CA1643"/>
    <w:rsid w:val="00CA17B9"/>
    <w:rsid w:val="00CA182D"/>
    <w:rsid w:val="00CA1C6A"/>
    <w:rsid w:val="00CA2495"/>
    <w:rsid w:val="00CA24AF"/>
    <w:rsid w:val="00CA2B53"/>
    <w:rsid w:val="00CA2C77"/>
    <w:rsid w:val="00CA2DC9"/>
    <w:rsid w:val="00CA355A"/>
    <w:rsid w:val="00CA444F"/>
    <w:rsid w:val="00CA49CD"/>
    <w:rsid w:val="00CA5245"/>
    <w:rsid w:val="00CA52D3"/>
    <w:rsid w:val="00CA5413"/>
    <w:rsid w:val="00CA5596"/>
    <w:rsid w:val="00CA561E"/>
    <w:rsid w:val="00CA5D3A"/>
    <w:rsid w:val="00CA5E27"/>
    <w:rsid w:val="00CA5E9F"/>
    <w:rsid w:val="00CA6B26"/>
    <w:rsid w:val="00CA71F4"/>
    <w:rsid w:val="00CA7B09"/>
    <w:rsid w:val="00CB0474"/>
    <w:rsid w:val="00CB052E"/>
    <w:rsid w:val="00CB1086"/>
    <w:rsid w:val="00CB1131"/>
    <w:rsid w:val="00CB12A5"/>
    <w:rsid w:val="00CB1311"/>
    <w:rsid w:val="00CB168D"/>
    <w:rsid w:val="00CB1CAC"/>
    <w:rsid w:val="00CB1CE8"/>
    <w:rsid w:val="00CB1F27"/>
    <w:rsid w:val="00CB224C"/>
    <w:rsid w:val="00CB2F2A"/>
    <w:rsid w:val="00CB3AFA"/>
    <w:rsid w:val="00CB4256"/>
    <w:rsid w:val="00CB4E85"/>
    <w:rsid w:val="00CB5137"/>
    <w:rsid w:val="00CB5684"/>
    <w:rsid w:val="00CB5B1A"/>
    <w:rsid w:val="00CB622E"/>
    <w:rsid w:val="00CB6B22"/>
    <w:rsid w:val="00CB7F5F"/>
    <w:rsid w:val="00CC14CD"/>
    <w:rsid w:val="00CC151F"/>
    <w:rsid w:val="00CC1B39"/>
    <w:rsid w:val="00CC1BFA"/>
    <w:rsid w:val="00CC2E9F"/>
    <w:rsid w:val="00CC342E"/>
    <w:rsid w:val="00CC35EA"/>
    <w:rsid w:val="00CC3848"/>
    <w:rsid w:val="00CC3EEF"/>
    <w:rsid w:val="00CC41CE"/>
    <w:rsid w:val="00CC48FB"/>
    <w:rsid w:val="00CC492E"/>
    <w:rsid w:val="00CC5246"/>
    <w:rsid w:val="00CC55BC"/>
    <w:rsid w:val="00CC5B9E"/>
    <w:rsid w:val="00CC5CCB"/>
    <w:rsid w:val="00CC60FB"/>
    <w:rsid w:val="00CC66FF"/>
    <w:rsid w:val="00CC6D5E"/>
    <w:rsid w:val="00CC747E"/>
    <w:rsid w:val="00CC7836"/>
    <w:rsid w:val="00CC7B75"/>
    <w:rsid w:val="00CC7BBA"/>
    <w:rsid w:val="00CD01ED"/>
    <w:rsid w:val="00CD0200"/>
    <w:rsid w:val="00CD1C9F"/>
    <w:rsid w:val="00CD1F9D"/>
    <w:rsid w:val="00CD2147"/>
    <w:rsid w:val="00CD2ABB"/>
    <w:rsid w:val="00CD34BF"/>
    <w:rsid w:val="00CD37D9"/>
    <w:rsid w:val="00CD3937"/>
    <w:rsid w:val="00CD3F77"/>
    <w:rsid w:val="00CD52EF"/>
    <w:rsid w:val="00CD5ECF"/>
    <w:rsid w:val="00CD5FDB"/>
    <w:rsid w:val="00CD62C2"/>
    <w:rsid w:val="00CD6ADC"/>
    <w:rsid w:val="00CD6B28"/>
    <w:rsid w:val="00CD701B"/>
    <w:rsid w:val="00CD7193"/>
    <w:rsid w:val="00CD7918"/>
    <w:rsid w:val="00CD7AF4"/>
    <w:rsid w:val="00CE0BF5"/>
    <w:rsid w:val="00CE2EEB"/>
    <w:rsid w:val="00CE2F4D"/>
    <w:rsid w:val="00CE38C8"/>
    <w:rsid w:val="00CE4D65"/>
    <w:rsid w:val="00CE4DE4"/>
    <w:rsid w:val="00CE524F"/>
    <w:rsid w:val="00CE5540"/>
    <w:rsid w:val="00CE58CC"/>
    <w:rsid w:val="00CE5906"/>
    <w:rsid w:val="00CE6274"/>
    <w:rsid w:val="00CE66E7"/>
    <w:rsid w:val="00CE6772"/>
    <w:rsid w:val="00CE77B6"/>
    <w:rsid w:val="00CF0738"/>
    <w:rsid w:val="00CF09F3"/>
    <w:rsid w:val="00CF172B"/>
    <w:rsid w:val="00CF18C6"/>
    <w:rsid w:val="00CF1FFC"/>
    <w:rsid w:val="00CF25A1"/>
    <w:rsid w:val="00CF2B8D"/>
    <w:rsid w:val="00CF3A1B"/>
    <w:rsid w:val="00CF4004"/>
    <w:rsid w:val="00CF456B"/>
    <w:rsid w:val="00CF4716"/>
    <w:rsid w:val="00CF507B"/>
    <w:rsid w:val="00CF5403"/>
    <w:rsid w:val="00CF5A22"/>
    <w:rsid w:val="00CF7DFD"/>
    <w:rsid w:val="00D00D7D"/>
    <w:rsid w:val="00D01083"/>
    <w:rsid w:val="00D0262E"/>
    <w:rsid w:val="00D0291B"/>
    <w:rsid w:val="00D031A9"/>
    <w:rsid w:val="00D03679"/>
    <w:rsid w:val="00D0373C"/>
    <w:rsid w:val="00D0382E"/>
    <w:rsid w:val="00D03841"/>
    <w:rsid w:val="00D04603"/>
    <w:rsid w:val="00D04847"/>
    <w:rsid w:val="00D04B06"/>
    <w:rsid w:val="00D04BA8"/>
    <w:rsid w:val="00D04E1B"/>
    <w:rsid w:val="00D05089"/>
    <w:rsid w:val="00D0510E"/>
    <w:rsid w:val="00D05134"/>
    <w:rsid w:val="00D05E3D"/>
    <w:rsid w:val="00D06139"/>
    <w:rsid w:val="00D06C5B"/>
    <w:rsid w:val="00D06CC4"/>
    <w:rsid w:val="00D07BE3"/>
    <w:rsid w:val="00D07D82"/>
    <w:rsid w:val="00D10F09"/>
    <w:rsid w:val="00D110BD"/>
    <w:rsid w:val="00D11B09"/>
    <w:rsid w:val="00D11F9C"/>
    <w:rsid w:val="00D126CC"/>
    <w:rsid w:val="00D134E2"/>
    <w:rsid w:val="00D1358A"/>
    <w:rsid w:val="00D13675"/>
    <w:rsid w:val="00D13B0D"/>
    <w:rsid w:val="00D1404E"/>
    <w:rsid w:val="00D141E1"/>
    <w:rsid w:val="00D15314"/>
    <w:rsid w:val="00D15384"/>
    <w:rsid w:val="00D15B48"/>
    <w:rsid w:val="00D168B0"/>
    <w:rsid w:val="00D16979"/>
    <w:rsid w:val="00D17D6C"/>
    <w:rsid w:val="00D20140"/>
    <w:rsid w:val="00D20858"/>
    <w:rsid w:val="00D2155B"/>
    <w:rsid w:val="00D21843"/>
    <w:rsid w:val="00D2189A"/>
    <w:rsid w:val="00D22463"/>
    <w:rsid w:val="00D228FC"/>
    <w:rsid w:val="00D22A8B"/>
    <w:rsid w:val="00D23B6C"/>
    <w:rsid w:val="00D23D11"/>
    <w:rsid w:val="00D244B6"/>
    <w:rsid w:val="00D2542C"/>
    <w:rsid w:val="00D25A6E"/>
    <w:rsid w:val="00D25C54"/>
    <w:rsid w:val="00D25D83"/>
    <w:rsid w:val="00D25F22"/>
    <w:rsid w:val="00D25FC2"/>
    <w:rsid w:val="00D26EF7"/>
    <w:rsid w:val="00D27080"/>
    <w:rsid w:val="00D27158"/>
    <w:rsid w:val="00D273F3"/>
    <w:rsid w:val="00D2754D"/>
    <w:rsid w:val="00D27B27"/>
    <w:rsid w:val="00D27E95"/>
    <w:rsid w:val="00D27F1C"/>
    <w:rsid w:val="00D30D5B"/>
    <w:rsid w:val="00D3134A"/>
    <w:rsid w:val="00D3151C"/>
    <w:rsid w:val="00D3152B"/>
    <w:rsid w:val="00D33408"/>
    <w:rsid w:val="00D33BE9"/>
    <w:rsid w:val="00D33CC8"/>
    <w:rsid w:val="00D33F93"/>
    <w:rsid w:val="00D34312"/>
    <w:rsid w:val="00D34A92"/>
    <w:rsid w:val="00D34E57"/>
    <w:rsid w:val="00D3518C"/>
    <w:rsid w:val="00D357FF"/>
    <w:rsid w:val="00D35E31"/>
    <w:rsid w:val="00D37044"/>
    <w:rsid w:val="00D377CD"/>
    <w:rsid w:val="00D40275"/>
    <w:rsid w:val="00D40735"/>
    <w:rsid w:val="00D41518"/>
    <w:rsid w:val="00D4166E"/>
    <w:rsid w:val="00D424C7"/>
    <w:rsid w:val="00D42920"/>
    <w:rsid w:val="00D43B2A"/>
    <w:rsid w:val="00D43CF1"/>
    <w:rsid w:val="00D43D83"/>
    <w:rsid w:val="00D4494D"/>
    <w:rsid w:val="00D456BF"/>
    <w:rsid w:val="00D46716"/>
    <w:rsid w:val="00D47575"/>
    <w:rsid w:val="00D50196"/>
    <w:rsid w:val="00D5020E"/>
    <w:rsid w:val="00D508BA"/>
    <w:rsid w:val="00D50913"/>
    <w:rsid w:val="00D522B1"/>
    <w:rsid w:val="00D5243B"/>
    <w:rsid w:val="00D52716"/>
    <w:rsid w:val="00D52894"/>
    <w:rsid w:val="00D5316F"/>
    <w:rsid w:val="00D533EC"/>
    <w:rsid w:val="00D53AF6"/>
    <w:rsid w:val="00D54C58"/>
    <w:rsid w:val="00D559EB"/>
    <w:rsid w:val="00D56899"/>
    <w:rsid w:val="00D56A95"/>
    <w:rsid w:val="00D57AEE"/>
    <w:rsid w:val="00D57E26"/>
    <w:rsid w:val="00D6015E"/>
    <w:rsid w:val="00D6076E"/>
    <w:rsid w:val="00D607D5"/>
    <w:rsid w:val="00D613A1"/>
    <w:rsid w:val="00D61B65"/>
    <w:rsid w:val="00D62FF1"/>
    <w:rsid w:val="00D643FF"/>
    <w:rsid w:val="00D64A87"/>
    <w:rsid w:val="00D665C3"/>
    <w:rsid w:val="00D667F6"/>
    <w:rsid w:val="00D70F16"/>
    <w:rsid w:val="00D7196E"/>
    <w:rsid w:val="00D72617"/>
    <w:rsid w:val="00D72B51"/>
    <w:rsid w:val="00D72F57"/>
    <w:rsid w:val="00D72FA1"/>
    <w:rsid w:val="00D748FC"/>
    <w:rsid w:val="00D74C5C"/>
    <w:rsid w:val="00D74EF7"/>
    <w:rsid w:val="00D7526C"/>
    <w:rsid w:val="00D7578A"/>
    <w:rsid w:val="00D75FFB"/>
    <w:rsid w:val="00D76617"/>
    <w:rsid w:val="00D76A44"/>
    <w:rsid w:val="00D77061"/>
    <w:rsid w:val="00D801BF"/>
    <w:rsid w:val="00D8066C"/>
    <w:rsid w:val="00D815EF"/>
    <w:rsid w:val="00D81949"/>
    <w:rsid w:val="00D81F26"/>
    <w:rsid w:val="00D822E2"/>
    <w:rsid w:val="00D82AC4"/>
    <w:rsid w:val="00D833EE"/>
    <w:rsid w:val="00D835E6"/>
    <w:rsid w:val="00D843F2"/>
    <w:rsid w:val="00D847F7"/>
    <w:rsid w:val="00D84C47"/>
    <w:rsid w:val="00D854FD"/>
    <w:rsid w:val="00D85AED"/>
    <w:rsid w:val="00D86231"/>
    <w:rsid w:val="00D86B87"/>
    <w:rsid w:val="00D86FB5"/>
    <w:rsid w:val="00D8710C"/>
    <w:rsid w:val="00D87285"/>
    <w:rsid w:val="00D90BAF"/>
    <w:rsid w:val="00D90D05"/>
    <w:rsid w:val="00D90ED9"/>
    <w:rsid w:val="00D91236"/>
    <w:rsid w:val="00D912AB"/>
    <w:rsid w:val="00D91923"/>
    <w:rsid w:val="00D92D9D"/>
    <w:rsid w:val="00D93753"/>
    <w:rsid w:val="00D93959"/>
    <w:rsid w:val="00D9471B"/>
    <w:rsid w:val="00D94F07"/>
    <w:rsid w:val="00D9520C"/>
    <w:rsid w:val="00D95702"/>
    <w:rsid w:val="00D95A54"/>
    <w:rsid w:val="00D95FE8"/>
    <w:rsid w:val="00D96916"/>
    <w:rsid w:val="00D972D2"/>
    <w:rsid w:val="00D9754F"/>
    <w:rsid w:val="00D97EE3"/>
    <w:rsid w:val="00DA0586"/>
    <w:rsid w:val="00DA080F"/>
    <w:rsid w:val="00DA0C8F"/>
    <w:rsid w:val="00DA1DD7"/>
    <w:rsid w:val="00DA21D2"/>
    <w:rsid w:val="00DA2687"/>
    <w:rsid w:val="00DA3167"/>
    <w:rsid w:val="00DA369B"/>
    <w:rsid w:val="00DA3D34"/>
    <w:rsid w:val="00DA4DC3"/>
    <w:rsid w:val="00DA4F1A"/>
    <w:rsid w:val="00DA61E4"/>
    <w:rsid w:val="00DA6318"/>
    <w:rsid w:val="00DA6EEE"/>
    <w:rsid w:val="00DA77A5"/>
    <w:rsid w:val="00DB0E36"/>
    <w:rsid w:val="00DB0F25"/>
    <w:rsid w:val="00DB1550"/>
    <w:rsid w:val="00DB163F"/>
    <w:rsid w:val="00DB2723"/>
    <w:rsid w:val="00DB32E7"/>
    <w:rsid w:val="00DB3B6F"/>
    <w:rsid w:val="00DB3DBF"/>
    <w:rsid w:val="00DB4609"/>
    <w:rsid w:val="00DB484F"/>
    <w:rsid w:val="00DB4D56"/>
    <w:rsid w:val="00DB58E4"/>
    <w:rsid w:val="00DB59FB"/>
    <w:rsid w:val="00DB5CA2"/>
    <w:rsid w:val="00DB6330"/>
    <w:rsid w:val="00DB6E67"/>
    <w:rsid w:val="00DC03D9"/>
    <w:rsid w:val="00DC04F6"/>
    <w:rsid w:val="00DC0690"/>
    <w:rsid w:val="00DC1D65"/>
    <w:rsid w:val="00DC2254"/>
    <w:rsid w:val="00DC2789"/>
    <w:rsid w:val="00DC2BC6"/>
    <w:rsid w:val="00DC34C1"/>
    <w:rsid w:val="00DC3723"/>
    <w:rsid w:val="00DC3A24"/>
    <w:rsid w:val="00DC3C57"/>
    <w:rsid w:val="00DC413B"/>
    <w:rsid w:val="00DC450A"/>
    <w:rsid w:val="00DC4B7E"/>
    <w:rsid w:val="00DC4F44"/>
    <w:rsid w:val="00DC514A"/>
    <w:rsid w:val="00DC5501"/>
    <w:rsid w:val="00DC59CC"/>
    <w:rsid w:val="00DC5A36"/>
    <w:rsid w:val="00DC5DB6"/>
    <w:rsid w:val="00DC5DE4"/>
    <w:rsid w:val="00DC60C0"/>
    <w:rsid w:val="00DC68A2"/>
    <w:rsid w:val="00DC6AAF"/>
    <w:rsid w:val="00DC7154"/>
    <w:rsid w:val="00DC7E8A"/>
    <w:rsid w:val="00DC7F7C"/>
    <w:rsid w:val="00DD0AD9"/>
    <w:rsid w:val="00DD0F78"/>
    <w:rsid w:val="00DD1C1C"/>
    <w:rsid w:val="00DD2225"/>
    <w:rsid w:val="00DD25A3"/>
    <w:rsid w:val="00DD273C"/>
    <w:rsid w:val="00DD2995"/>
    <w:rsid w:val="00DD303E"/>
    <w:rsid w:val="00DD337C"/>
    <w:rsid w:val="00DD3F28"/>
    <w:rsid w:val="00DD4446"/>
    <w:rsid w:val="00DD4537"/>
    <w:rsid w:val="00DD49A2"/>
    <w:rsid w:val="00DD4E15"/>
    <w:rsid w:val="00DD5931"/>
    <w:rsid w:val="00DD5C88"/>
    <w:rsid w:val="00DD63B4"/>
    <w:rsid w:val="00DD6F21"/>
    <w:rsid w:val="00DD7285"/>
    <w:rsid w:val="00DD72B4"/>
    <w:rsid w:val="00DD7428"/>
    <w:rsid w:val="00DD78A8"/>
    <w:rsid w:val="00DD7D18"/>
    <w:rsid w:val="00DE0A10"/>
    <w:rsid w:val="00DE0F3B"/>
    <w:rsid w:val="00DE1166"/>
    <w:rsid w:val="00DE149F"/>
    <w:rsid w:val="00DE1704"/>
    <w:rsid w:val="00DE1A5D"/>
    <w:rsid w:val="00DE1ABA"/>
    <w:rsid w:val="00DE1CE0"/>
    <w:rsid w:val="00DE2304"/>
    <w:rsid w:val="00DE2BBF"/>
    <w:rsid w:val="00DE3138"/>
    <w:rsid w:val="00DE37F8"/>
    <w:rsid w:val="00DE4273"/>
    <w:rsid w:val="00DE436C"/>
    <w:rsid w:val="00DE4BFC"/>
    <w:rsid w:val="00DE4FCB"/>
    <w:rsid w:val="00DE57D7"/>
    <w:rsid w:val="00DE59C7"/>
    <w:rsid w:val="00DE5D07"/>
    <w:rsid w:val="00DE69A6"/>
    <w:rsid w:val="00DE7087"/>
    <w:rsid w:val="00DE72A7"/>
    <w:rsid w:val="00DE7832"/>
    <w:rsid w:val="00DE7C16"/>
    <w:rsid w:val="00DF09C8"/>
    <w:rsid w:val="00DF13EF"/>
    <w:rsid w:val="00DF18FC"/>
    <w:rsid w:val="00DF2785"/>
    <w:rsid w:val="00DF34F0"/>
    <w:rsid w:val="00DF58B8"/>
    <w:rsid w:val="00DF59DB"/>
    <w:rsid w:val="00DF5B1E"/>
    <w:rsid w:val="00DF5D2B"/>
    <w:rsid w:val="00DF6014"/>
    <w:rsid w:val="00DF61E6"/>
    <w:rsid w:val="00DF6341"/>
    <w:rsid w:val="00DF78C3"/>
    <w:rsid w:val="00E007B5"/>
    <w:rsid w:val="00E00D4D"/>
    <w:rsid w:val="00E00E8E"/>
    <w:rsid w:val="00E0226E"/>
    <w:rsid w:val="00E02321"/>
    <w:rsid w:val="00E02401"/>
    <w:rsid w:val="00E0303B"/>
    <w:rsid w:val="00E03D22"/>
    <w:rsid w:val="00E04693"/>
    <w:rsid w:val="00E050F0"/>
    <w:rsid w:val="00E05630"/>
    <w:rsid w:val="00E05B84"/>
    <w:rsid w:val="00E0687F"/>
    <w:rsid w:val="00E06AEC"/>
    <w:rsid w:val="00E06DBB"/>
    <w:rsid w:val="00E10149"/>
    <w:rsid w:val="00E102FF"/>
    <w:rsid w:val="00E10C85"/>
    <w:rsid w:val="00E10DB4"/>
    <w:rsid w:val="00E11340"/>
    <w:rsid w:val="00E11522"/>
    <w:rsid w:val="00E11D90"/>
    <w:rsid w:val="00E122A1"/>
    <w:rsid w:val="00E127BD"/>
    <w:rsid w:val="00E129C5"/>
    <w:rsid w:val="00E12AA0"/>
    <w:rsid w:val="00E13178"/>
    <w:rsid w:val="00E134BD"/>
    <w:rsid w:val="00E136E4"/>
    <w:rsid w:val="00E14042"/>
    <w:rsid w:val="00E142DE"/>
    <w:rsid w:val="00E144DC"/>
    <w:rsid w:val="00E148E1"/>
    <w:rsid w:val="00E16372"/>
    <w:rsid w:val="00E16904"/>
    <w:rsid w:val="00E16AD8"/>
    <w:rsid w:val="00E1700C"/>
    <w:rsid w:val="00E176BD"/>
    <w:rsid w:val="00E17FFA"/>
    <w:rsid w:val="00E203F3"/>
    <w:rsid w:val="00E2073E"/>
    <w:rsid w:val="00E20E4D"/>
    <w:rsid w:val="00E20ED6"/>
    <w:rsid w:val="00E21229"/>
    <w:rsid w:val="00E21358"/>
    <w:rsid w:val="00E2146B"/>
    <w:rsid w:val="00E21470"/>
    <w:rsid w:val="00E21526"/>
    <w:rsid w:val="00E2249B"/>
    <w:rsid w:val="00E2265F"/>
    <w:rsid w:val="00E22A0D"/>
    <w:rsid w:val="00E22E87"/>
    <w:rsid w:val="00E22F87"/>
    <w:rsid w:val="00E23569"/>
    <w:rsid w:val="00E244F6"/>
    <w:rsid w:val="00E24CBB"/>
    <w:rsid w:val="00E25883"/>
    <w:rsid w:val="00E258DB"/>
    <w:rsid w:val="00E25F7F"/>
    <w:rsid w:val="00E2645B"/>
    <w:rsid w:val="00E2771E"/>
    <w:rsid w:val="00E308D8"/>
    <w:rsid w:val="00E30C61"/>
    <w:rsid w:val="00E311EF"/>
    <w:rsid w:val="00E31561"/>
    <w:rsid w:val="00E316D2"/>
    <w:rsid w:val="00E317C4"/>
    <w:rsid w:val="00E32108"/>
    <w:rsid w:val="00E32177"/>
    <w:rsid w:val="00E32180"/>
    <w:rsid w:val="00E3270B"/>
    <w:rsid w:val="00E32B75"/>
    <w:rsid w:val="00E32D91"/>
    <w:rsid w:val="00E33579"/>
    <w:rsid w:val="00E348E2"/>
    <w:rsid w:val="00E34948"/>
    <w:rsid w:val="00E35169"/>
    <w:rsid w:val="00E3528D"/>
    <w:rsid w:val="00E358F1"/>
    <w:rsid w:val="00E36800"/>
    <w:rsid w:val="00E36B8A"/>
    <w:rsid w:val="00E370AB"/>
    <w:rsid w:val="00E37148"/>
    <w:rsid w:val="00E37295"/>
    <w:rsid w:val="00E37569"/>
    <w:rsid w:val="00E37AEA"/>
    <w:rsid w:val="00E401B2"/>
    <w:rsid w:val="00E4082D"/>
    <w:rsid w:val="00E409C0"/>
    <w:rsid w:val="00E41687"/>
    <w:rsid w:val="00E41811"/>
    <w:rsid w:val="00E41DA2"/>
    <w:rsid w:val="00E41E30"/>
    <w:rsid w:val="00E41F8A"/>
    <w:rsid w:val="00E4219D"/>
    <w:rsid w:val="00E42ACF"/>
    <w:rsid w:val="00E42F73"/>
    <w:rsid w:val="00E434C4"/>
    <w:rsid w:val="00E43D70"/>
    <w:rsid w:val="00E43E92"/>
    <w:rsid w:val="00E44F5E"/>
    <w:rsid w:val="00E454A7"/>
    <w:rsid w:val="00E4576D"/>
    <w:rsid w:val="00E45C02"/>
    <w:rsid w:val="00E45EED"/>
    <w:rsid w:val="00E466F3"/>
    <w:rsid w:val="00E46EBA"/>
    <w:rsid w:val="00E471FC"/>
    <w:rsid w:val="00E4783F"/>
    <w:rsid w:val="00E47B2C"/>
    <w:rsid w:val="00E47E05"/>
    <w:rsid w:val="00E50742"/>
    <w:rsid w:val="00E50855"/>
    <w:rsid w:val="00E51560"/>
    <w:rsid w:val="00E51821"/>
    <w:rsid w:val="00E52B35"/>
    <w:rsid w:val="00E53930"/>
    <w:rsid w:val="00E53A12"/>
    <w:rsid w:val="00E53FC8"/>
    <w:rsid w:val="00E54327"/>
    <w:rsid w:val="00E54347"/>
    <w:rsid w:val="00E54769"/>
    <w:rsid w:val="00E54A17"/>
    <w:rsid w:val="00E54C74"/>
    <w:rsid w:val="00E55424"/>
    <w:rsid w:val="00E5543C"/>
    <w:rsid w:val="00E55915"/>
    <w:rsid w:val="00E55BB5"/>
    <w:rsid w:val="00E55D0A"/>
    <w:rsid w:val="00E56B04"/>
    <w:rsid w:val="00E57DD7"/>
    <w:rsid w:val="00E60086"/>
    <w:rsid w:val="00E6113E"/>
    <w:rsid w:val="00E611DF"/>
    <w:rsid w:val="00E614C1"/>
    <w:rsid w:val="00E61530"/>
    <w:rsid w:val="00E62136"/>
    <w:rsid w:val="00E622B3"/>
    <w:rsid w:val="00E6245F"/>
    <w:rsid w:val="00E62BB6"/>
    <w:rsid w:val="00E62BFB"/>
    <w:rsid w:val="00E6336D"/>
    <w:rsid w:val="00E63C84"/>
    <w:rsid w:val="00E64C8D"/>
    <w:rsid w:val="00E65468"/>
    <w:rsid w:val="00E65D91"/>
    <w:rsid w:val="00E65E79"/>
    <w:rsid w:val="00E669C9"/>
    <w:rsid w:val="00E66BA2"/>
    <w:rsid w:val="00E66C1D"/>
    <w:rsid w:val="00E6717E"/>
    <w:rsid w:val="00E67416"/>
    <w:rsid w:val="00E70222"/>
    <w:rsid w:val="00E718B6"/>
    <w:rsid w:val="00E71915"/>
    <w:rsid w:val="00E72188"/>
    <w:rsid w:val="00E723BA"/>
    <w:rsid w:val="00E72946"/>
    <w:rsid w:val="00E72994"/>
    <w:rsid w:val="00E72A9F"/>
    <w:rsid w:val="00E73048"/>
    <w:rsid w:val="00E73110"/>
    <w:rsid w:val="00E733CA"/>
    <w:rsid w:val="00E7344C"/>
    <w:rsid w:val="00E73581"/>
    <w:rsid w:val="00E75800"/>
    <w:rsid w:val="00E75857"/>
    <w:rsid w:val="00E75884"/>
    <w:rsid w:val="00E76591"/>
    <w:rsid w:val="00E77806"/>
    <w:rsid w:val="00E8028C"/>
    <w:rsid w:val="00E80337"/>
    <w:rsid w:val="00E805BB"/>
    <w:rsid w:val="00E81375"/>
    <w:rsid w:val="00E81B09"/>
    <w:rsid w:val="00E81DBB"/>
    <w:rsid w:val="00E825F1"/>
    <w:rsid w:val="00E8288F"/>
    <w:rsid w:val="00E833F7"/>
    <w:rsid w:val="00E83BDF"/>
    <w:rsid w:val="00E844E0"/>
    <w:rsid w:val="00E8460F"/>
    <w:rsid w:val="00E85FB8"/>
    <w:rsid w:val="00E861B5"/>
    <w:rsid w:val="00E86FCC"/>
    <w:rsid w:val="00E874AA"/>
    <w:rsid w:val="00E87A1D"/>
    <w:rsid w:val="00E9094A"/>
    <w:rsid w:val="00E90FC3"/>
    <w:rsid w:val="00E91D35"/>
    <w:rsid w:val="00E926A5"/>
    <w:rsid w:val="00E9277E"/>
    <w:rsid w:val="00E93DF6"/>
    <w:rsid w:val="00E941B8"/>
    <w:rsid w:val="00E94A93"/>
    <w:rsid w:val="00E962CC"/>
    <w:rsid w:val="00E96F78"/>
    <w:rsid w:val="00E97318"/>
    <w:rsid w:val="00E97480"/>
    <w:rsid w:val="00E97904"/>
    <w:rsid w:val="00E97AE6"/>
    <w:rsid w:val="00E97D75"/>
    <w:rsid w:val="00E97DCA"/>
    <w:rsid w:val="00E97E15"/>
    <w:rsid w:val="00EA0707"/>
    <w:rsid w:val="00EA0769"/>
    <w:rsid w:val="00EA0A9E"/>
    <w:rsid w:val="00EA114A"/>
    <w:rsid w:val="00EA1272"/>
    <w:rsid w:val="00EA12BE"/>
    <w:rsid w:val="00EA12CE"/>
    <w:rsid w:val="00EA1761"/>
    <w:rsid w:val="00EA17C3"/>
    <w:rsid w:val="00EA18B9"/>
    <w:rsid w:val="00EA2A27"/>
    <w:rsid w:val="00EA2CAA"/>
    <w:rsid w:val="00EA2CB3"/>
    <w:rsid w:val="00EA3864"/>
    <w:rsid w:val="00EA38B3"/>
    <w:rsid w:val="00EA53BA"/>
    <w:rsid w:val="00EA544C"/>
    <w:rsid w:val="00EA7F1C"/>
    <w:rsid w:val="00EB00FD"/>
    <w:rsid w:val="00EB089C"/>
    <w:rsid w:val="00EB10B6"/>
    <w:rsid w:val="00EB15B6"/>
    <w:rsid w:val="00EB1B3E"/>
    <w:rsid w:val="00EB2067"/>
    <w:rsid w:val="00EB2B27"/>
    <w:rsid w:val="00EB305C"/>
    <w:rsid w:val="00EB3670"/>
    <w:rsid w:val="00EB3BA3"/>
    <w:rsid w:val="00EB3D06"/>
    <w:rsid w:val="00EB4855"/>
    <w:rsid w:val="00EB4916"/>
    <w:rsid w:val="00EB5B12"/>
    <w:rsid w:val="00EB5D6D"/>
    <w:rsid w:val="00EB60BF"/>
    <w:rsid w:val="00EB6823"/>
    <w:rsid w:val="00EB6A43"/>
    <w:rsid w:val="00EB6AD5"/>
    <w:rsid w:val="00EB7858"/>
    <w:rsid w:val="00EC00C9"/>
    <w:rsid w:val="00EC0942"/>
    <w:rsid w:val="00EC097B"/>
    <w:rsid w:val="00EC0BF6"/>
    <w:rsid w:val="00EC0DD9"/>
    <w:rsid w:val="00EC0FDC"/>
    <w:rsid w:val="00EC122A"/>
    <w:rsid w:val="00EC16CC"/>
    <w:rsid w:val="00EC1B5B"/>
    <w:rsid w:val="00EC1D39"/>
    <w:rsid w:val="00EC2649"/>
    <w:rsid w:val="00EC31ED"/>
    <w:rsid w:val="00EC3965"/>
    <w:rsid w:val="00EC40FF"/>
    <w:rsid w:val="00EC5836"/>
    <w:rsid w:val="00EC62C3"/>
    <w:rsid w:val="00EC688C"/>
    <w:rsid w:val="00EC7091"/>
    <w:rsid w:val="00EC718C"/>
    <w:rsid w:val="00ED0348"/>
    <w:rsid w:val="00ED0AF2"/>
    <w:rsid w:val="00ED0CBB"/>
    <w:rsid w:val="00ED0E3F"/>
    <w:rsid w:val="00ED12E3"/>
    <w:rsid w:val="00ED1A15"/>
    <w:rsid w:val="00ED1A44"/>
    <w:rsid w:val="00ED1E36"/>
    <w:rsid w:val="00ED21F4"/>
    <w:rsid w:val="00ED3279"/>
    <w:rsid w:val="00ED32CB"/>
    <w:rsid w:val="00ED36C2"/>
    <w:rsid w:val="00ED38BF"/>
    <w:rsid w:val="00ED3E31"/>
    <w:rsid w:val="00ED42B8"/>
    <w:rsid w:val="00ED4B04"/>
    <w:rsid w:val="00ED57EA"/>
    <w:rsid w:val="00ED5BD4"/>
    <w:rsid w:val="00ED6A4C"/>
    <w:rsid w:val="00EE07D3"/>
    <w:rsid w:val="00EE0CB0"/>
    <w:rsid w:val="00EE111E"/>
    <w:rsid w:val="00EE18D2"/>
    <w:rsid w:val="00EE1996"/>
    <w:rsid w:val="00EE19B0"/>
    <w:rsid w:val="00EE1ACD"/>
    <w:rsid w:val="00EE1C01"/>
    <w:rsid w:val="00EE22AF"/>
    <w:rsid w:val="00EE22B3"/>
    <w:rsid w:val="00EE245A"/>
    <w:rsid w:val="00EE2C85"/>
    <w:rsid w:val="00EE3A92"/>
    <w:rsid w:val="00EE3E20"/>
    <w:rsid w:val="00EE4E1A"/>
    <w:rsid w:val="00EE532A"/>
    <w:rsid w:val="00EE53A1"/>
    <w:rsid w:val="00EE6111"/>
    <w:rsid w:val="00EE7916"/>
    <w:rsid w:val="00EE7F85"/>
    <w:rsid w:val="00EF0171"/>
    <w:rsid w:val="00EF1792"/>
    <w:rsid w:val="00EF1B25"/>
    <w:rsid w:val="00EF1DA0"/>
    <w:rsid w:val="00EF1E29"/>
    <w:rsid w:val="00EF3A67"/>
    <w:rsid w:val="00EF4747"/>
    <w:rsid w:val="00EF4BF8"/>
    <w:rsid w:val="00EF4D26"/>
    <w:rsid w:val="00EF5766"/>
    <w:rsid w:val="00EF753E"/>
    <w:rsid w:val="00EF7649"/>
    <w:rsid w:val="00F01B69"/>
    <w:rsid w:val="00F02253"/>
    <w:rsid w:val="00F02961"/>
    <w:rsid w:val="00F02EE5"/>
    <w:rsid w:val="00F03C2E"/>
    <w:rsid w:val="00F04A66"/>
    <w:rsid w:val="00F04B4B"/>
    <w:rsid w:val="00F0516C"/>
    <w:rsid w:val="00F0598C"/>
    <w:rsid w:val="00F05CE2"/>
    <w:rsid w:val="00F065F9"/>
    <w:rsid w:val="00F067A2"/>
    <w:rsid w:val="00F06919"/>
    <w:rsid w:val="00F069AD"/>
    <w:rsid w:val="00F06F75"/>
    <w:rsid w:val="00F077A9"/>
    <w:rsid w:val="00F07B9E"/>
    <w:rsid w:val="00F102F4"/>
    <w:rsid w:val="00F108C8"/>
    <w:rsid w:val="00F10A9B"/>
    <w:rsid w:val="00F1116F"/>
    <w:rsid w:val="00F11536"/>
    <w:rsid w:val="00F11A43"/>
    <w:rsid w:val="00F12080"/>
    <w:rsid w:val="00F1263A"/>
    <w:rsid w:val="00F127E2"/>
    <w:rsid w:val="00F12F78"/>
    <w:rsid w:val="00F12FB8"/>
    <w:rsid w:val="00F139C5"/>
    <w:rsid w:val="00F142A0"/>
    <w:rsid w:val="00F155FB"/>
    <w:rsid w:val="00F156EF"/>
    <w:rsid w:val="00F15B77"/>
    <w:rsid w:val="00F170A7"/>
    <w:rsid w:val="00F1797F"/>
    <w:rsid w:val="00F17CCA"/>
    <w:rsid w:val="00F20811"/>
    <w:rsid w:val="00F21236"/>
    <w:rsid w:val="00F2285D"/>
    <w:rsid w:val="00F23006"/>
    <w:rsid w:val="00F239DF"/>
    <w:rsid w:val="00F23AB0"/>
    <w:rsid w:val="00F24837"/>
    <w:rsid w:val="00F2575F"/>
    <w:rsid w:val="00F263F4"/>
    <w:rsid w:val="00F2647C"/>
    <w:rsid w:val="00F268E1"/>
    <w:rsid w:val="00F26BB1"/>
    <w:rsid w:val="00F273BD"/>
    <w:rsid w:val="00F27565"/>
    <w:rsid w:val="00F27C20"/>
    <w:rsid w:val="00F310D4"/>
    <w:rsid w:val="00F31726"/>
    <w:rsid w:val="00F31D5A"/>
    <w:rsid w:val="00F327A9"/>
    <w:rsid w:val="00F32D40"/>
    <w:rsid w:val="00F32E19"/>
    <w:rsid w:val="00F32E2C"/>
    <w:rsid w:val="00F3312E"/>
    <w:rsid w:val="00F337FE"/>
    <w:rsid w:val="00F33865"/>
    <w:rsid w:val="00F338B5"/>
    <w:rsid w:val="00F33975"/>
    <w:rsid w:val="00F33DE9"/>
    <w:rsid w:val="00F33F7E"/>
    <w:rsid w:val="00F34D1E"/>
    <w:rsid w:val="00F3518C"/>
    <w:rsid w:val="00F35464"/>
    <w:rsid w:val="00F3554C"/>
    <w:rsid w:val="00F35E6D"/>
    <w:rsid w:val="00F3619A"/>
    <w:rsid w:val="00F36688"/>
    <w:rsid w:val="00F368C8"/>
    <w:rsid w:val="00F37795"/>
    <w:rsid w:val="00F40AAA"/>
    <w:rsid w:val="00F40BA7"/>
    <w:rsid w:val="00F40BB3"/>
    <w:rsid w:val="00F40E5E"/>
    <w:rsid w:val="00F40F8C"/>
    <w:rsid w:val="00F40F9D"/>
    <w:rsid w:val="00F41816"/>
    <w:rsid w:val="00F41ACD"/>
    <w:rsid w:val="00F41F75"/>
    <w:rsid w:val="00F424CE"/>
    <w:rsid w:val="00F426EC"/>
    <w:rsid w:val="00F436C2"/>
    <w:rsid w:val="00F439C0"/>
    <w:rsid w:val="00F43E29"/>
    <w:rsid w:val="00F4405E"/>
    <w:rsid w:val="00F463DD"/>
    <w:rsid w:val="00F4697F"/>
    <w:rsid w:val="00F46CB6"/>
    <w:rsid w:val="00F474D6"/>
    <w:rsid w:val="00F4756D"/>
    <w:rsid w:val="00F47B41"/>
    <w:rsid w:val="00F47DE8"/>
    <w:rsid w:val="00F50802"/>
    <w:rsid w:val="00F50882"/>
    <w:rsid w:val="00F51A2D"/>
    <w:rsid w:val="00F521B6"/>
    <w:rsid w:val="00F52995"/>
    <w:rsid w:val="00F542C1"/>
    <w:rsid w:val="00F54400"/>
    <w:rsid w:val="00F54FE6"/>
    <w:rsid w:val="00F550E3"/>
    <w:rsid w:val="00F559EA"/>
    <w:rsid w:val="00F55E73"/>
    <w:rsid w:val="00F55EDA"/>
    <w:rsid w:val="00F561C1"/>
    <w:rsid w:val="00F56354"/>
    <w:rsid w:val="00F56B29"/>
    <w:rsid w:val="00F56C80"/>
    <w:rsid w:val="00F579CA"/>
    <w:rsid w:val="00F60092"/>
    <w:rsid w:val="00F60275"/>
    <w:rsid w:val="00F60605"/>
    <w:rsid w:val="00F6078F"/>
    <w:rsid w:val="00F61200"/>
    <w:rsid w:val="00F61B58"/>
    <w:rsid w:val="00F61C18"/>
    <w:rsid w:val="00F62840"/>
    <w:rsid w:val="00F6302C"/>
    <w:rsid w:val="00F631DF"/>
    <w:rsid w:val="00F63B7D"/>
    <w:rsid w:val="00F63FDC"/>
    <w:rsid w:val="00F640AB"/>
    <w:rsid w:val="00F64DBF"/>
    <w:rsid w:val="00F65037"/>
    <w:rsid w:val="00F653F4"/>
    <w:rsid w:val="00F65552"/>
    <w:rsid w:val="00F657C3"/>
    <w:rsid w:val="00F65F4B"/>
    <w:rsid w:val="00F664CA"/>
    <w:rsid w:val="00F66C41"/>
    <w:rsid w:val="00F66D75"/>
    <w:rsid w:val="00F675BD"/>
    <w:rsid w:val="00F67763"/>
    <w:rsid w:val="00F67A69"/>
    <w:rsid w:val="00F70BFF"/>
    <w:rsid w:val="00F70C05"/>
    <w:rsid w:val="00F70C9D"/>
    <w:rsid w:val="00F7112A"/>
    <w:rsid w:val="00F717C4"/>
    <w:rsid w:val="00F7292E"/>
    <w:rsid w:val="00F72C27"/>
    <w:rsid w:val="00F73E08"/>
    <w:rsid w:val="00F73E29"/>
    <w:rsid w:val="00F743DE"/>
    <w:rsid w:val="00F74CD9"/>
    <w:rsid w:val="00F7544D"/>
    <w:rsid w:val="00F75D00"/>
    <w:rsid w:val="00F75F02"/>
    <w:rsid w:val="00F76890"/>
    <w:rsid w:val="00F768EA"/>
    <w:rsid w:val="00F77036"/>
    <w:rsid w:val="00F80A7B"/>
    <w:rsid w:val="00F80E5D"/>
    <w:rsid w:val="00F810F0"/>
    <w:rsid w:val="00F81C91"/>
    <w:rsid w:val="00F81E78"/>
    <w:rsid w:val="00F83916"/>
    <w:rsid w:val="00F839AD"/>
    <w:rsid w:val="00F851CE"/>
    <w:rsid w:val="00F86165"/>
    <w:rsid w:val="00F8642A"/>
    <w:rsid w:val="00F8643F"/>
    <w:rsid w:val="00F86C36"/>
    <w:rsid w:val="00F870E3"/>
    <w:rsid w:val="00F873C8"/>
    <w:rsid w:val="00F878B4"/>
    <w:rsid w:val="00F905B0"/>
    <w:rsid w:val="00F9106C"/>
    <w:rsid w:val="00F91219"/>
    <w:rsid w:val="00F91369"/>
    <w:rsid w:val="00F92056"/>
    <w:rsid w:val="00F92444"/>
    <w:rsid w:val="00F929B7"/>
    <w:rsid w:val="00F92CC0"/>
    <w:rsid w:val="00F93610"/>
    <w:rsid w:val="00F9393E"/>
    <w:rsid w:val="00F94EB6"/>
    <w:rsid w:val="00F95C82"/>
    <w:rsid w:val="00F9682E"/>
    <w:rsid w:val="00F96FD0"/>
    <w:rsid w:val="00F9709A"/>
    <w:rsid w:val="00F977D4"/>
    <w:rsid w:val="00F97A01"/>
    <w:rsid w:val="00F97A78"/>
    <w:rsid w:val="00F97DC9"/>
    <w:rsid w:val="00FA00A1"/>
    <w:rsid w:val="00FA073C"/>
    <w:rsid w:val="00FA0B20"/>
    <w:rsid w:val="00FA24E7"/>
    <w:rsid w:val="00FA296A"/>
    <w:rsid w:val="00FA3382"/>
    <w:rsid w:val="00FA424E"/>
    <w:rsid w:val="00FA45DA"/>
    <w:rsid w:val="00FA4FAF"/>
    <w:rsid w:val="00FA5697"/>
    <w:rsid w:val="00FA57AF"/>
    <w:rsid w:val="00FA5EE6"/>
    <w:rsid w:val="00FA644D"/>
    <w:rsid w:val="00FA70CE"/>
    <w:rsid w:val="00FA70DB"/>
    <w:rsid w:val="00FA7956"/>
    <w:rsid w:val="00FA79C6"/>
    <w:rsid w:val="00FA7DEF"/>
    <w:rsid w:val="00FB0824"/>
    <w:rsid w:val="00FB08D8"/>
    <w:rsid w:val="00FB1229"/>
    <w:rsid w:val="00FB20CB"/>
    <w:rsid w:val="00FB2458"/>
    <w:rsid w:val="00FB2FCB"/>
    <w:rsid w:val="00FB30DA"/>
    <w:rsid w:val="00FB38A5"/>
    <w:rsid w:val="00FB39C9"/>
    <w:rsid w:val="00FB4A40"/>
    <w:rsid w:val="00FB4C9C"/>
    <w:rsid w:val="00FB4D49"/>
    <w:rsid w:val="00FB5156"/>
    <w:rsid w:val="00FB5677"/>
    <w:rsid w:val="00FB5AB1"/>
    <w:rsid w:val="00FB7C55"/>
    <w:rsid w:val="00FC007D"/>
    <w:rsid w:val="00FC0680"/>
    <w:rsid w:val="00FC0931"/>
    <w:rsid w:val="00FC09DD"/>
    <w:rsid w:val="00FC0E94"/>
    <w:rsid w:val="00FC1074"/>
    <w:rsid w:val="00FC1884"/>
    <w:rsid w:val="00FC2000"/>
    <w:rsid w:val="00FC227D"/>
    <w:rsid w:val="00FC2746"/>
    <w:rsid w:val="00FC371D"/>
    <w:rsid w:val="00FC379C"/>
    <w:rsid w:val="00FC3BE5"/>
    <w:rsid w:val="00FC5091"/>
    <w:rsid w:val="00FC5606"/>
    <w:rsid w:val="00FC5721"/>
    <w:rsid w:val="00FC5F0B"/>
    <w:rsid w:val="00FC67A2"/>
    <w:rsid w:val="00FC713C"/>
    <w:rsid w:val="00FC79E7"/>
    <w:rsid w:val="00FC7F0D"/>
    <w:rsid w:val="00FC7FF4"/>
    <w:rsid w:val="00FD0214"/>
    <w:rsid w:val="00FD0326"/>
    <w:rsid w:val="00FD0410"/>
    <w:rsid w:val="00FD0908"/>
    <w:rsid w:val="00FD0C1D"/>
    <w:rsid w:val="00FD0D9E"/>
    <w:rsid w:val="00FD0F6C"/>
    <w:rsid w:val="00FD1E7F"/>
    <w:rsid w:val="00FD1F30"/>
    <w:rsid w:val="00FD2100"/>
    <w:rsid w:val="00FD2363"/>
    <w:rsid w:val="00FD2530"/>
    <w:rsid w:val="00FD384F"/>
    <w:rsid w:val="00FD39A9"/>
    <w:rsid w:val="00FD3B27"/>
    <w:rsid w:val="00FD436C"/>
    <w:rsid w:val="00FD446D"/>
    <w:rsid w:val="00FD479E"/>
    <w:rsid w:val="00FD4F2C"/>
    <w:rsid w:val="00FD4FF2"/>
    <w:rsid w:val="00FD5856"/>
    <w:rsid w:val="00FD5897"/>
    <w:rsid w:val="00FD59EA"/>
    <w:rsid w:val="00FD6266"/>
    <w:rsid w:val="00FD6394"/>
    <w:rsid w:val="00FD6BB4"/>
    <w:rsid w:val="00FD769B"/>
    <w:rsid w:val="00FD7D1A"/>
    <w:rsid w:val="00FE0991"/>
    <w:rsid w:val="00FE0E6C"/>
    <w:rsid w:val="00FE0E82"/>
    <w:rsid w:val="00FE1CDC"/>
    <w:rsid w:val="00FE1DF3"/>
    <w:rsid w:val="00FE1EB6"/>
    <w:rsid w:val="00FE231E"/>
    <w:rsid w:val="00FE25B6"/>
    <w:rsid w:val="00FE30D8"/>
    <w:rsid w:val="00FE4330"/>
    <w:rsid w:val="00FE635E"/>
    <w:rsid w:val="00FE6F51"/>
    <w:rsid w:val="00FE70C3"/>
    <w:rsid w:val="00FF0978"/>
    <w:rsid w:val="00FF0B33"/>
    <w:rsid w:val="00FF158E"/>
    <w:rsid w:val="00FF1A8B"/>
    <w:rsid w:val="00FF2AD9"/>
    <w:rsid w:val="00FF3465"/>
    <w:rsid w:val="00FF359F"/>
    <w:rsid w:val="00FF3DCF"/>
    <w:rsid w:val="00FF3ECD"/>
    <w:rsid w:val="00FF41D5"/>
    <w:rsid w:val="00FF43FB"/>
    <w:rsid w:val="00FF4525"/>
    <w:rsid w:val="00FF483D"/>
    <w:rsid w:val="00FF492C"/>
    <w:rsid w:val="00FF496A"/>
    <w:rsid w:val="00FF4A21"/>
    <w:rsid w:val="00FF5AA3"/>
    <w:rsid w:val="00FF5AD8"/>
    <w:rsid w:val="00FF5BA7"/>
    <w:rsid w:val="00FF621B"/>
    <w:rsid w:val="00FF63E3"/>
    <w:rsid w:val="00FF665F"/>
    <w:rsid w:val="00FF7582"/>
    <w:rsid w:val="00FF7E83"/>
    <w:rsid w:val="00FF7F2B"/>
    <w:rsid w:val="1281A1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AA0"/>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9A6C20"/>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9A6C20"/>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CICsubheading">
    <w:name w:val="COM CIC subheading"/>
    <w:basedOn w:val="Normal"/>
    <w:link w:val="COMCICsubheadingChar"/>
    <w:qFormat/>
    <w:rsid w:val="002C1390"/>
    <w:pPr>
      <w:keepNext/>
      <w:keepLines/>
      <w:spacing w:before="40"/>
      <w:jc w:val="center"/>
      <w:outlineLvl w:val="2"/>
    </w:pPr>
    <w:rPr>
      <w:rFonts w:asciiTheme="minorHAnsi" w:eastAsiaTheme="majorEastAsia" w:hAnsiTheme="minorHAnsi" w:cstheme="majorBidi"/>
      <w:b/>
      <w:color w:val="000000" w:themeColor="text1"/>
    </w:rPr>
  </w:style>
  <w:style w:type="character" w:customStyle="1" w:styleId="COMCICsubheadingChar">
    <w:name w:val="COM CIC subheading Char"/>
    <w:basedOn w:val="DefaultParagraphFont"/>
    <w:link w:val="COMCICsubheading"/>
    <w:rsid w:val="002C1390"/>
    <w:rPr>
      <w:rFonts w:asciiTheme="minorHAnsi" w:eastAsiaTheme="majorEastAsia" w:hAnsiTheme="minorHAnsi" w:cstheme="majorBidi"/>
      <w:b/>
      <w:color w:val="000000" w:themeColor="text1"/>
      <w:sz w:val="24"/>
      <w:szCs w:val="24"/>
    </w:rPr>
  </w:style>
  <w:style w:type="paragraph" w:styleId="Header">
    <w:name w:val="header"/>
    <w:aliases w:val="Page Header,Header title,he=header,cntr/bld"/>
    <w:basedOn w:val="Normal"/>
    <w:link w:val="HeaderChar"/>
    <w:uiPriority w:val="99"/>
    <w:qFormat/>
    <w:rsid w:val="00A51C91"/>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A51C91"/>
    <w:rPr>
      <w:rFonts w:ascii="Calibri" w:hAnsi="Calibri" w:cs="Arial"/>
      <w:i/>
      <w:iCs/>
      <w:sz w:val="24"/>
      <w:szCs w:val="24"/>
    </w:rPr>
  </w:style>
  <w:style w:type="paragraph" w:customStyle="1" w:styleId="PageFooter">
    <w:name w:val="Page Footer"/>
    <w:basedOn w:val="Normal"/>
    <w:link w:val="PageFooterChar"/>
    <w:qFormat/>
    <w:rsid w:val="00AB541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AB5410"/>
    <w:rPr>
      <w:rFonts w:ascii="Calibri" w:hAnsi="Calibri" w:cs="Arial"/>
      <w:b/>
      <w:sz w:val="24"/>
      <w:szCs w:val="24"/>
    </w:rPr>
  </w:style>
  <w:style w:type="character" w:styleId="Hyperlink">
    <w:name w:val="Hyperlink"/>
    <w:basedOn w:val="DefaultParagraphFont"/>
    <w:uiPriority w:val="99"/>
    <w:unhideWhenUsed/>
    <w:rsid w:val="00B15185"/>
    <w:rPr>
      <w:color w:val="0000FF" w:themeColor="hyperlink"/>
      <w:u w:val="single"/>
    </w:rPr>
  </w:style>
  <w:style w:type="paragraph" w:customStyle="1" w:styleId="COMH2-numbered">
    <w:name w:val="COM H2 - numbered"/>
    <w:basedOn w:val="Heading2"/>
    <w:next w:val="COMBody"/>
    <w:link w:val="COMH2-numberedChar"/>
    <w:qFormat/>
    <w:rsid w:val="001C002E"/>
  </w:style>
  <w:style w:type="table" w:styleId="TableGrid">
    <w:name w:val="Table Grid"/>
    <w:aliases w:val="Summary box,Table Gridbeth,CMA Table Template,ASD Table,Lash Style Table,PBAC table,new style,MSD Table Grid,HTAtableplain,RTI AMCP Table,Conclusion box,Table Grid nm,Dossier table,Section 3- footnotes,Summary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rsid w:val="00FD5856"/>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07519D"/>
    <w:pPr>
      <w:numPr>
        <w:numId w:val="2"/>
      </w:numPr>
      <w:spacing w:after="120"/>
      <w:contextualSpacing/>
      <w:jc w:val="left"/>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autoRedefine/>
    <w:qFormat/>
    <w:rsid w:val="005C4B68"/>
    <w:pPr>
      <w:keepNext/>
      <w:keepLines/>
      <w:widowControl w:val="0"/>
    </w:pPr>
    <w:rPr>
      <w:rFonts w:ascii="Arial Narrow" w:eastAsiaTheme="majorEastAsia" w:hAnsi="Arial Narrow" w:cstheme="majorBidi"/>
      <w:bCs/>
      <w:szCs w:val="24"/>
    </w:rPr>
  </w:style>
  <w:style w:type="paragraph" w:customStyle="1" w:styleId="COMheadingnotforTOC">
    <w:name w:val="COM heading not for TOC"/>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autoRedefine/>
    <w:qFormat/>
    <w:rsid w:val="00D92D9D"/>
    <w:pPr>
      <w:keepNext/>
      <w:keepLines/>
    </w:pPr>
    <w:rPr>
      <w:rFonts w:ascii="Arial Narrow" w:eastAsiaTheme="majorEastAsia" w:hAnsi="Arial Narrow"/>
      <w:b/>
      <w:szCs w:val="24"/>
      <w:lang w:val="en-US"/>
    </w:rPr>
  </w:style>
  <w:style w:type="paragraph" w:customStyle="1" w:styleId="COMH1-numbered">
    <w:name w:val="COM H1 - numbered"/>
    <w:next w:val="COMexecsummnumbered"/>
    <w:qFormat/>
    <w:rsid w:val="00292028"/>
    <w:pPr>
      <w:keepNext/>
      <w:numPr>
        <w:numId w:val="30"/>
      </w:numPr>
      <w:spacing w:before="240" w:after="120"/>
      <w:outlineLvl w:val="0"/>
    </w:pPr>
    <w:rPr>
      <w:rFonts w:asciiTheme="minorHAnsi" w:hAnsiTheme="minorHAnsi" w:cs="Arial"/>
      <w:b/>
      <w:snapToGrid w:val="0"/>
      <w:sz w:val="32"/>
      <w:szCs w:val="32"/>
    </w:rPr>
  </w:style>
  <w:style w:type="paragraph" w:customStyle="1" w:styleId="COMexecsummheadings">
    <w:name w:val="COM exec summ headings"/>
    <w:next w:val="COMH1-numbered"/>
    <w:link w:val="COMexecsummheadings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execsummheadingsChar">
    <w:name w:val="COM exec summ headings Char"/>
    <w:basedOn w:val="DefaultParagraphFont"/>
    <w:link w:val="COMexecsummheadings"/>
    <w:rsid w:val="004C3B02"/>
    <w:rPr>
      <w:rFonts w:asciiTheme="minorHAnsi" w:eastAsiaTheme="majorEastAsia" w:hAnsiTheme="minorHAnsi" w:cstheme="majorBidi"/>
      <w:b/>
      <w:spacing w:val="5"/>
      <w:kern w:val="28"/>
      <w:sz w:val="36"/>
      <w:szCs w:val="36"/>
    </w:rPr>
  </w:style>
  <w:style w:type="paragraph" w:customStyle="1" w:styleId="COMexecsummnumbered">
    <w:name w:val="COM exec summ numbered"/>
    <w:link w:val="COMexecsummnumberedChar"/>
    <w:qFormat/>
    <w:rsid w:val="00632F91"/>
    <w:pPr>
      <w:numPr>
        <w:ilvl w:val="1"/>
        <w:numId w:val="30"/>
      </w:numPr>
      <w:spacing w:before="120" w:after="1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632F91"/>
    <w:rPr>
      <w:rFonts w:asciiTheme="minorHAnsi" w:eastAsiaTheme="minorHAnsi" w:hAnsiTheme="minorHAnsi" w:cstheme="minorBidi"/>
      <w:sz w:val="24"/>
      <w:szCs w:val="22"/>
    </w:rPr>
  </w:style>
  <w:style w:type="character" w:customStyle="1" w:styleId="TableTextChar">
    <w:name w:val="Table Text Char"/>
    <w:basedOn w:val="DefaultParagraphFont"/>
    <w:link w:val="TableText"/>
    <w:rsid w:val="005C4B68"/>
    <w:rPr>
      <w:rFonts w:ascii="Arial Narrow" w:eastAsiaTheme="majorEastAsia" w:hAnsi="Arial Narrow" w:cstheme="majorBidi"/>
      <w:bCs/>
      <w:szCs w:val="24"/>
    </w:rPr>
  </w:style>
  <w:style w:type="paragraph" w:customStyle="1" w:styleId="COMBody">
    <w:name w:val="COM Body"/>
    <w:basedOn w:val="Normal"/>
    <w:link w:val="COMBodyChar"/>
    <w:qFormat/>
    <w:rsid w:val="0079172B"/>
  </w:style>
  <w:style w:type="character" w:customStyle="1" w:styleId="COMBodyChar">
    <w:name w:val="COM Body Char"/>
    <w:basedOn w:val="DefaultParagraphFont"/>
    <w:link w:val="COMBody"/>
    <w:rsid w:val="0079172B"/>
    <w:rPr>
      <w:rFonts w:ascii="Calibri" w:hAnsi="Calibri" w:cs="Arial"/>
      <w:sz w:val="24"/>
      <w:szCs w:val="24"/>
    </w:rPr>
  </w:style>
  <w:style w:type="paragraph" w:customStyle="1" w:styleId="COMbodybulletlist">
    <w:name w:val="COM body bullet list"/>
    <w:basedOn w:val="Normal"/>
    <w:link w:val="COMbodybulletlistChar"/>
    <w:qFormat/>
    <w:rsid w:val="001909D7"/>
    <w:pPr>
      <w:numPr>
        <w:numId w:val="4"/>
      </w:numPr>
      <w:contextualSpacing/>
    </w:pPr>
  </w:style>
  <w:style w:type="character" w:customStyle="1" w:styleId="COMbodybulletlistChar">
    <w:name w:val="COM body bullet list Char"/>
    <w:basedOn w:val="DefaultParagraphFont"/>
    <w:link w:val="COMbodybulletlist"/>
    <w:rsid w:val="0079172B"/>
    <w:rPr>
      <w:rFonts w:ascii="Calibri" w:hAnsi="Calibri" w:cs="Arial"/>
      <w:sz w:val="24"/>
      <w:szCs w:val="24"/>
    </w:rPr>
  </w:style>
  <w:style w:type="paragraph" w:customStyle="1" w:styleId="COMexecsummbulletlist">
    <w:name w:val="COM exec summ bullet list"/>
    <w:basedOn w:val="Normal"/>
    <w:link w:val="COMexecsummbulletlistChar"/>
    <w:qFormat/>
    <w:rsid w:val="0007519D"/>
    <w:pPr>
      <w:numPr>
        <w:numId w:val="5"/>
      </w:numPr>
      <w:spacing w:after="120"/>
      <w:ind w:left="1134"/>
    </w:pPr>
    <w:rPr>
      <w:rFonts w:asciiTheme="minorHAnsi" w:hAnsiTheme="minorHAnsi"/>
      <w:snapToGrid w:val="0"/>
    </w:rPr>
  </w:style>
  <w:style w:type="character" w:customStyle="1" w:styleId="COMexecsummbulletlistChar">
    <w:name w:val="COM exec summ bullet list Char"/>
    <w:basedOn w:val="DefaultParagraphFont"/>
    <w:link w:val="COMexecsummbulletlist"/>
    <w:rsid w:val="0007519D"/>
    <w:rPr>
      <w:rFonts w:asciiTheme="minorHAnsi" w:hAnsiTheme="minorHAnsi" w:cs="Arial"/>
      <w:snapToGrid w:val="0"/>
      <w:sz w:val="24"/>
      <w:szCs w:val="24"/>
    </w:rPr>
  </w:style>
  <w:style w:type="paragraph" w:customStyle="1" w:styleId="COMexecsummmainissuesbullets">
    <w:name w:val="COM exec summ main issues bullets"/>
    <w:basedOn w:val="Normal"/>
    <w:link w:val="COMexecsummmainissuesbulletsChar"/>
    <w:qFormat/>
    <w:rsid w:val="0007519D"/>
    <w:pPr>
      <w:numPr>
        <w:numId w:val="6"/>
      </w:numPr>
      <w:spacing w:after="120"/>
    </w:pPr>
    <w:rPr>
      <w:rFonts w:asciiTheme="minorHAnsi" w:hAnsiTheme="minorHAnsi"/>
      <w:snapToGrid w:val="0"/>
      <w:color w:val="0066FF"/>
    </w:rPr>
  </w:style>
  <w:style w:type="character" w:customStyle="1" w:styleId="COMexecsummmainissuesbulletsChar">
    <w:name w:val="COM exec summ main issues bullets Char"/>
    <w:basedOn w:val="DefaultParagraphFont"/>
    <w:link w:val="COMexecsummmainissuesbullets"/>
    <w:rsid w:val="0007519D"/>
    <w:rPr>
      <w:rFonts w:asciiTheme="minorHAnsi" w:hAnsiTheme="minorHAnsi" w:cs="Arial"/>
      <w:snapToGrid w:val="0"/>
      <w:color w:val="0066FF"/>
      <w:sz w:val="24"/>
      <w:szCs w:val="24"/>
    </w:rPr>
  </w:style>
  <w:style w:type="paragraph" w:customStyle="1" w:styleId="COMH1-non-numbered">
    <w:name w:val="COM H1 - non-numbered"/>
    <w:next w:val="Normal"/>
    <w:link w:val="COMH1-non-numberedChar"/>
    <w:qFormat/>
    <w:rsid w:val="0079172B"/>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79172B"/>
    <w:rPr>
      <w:rFonts w:asciiTheme="minorHAnsi" w:eastAsiaTheme="majorEastAsia" w:hAnsiTheme="minorHAnsi" w:cstheme="majorBidi"/>
      <w:b/>
      <w:spacing w:val="5"/>
      <w:kern w:val="28"/>
      <w:sz w:val="32"/>
      <w:szCs w:val="36"/>
    </w:rPr>
  </w:style>
  <w:style w:type="paragraph" w:customStyle="1" w:styleId="COMH2-non-numbered">
    <w:name w:val="COM H2 - non-numbered"/>
    <w:basedOn w:val="Heading2"/>
    <w:next w:val="Normal"/>
    <w:link w:val="COMH2-non-numberedChar"/>
    <w:qFormat/>
    <w:rsid w:val="0079172B"/>
    <w:pPr>
      <w:spacing w:before="120"/>
      <w:jc w:val="left"/>
    </w:pPr>
    <w:rPr>
      <w:rFonts w:asciiTheme="minorHAnsi" w:eastAsiaTheme="majorEastAsia" w:hAnsiTheme="minorHAnsi" w:cstheme="majorBidi"/>
      <w:spacing w:val="5"/>
      <w:kern w:val="28"/>
      <w:szCs w:val="36"/>
      <w:lang w:eastAsia="en-US"/>
    </w:rPr>
  </w:style>
  <w:style w:type="character" w:customStyle="1" w:styleId="COMH2-non-numberedChar">
    <w:name w:val="COM H2 - non-numbered Char"/>
    <w:basedOn w:val="Heading2Char"/>
    <w:link w:val="COMH2-non-numbered"/>
    <w:rsid w:val="0079172B"/>
    <w:rPr>
      <w:rFonts w:asciiTheme="minorHAnsi" w:eastAsiaTheme="majorEastAsia" w:hAnsiTheme="minorHAnsi" w:cstheme="majorBidi"/>
      <w:b/>
      <w:i/>
      <w:snapToGrid w:val="0"/>
      <w:spacing w:val="5"/>
      <w:kern w:val="28"/>
      <w:sz w:val="28"/>
      <w:szCs w:val="36"/>
    </w:rPr>
  </w:style>
  <w:style w:type="paragraph" w:customStyle="1" w:styleId="COMH3">
    <w:name w:val="COM H3"/>
    <w:basedOn w:val="Normal"/>
    <w:next w:val="Normal"/>
    <w:link w:val="COMH3Char"/>
    <w:qFormat/>
    <w:rsid w:val="009A6C20"/>
    <w:pPr>
      <w:keepNext/>
      <w:spacing w:after="120"/>
    </w:pPr>
    <w:rPr>
      <w:b/>
      <w:iCs/>
      <w:sz w:val="28"/>
    </w:rPr>
  </w:style>
  <w:style w:type="character" w:customStyle="1" w:styleId="COMH3Char">
    <w:name w:val="COM H3 Char"/>
    <w:basedOn w:val="DefaultParagraphFont"/>
    <w:link w:val="COMH3"/>
    <w:rsid w:val="009A6C20"/>
    <w:rPr>
      <w:rFonts w:ascii="Calibri" w:hAnsi="Calibri" w:cs="Arial"/>
      <w:b/>
      <w:iCs/>
      <w:sz w:val="28"/>
      <w:szCs w:val="24"/>
    </w:rPr>
  </w:style>
  <w:style w:type="paragraph" w:customStyle="1" w:styleId="COMH4">
    <w:name w:val="COM H4"/>
    <w:basedOn w:val="Normal"/>
    <w:link w:val="COMH4Char"/>
    <w:qFormat/>
    <w:rsid w:val="00857D2E"/>
    <w:pPr>
      <w:keepNext/>
      <w:spacing w:after="120"/>
    </w:pPr>
    <w:rPr>
      <w:b/>
      <w:i/>
    </w:rPr>
  </w:style>
  <w:style w:type="character" w:customStyle="1" w:styleId="COMH4Char">
    <w:name w:val="COM H4 Char"/>
    <w:basedOn w:val="DefaultParagraphFont"/>
    <w:link w:val="COMH4"/>
    <w:rsid w:val="00857D2E"/>
    <w:rPr>
      <w:rFonts w:ascii="Calibri" w:hAnsi="Calibri" w:cs="Arial"/>
      <w:b/>
      <w:i/>
      <w:sz w:val="24"/>
      <w:szCs w:val="24"/>
    </w:rPr>
  </w:style>
  <w:style w:type="paragraph" w:customStyle="1" w:styleId="COMTablefooter">
    <w:name w:val="COM Table footer"/>
    <w:basedOn w:val="Normal"/>
    <w:next w:val="Normal"/>
    <w:link w:val="COMTablefooterChar"/>
    <w:qFormat/>
    <w:rsid w:val="0079172B"/>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79172B"/>
    <w:rPr>
      <w:rFonts w:ascii="Arial Narrow" w:hAnsi="Arial Narrow" w:cs="Arial"/>
      <w:snapToGrid w:val="0"/>
      <w:sz w:val="18"/>
      <w:szCs w:val="22"/>
    </w:rPr>
  </w:style>
  <w:style w:type="paragraph" w:customStyle="1" w:styleId="COMTableheadingrow">
    <w:name w:val="COM Table heading row"/>
    <w:qFormat/>
    <w:rsid w:val="0079172B"/>
    <w:pPr>
      <w:keepNext/>
    </w:pPr>
    <w:rPr>
      <w:rFonts w:ascii="Arial Narrow" w:eastAsiaTheme="majorEastAsia" w:hAnsi="Arial Narrow"/>
      <w:b/>
      <w:szCs w:val="24"/>
      <w:lang w:val="en-US"/>
    </w:rPr>
  </w:style>
  <w:style w:type="paragraph" w:customStyle="1" w:styleId="COMTabletext">
    <w:name w:val="COM Table text"/>
    <w:link w:val="COMTabletextChar"/>
    <w:qFormat/>
    <w:rsid w:val="0079172B"/>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79172B"/>
    <w:rPr>
      <w:rFonts w:ascii="Arial Narrow" w:eastAsiaTheme="majorEastAsia" w:hAnsi="Arial Narrow" w:cstheme="majorBidi"/>
      <w:bCs/>
      <w:szCs w:val="24"/>
    </w:rPr>
  </w:style>
  <w:style w:type="paragraph" w:customStyle="1" w:styleId="COMtablefigcaption">
    <w:name w:val="COM table/fig caption"/>
    <w:next w:val="COMTableheadingrow"/>
    <w:link w:val="COMtablefigcaptionChar"/>
    <w:qFormat/>
    <w:rsid w:val="0079172B"/>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79172B"/>
    <w:rPr>
      <w:rFonts w:ascii="Arial Narrow" w:eastAsiaTheme="majorEastAsia" w:hAnsi="Arial Narrow" w:cstheme="majorBidi"/>
      <w:b/>
      <w:bCs/>
      <w:szCs w:val="24"/>
    </w:rPr>
  </w:style>
  <w:style w:type="character" w:styleId="CommentReference">
    <w:name w:val="annotation reference"/>
    <w:aliases w:val="Table Title"/>
    <w:basedOn w:val="DefaultParagraphFont"/>
    <w:uiPriority w:val="99"/>
    <w:unhideWhenUsed/>
    <w:qFormat/>
    <w:rsid w:val="008E0FB4"/>
    <w:rPr>
      <w:sz w:val="16"/>
      <w:szCs w:val="16"/>
    </w:rPr>
  </w:style>
  <w:style w:type="paragraph" w:styleId="CommentText">
    <w:name w:val="annotation text"/>
    <w:basedOn w:val="Normal"/>
    <w:link w:val="CommentTextChar"/>
    <w:unhideWhenUsed/>
    <w:rsid w:val="008E0FB4"/>
    <w:rPr>
      <w:sz w:val="20"/>
      <w:szCs w:val="20"/>
    </w:rPr>
  </w:style>
  <w:style w:type="character" w:customStyle="1" w:styleId="CommentTextChar">
    <w:name w:val="Comment Text Char"/>
    <w:basedOn w:val="DefaultParagraphFont"/>
    <w:link w:val="CommentText"/>
    <w:rsid w:val="008E0FB4"/>
    <w:rPr>
      <w:rFonts w:ascii="Calibri" w:hAnsi="Calibri" w:cs="Arial"/>
    </w:rPr>
  </w:style>
  <w:style w:type="paragraph" w:styleId="CommentSubject">
    <w:name w:val="annotation subject"/>
    <w:basedOn w:val="CommentText"/>
    <w:next w:val="CommentText"/>
    <w:link w:val="CommentSubjectChar"/>
    <w:semiHidden/>
    <w:unhideWhenUsed/>
    <w:rsid w:val="008E0FB4"/>
    <w:rPr>
      <w:b/>
      <w:bCs/>
    </w:rPr>
  </w:style>
  <w:style w:type="character" w:customStyle="1" w:styleId="CommentSubjectChar">
    <w:name w:val="Comment Subject Char"/>
    <w:basedOn w:val="CommentTextChar"/>
    <w:link w:val="CommentSubject"/>
    <w:semiHidden/>
    <w:rsid w:val="008E0FB4"/>
    <w:rPr>
      <w:rFonts w:ascii="Calibri" w:hAnsi="Calibri" w:cs="Arial"/>
      <w:b/>
      <w:bCs/>
    </w:rPr>
  </w:style>
  <w:style w:type="paragraph" w:styleId="ListParagraph">
    <w:name w:val="List Paragraph"/>
    <w:aliases w:val="Numbered para,BulletPoints,Footnote,Bullet point,List Paragraph1,List Paragraph11,Recommendation,ES Paragraph,PBAC ES Paragraph,PBAC normal points,Bullet List,Figure_name,Numbered Indented Text,Bullet- First level,List NUmber,Table Legend"/>
    <w:basedOn w:val="Normal"/>
    <w:link w:val="ListParagraphChar"/>
    <w:uiPriority w:val="34"/>
    <w:qFormat/>
    <w:rsid w:val="00EA12CE"/>
    <w:pPr>
      <w:ind w:left="720"/>
      <w:contextualSpacing/>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Figure_name Char"/>
    <w:basedOn w:val="DefaultParagraphFont"/>
    <w:link w:val="ListParagraph"/>
    <w:uiPriority w:val="34"/>
    <w:qFormat/>
    <w:locked/>
    <w:rsid w:val="00EA12CE"/>
    <w:rPr>
      <w:rFonts w:ascii="Calibri" w:hAnsi="Calibri" w:cs="Arial"/>
      <w:sz w:val="24"/>
      <w:szCs w:val="24"/>
    </w:rPr>
  </w:style>
  <w:style w:type="paragraph" w:customStyle="1" w:styleId="COMH1numbered">
    <w:name w:val="COM H1 numbered"/>
    <w:next w:val="Normal"/>
    <w:qFormat/>
    <w:rsid w:val="0095342D"/>
    <w:pPr>
      <w:keepNext/>
      <w:spacing w:before="240" w:after="120"/>
      <w:ind w:left="720" w:hanging="720"/>
      <w:outlineLvl w:val="0"/>
    </w:pPr>
    <w:rPr>
      <w:rFonts w:asciiTheme="minorHAnsi" w:hAnsiTheme="minorHAnsi" w:cs="Arial"/>
      <w:b/>
      <w:snapToGrid w:val="0"/>
      <w:sz w:val="32"/>
      <w:szCs w:val="32"/>
    </w:rPr>
  </w:style>
  <w:style w:type="paragraph" w:customStyle="1" w:styleId="COMexecsumnumberedpara">
    <w:name w:val="COM exec sum numbered para"/>
    <w:basedOn w:val="ListParagraph"/>
    <w:link w:val="COMexecsumnumberedparaChar"/>
    <w:qFormat/>
    <w:rsid w:val="0095342D"/>
    <w:pPr>
      <w:spacing w:after="120"/>
      <w:ind w:hanging="720"/>
      <w:contextualSpacing w:val="0"/>
    </w:pPr>
    <w:rPr>
      <w:rFonts w:asciiTheme="minorHAnsi" w:hAnsiTheme="minorHAnsi"/>
      <w:snapToGrid w:val="0"/>
    </w:rPr>
  </w:style>
  <w:style w:type="character" w:customStyle="1" w:styleId="COMexecsumnumberedparaChar">
    <w:name w:val="COM exec sum numbered para Char"/>
    <w:basedOn w:val="ListParagraphChar"/>
    <w:link w:val="COMexecsumnumberedpara"/>
    <w:rsid w:val="0095342D"/>
    <w:rPr>
      <w:rFonts w:asciiTheme="minorHAnsi" w:hAnsiTheme="minorHAnsi" w:cs="Arial"/>
      <w:snapToGrid w:val="0"/>
      <w:sz w:val="24"/>
      <w:szCs w:val="24"/>
    </w:rPr>
  </w:style>
  <w:style w:type="paragraph" w:styleId="Caption">
    <w:name w:val="caption"/>
    <w:basedOn w:val="COMtablefigcaption"/>
    <w:next w:val="Normal"/>
    <w:unhideWhenUsed/>
    <w:rsid w:val="00C43C21"/>
  </w:style>
  <w:style w:type="paragraph" w:customStyle="1" w:styleId="Tableheadingrow">
    <w:name w:val="Table heading row"/>
    <w:qFormat/>
    <w:rsid w:val="009E4AB1"/>
    <w:pPr>
      <w:keepNext/>
    </w:pPr>
    <w:rPr>
      <w:rFonts w:ascii="Arial Narrow" w:eastAsiaTheme="majorEastAsia" w:hAnsi="Arial Narrow"/>
      <w:b/>
      <w:szCs w:val="24"/>
      <w:lang w:val="en-US"/>
    </w:rPr>
  </w:style>
  <w:style w:type="paragraph" w:styleId="Footer">
    <w:name w:val="footer"/>
    <w:basedOn w:val="Normal"/>
    <w:link w:val="FooterChar"/>
    <w:uiPriority w:val="99"/>
    <w:unhideWhenUsed/>
    <w:rsid w:val="00BD6113"/>
    <w:pPr>
      <w:tabs>
        <w:tab w:val="center" w:pos="4513"/>
        <w:tab w:val="right" w:pos="9026"/>
      </w:tabs>
    </w:pPr>
  </w:style>
  <w:style w:type="character" w:customStyle="1" w:styleId="FooterChar">
    <w:name w:val="Footer Char"/>
    <w:basedOn w:val="DefaultParagraphFont"/>
    <w:link w:val="Footer"/>
    <w:uiPriority w:val="99"/>
    <w:rsid w:val="00BD6113"/>
    <w:rPr>
      <w:rFonts w:ascii="Calibri" w:hAnsi="Calibri" w:cs="Arial"/>
      <w:sz w:val="24"/>
      <w:szCs w:val="24"/>
    </w:rPr>
  </w:style>
  <w:style w:type="paragraph" w:customStyle="1" w:styleId="Footenote">
    <w:name w:val="Footenote"/>
    <w:basedOn w:val="Normal"/>
    <w:link w:val="FootenoteChar"/>
    <w:rsid w:val="00EB3BA3"/>
    <w:pPr>
      <w:spacing w:after="240"/>
      <w:contextualSpacing/>
      <w:jc w:val="left"/>
    </w:pPr>
    <w:rPr>
      <w:rFonts w:asciiTheme="minorHAnsi" w:hAnsiTheme="minorHAnsi" w:cs="Times New Roman"/>
      <w:sz w:val="18"/>
      <w:szCs w:val="22"/>
      <w:lang w:eastAsia="en-GB"/>
    </w:rPr>
  </w:style>
  <w:style w:type="character" w:customStyle="1" w:styleId="FootenoteChar">
    <w:name w:val="Footenote Char"/>
    <w:basedOn w:val="DefaultParagraphFont"/>
    <w:link w:val="Footenote"/>
    <w:rsid w:val="00EB3BA3"/>
    <w:rPr>
      <w:rFonts w:asciiTheme="minorHAnsi" w:hAnsiTheme="minorHAnsi"/>
      <w:sz w:val="18"/>
      <w:szCs w:val="22"/>
      <w:lang w:eastAsia="en-GB"/>
    </w:rPr>
  </w:style>
  <w:style w:type="table" w:customStyle="1" w:styleId="Summarybox1">
    <w:name w:val="Summary box1"/>
    <w:basedOn w:val="TableNormal"/>
    <w:next w:val="TableGrid"/>
    <w:rsid w:val="00EB3BA3"/>
    <w:pPr>
      <w:jc w:val="both"/>
    </w:pPr>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italics">
    <w:name w:val="Comment (italics)"/>
    <w:basedOn w:val="Normal"/>
    <w:next w:val="Normal"/>
    <w:rsid w:val="00EB3BA3"/>
    <w:rPr>
      <w:i/>
    </w:rPr>
  </w:style>
  <w:style w:type="paragraph" w:customStyle="1" w:styleId="TableFigureCaption">
    <w:name w:val="Table/Figure Caption"/>
    <w:next w:val="Tableheadingrow"/>
    <w:link w:val="TableFigureCaptionChar"/>
    <w:rsid w:val="00EB3BA3"/>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EB3BA3"/>
    <w:rPr>
      <w:rFonts w:ascii="Arial Narrow" w:eastAsiaTheme="majorEastAsia" w:hAnsi="Arial Narrow" w:cstheme="majorBidi"/>
      <w:b/>
      <w:bCs/>
      <w:szCs w:val="24"/>
    </w:rPr>
  </w:style>
  <w:style w:type="paragraph" w:customStyle="1" w:styleId="TableFigureFooter">
    <w:name w:val="Table/Figure Footer"/>
    <w:basedOn w:val="Normal"/>
    <w:link w:val="TableFigureFooterChar"/>
    <w:rsid w:val="00EB3BA3"/>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B3BA3"/>
    <w:rPr>
      <w:rFonts w:ascii="Arial Narrow" w:hAnsi="Arial Narrow" w:cs="Arial"/>
      <w:snapToGrid w:val="0"/>
      <w:sz w:val="18"/>
      <w:szCs w:val="22"/>
    </w:rPr>
  </w:style>
  <w:style w:type="paragraph" w:customStyle="1" w:styleId="TableHeading">
    <w:name w:val="Table Heading"/>
    <w:basedOn w:val="Normal"/>
    <w:link w:val="TableHeadingChar"/>
    <w:rsid w:val="00EB3BA3"/>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EB3BA3"/>
    <w:rPr>
      <w:rFonts w:ascii="Arial Narrow" w:eastAsiaTheme="minorHAnsi" w:hAnsi="Arial Narrow" w:cstheme="minorBidi"/>
      <w:b/>
      <w:szCs w:val="22"/>
      <w:lang w:eastAsia="en-US"/>
    </w:rPr>
  </w:style>
  <w:style w:type="paragraph" w:styleId="BodyText">
    <w:name w:val="Body Text"/>
    <w:basedOn w:val="Normal"/>
    <w:link w:val="BodyTextChar"/>
    <w:uiPriority w:val="99"/>
    <w:rsid w:val="00EB3BA3"/>
    <w:pPr>
      <w:spacing w:before="120" w:after="120" w:line="360" w:lineRule="auto"/>
    </w:pPr>
    <w:rPr>
      <w:rFonts w:asciiTheme="minorHAnsi" w:hAnsiTheme="minorHAnsi" w:cs="Times New Roman"/>
      <w:sz w:val="22"/>
    </w:rPr>
  </w:style>
  <w:style w:type="character" w:customStyle="1" w:styleId="BodyTextChar">
    <w:name w:val="Body Text Char"/>
    <w:basedOn w:val="DefaultParagraphFont"/>
    <w:link w:val="BodyText"/>
    <w:uiPriority w:val="99"/>
    <w:rsid w:val="00EB3BA3"/>
    <w:rPr>
      <w:rFonts w:asciiTheme="minorHAnsi" w:hAnsiTheme="minorHAnsi"/>
      <w:sz w:val="22"/>
      <w:szCs w:val="24"/>
    </w:rPr>
  </w:style>
  <w:style w:type="paragraph" w:customStyle="1" w:styleId="Default">
    <w:name w:val="Default"/>
    <w:rsid w:val="00EB3BA3"/>
    <w:pPr>
      <w:autoSpaceDE w:val="0"/>
      <w:autoSpaceDN w:val="0"/>
      <w:adjustRightInd w:val="0"/>
    </w:pPr>
    <w:rPr>
      <w:rFonts w:ascii="Calibri" w:hAnsi="Calibri" w:cs="Calibri"/>
      <w:color w:val="000000"/>
      <w:sz w:val="24"/>
      <w:szCs w:val="24"/>
    </w:rPr>
  </w:style>
  <w:style w:type="paragraph" w:styleId="ListBullet">
    <w:name w:val="List Bullet"/>
    <w:aliases w:val="zz List Bullet"/>
    <w:basedOn w:val="Normal"/>
    <w:link w:val="ListBulletChar"/>
    <w:unhideWhenUsed/>
    <w:rsid w:val="00EB3BA3"/>
    <w:pPr>
      <w:tabs>
        <w:tab w:val="num" w:pos="360"/>
      </w:tabs>
      <w:ind w:left="360" w:hanging="360"/>
      <w:contextualSpacing/>
    </w:pPr>
    <w:rPr>
      <w:rFonts w:eastAsia="SimSun"/>
    </w:rPr>
  </w:style>
  <w:style w:type="table" w:customStyle="1" w:styleId="MSDTableGrid1">
    <w:name w:val="MSD Table Grid1"/>
    <w:basedOn w:val="TableNormal"/>
    <w:next w:val="TableGrid"/>
    <w:uiPriority w:val="59"/>
    <w:rsid w:val="007F3B10"/>
    <w:pPr>
      <w:keepNext/>
      <w:jc w:val="center"/>
    </w:pPr>
    <w:rPr>
      <w:rFonts w:ascii="Arial" w:hAnsi="Arial"/>
    </w:rPr>
    <w:tblPr>
      <w:tblBorders>
        <w:top w:val="single" w:sz="4" w:space="0" w:color="auto"/>
        <w:bottom w:val="single" w:sz="4" w:space="0" w:color="auto"/>
      </w:tblBorders>
    </w:tblPr>
    <w:tcPr>
      <w:vAlign w:val="center"/>
    </w:tcPr>
  </w:style>
  <w:style w:type="table" w:customStyle="1" w:styleId="MSDTableGrid2">
    <w:name w:val="MSD Table Grid2"/>
    <w:basedOn w:val="TableNormal"/>
    <w:next w:val="TableGrid"/>
    <w:uiPriority w:val="59"/>
    <w:rsid w:val="007F3B10"/>
    <w:pPr>
      <w:keepNext/>
      <w:jc w:val="center"/>
    </w:pPr>
    <w:rPr>
      <w:rFonts w:ascii="Arial" w:hAnsi="Arial"/>
    </w:rPr>
    <w:tblPr>
      <w:tblBorders>
        <w:top w:val="single" w:sz="4" w:space="0" w:color="auto"/>
        <w:bottom w:val="single" w:sz="4" w:space="0" w:color="auto"/>
      </w:tblBorders>
    </w:tblPr>
    <w:tcPr>
      <w:vAlign w:val="center"/>
    </w:tcPr>
  </w:style>
  <w:style w:type="table" w:customStyle="1" w:styleId="MSDTableGrid3">
    <w:name w:val="MSD Table Grid3"/>
    <w:basedOn w:val="TableNormal"/>
    <w:next w:val="TableGrid"/>
    <w:uiPriority w:val="59"/>
    <w:rsid w:val="007F3B10"/>
    <w:pPr>
      <w:keepNext/>
      <w:jc w:val="center"/>
    </w:pPr>
    <w:rPr>
      <w:rFonts w:ascii="Arial" w:hAnsi="Arial"/>
    </w:rPr>
    <w:tblPr>
      <w:tblBorders>
        <w:top w:val="single" w:sz="4" w:space="0" w:color="auto"/>
        <w:bottom w:val="single" w:sz="4" w:space="0" w:color="auto"/>
      </w:tblBorders>
    </w:tblPr>
    <w:tcPr>
      <w:vAlign w:val="center"/>
    </w:tcPr>
  </w:style>
  <w:style w:type="table" w:customStyle="1" w:styleId="MSDTableGrid4">
    <w:name w:val="MSD Table Grid4"/>
    <w:basedOn w:val="TableNormal"/>
    <w:next w:val="TableGrid"/>
    <w:uiPriority w:val="59"/>
    <w:rsid w:val="007F3B10"/>
    <w:pPr>
      <w:keepNext/>
      <w:jc w:val="center"/>
    </w:pPr>
    <w:rPr>
      <w:rFonts w:ascii="Arial" w:hAnsi="Arial"/>
    </w:rPr>
    <w:tblPr>
      <w:tblBorders>
        <w:top w:val="single" w:sz="4" w:space="0" w:color="auto"/>
        <w:bottom w:val="single" w:sz="4" w:space="0" w:color="auto"/>
      </w:tblBorders>
    </w:tblPr>
    <w:tcPr>
      <w:vAlign w:val="center"/>
    </w:tcPr>
  </w:style>
  <w:style w:type="table" w:customStyle="1" w:styleId="MSDTableGrid5">
    <w:name w:val="MSD Table Grid5"/>
    <w:basedOn w:val="TableNormal"/>
    <w:next w:val="TableGrid"/>
    <w:uiPriority w:val="59"/>
    <w:rsid w:val="007F3B10"/>
    <w:pPr>
      <w:keepNext/>
      <w:jc w:val="center"/>
    </w:pPr>
    <w:rPr>
      <w:rFonts w:ascii="Arial" w:hAnsi="Arial"/>
    </w:rPr>
    <w:tblPr>
      <w:tblBorders>
        <w:top w:val="single" w:sz="4" w:space="0" w:color="auto"/>
        <w:bottom w:val="single" w:sz="4" w:space="0" w:color="auto"/>
      </w:tblBorders>
    </w:tblPr>
    <w:tcPr>
      <w:vAlign w:val="center"/>
    </w:tcPr>
  </w:style>
  <w:style w:type="table" w:customStyle="1" w:styleId="MSDTableGrid6">
    <w:name w:val="MSD Table Grid6"/>
    <w:basedOn w:val="TableNormal"/>
    <w:next w:val="TableGrid"/>
    <w:uiPriority w:val="59"/>
    <w:rsid w:val="007F3B10"/>
    <w:pPr>
      <w:keepNext/>
      <w:jc w:val="center"/>
    </w:pPr>
    <w:rPr>
      <w:rFonts w:ascii="Arial" w:hAnsi="Arial"/>
    </w:rPr>
    <w:tblPr>
      <w:tblBorders>
        <w:top w:val="single" w:sz="4" w:space="0" w:color="auto"/>
        <w:bottom w:val="single" w:sz="4" w:space="0" w:color="auto"/>
      </w:tblBorders>
    </w:tblPr>
    <w:tcPr>
      <w:vAlign w:val="center"/>
    </w:tcPr>
  </w:style>
  <w:style w:type="character" w:customStyle="1" w:styleId="COMH2-numberedChar">
    <w:name w:val="COM H2 - numbered Char"/>
    <w:basedOn w:val="Heading2Char"/>
    <w:link w:val="COMH2-numbered"/>
    <w:rsid w:val="007F3B10"/>
    <w:rPr>
      <w:rFonts w:ascii="Calibri" w:hAnsi="Calibri" w:cs="Arial"/>
      <w:b/>
      <w:i/>
      <w:sz w:val="28"/>
      <w:szCs w:val="24"/>
    </w:rPr>
  </w:style>
  <w:style w:type="numbering" w:customStyle="1" w:styleId="Style1">
    <w:name w:val="Style1"/>
    <w:uiPriority w:val="99"/>
    <w:rsid w:val="00770727"/>
    <w:pPr>
      <w:numPr>
        <w:numId w:val="9"/>
      </w:numPr>
    </w:pPr>
  </w:style>
  <w:style w:type="numbering" w:customStyle="1" w:styleId="Style11">
    <w:name w:val="Style11"/>
    <w:uiPriority w:val="99"/>
    <w:rsid w:val="00770727"/>
  </w:style>
  <w:style w:type="numbering" w:customStyle="1" w:styleId="Style12">
    <w:name w:val="Style12"/>
    <w:uiPriority w:val="99"/>
    <w:rsid w:val="00770727"/>
  </w:style>
  <w:style w:type="numbering" w:customStyle="1" w:styleId="Style13">
    <w:name w:val="Style13"/>
    <w:uiPriority w:val="99"/>
    <w:rsid w:val="00770727"/>
  </w:style>
  <w:style w:type="numbering" w:customStyle="1" w:styleId="Style14">
    <w:name w:val="Style14"/>
    <w:uiPriority w:val="99"/>
    <w:rsid w:val="00770727"/>
  </w:style>
  <w:style w:type="paragraph" w:customStyle="1" w:styleId="Tabletext0">
    <w:name w:val="Table text"/>
    <w:basedOn w:val="Normal"/>
    <w:link w:val="TabletextChar0"/>
    <w:uiPriority w:val="2"/>
    <w:qFormat/>
    <w:rsid w:val="00770727"/>
    <w:pPr>
      <w:jc w:val="left"/>
    </w:pPr>
    <w:rPr>
      <w:rFonts w:ascii="Arial Narrow" w:hAnsi="Arial Narrow" w:cs="Times New Roman"/>
      <w:sz w:val="20"/>
      <w:szCs w:val="22"/>
      <w:lang w:eastAsia="en-US"/>
    </w:rPr>
  </w:style>
  <w:style w:type="character" w:customStyle="1" w:styleId="TabletextChar0">
    <w:name w:val="Table text Char"/>
    <w:link w:val="Tabletext0"/>
    <w:uiPriority w:val="2"/>
    <w:rsid w:val="00770727"/>
    <w:rPr>
      <w:rFonts w:ascii="Arial Narrow" w:hAnsi="Arial Narrow"/>
      <w:szCs w:val="22"/>
      <w:lang w:eastAsia="en-US"/>
    </w:rPr>
  </w:style>
  <w:style w:type="table" w:customStyle="1" w:styleId="IQVIAManual">
    <w:name w:val="IQVIA Manual"/>
    <w:basedOn w:val="TableNormal"/>
    <w:uiPriority w:val="99"/>
    <w:rsid w:val="0017694F"/>
    <w:pPr>
      <w:spacing w:before="60" w:after="60"/>
    </w:pPr>
    <w:rPr>
      <w:rFonts w:ascii="Arial" w:eastAsiaTheme="minorHAnsi" w:hAnsi="Arial" w:cs="Arial"/>
      <w:color w:val="2B3A42"/>
      <w:szCs w:val="22"/>
      <w:lang w:val="en-US" w:eastAsia="en-US"/>
    </w:rPr>
    <w:tblPr>
      <w:tblBorders>
        <w:top w:val="single" w:sz="4" w:space="0" w:color="2B3A42"/>
        <w:left w:val="single" w:sz="4" w:space="0" w:color="2B3A42"/>
        <w:bottom w:val="single" w:sz="4" w:space="0" w:color="2B3A42"/>
        <w:right w:val="single" w:sz="4" w:space="0" w:color="2B3A42"/>
        <w:insideH w:val="single" w:sz="4" w:space="0" w:color="2B3A42"/>
        <w:insideV w:val="single" w:sz="4" w:space="0" w:color="2B3A42"/>
      </w:tblBorders>
    </w:tblPr>
    <w:tblStylePr w:type="firstRow">
      <w:pPr>
        <w:wordWrap/>
        <w:spacing w:beforeLines="0" w:before="60" w:beforeAutospacing="0" w:afterLines="0" w:after="60" w:afterAutospacing="0" w:line="240" w:lineRule="auto"/>
        <w:contextualSpacing w:val="0"/>
        <w:jc w:val="center"/>
      </w:pPr>
      <w:rPr>
        <w:rFonts w:asciiTheme="minorHAnsi" w:hAnsiTheme="minorHAnsi"/>
        <w:b/>
        <w:color w:val="FFFFFF" w:themeColor="background1"/>
        <w:sz w:val="22"/>
      </w:rPr>
      <w:tblPr/>
      <w:tcPr>
        <w:shd w:val="clear" w:color="auto" w:fill="00A3E0"/>
      </w:tcPr>
    </w:tblStylePr>
  </w:style>
  <w:style w:type="table" w:customStyle="1" w:styleId="Summarybox74">
    <w:name w:val="Summary box74"/>
    <w:basedOn w:val="TableNormal"/>
    <w:next w:val="TableGrid"/>
    <w:uiPriority w:val="59"/>
    <w:rsid w:val="00176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aliases w:val="zz List Bullet Char"/>
    <w:basedOn w:val="DefaultParagraphFont"/>
    <w:link w:val="ListBullet"/>
    <w:rsid w:val="004A7296"/>
    <w:rPr>
      <w:rFonts w:ascii="Calibri" w:eastAsia="SimSun" w:hAnsi="Calibri" w:cs="Arial"/>
      <w:sz w:val="24"/>
      <w:szCs w:val="24"/>
    </w:rPr>
  </w:style>
  <w:style w:type="character" w:styleId="UnresolvedMention">
    <w:name w:val="Unresolved Mention"/>
    <w:basedOn w:val="DefaultParagraphFont"/>
    <w:uiPriority w:val="99"/>
    <w:unhideWhenUsed/>
    <w:rsid w:val="00A55A75"/>
    <w:rPr>
      <w:color w:val="605E5C"/>
      <w:shd w:val="clear" w:color="auto" w:fill="E1DFDD"/>
    </w:rPr>
  </w:style>
  <w:style w:type="character" w:styleId="Mention">
    <w:name w:val="Mention"/>
    <w:basedOn w:val="DefaultParagraphFont"/>
    <w:uiPriority w:val="99"/>
    <w:unhideWhenUsed/>
    <w:rsid w:val="00B83F17"/>
    <w:rPr>
      <w:color w:val="2B579A"/>
      <w:shd w:val="clear" w:color="auto" w:fill="E1DFDD"/>
    </w:rPr>
  </w:style>
  <w:style w:type="paragraph" w:customStyle="1" w:styleId="TableFooter">
    <w:name w:val="Table Footer"/>
    <w:basedOn w:val="Normal"/>
    <w:link w:val="TableFooterChar"/>
    <w:qFormat/>
    <w:rsid w:val="00B00A60"/>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B00A60"/>
    <w:rPr>
      <w:rFonts w:ascii="Arial Narrow" w:hAnsi="Arial Narrow" w:cs="Arial"/>
      <w:snapToGrid w:val="0"/>
      <w:sz w:val="18"/>
      <w:szCs w:val="22"/>
      <w:lang w:eastAsia="en-US"/>
    </w:rPr>
  </w:style>
  <w:style w:type="paragraph" w:customStyle="1" w:styleId="PBACHeading1">
    <w:name w:val="PBAC Heading 1"/>
    <w:qFormat/>
    <w:rsid w:val="00AA3CC6"/>
    <w:pPr>
      <w:ind w:left="720" w:hanging="720"/>
      <w:outlineLvl w:val="0"/>
    </w:pPr>
    <w:rPr>
      <w:rFonts w:ascii="Calibri" w:hAnsi="Calibri" w:cs="Calibri"/>
      <w:b/>
      <w:snapToGrid w:val="0"/>
      <w:sz w:val="32"/>
      <w:szCs w:val="32"/>
      <w:lang w:eastAsia="en-US"/>
    </w:rPr>
  </w:style>
  <w:style w:type="paragraph" w:styleId="NormalWeb">
    <w:name w:val="Normal (Web)"/>
    <w:basedOn w:val="Normal"/>
    <w:uiPriority w:val="99"/>
    <w:semiHidden/>
    <w:unhideWhenUsed/>
    <w:rsid w:val="00731580"/>
    <w:rPr>
      <w:rFonts w:ascii="Times New Roman" w:hAnsi="Times New Roman" w:cs="Times New Roman"/>
    </w:rPr>
  </w:style>
  <w:style w:type="paragraph" w:styleId="FootnoteText">
    <w:name w:val="footnote text"/>
    <w:basedOn w:val="Normal"/>
    <w:link w:val="FootnoteTextChar"/>
    <w:semiHidden/>
    <w:unhideWhenUsed/>
    <w:rsid w:val="00F337FE"/>
    <w:rPr>
      <w:sz w:val="20"/>
      <w:szCs w:val="20"/>
    </w:rPr>
  </w:style>
  <w:style w:type="character" w:customStyle="1" w:styleId="FootnoteTextChar">
    <w:name w:val="Footnote Text Char"/>
    <w:basedOn w:val="DefaultParagraphFont"/>
    <w:link w:val="FootnoteText"/>
    <w:semiHidden/>
    <w:rsid w:val="00F337FE"/>
    <w:rPr>
      <w:rFonts w:ascii="Calibri" w:hAnsi="Calibri" w:cs="Arial"/>
    </w:rPr>
  </w:style>
  <w:style w:type="character" w:styleId="FootnoteReference">
    <w:name w:val="footnote reference"/>
    <w:basedOn w:val="DefaultParagraphFont"/>
    <w:semiHidden/>
    <w:unhideWhenUsed/>
    <w:rsid w:val="00F337FE"/>
    <w:rPr>
      <w:vertAlign w:val="superscript"/>
    </w:rPr>
  </w:style>
  <w:style w:type="paragraph" w:customStyle="1" w:styleId="pf0">
    <w:name w:val="pf0"/>
    <w:basedOn w:val="Normal"/>
    <w:rsid w:val="00D20858"/>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D20858"/>
    <w:rPr>
      <w:rFonts w:ascii="Segoe UI" w:hAnsi="Segoe UI" w:cs="Segoe UI" w:hint="default"/>
      <w:sz w:val="18"/>
      <w:szCs w:val="18"/>
    </w:rPr>
  </w:style>
  <w:style w:type="paragraph" w:customStyle="1" w:styleId="3-SubsectionHeading">
    <w:name w:val="3-Subsection Heading"/>
    <w:basedOn w:val="Heading2"/>
    <w:next w:val="Normal"/>
    <w:link w:val="3-SubsectionHeadingChar"/>
    <w:qFormat/>
    <w:rsid w:val="00203564"/>
    <w:pPr>
      <w:spacing w:before="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203564"/>
    <w:rPr>
      <w:rFonts w:asciiTheme="minorHAnsi" w:eastAsiaTheme="majorEastAsia" w:hAnsiTheme="minorHAnsi" w:cstheme="majorBidi"/>
      <w:b/>
      <w:i/>
      <w:spacing w:val="5"/>
      <w:kern w:val="28"/>
      <w:sz w:val="28"/>
      <w:szCs w:val="36"/>
      <w:lang w:eastAsia="en-US"/>
    </w:rPr>
  </w:style>
  <w:style w:type="paragraph" w:customStyle="1" w:styleId="2-SectionHeading">
    <w:name w:val="2-Section Heading"/>
    <w:qFormat/>
    <w:rsid w:val="00E32B75"/>
    <w:pPr>
      <w:keepNext/>
      <w:spacing w:before="240" w:after="120"/>
      <w:outlineLvl w:val="1"/>
    </w:pPr>
    <w:rPr>
      <w:rFonts w:asciiTheme="minorHAnsi" w:hAnsiTheme="minorHAnsi" w:cs="Arial"/>
      <w:b/>
      <w:snapToGrid w:val="0"/>
      <w:sz w:val="32"/>
      <w:szCs w:val="32"/>
    </w:rPr>
  </w:style>
  <w:style w:type="paragraph" w:styleId="NoSpacing">
    <w:name w:val="No Spacing"/>
    <w:uiPriority w:val="1"/>
    <w:qFormat/>
    <w:rsid w:val="00D76617"/>
    <w:rPr>
      <w:sz w:val="24"/>
      <w:szCs w:val="24"/>
      <w:lang w:eastAsia="en-US"/>
    </w:rPr>
  </w:style>
  <w:style w:type="paragraph" w:customStyle="1" w:styleId="3-BodyText">
    <w:name w:val="3-Body Text"/>
    <w:basedOn w:val="ListParagraph"/>
    <w:qFormat/>
    <w:rsid w:val="009238F9"/>
    <w:pPr>
      <w:spacing w:before="60" w:after="120"/>
      <w:ind w:hanging="720"/>
      <w:contextualSpacing w:val="0"/>
    </w:pPr>
    <w:rPr>
      <w:rFonts w:asciiTheme="minorHAnsi" w:hAnsiTheme="minorHAnsi"/>
      <w:snapToGrid w:val="0"/>
    </w:rPr>
  </w:style>
  <w:style w:type="paragraph" w:customStyle="1" w:styleId="4-SubsectionHeading">
    <w:name w:val="4-Subsection Heading"/>
    <w:basedOn w:val="Heading2"/>
    <w:next w:val="3-BodyText"/>
    <w:link w:val="4-SubsectionHeadingChar"/>
    <w:qFormat/>
    <w:rsid w:val="00ED38BF"/>
    <w:pPr>
      <w:spacing w:before="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DefaultParagraphFont"/>
    <w:link w:val="4-SubsectionHeading"/>
    <w:rsid w:val="00ED38BF"/>
    <w:rPr>
      <w:rFonts w:asciiTheme="minorHAnsi" w:eastAsiaTheme="majorEastAsia" w:hAnsiTheme="minorHAnsi" w:cstheme="majorBidi"/>
      <w:b/>
      <w:i/>
      <w:spacing w:val="5"/>
      <w:kern w:val="28"/>
      <w:sz w:val="28"/>
      <w:szCs w:val="36"/>
    </w:rPr>
  </w:style>
  <w:style w:type="character" w:customStyle="1" w:styleId="apple-converted-space">
    <w:name w:val="apple-converted-space"/>
    <w:basedOn w:val="DefaultParagraphFont"/>
    <w:rsid w:val="00A81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5862">
      <w:bodyDiv w:val="1"/>
      <w:marLeft w:val="0"/>
      <w:marRight w:val="0"/>
      <w:marTop w:val="0"/>
      <w:marBottom w:val="0"/>
      <w:divBdr>
        <w:top w:val="none" w:sz="0" w:space="0" w:color="auto"/>
        <w:left w:val="none" w:sz="0" w:space="0" w:color="auto"/>
        <w:bottom w:val="none" w:sz="0" w:space="0" w:color="auto"/>
        <w:right w:val="none" w:sz="0" w:space="0" w:color="auto"/>
      </w:divBdr>
      <w:divsChild>
        <w:div w:id="967932860">
          <w:marLeft w:val="1080"/>
          <w:marRight w:val="0"/>
          <w:marTop w:val="60"/>
          <w:marBottom w:val="60"/>
          <w:divBdr>
            <w:top w:val="none" w:sz="0" w:space="0" w:color="auto"/>
            <w:left w:val="none" w:sz="0" w:space="0" w:color="auto"/>
            <w:bottom w:val="none" w:sz="0" w:space="0" w:color="auto"/>
            <w:right w:val="none" w:sz="0" w:space="0" w:color="auto"/>
          </w:divBdr>
        </w:div>
        <w:div w:id="1128936525">
          <w:marLeft w:val="1080"/>
          <w:marRight w:val="0"/>
          <w:marTop w:val="60"/>
          <w:marBottom w:val="60"/>
          <w:divBdr>
            <w:top w:val="none" w:sz="0" w:space="0" w:color="auto"/>
            <w:left w:val="none" w:sz="0" w:space="0" w:color="auto"/>
            <w:bottom w:val="none" w:sz="0" w:space="0" w:color="auto"/>
            <w:right w:val="none" w:sz="0" w:space="0" w:color="auto"/>
          </w:divBdr>
        </w:div>
        <w:div w:id="1904288421">
          <w:marLeft w:val="1080"/>
          <w:marRight w:val="0"/>
          <w:marTop w:val="60"/>
          <w:marBottom w:val="60"/>
          <w:divBdr>
            <w:top w:val="none" w:sz="0" w:space="0" w:color="auto"/>
            <w:left w:val="none" w:sz="0" w:space="0" w:color="auto"/>
            <w:bottom w:val="none" w:sz="0" w:space="0" w:color="auto"/>
            <w:right w:val="none" w:sz="0" w:space="0" w:color="auto"/>
          </w:divBdr>
        </w:div>
        <w:div w:id="2087532355">
          <w:marLeft w:val="360"/>
          <w:marRight w:val="0"/>
          <w:marTop w:val="200"/>
          <w:marBottom w:val="0"/>
          <w:divBdr>
            <w:top w:val="none" w:sz="0" w:space="0" w:color="auto"/>
            <w:left w:val="none" w:sz="0" w:space="0" w:color="auto"/>
            <w:bottom w:val="none" w:sz="0" w:space="0" w:color="auto"/>
            <w:right w:val="none" w:sz="0" w:space="0" w:color="auto"/>
          </w:divBdr>
        </w:div>
      </w:divsChild>
    </w:div>
    <w:div w:id="37321955">
      <w:bodyDiv w:val="1"/>
      <w:marLeft w:val="0"/>
      <w:marRight w:val="0"/>
      <w:marTop w:val="0"/>
      <w:marBottom w:val="0"/>
      <w:divBdr>
        <w:top w:val="none" w:sz="0" w:space="0" w:color="auto"/>
        <w:left w:val="none" w:sz="0" w:space="0" w:color="auto"/>
        <w:bottom w:val="none" w:sz="0" w:space="0" w:color="auto"/>
        <w:right w:val="none" w:sz="0" w:space="0" w:color="auto"/>
      </w:divBdr>
      <w:divsChild>
        <w:div w:id="554506678">
          <w:marLeft w:val="0"/>
          <w:marRight w:val="0"/>
          <w:marTop w:val="0"/>
          <w:marBottom w:val="0"/>
          <w:divBdr>
            <w:top w:val="none" w:sz="0" w:space="0" w:color="auto"/>
            <w:left w:val="none" w:sz="0" w:space="0" w:color="auto"/>
            <w:bottom w:val="none" w:sz="0" w:space="0" w:color="auto"/>
            <w:right w:val="none" w:sz="0" w:space="0" w:color="auto"/>
          </w:divBdr>
        </w:div>
        <w:div w:id="610670397">
          <w:marLeft w:val="0"/>
          <w:marRight w:val="0"/>
          <w:marTop w:val="0"/>
          <w:marBottom w:val="0"/>
          <w:divBdr>
            <w:top w:val="none" w:sz="0" w:space="0" w:color="auto"/>
            <w:left w:val="none" w:sz="0" w:space="0" w:color="auto"/>
            <w:bottom w:val="none" w:sz="0" w:space="0" w:color="auto"/>
            <w:right w:val="none" w:sz="0" w:space="0" w:color="auto"/>
          </w:divBdr>
        </w:div>
        <w:div w:id="1846018858">
          <w:marLeft w:val="0"/>
          <w:marRight w:val="0"/>
          <w:marTop w:val="0"/>
          <w:marBottom w:val="0"/>
          <w:divBdr>
            <w:top w:val="none" w:sz="0" w:space="0" w:color="auto"/>
            <w:left w:val="none" w:sz="0" w:space="0" w:color="auto"/>
            <w:bottom w:val="none" w:sz="0" w:space="0" w:color="auto"/>
            <w:right w:val="none" w:sz="0" w:space="0" w:color="auto"/>
          </w:divBdr>
        </w:div>
        <w:div w:id="2113435187">
          <w:marLeft w:val="0"/>
          <w:marRight w:val="0"/>
          <w:marTop w:val="0"/>
          <w:marBottom w:val="0"/>
          <w:divBdr>
            <w:top w:val="none" w:sz="0" w:space="0" w:color="auto"/>
            <w:left w:val="none" w:sz="0" w:space="0" w:color="auto"/>
            <w:bottom w:val="none" w:sz="0" w:space="0" w:color="auto"/>
            <w:right w:val="none" w:sz="0" w:space="0" w:color="auto"/>
          </w:divBdr>
        </w:div>
      </w:divsChild>
    </w:div>
    <w:div w:id="6523020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8845353">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3279739">
      <w:bodyDiv w:val="1"/>
      <w:marLeft w:val="0"/>
      <w:marRight w:val="0"/>
      <w:marTop w:val="0"/>
      <w:marBottom w:val="0"/>
      <w:divBdr>
        <w:top w:val="none" w:sz="0" w:space="0" w:color="auto"/>
        <w:left w:val="none" w:sz="0" w:space="0" w:color="auto"/>
        <w:bottom w:val="none" w:sz="0" w:space="0" w:color="auto"/>
        <w:right w:val="none" w:sz="0" w:space="0" w:color="auto"/>
      </w:divBdr>
    </w:div>
    <w:div w:id="158810944">
      <w:bodyDiv w:val="1"/>
      <w:marLeft w:val="0"/>
      <w:marRight w:val="0"/>
      <w:marTop w:val="0"/>
      <w:marBottom w:val="0"/>
      <w:divBdr>
        <w:top w:val="none" w:sz="0" w:space="0" w:color="auto"/>
        <w:left w:val="none" w:sz="0" w:space="0" w:color="auto"/>
        <w:bottom w:val="none" w:sz="0" w:space="0" w:color="auto"/>
        <w:right w:val="none" w:sz="0" w:space="0" w:color="auto"/>
      </w:divBdr>
    </w:div>
    <w:div w:id="24184103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6925132">
      <w:bodyDiv w:val="1"/>
      <w:marLeft w:val="0"/>
      <w:marRight w:val="0"/>
      <w:marTop w:val="0"/>
      <w:marBottom w:val="0"/>
      <w:divBdr>
        <w:top w:val="none" w:sz="0" w:space="0" w:color="auto"/>
        <w:left w:val="none" w:sz="0" w:space="0" w:color="auto"/>
        <w:bottom w:val="none" w:sz="0" w:space="0" w:color="auto"/>
        <w:right w:val="none" w:sz="0" w:space="0" w:color="auto"/>
      </w:divBdr>
      <w:divsChild>
        <w:div w:id="624311932">
          <w:marLeft w:val="0"/>
          <w:marRight w:val="0"/>
          <w:marTop w:val="0"/>
          <w:marBottom w:val="0"/>
          <w:divBdr>
            <w:top w:val="none" w:sz="0" w:space="0" w:color="auto"/>
            <w:left w:val="none" w:sz="0" w:space="0" w:color="auto"/>
            <w:bottom w:val="none" w:sz="0" w:space="0" w:color="auto"/>
            <w:right w:val="none" w:sz="0" w:space="0" w:color="auto"/>
          </w:divBdr>
        </w:div>
        <w:div w:id="782920695">
          <w:marLeft w:val="0"/>
          <w:marRight w:val="0"/>
          <w:marTop w:val="0"/>
          <w:marBottom w:val="0"/>
          <w:divBdr>
            <w:top w:val="none" w:sz="0" w:space="0" w:color="auto"/>
            <w:left w:val="none" w:sz="0" w:space="0" w:color="auto"/>
            <w:bottom w:val="none" w:sz="0" w:space="0" w:color="auto"/>
            <w:right w:val="none" w:sz="0" w:space="0" w:color="auto"/>
          </w:divBdr>
        </w:div>
      </w:divsChild>
    </w:div>
    <w:div w:id="555749697">
      <w:bodyDiv w:val="1"/>
      <w:marLeft w:val="0"/>
      <w:marRight w:val="0"/>
      <w:marTop w:val="0"/>
      <w:marBottom w:val="0"/>
      <w:divBdr>
        <w:top w:val="none" w:sz="0" w:space="0" w:color="auto"/>
        <w:left w:val="none" w:sz="0" w:space="0" w:color="auto"/>
        <w:bottom w:val="none" w:sz="0" w:space="0" w:color="auto"/>
        <w:right w:val="none" w:sz="0" w:space="0" w:color="auto"/>
      </w:divBdr>
    </w:div>
    <w:div w:id="568423298">
      <w:bodyDiv w:val="1"/>
      <w:marLeft w:val="0"/>
      <w:marRight w:val="0"/>
      <w:marTop w:val="0"/>
      <w:marBottom w:val="0"/>
      <w:divBdr>
        <w:top w:val="none" w:sz="0" w:space="0" w:color="auto"/>
        <w:left w:val="none" w:sz="0" w:space="0" w:color="auto"/>
        <w:bottom w:val="none" w:sz="0" w:space="0" w:color="auto"/>
        <w:right w:val="none" w:sz="0" w:space="0" w:color="auto"/>
      </w:divBdr>
    </w:div>
    <w:div w:id="692344282">
      <w:bodyDiv w:val="1"/>
      <w:marLeft w:val="0"/>
      <w:marRight w:val="0"/>
      <w:marTop w:val="0"/>
      <w:marBottom w:val="0"/>
      <w:divBdr>
        <w:top w:val="none" w:sz="0" w:space="0" w:color="auto"/>
        <w:left w:val="none" w:sz="0" w:space="0" w:color="auto"/>
        <w:bottom w:val="none" w:sz="0" w:space="0" w:color="auto"/>
        <w:right w:val="none" w:sz="0" w:space="0" w:color="auto"/>
      </w:divBdr>
    </w:div>
    <w:div w:id="694623507">
      <w:bodyDiv w:val="1"/>
      <w:marLeft w:val="0"/>
      <w:marRight w:val="0"/>
      <w:marTop w:val="0"/>
      <w:marBottom w:val="0"/>
      <w:divBdr>
        <w:top w:val="none" w:sz="0" w:space="0" w:color="auto"/>
        <w:left w:val="none" w:sz="0" w:space="0" w:color="auto"/>
        <w:bottom w:val="none" w:sz="0" w:space="0" w:color="auto"/>
        <w:right w:val="none" w:sz="0" w:space="0" w:color="auto"/>
      </w:divBdr>
      <w:divsChild>
        <w:div w:id="1470395967">
          <w:marLeft w:val="0"/>
          <w:marRight w:val="0"/>
          <w:marTop w:val="0"/>
          <w:marBottom w:val="0"/>
          <w:divBdr>
            <w:top w:val="none" w:sz="0" w:space="0" w:color="auto"/>
            <w:left w:val="none" w:sz="0" w:space="0" w:color="auto"/>
            <w:bottom w:val="none" w:sz="0" w:space="0" w:color="auto"/>
            <w:right w:val="none" w:sz="0" w:space="0" w:color="auto"/>
          </w:divBdr>
        </w:div>
        <w:div w:id="1818641387">
          <w:marLeft w:val="0"/>
          <w:marRight w:val="0"/>
          <w:marTop w:val="0"/>
          <w:marBottom w:val="0"/>
          <w:divBdr>
            <w:top w:val="none" w:sz="0" w:space="0" w:color="auto"/>
            <w:left w:val="none" w:sz="0" w:space="0" w:color="auto"/>
            <w:bottom w:val="none" w:sz="0" w:space="0" w:color="auto"/>
            <w:right w:val="none" w:sz="0" w:space="0" w:color="auto"/>
          </w:divBdr>
        </w:div>
      </w:divsChild>
    </w:div>
    <w:div w:id="744574472">
      <w:bodyDiv w:val="1"/>
      <w:marLeft w:val="0"/>
      <w:marRight w:val="0"/>
      <w:marTop w:val="0"/>
      <w:marBottom w:val="0"/>
      <w:divBdr>
        <w:top w:val="none" w:sz="0" w:space="0" w:color="auto"/>
        <w:left w:val="none" w:sz="0" w:space="0" w:color="auto"/>
        <w:bottom w:val="none" w:sz="0" w:space="0" w:color="auto"/>
        <w:right w:val="none" w:sz="0" w:space="0" w:color="auto"/>
      </w:divBdr>
    </w:div>
    <w:div w:id="745683994">
      <w:bodyDiv w:val="1"/>
      <w:marLeft w:val="0"/>
      <w:marRight w:val="0"/>
      <w:marTop w:val="0"/>
      <w:marBottom w:val="0"/>
      <w:divBdr>
        <w:top w:val="none" w:sz="0" w:space="0" w:color="auto"/>
        <w:left w:val="none" w:sz="0" w:space="0" w:color="auto"/>
        <w:bottom w:val="none" w:sz="0" w:space="0" w:color="auto"/>
        <w:right w:val="none" w:sz="0" w:space="0" w:color="auto"/>
      </w:divBdr>
    </w:div>
    <w:div w:id="770123005">
      <w:bodyDiv w:val="1"/>
      <w:marLeft w:val="0"/>
      <w:marRight w:val="0"/>
      <w:marTop w:val="0"/>
      <w:marBottom w:val="0"/>
      <w:divBdr>
        <w:top w:val="none" w:sz="0" w:space="0" w:color="auto"/>
        <w:left w:val="none" w:sz="0" w:space="0" w:color="auto"/>
        <w:bottom w:val="none" w:sz="0" w:space="0" w:color="auto"/>
        <w:right w:val="none" w:sz="0" w:space="0" w:color="auto"/>
      </w:divBdr>
    </w:div>
    <w:div w:id="778840382">
      <w:bodyDiv w:val="1"/>
      <w:marLeft w:val="0"/>
      <w:marRight w:val="0"/>
      <w:marTop w:val="0"/>
      <w:marBottom w:val="0"/>
      <w:divBdr>
        <w:top w:val="none" w:sz="0" w:space="0" w:color="auto"/>
        <w:left w:val="none" w:sz="0" w:space="0" w:color="auto"/>
        <w:bottom w:val="none" w:sz="0" w:space="0" w:color="auto"/>
        <w:right w:val="none" w:sz="0" w:space="0" w:color="auto"/>
      </w:divBdr>
    </w:div>
    <w:div w:id="786848951">
      <w:bodyDiv w:val="1"/>
      <w:marLeft w:val="0"/>
      <w:marRight w:val="0"/>
      <w:marTop w:val="0"/>
      <w:marBottom w:val="0"/>
      <w:divBdr>
        <w:top w:val="none" w:sz="0" w:space="0" w:color="auto"/>
        <w:left w:val="none" w:sz="0" w:space="0" w:color="auto"/>
        <w:bottom w:val="none" w:sz="0" w:space="0" w:color="auto"/>
        <w:right w:val="none" w:sz="0" w:space="0" w:color="auto"/>
      </w:divBdr>
      <w:divsChild>
        <w:div w:id="1026099846">
          <w:marLeft w:val="360"/>
          <w:marRight w:val="0"/>
          <w:marTop w:val="20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8107217">
      <w:bodyDiv w:val="1"/>
      <w:marLeft w:val="0"/>
      <w:marRight w:val="0"/>
      <w:marTop w:val="0"/>
      <w:marBottom w:val="0"/>
      <w:divBdr>
        <w:top w:val="none" w:sz="0" w:space="0" w:color="auto"/>
        <w:left w:val="none" w:sz="0" w:space="0" w:color="auto"/>
        <w:bottom w:val="none" w:sz="0" w:space="0" w:color="auto"/>
        <w:right w:val="none" w:sz="0" w:space="0" w:color="auto"/>
      </w:divBdr>
    </w:div>
    <w:div w:id="874931055">
      <w:bodyDiv w:val="1"/>
      <w:marLeft w:val="0"/>
      <w:marRight w:val="0"/>
      <w:marTop w:val="0"/>
      <w:marBottom w:val="0"/>
      <w:divBdr>
        <w:top w:val="none" w:sz="0" w:space="0" w:color="auto"/>
        <w:left w:val="none" w:sz="0" w:space="0" w:color="auto"/>
        <w:bottom w:val="none" w:sz="0" w:space="0" w:color="auto"/>
        <w:right w:val="none" w:sz="0" w:space="0" w:color="auto"/>
      </w:divBdr>
      <w:divsChild>
        <w:div w:id="2014914107">
          <w:marLeft w:val="1080"/>
          <w:marRight w:val="0"/>
          <w:marTop w:val="100"/>
          <w:marBottom w:val="0"/>
          <w:divBdr>
            <w:top w:val="none" w:sz="0" w:space="0" w:color="auto"/>
            <w:left w:val="none" w:sz="0" w:space="0" w:color="auto"/>
            <w:bottom w:val="none" w:sz="0" w:space="0" w:color="auto"/>
            <w:right w:val="none" w:sz="0" w:space="0" w:color="auto"/>
          </w:divBdr>
        </w:div>
      </w:divsChild>
    </w:div>
    <w:div w:id="946621177">
      <w:bodyDiv w:val="1"/>
      <w:marLeft w:val="0"/>
      <w:marRight w:val="0"/>
      <w:marTop w:val="0"/>
      <w:marBottom w:val="0"/>
      <w:divBdr>
        <w:top w:val="none" w:sz="0" w:space="0" w:color="auto"/>
        <w:left w:val="none" w:sz="0" w:space="0" w:color="auto"/>
        <w:bottom w:val="none" w:sz="0" w:space="0" w:color="auto"/>
        <w:right w:val="none" w:sz="0" w:space="0" w:color="auto"/>
      </w:divBdr>
    </w:div>
    <w:div w:id="980617556">
      <w:bodyDiv w:val="1"/>
      <w:marLeft w:val="0"/>
      <w:marRight w:val="0"/>
      <w:marTop w:val="0"/>
      <w:marBottom w:val="0"/>
      <w:divBdr>
        <w:top w:val="none" w:sz="0" w:space="0" w:color="auto"/>
        <w:left w:val="none" w:sz="0" w:space="0" w:color="auto"/>
        <w:bottom w:val="none" w:sz="0" w:space="0" w:color="auto"/>
        <w:right w:val="none" w:sz="0" w:space="0" w:color="auto"/>
      </w:divBdr>
    </w:div>
    <w:div w:id="1049916421">
      <w:bodyDiv w:val="1"/>
      <w:marLeft w:val="0"/>
      <w:marRight w:val="0"/>
      <w:marTop w:val="0"/>
      <w:marBottom w:val="0"/>
      <w:divBdr>
        <w:top w:val="none" w:sz="0" w:space="0" w:color="auto"/>
        <w:left w:val="none" w:sz="0" w:space="0" w:color="auto"/>
        <w:bottom w:val="none" w:sz="0" w:space="0" w:color="auto"/>
        <w:right w:val="none" w:sz="0" w:space="0" w:color="auto"/>
      </w:divBdr>
    </w:div>
    <w:div w:id="1128165934">
      <w:bodyDiv w:val="1"/>
      <w:marLeft w:val="0"/>
      <w:marRight w:val="0"/>
      <w:marTop w:val="0"/>
      <w:marBottom w:val="0"/>
      <w:divBdr>
        <w:top w:val="none" w:sz="0" w:space="0" w:color="auto"/>
        <w:left w:val="none" w:sz="0" w:space="0" w:color="auto"/>
        <w:bottom w:val="none" w:sz="0" w:space="0" w:color="auto"/>
        <w:right w:val="none" w:sz="0" w:space="0" w:color="auto"/>
      </w:divBdr>
    </w:div>
    <w:div w:id="1161969690">
      <w:bodyDiv w:val="1"/>
      <w:marLeft w:val="0"/>
      <w:marRight w:val="0"/>
      <w:marTop w:val="0"/>
      <w:marBottom w:val="0"/>
      <w:divBdr>
        <w:top w:val="none" w:sz="0" w:space="0" w:color="auto"/>
        <w:left w:val="none" w:sz="0" w:space="0" w:color="auto"/>
        <w:bottom w:val="none" w:sz="0" w:space="0" w:color="auto"/>
        <w:right w:val="none" w:sz="0" w:space="0" w:color="auto"/>
      </w:divBdr>
    </w:div>
    <w:div w:id="117041193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5288441">
      <w:bodyDiv w:val="1"/>
      <w:marLeft w:val="0"/>
      <w:marRight w:val="0"/>
      <w:marTop w:val="0"/>
      <w:marBottom w:val="0"/>
      <w:divBdr>
        <w:top w:val="none" w:sz="0" w:space="0" w:color="auto"/>
        <w:left w:val="none" w:sz="0" w:space="0" w:color="auto"/>
        <w:bottom w:val="none" w:sz="0" w:space="0" w:color="auto"/>
        <w:right w:val="none" w:sz="0" w:space="0" w:color="auto"/>
      </w:divBdr>
      <w:divsChild>
        <w:div w:id="89280200">
          <w:marLeft w:val="0"/>
          <w:marRight w:val="0"/>
          <w:marTop w:val="0"/>
          <w:marBottom w:val="0"/>
          <w:divBdr>
            <w:top w:val="none" w:sz="0" w:space="0" w:color="auto"/>
            <w:left w:val="none" w:sz="0" w:space="0" w:color="auto"/>
            <w:bottom w:val="none" w:sz="0" w:space="0" w:color="auto"/>
            <w:right w:val="none" w:sz="0" w:space="0" w:color="auto"/>
          </w:divBdr>
        </w:div>
        <w:div w:id="1584334821">
          <w:marLeft w:val="0"/>
          <w:marRight w:val="0"/>
          <w:marTop w:val="0"/>
          <w:marBottom w:val="0"/>
          <w:divBdr>
            <w:top w:val="none" w:sz="0" w:space="0" w:color="auto"/>
            <w:left w:val="none" w:sz="0" w:space="0" w:color="auto"/>
            <w:bottom w:val="none" w:sz="0" w:space="0" w:color="auto"/>
            <w:right w:val="none" w:sz="0" w:space="0" w:color="auto"/>
          </w:divBdr>
        </w:div>
        <w:div w:id="1911766599">
          <w:marLeft w:val="0"/>
          <w:marRight w:val="0"/>
          <w:marTop w:val="0"/>
          <w:marBottom w:val="0"/>
          <w:divBdr>
            <w:top w:val="none" w:sz="0" w:space="0" w:color="auto"/>
            <w:left w:val="none" w:sz="0" w:space="0" w:color="auto"/>
            <w:bottom w:val="none" w:sz="0" w:space="0" w:color="auto"/>
            <w:right w:val="none" w:sz="0" w:space="0" w:color="auto"/>
          </w:divBdr>
        </w:div>
        <w:div w:id="2073960643">
          <w:marLeft w:val="0"/>
          <w:marRight w:val="0"/>
          <w:marTop w:val="0"/>
          <w:marBottom w:val="0"/>
          <w:divBdr>
            <w:top w:val="none" w:sz="0" w:space="0" w:color="auto"/>
            <w:left w:val="none" w:sz="0" w:space="0" w:color="auto"/>
            <w:bottom w:val="none" w:sz="0" w:space="0" w:color="auto"/>
            <w:right w:val="none" w:sz="0" w:space="0" w:color="auto"/>
          </w:divBdr>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1674418">
      <w:bodyDiv w:val="1"/>
      <w:marLeft w:val="0"/>
      <w:marRight w:val="0"/>
      <w:marTop w:val="0"/>
      <w:marBottom w:val="0"/>
      <w:divBdr>
        <w:top w:val="none" w:sz="0" w:space="0" w:color="auto"/>
        <w:left w:val="none" w:sz="0" w:space="0" w:color="auto"/>
        <w:bottom w:val="none" w:sz="0" w:space="0" w:color="auto"/>
        <w:right w:val="none" w:sz="0" w:space="0" w:color="auto"/>
      </w:divBdr>
    </w:div>
    <w:div w:id="1387414592">
      <w:bodyDiv w:val="1"/>
      <w:marLeft w:val="0"/>
      <w:marRight w:val="0"/>
      <w:marTop w:val="0"/>
      <w:marBottom w:val="0"/>
      <w:divBdr>
        <w:top w:val="none" w:sz="0" w:space="0" w:color="auto"/>
        <w:left w:val="none" w:sz="0" w:space="0" w:color="auto"/>
        <w:bottom w:val="none" w:sz="0" w:space="0" w:color="auto"/>
        <w:right w:val="none" w:sz="0" w:space="0" w:color="auto"/>
      </w:divBdr>
    </w:div>
    <w:div w:id="1559977708">
      <w:bodyDiv w:val="1"/>
      <w:marLeft w:val="0"/>
      <w:marRight w:val="0"/>
      <w:marTop w:val="0"/>
      <w:marBottom w:val="0"/>
      <w:divBdr>
        <w:top w:val="none" w:sz="0" w:space="0" w:color="auto"/>
        <w:left w:val="none" w:sz="0" w:space="0" w:color="auto"/>
        <w:bottom w:val="none" w:sz="0" w:space="0" w:color="auto"/>
        <w:right w:val="none" w:sz="0" w:space="0" w:color="auto"/>
      </w:divBdr>
    </w:div>
    <w:div w:id="1781410326">
      <w:bodyDiv w:val="1"/>
      <w:marLeft w:val="0"/>
      <w:marRight w:val="0"/>
      <w:marTop w:val="0"/>
      <w:marBottom w:val="0"/>
      <w:divBdr>
        <w:top w:val="none" w:sz="0" w:space="0" w:color="auto"/>
        <w:left w:val="none" w:sz="0" w:space="0" w:color="auto"/>
        <w:bottom w:val="none" w:sz="0" w:space="0" w:color="auto"/>
        <w:right w:val="none" w:sz="0" w:space="0" w:color="auto"/>
      </w:divBdr>
    </w:div>
    <w:div w:id="1884631447">
      <w:bodyDiv w:val="1"/>
      <w:marLeft w:val="0"/>
      <w:marRight w:val="0"/>
      <w:marTop w:val="0"/>
      <w:marBottom w:val="0"/>
      <w:divBdr>
        <w:top w:val="none" w:sz="0" w:space="0" w:color="auto"/>
        <w:left w:val="none" w:sz="0" w:space="0" w:color="auto"/>
        <w:bottom w:val="none" w:sz="0" w:space="0" w:color="auto"/>
        <w:right w:val="none" w:sz="0" w:space="0" w:color="auto"/>
      </w:divBdr>
    </w:div>
    <w:div w:id="1886061889">
      <w:bodyDiv w:val="1"/>
      <w:marLeft w:val="0"/>
      <w:marRight w:val="0"/>
      <w:marTop w:val="0"/>
      <w:marBottom w:val="0"/>
      <w:divBdr>
        <w:top w:val="none" w:sz="0" w:space="0" w:color="auto"/>
        <w:left w:val="none" w:sz="0" w:space="0" w:color="auto"/>
        <w:bottom w:val="none" w:sz="0" w:space="0" w:color="auto"/>
        <w:right w:val="none" w:sz="0" w:space="0" w:color="auto"/>
      </w:divBdr>
    </w:div>
    <w:div w:id="192322100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3873635">
      <w:bodyDiv w:val="1"/>
      <w:marLeft w:val="0"/>
      <w:marRight w:val="0"/>
      <w:marTop w:val="0"/>
      <w:marBottom w:val="0"/>
      <w:divBdr>
        <w:top w:val="none" w:sz="0" w:space="0" w:color="auto"/>
        <w:left w:val="none" w:sz="0" w:space="0" w:color="auto"/>
        <w:bottom w:val="none" w:sz="0" w:space="0" w:color="auto"/>
        <w:right w:val="none" w:sz="0" w:space="0" w:color="auto"/>
      </w:divBdr>
    </w:div>
    <w:div w:id="207384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8B49092B-AA6E-45D4-911E-44FAC44E9488}">
  <ds:schemaRefs>
    <ds:schemaRef ds:uri="http://schemas.openxmlformats.org/officeDocument/2006/bibliography"/>
  </ds:schemaRefs>
</ds:datastoreItem>
</file>

<file path=customXml/itemProps2.xml><?xml version="1.0" encoding="utf-8"?>
<ds:datastoreItem xmlns:ds="http://schemas.openxmlformats.org/officeDocument/2006/customXml" ds:itemID="{1D404C7B-CD43-4A02-99D6-BB0EF9755566}"/>
</file>

<file path=customXml/itemProps3.xml><?xml version="1.0" encoding="utf-8"?>
<ds:datastoreItem xmlns:ds="http://schemas.openxmlformats.org/officeDocument/2006/customXml" ds:itemID="{17378BE7-38C3-4330-A6F3-B32D100AE79A}"/>
</file>

<file path=customXml/itemProps4.xml><?xml version="1.0" encoding="utf-8"?>
<ds:datastoreItem xmlns:ds="http://schemas.openxmlformats.org/officeDocument/2006/customXml" ds:itemID="{2B845DC1-EB4F-415B-9813-50FB900C4A0F}"/>
</file>

<file path=docProps/app.xml><?xml version="1.0" encoding="utf-8"?>
<Properties xmlns="http://schemas.openxmlformats.org/officeDocument/2006/extended-properties" xmlns:vt="http://schemas.openxmlformats.org/officeDocument/2006/docPropsVTypes">
  <Template>Normal.dotm</Template>
  <TotalTime>0</TotalTime>
  <Pages>43</Pages>
  <Words>17264</Words>
  <Characters>98405</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2025-08-26T09:18:00Z</dcterms:created>
  <dcterms:modified xsi:type="dcterms:W3CDTF">2025-08-26T09:20:00Z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7ada4de,3c20d4b5,4b54068e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5024b76b,52a116fa,13360a60</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2025-08-26T09:19:48Z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a9aeb547-25c3-4785-9425-db1ace4bddd3</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39762500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0x0101007FED174C5281F747A8037A05221D6DBD</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ies>
</file>