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415C" w14:textId="77777777" w:rsidR="000D083B" w:rsidRDefault="007F6BA7" w:rsidP="7F0BD753">
      <w:pPr>
        <w:outlineLvl w:val="0"/>
        <w:rPr>
          <w:rFonts w:asciiTheme="minorHAnsi" w:eastAsiaTheme="majorEastAsia" w:hAnsiTheme="minorHAnsi" w:cstheme="majorBidi"/>
          <w:b/>
          <w:bCs/>
          <w:spacing w:val="5"/>
          <w:kern w:val="28"/>
          <w:sz w:val="36"/>
          <w:szCs w:val="36"/>
        </w:rPr>
      </w:pPr>
      <w:bookmarkStart w:id="0" w:name="_Toc380679747"/>
      <w:bookmarkStart w:id="1" w:name="_Toc380742604"/>
      <w:bookmarkStart w:id="2" w:name="_Toc380746171"/>
      <w:bookmarkStart w:id="3" w:name="_Toc380746294"/>
      <w:bookmarkStart w:id="4" w:name="_Toc380746578"/>
      <w:r w:rsidRPr="7F0BD753">
        <w:rPr>
          <w:rFonts w:asciiTheme="minorHAnsi" w:eastAsiaTheme="majorEastAsia" w:hAnsiTheme="minorHAnsi" w:cstheme="majorBidi"/>
          <w:b/>
          <w:bCs/>
          <w:spacing w:val="5"/>
          <w:kern w:val="28"/>
          <w:sz w:val="36"/>
          <w:szCs w:val="36"/>
        </w:rPr>
        <w:t>5</w:t>
      </w:r>
      <w:r w:rsidR="003E76BE" w:rsidRPr="7F0BD753">
        <w:rPr>
          <w:rFonts w:asciiTheme="minorHAnsi" w:eastAsiaTheme="majorEastAsia" w:hAnsiTheme="minorHAnsi" w:cstheme="majorBidi"/>
          <w:b/>
          <w:bCs/>
          <w:spacing w:val="5"/>
          <w:kern w:val="28"/>
          <w:sz w:val="36"/>
          <w:szCs w:val="36"/>
        </w:rPr>
        <w:t>.</w:t>
      </w:r>
      <w:r w:rsidRPr="7F0BD753">
        <w:rPr>
          <w:rFonts w:asciiTheme="minorHAnsi" w:eastAsiaTheme="majorEastAsia" w:hAnsiTheme="minorHAnsi" w:cstheme="majorBidi"/>
          <w:b/>
          <w:bCs/>
          <w:spacing w:val="5"/>
          <w:kern w:val="28"/>
          <w:sz w:val="36"/>
          <w:szCs w:val="36"/>
        </w:rPr>
        <w:t>02</w:t>
      </w:r>
      <w:r w:rsidR="003E76BE" w:rsidRPr="00900063">
        <w:rPr>
          <w:rFonts w:asciiTheme="minorHAnsi" w:eastAsiaTheme="majorEastAsia" w:hAnsiTheme="minorHAnsi" w:cstheme="majorBidi"/>
          <w:b/>
          <w:spacing w:val="5"/>
          <w:kern w:val="28"/>
          <w:sz w:val="36"/>
          <w:szCs w:val="36"/>
        </w:rPr>
        <w:tab/>
      </w:r>
      <w:r w:rsidR="003E76BE" w:rsidRPr="7F0BD753">
        <w:rPr>
          <w:rFonts w:asciiTheme="minorHAnsi" w:eastAsiaTheme="majorEastAsia" w:hAnsiTheme="minorHAnsi" w:cstheme="majorBidi"/>
          <w:b/>
          <w:bCs/>
          <w:spacing w:val="5"/>
          <w:kern w:val="28"/>
          <w:sz w:val="36"/>
          <w:szCs w:val="36"/>
        </w:rPr>
        <w:t>DURVALUMAB</w:t>
      </w:r>
    </w:p>
    <w:p w14:paraId="5AEA8D9C" w14:textId="77777777" w:rsidR="000D083B" w:rsidRDefault="00560116" w:rsidP="00560116">
      <w:pPr>
        <w:ind w:left="709"/>
        <w:rPr>
          <w:rFonts w:asciiTheme="minorHAnsi" w:hAnsiTheme="minorHAnsi" w:cstheme="minorHAnsi"/>
          <w:b/>
          <w:bCs/>
          <w:sz w:val="36"/>
          <w:szCs w:val="36"/>
        </w:rPr>
      </w:pPr>
      <w:r w:rsidRPr="00560116">
        <w:rPr>
          <w:rFonts w:asciiTheme="minorHAnsi" w:hAnsiTheme="minorHAnsi" w:cstheme="minorHAnsi"/>
          <w:b/>
          <w:bCs/>
          <w:sz w:val="36"/>
          <w:szCs w:val="36"/>
        </w:rPr>
        <w:t>Solution concentrate for I.V. infusion 500 mg in 10 mL</w:t>
      </w:r>
      <w:r>
        <w:rPr>
          <w:rFonts w:asciiTheme="minorHAnsi" w:hAnsiTheme="minorHAnsi" w:cstheme="minorHAnsi"/>
          <w:b/>
          <w:bCs/>
          <w:sz w:val="36"/>
          <w:szCs w:val="36"/>
        </w:rPr>
        <w:t xml:space="preserve">, </w:t>
      </w:r>
      <w:r>
        <w:rPr>
          <w:rFonts w:asciiTheme="minorHAnsi" w:hAnsiTheme="minorHAnsi" w:cstheme="minorHAnsi"/>
          <w:b/>
          <w:bCs/>
          <w:sz w:val="36"/>
          <w:szCs w:val="36"/>
        </w:rPr>
        <w:br/>
      </w:r>
      <w:r w:rsidR="001A38F1" w:rsidRPr="001A38F1">
        <w:rPr>
          <w:rFonts w:asciiTheme="minorHAnsi" w:hAnsiTheme="minorHAnsi" w:cstheme="minorHAnsi"/>
          <w:b/>
          <w:bCs/>
          <w:sz w:val="36"/>
          <w:szCs w:val="36"/>
        </w:rPr>
        <w:t>Solution concentrate for I.V. infusion 120 mg in 2.4 mL</w:t>
      </w:r>
      <w:r>
        <w:rPr>
          <w:rFonts w:asciiTheme="minorHAnsi" w:hAnsiTheme="minorHAnsi" w:cstheme="minorHAnsi"/>
          <w:b/>
          <w:bCs/>
          <w:sz w:val="36"/>
          <w:szCs w:val="36"/>
        </w:rPr>
        <w:t>,</w:t>
      </w:r>
    </w:p>
    <w:p w14:paraId="58458E69" w14:textId="77777777" w:rsidR="000D083B" w:rsidRDefault="003E76BE" w:rsidP="003E76BE">
      <w:pPr>
        <w:ind w:left="851" w:hanging="131"/>
        <w:rPr>
          <w:rFonts w:asciiTheme="minorHAnsi" w:hAnsiTheme="minorHAnsi" w:cstheme="minorHAnsi"/>
          <w:b/>
          <w:bCs/>
          <w:sz w:val="36"/>
          <w:szCs w:val="36"/>
        </w:rPr>
      </w:pPr>
      <w:r w:rsidRPr="003D29A9">
        <w:rPr>
          <w:rFonts w:asciiTheme="minorHAnsi" w:hAnsiTheme="minorHAnsi" w:cstheme="minorHAnsi"/>
          <w:b/>
          <w:bCs/>
          <w:sz w:val="36"/>
          <w:szCs w:val="36"/>
        </w:rPr>
        <w:t>Imfinzi®</w:t>
      </w:r>
    </w:p>
    <w:p w14:paraId="7C5CC684" w14:textId="0E25B962" w:rsidR="003E76BE" w:rsidRPr="003D29A9" w:rsidRDefault="003E76BE" w:rsidP="00791060">
      <w:pPr>
        <w:ind w:left="850" w:hanging="130"/>
        <w:outlineLvl w:val="0"/>
        <w:rPr>
          <w:rFonts w:asciiTheme="minorHAnsi" w:hAnsiTheme="minorHAnsi" w:cstheme="minorHAnsi"/>
          <w:b/>
          <w:bCs/>
          <w:sz w:val="36"/>
          <w:szCs w:val="36"/>
        </w:rPr>
      </w:pPr>
      <w:r w:rsidRPr="003D29A9">
        <w:rPr>
          <w:rFonts w:asciiTheme="minorHAnsi" w:hAnsiTheme="minorHAnsi" w:cstheme="minorHAnsi"/>
          <w:b/>
          <w:bCs/>
          <w:sz w:val="36"/>
          <w:szCs w:val="36"/>
        </w:rPr>
        <w:t>TREMELIMUMAB</w:t>
      </w:r>
    </w:p>
    <w:p w14:paraId="0E38A932" w14:textId="7E531D88" w:rsidR="003E76BE" w:rsidRPr="003D29A9" w:rsidRDefault="004422D6" w:rsidP="00FF2D2C">
      <w:pPr>
        <w:ind w:left="851" w:hanging="131"/>
        <w:rPr>
          <w:rFonts w:asciiTheme="minorHAnsi" w:hAnsiTheme="minorHAnsi" w:cstheme="minorHAnsi"/>
          <w:b/>
          <w:bCs/>
          <w:sz w:val="36"/>
          <w:szCs w:val="36"/>
        </w:rPr>
      </w:pPr>
      <w:r w:rsidRPr="004422D6">
        <w:rPr>
          <w:rFonts w:asciiTheme="minorHAnsi" w:hAnsiTheme="minorHAnsi" w:cstheme="minorHAnsi"/>
          <w:b/>
          <w:bCs/>
          <w:sz w:val="36"/>
          <w:szCs w:val="36"/>
        </w:rPr>
        <w:t>Solution concentrate for I.V. infusion 300 mg</w:t>
      </w:r>
      <w:r w:rsidR="00FF2D2C">
        <w:rPr>
          <w:rFonts w:asciiTheme="minorHAnsi" w:hAnsiTheme="minorHAnsi" w:cstheme="minorHAnsi"/>
          <w:b/>
          <w:bCs/>
          <w:sz w:val="36"/>
          <w:szCs w:val="36"/>
        </w:rPr>
        <w:t xml:space="preserve"> </w:t>
      </w:r>
      <w:r w:rsidRPr="004422D6">
        <w:rPr>
          <w:rFonts w:asciiTheme="minorHAnsi" w:hAnsiTheme="minorHAnsi" w:cstheme="minorHAnsi"/>
          <w:b/>
          <w:bCs/>
          <w:sz w:val="36"/>
          <w:szCs w:val="36"/>
        </w:rPr>
        <w:t>in 15 mL</w:t>
      </w:r>
      <w:r w:rsidR="003E76BE" w:rsidRPr="003D29A9">
        <w:rPr>
          <w:rFonts w:asciiTheme="minorHAnsi" w:hAnsiTheme="minorHAnsi" w:cstheme="minorHAnsi"/>
          <w:b/>
          <w:bCs/>
          <w:sz w:val="36"/>
          <w:szCs w:val="36"/>
        </w:rPr>
        <w:t>,</w:t>
      </w:r>
    </w:p>
    <w:p w14:paraId="108AAB16" w14:textId="30D272C4" w:rsidR="003E76BE" w:rsidRPr="00257130" w:rsidRDefault="003E76BE" w:rsidP="00257130">
      <w:pPr>
        <w:spacing w:after="240"/>
        <w:ind w:left="709" w:hanging="709"/>
        <w:rPr>
          <w:rFonts w:asciiTheme="minorHAnsi" w:hAnsiTheme="minorHAnsi" w:cstheme="minorHAnsi"/>
          <w:b/>
          <w:bCs/>
          <w:sz w:val="36"/>
          <w:szCs w:val="36"/>
        </w:rPr>
      </w:pPr>
      <w:r w:rsidRPr="003D29A9">
        <w:rPr>
          <w:rFonts w:asciiTheme="minorHAnsi" w:hAnsiTheme="minorHAnsi" w:cstheme="minorHAnsi"/>
          <w:b/>
          <w:bCs/>
          <w:sz w:val="36"/>
          <w:szCs w:val="36"/>
        </w:rPr>
        <w:t xml:space="preserve"> </w:t>
      </w:r>
      <w:r>
        <w:rPr>
          <w:rFonts w:asciiTheme="minorHAnsi" w:hAnsiTheme="minorHAnsi" w:cstheme="minorHAnsi"/>
          <w:b/>
          <w:bCs/>
          <w:sz w:val="36"/>
          <w:szCs w:val="36"/>
        </w:rPr>
        <w:tab/>
      </w:r>
      <w:proofErr w:type="spellStart"/>
      <w:r w:rsidRPr="003D29A9">
        <w:rPr>
          <w:rFonts w:asciiTheme="minorHAnsi" w:hAnsiTheme="minorHAnsi" w:cstheme="minorHAnsi"/>
          <w:b/>
          <w:bCs/>
          <w:sz w:val="36"/>
          <w:szCs w:val="36"/>
        </w:rPr>
        <w:t>Imjudo</w:t>
      </w:r>
      <w:proofErr w:type="spellEnd"/>
      <w:r w:rsidRPr="003D29A9">
        <w:rPr>
          <w:rFonts w:asciiTheme="minorHAnsi" w:hAnsiTheme="minorHAnsi" w:cstheme="minorHAnsi"/>
          <w:b/>
          <w:bCs/>
          <w:sz w:val="36"/>
          <w:szCs w:val="36"/>
        </w:rPr>
        <w:t>®,</w:t>
      </w:r>
      <w:r w:rsidRPr="003D29A9">
        <w:rPr>
          <w:rFonts w:asciiTheme="minorHAnsi" w:hAnsiTheme="minorHAnsi" w:cstheme="minorHAnsi"/>
          <w:b/>
          <w:bCs/>
          <w:sz w:val="36"/>
          <w:szCs w:val="36"/>
        </w:rPr>
        <w:br/>
        <w:t xml:space="preserve">Astra Zeneca </w:t>
      </w:r>
      <w:r w:rsidR="00B347A6">
        <w:rPr>
          <w:rFonts w:asciiTheme="minorHAnsi" w:hAnsiTheme="minorHAnsi" w:cstheme="minorHAnsi"/>
          <w:b/>
          <w:bCs/>
          <w:sz w:val="36"/>
          <w:szCs w:val="36"/>
        </w:rPr>
        <w:t>Pty Ltd</w:t>
      </w:r>
    </w:p>
    <w:p w14:paraId="70E8A382" w14:textId="77777777" w:rsidR="003E76BE" w:rsidRPr="00381526" w:rsidRDefault="003E76BE" w:rsidP="00612E40">
      <w:pPr>
        <w:pStyle w:val="2-SectionHeading"/>
      </w:pPr>
      <w:bookmarkStart w:id="5" w:name="_Toc193103680"/>
      <w:r w:rsidRPr="00381526">
        <w:t>Purpose of submission</w:t>
      </w:r>
      <w:bookmarkEnd w:id="5"/>
    </w:p>
    <w:p w14:paraId="27D5B820" w14:textId="0DD9C0D4" w:rsidR="003E76BE" w:rsidRPr="00381526" w:rsidRDefault="003E76BE" w:rsidP="00C91274">
      <w:pPr>
        <w:pStyle w:val="3-BodyText"/>
      </w:pPr>
      <w:r w:rsidRPr="00381526">
        <w:t>The Category 2 submission requested a Section 100 (Efficient Funding of Chemotherapy program)</w:t>
      </w:r>
      <w:r w:rsidR="00D97886">
        <w:t>,</w:t>
      </w:r>
      <w:r w:rsidR="00B347A6">
        <w:t xml:space="preserve"> Authority Required (Streamlined)</w:t>
      </w:r>
      <w:r w:rsidRPr="00381526">
        <w:t xml:space="preserve"> Pharmaceutical Benefits Scheme (PBS) listing for durvalumab </w:t>
      </w:r>
      <w:r w:rsidR="00B347A6">
        <w:t xml:space="preserve">in combination with tremelimumab </w:t>
      </w:r>
      <w:r w:rsidRPr="00381526">
        <w:t xml:space="preserve">for </w:t>
      </w:r>
      <w:r w:rsidR="00B347A6">
        <w:t xml:space="preserve">the first-line treatment of </w:t>
      </w:r>
      <w:r w:rsidRPr="00381526">
        <w:t>patients with advanced (unresectable) Barcelona Clinic Liver Cancer (BCLC) Stage B or Stage C hepatocellular carcinoma (HCC)</w:t>
      </w:r>
      <w:r w:rsidR="00B347A6">
        <w:t>.</w:t>
      </w:r>
      <w:r w:rsidRPr="00381526">
        <w:t xml:space="preserve"> </w:t>
      </w:r>
      <w:r w:rsidR="00B347A6">
        <w:t xml:space="preserve">The treatment course of </w:t>
      </w:r>
      <w:r w:rsidR="00B347A6" w:rsidRPr="00381526">
        <w:t>1,500 mg administered in combination with tremelimumab 300 mg as a single dose at Cycle 1, Day 1, followed by durvalumab 1,500 mg monotherapy every four weeks until disease progression</w:t>
      </w:r>
      <w:r w:rsidR="00B347A6">
        <w:t xml:space="preserve"> is herein referred to as STRIDE</w:t>
      </w:r>
      <w:r w:rsidR="00B347A6" w:rsidRPr="00381526">
        <w:t xml:space="preserve"> </w:t>
      </w:r>
      <w:r w:rsidRPr="00381526">
        <w:t>(</w:t>
      </w:r>
      <w:r w:rsidR="00AF0A7F">
        <w:t>S</w:t>
      </w:r>
      <w:r w:rsidRPr="00381526">
        <w:t>ingle Tremelimumab Regular Interval Durvalumab).</w:t>
      </w:r>
    </w:p>
    <w:p w14:paraId="4D056DE1" w14:textId="516D0D35" w:rsidR="003E76BE" w:rsidRPr="00381526" w:rsidRDefault="003E76BE" w:rsidP="00C91274">
      <w:pPr>
        <w:pStyle w:val="3-BodyText"/>
      </w:pPr>
      <w:r w:rsidRPr="00381526">
        <w:t xml:space="preserve">Listing was requested on the basis of a cost-minimisation approach </w:t>
      </w:r>
      <w:r>
        <w:t xml:space="preserve">(CMA) </w:t>
      </w:r>
      <w:r w:rsidRPr="00381526">
        <w:t>versus atezolizumab plus bevacizumab (</w:t>
      </w:r>
      <w:proofErr w:type="spellStart"/>
      <w:r w:rsidRPr="00381526">
        <w:t>atezo</w:t>
      </w:r>
      <w:proofErr w:type="spellEnd"/>
      <w:r>
        <w:t xml:space="preserve"> </w:t>
      </w:r>
      <w:r w:rsidRPr="00381526">
        <w:t>+</w:t>
      </w:r>
      <w:r>
        <w:t xml:space="preserve"> </w:t>
      </w:r>
      <w:r w:rsidRPr="00381526">
        <w:t>b), based on an anchored indirect treatment comparison (ITC).</w:t>
      </w:r>
      <w:r>
        <w:t xml:space="preserve"> Key components of the submission are </w:t>
      </w:r>
      <w:r w:rsidRPr="00122E1F">
        <w:rPr>
          <w:rFonts w:cs="Calibri"/>
        </w:rPr>
        <w:t xml:space="preserve">summarised in </w:t>
      </w:r>
      <w:r w:rsidR="00122E1F" w:rsidRPr="00122E1F">
        <w:rPr>
          <w:rFonts w:cs="Calibri"/>
        </w:rPr>
        <w:fldChar w:fldCharType="begin"/>
      </w:r>
      <w:r w:rsidR="00122E1F" w:rsidRPr="00122E1F">
        <w:rPr>
          <w:rFonts w:cs="Calibri"/>
        </w:rPr>
        <w:instrText xml:space="preserve"> REF _Ref193102044 \h  \* MERGEFORMAT </w:instrText>
      </w:r>
      <w:r w:rsidR="00122E1F" w:rsidRPr="00122E1F">
        <w:rPr>
          <w:rFonts w:cs="Calibri"/>
        </w:rPr>
      </w:r>
      <w:r w:rsidR="00122E1F" w:rsidRPr="00122E1F">
        <w:rPr>
          <w:rFonts w:cs="Calibri"/>
        </w:rPr>
        <w:fldChar w:fldCharType="separate"/>
      </w:r>
      <w:r w:rsidR="00AC295B" w:rsidRPr="00AC295B">
        <w:rPr>
          <w:rFonts w:cs="Calibri"/>
        </w:rPr>
        <w:t xml:space="preserve">Table </w:t>
      </w:r>
      <w:r w:rsidR="00AC295B" w:rsidRPr="00AC295B">
        <w:rPr>
          <w:rFonts w:cs="Calibri"/>
          <w:noProof/>
        </w:rPr>
        <w:t>1</w:t>
      </w:r>
      <w:r w:rsidR="00122E1F" w:rsidRPr="00122E1F">
        <w:rPr>
          <w:rFonts w:cs="Calibri"/>
        </w:rPr>
        <w:fldChar w:fldCharType="end"/>
      </w:r>
      <w:r w:rsidRPr="00122E1F">
        <w:rPr>
          <w:rFonts w:cs="Calibri"/>
        </w:rPr>
        <w:t>.</w:t>
      </w:r>
    </w:p>
    <w:p w14:paraId="64552ACD" w14:textId="462ED8A8" w:rsidR="003E76BE" w:rsidRPr="00381526" w:rsidRDefault="003E76BE" w:rsidP="003E76BE">
      <w:pPr>
        <w:keepNext/>
        <w:keepLines/>
        <w:rPr>
          <w:rFonts w:ascii="Arial Narrow" w:hAnsi="Arial Narrow" w:cs="Arial"/>
          <w:b/>
          <w:bCs/>
          <w:sz w:val="20"/>
        </w:rPr>
      </w:pPr>
      <w:bookmarkStart w:id="6" w:name="_Ref193102044"/>
      <w:r w:rsidRPr="00381526">
        <w:rPr>
          <w:rFonts w:ascii="Arial Narrow" w:hAnsi="Arial Narrow" w:cs="Arial"/>
          <w:b/>
          <w:bCs/>
          <w:sz w:val="20"/>
          <w:szCs w:val="18"/>
        </w:rPr>
        <w:t xml:space="preserve">Table </w:t>
      </w:r>
      <w:r w:rsidRPr="00381526">
        <w:rPr>
          <w:rFonts w:ascii="Arial Narrow" w:hAnsi="Arial Narrow" w:cs="Arial"/>
          <w:b/>
          <w:bCs/>
          <w:sz w:val="20"/>
          <w:szCs w:val="18"/>
        </w:rPr>
        <w:fldChar w:fldCharType="begin"/>
      </w:r>
      <w:r w:rsidRPr="00381526">
        <w:rPr>
          <w:rFonts w:ascii="Arial Narrow" w:hAnsi="Arial Narrow" w:cs="Arial"/>
          <w:b/>
          <w:bCs/>
          <w:sz w:val="20"/>
          <w:szCs w:val="18"/>
        </w:rPr>
        <w:instrText xml:space="preserve"> SEQ Table \* ARABIC </w:instrText>
      </w:r>
      <w:r w:rsidRPr="00381526">
        <w:rPr>
          <w:rFonts w:ascii="Arial Narrow" w:hAnsi="Arial Narrow" w:cs="Arial"/>
          <w:b/>
          <w:bCs/>
          <w:sz w:val="20"/>
          <w:szCs w:val="18"/>
        </w:rPr>
        <w:fldChar w:fldCharType="separate"/>
      </w:r>
      <w:r w:rsidR="00AC295B">
        <w:rPr>
          <w:rFonts w:ascii="Arial Narrow" w:hAnsi="Arial Narrow" w:cs="Arial"/>
          <w:b/>
          <w:bCs/>
          <w:noProof/>
          <w:sz w:val="20"/>
          <w:szCs w:val="18"/>
        </w:rPr>
        <w:t>1</w:t>
      </w:r>
      <w:r w:rsidRPr="00381526">
        <w:rPr>
          <w:rFonts w:ascii="Arial Narrow" w:hAnsi="Arial Narrow" w:cs="Arial"/>
          <w:b/>
          <w:bCs/>
          <w:noProof/>
          <w:sz w:val="20"/>
          <w:szCs w:val="18"/>
        </w:rPr>
        <w:fldChar w:fldCharType="end"/>
      </w:r>
      <w:bookmarkEnd w:id="6"/>
      <w:r w:rsidRPr="00381526">
        <w:rPr>
          <w:rFonts w:ascii="Arial Narrow" w:hAnsi="Arial Narrow" w:cs="Arial"/>
          <w:b/>
          <w:bCs/>
          <w:sz w:val="20"/>
          <w:szCs w:val="18"/>
        </w:rPr>
        <w:t>:</w:t>
      </w:r>
      <w:r w:rsidRPr="00381526">
        <w:rPr>
          <w:rFonts w:ascii="Arial Narrow" w:hAnsi="Arial Narrow" w:cs="Arial"/>
          <w:b/>
          <w:bCs/>
          <w:sz w:val="20"/>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3E76BE" w:rsidRPr="00381526" w14:paraId="66FBA119" w14:textId="77777777">
        <w:trPr>
          <w:cantSplit/>
          <w:tblHeader/>
        </w:trPr>
        <w:tc>
          <w:tcPr>
            <w:tcW w:w="924" w:type="pct"/>
            <w:shd w:val="clear" w:color="auto" w:fill="auto"/>
          </w:tcPr>
          <w:p w14:paraId="3257E10D" w14:textId="77777777" w:rsidR="003E76BE" w:rsidRPr="00381526" w:rsidRDefault="003E76BE">
            <w:pPr>
              <w:keepNext/>
              <w:keepLines/>
              <w:rPr>
                <w:rFonts w:ascii="Arial Narrow" w:eastAsiaTheme="majorEastAsia" w:hAnsi="Arial Narrow"/>
                <w:b/>
                <w:sz w:val="20"/>
                <w:szCs w:val="20"/>
              </w:rPr>
            </w:pPr>
            <w:r w:rsidRPr="00381526">
              <w:rPr>
                <w:rFonts w:ascii="Arial Narrow" w:eastAsiaTheme="majorEastAsia" w:hAnsi="Arial Narrow"/>
                <w:b/>
                <w:sz w:val="20"/>
              </w:rPr>
              <w:t>Component</w:t>
            </w:r>
          </w:p>
        </w:tc>
        <w:tc>
          <w:tcPr>
            <w:tcW w:w="4076" w:type="pct"/>
            <w:shd w:val="clear" w:color="auto" w:fill="auto"/>
          </w:tcPr>
          <w:p w14:paraId="70617CBF" w14:textId="77777777" w:rsidR="003E76BE" w:rsidRPr="00381526" w:rsidRDefault="003E76BE">
            <w:pPr>
              <w:keepNext/>
              <w:keepLines/>
              <w:rPr>
                <w:rFonts w:ascii="Arial Narrow" w:eastAsiaTheme="majorEastAsia" w:hAnsi="Arial Narrow"/>
                <w:b/>
                <w:sz w:val="20"/>
              </w:rPr>
            </w:pPr>
            <w:r w:rsidRPr="00381526">
              <w:rPr>
                <w:rFonts w:ascii="Arial Narrow" w:eastAsiaTheme="majorEastAsia" w:hAnsi="Arial Narrow"/>
                <w:b/>
                <w:sz w:val="20"/>
              </w:rPr>
              <w:t>Description</w:t>
            </w:r>
          </w:p>
        </w:tc>
      </w:tr>
      <w:tr w:rsidR="003E76BE" w:rsidRPr="00381526" w14:paraId="19251B0E" w14:textId="77777777">
        <w:trPr>
          <w:cantSplit/>
        </w:trPr>
        <w:tc>
          <w:tcPr>
            <w:tcW w:w="924" w:type="pct"/>
            <w:shd w:val="clear" w:color="auto" w:fill="auto"/>
            <w:vAlign w:val="center"/>
          </w:tcPr>
          <w:p w14:paraId="5E6023B5" w14:textId="77777777" w:rsidR="003E76BE" w:rsidRPr="00381526" w:rsidRDefault="003E76BE">
            <w:pPr>
              <w:keepNext/>
              <w:keepLines/>
              <w:rPr>
                <w:rFonts w:ascii="Arial Narrow" w:eastAsiaTheme="majorEastAsia" w:hAnsi="Arial Narrow" w:cstheme="majorBidi"/>
                <w:bCs/>
                <w:sz w:val="20"/>
              </w:rPr>
            </w:pPr>
            <w:r w:rsidRPr="00381526">
              <w:rPr>
                <w:rFonts w:ascii="Arial Narrow" w:eastAsiaTheme="majorEastAsia" w:hAnsi="Arial Narrow" w:cstheme="majorBidi"/>
                <w:bCs/>
                <w:sz w:val="20"/>
              </w:rPr>
              <w:t>Population</w:t>
            </w:r>
          </w:p>
        </w:tc>
        <w:tc>
          <w:tcPr>
            <w:tcW w:w="4076" w:type="pct"/>
            <w:shd w:val="clear" w:color="auto" w:fill="auto"/>
          </w:tcPr>
          <w:p w14:paraId="2946B89D" w14:textId="77777777" w:rsidR="003E76BE" w:rsidRPr="00381526" w:rsidRDefault="003E76BE">
            <w:pPr>
              <w:keepNext/>
              <w:keepLines/>
              <w:rPr>
                <w:rFonts w:ascii="Arial Narrow" w:eastAsiaTheme="majorEastAsia" w:hAnsi="Arial Narrow" w:cstheme="majorBidi"/>
                <w:bCs/>
                <w:sz w:val="20"/>
                <w:szCs w:val="20"/>
              </w:rPr>
            </w:pPr>
            <w:r w:rsidRPr="00381526">
              <w:rPr>
                <w:rFonts w:ascii="Arial Narrow" w:eastAsiaTheme="majorEastAsia" w:hAnsi="Arial Narrow" w:cstheme="majorBidi"/>
                <w:bCs/>
                <w:sz w:val="20"/>
              </w:rPr>
              <w:t>Patients with advanced (unresectable) BCLC Stage B or Stage C HCC</w:t>
            </w:r>
          </w:p>
        </w:tc>
      </w:tr>
      <w:tr w:rsidR="003E76BE" w:rsidRPr="00381526" w14:paraId="2851A747" w14:textId="77777777">
        <w:trPr>
          <w:cantSplit/>
        </w:trPr>
        <w:tc>
          <w:tcPr>
            <w:tcW w:w="924" w:type="pct"/>
            <w:shd w:val="clear" w:color="auto" w:fill="auto"/>
            <w:vAlign w:val="center"/>
          </w:tcPr>
          <w:p w14:paraId="3F8BAE85" w14:textId="77777777" w:rsidR="003E76BE" w:rsidRPr="00381526" w:rsidRDefault="003E76BE">
            <w:pPr>
              <w:keepNext/>
              <w:keepLines/>
              <w:rPr>
                <w:rFonts w:ascii="Arial Narrow" w:eastAsiaTheme="majorEastAsia" w:hAnsi="Arial Narrow" w:cstheme="majorBidi"/>
                <w:bCs/>
                <w:sz w:val="20"/>
              </w:rPr>
            </w:pPr>
            <w:r w:rsidRPr="00381526">
              <w:rPr>
                <w:rFonts w:ascii="Arial Narrow" w:eastAsiaTheme="majorEastAsia" w:hAnsi="Arial Narrow" w:cstheme="majorBidi"/>
                <w:bCs/>
                <w:sz w:val="20"/>
              </w:rPr>
              <w:t>Intervention</w:t>
            </w:r>
          </w:p>
        </w:tc>
        <w:tc>
          <w:tcPr>
            <w:tcW w:w="4076" w:type="pct"/>
            <w:shd w:val="clear" w:color="auto" w:fill="auto"/>
          </w:tcPr>
          <w:p w14:paraId="6CB2F443" w14:textId="77777777" w:rsidR="003E76BE" w:rsidRPr="00381526" w:rsidRDefault="003E76BE">
            <w:pPr>
              <w:keepNext/>
              <w:keepLines/>
              <w:rPr>
                <w:rFonts w:ascii="Arial Narrow" w:eastAsiaTheme="majorEastAsia" w:hAnsi="Arial Narrow" w:cstheme="majorBidi"/>
                <w:bCs/>
                <w:sz w:val="20"/>
              </w:rPr>
            </w:pPr>
            <w:r w:rsidRPr="00381526">
              <w:rPr>
                <w:rFonts w:ascii="Arial Narrow" w:eastAsiaTheme="majorEastAsia" w:hAnsi="Arial Narrow" w:cstheme="majorBidi"/>
                <w:bCs/>
                <w:sz w:val="20"/>
              </w:rPr>
              <w:t>Durvalumab 1,500 mg administered in combination with tremelimumab 300 mg as a single dose at Cycle 1/Day 1, followed by durvalumab 1,500 mg monotherapy Q4W until disease progression.</w:t>
            </w:r>
          </w:p>
        </w:tc>
      </w:tr>
      <w:tr w:rsidR="003E76BE" w:rsidRPr="00381526" w14:paraId="6D55AC6D" w14:textId="77777777">
        <w:trPr>
          <w:cantSplit/>
        </w:trPr>
        <w:tc>
          <w:tcPr>
            <w:tcW w:w="924" w:type="pct"/>
            <w:shd w:val="clear" w:color="auto" w:fill="auto"/>
            <w:vAlign w:val="center"/>
          </w:tcPr>
          <w:p w14:paraId="5F8B08DC" w14:textId="77777777" w:rsidR="003E76BE" w:rsidRPr="00381526" w:rsidRDefault="003E76BE">
            <w:pPr>
              <w:keepNext/>
              <w:keepLines/>
              <w:rPr>
                <w:rFonts w:ascii="Arial Narrow" w:eastAsiaTheme="majorEastAsia" w:hAnsi="Arial Narrow" w:cstheme="majorBidi"/>
                <w:bCs/>
                <w:sz w:val="20"/>
              </w:rPr>
            </w:pPr>
            <w:r w:rsidRPr="00381526">
              <w:rPr>
                <w:rFonts w:ascii="Arial Narrow" w:eastAsiaTheme="majorEastAsia" w:hAnsi="Arial Narrow" w:cstheme="majorBidi"/>
                <w:bCs/>
                <w:sz w:val="20"/>
              </w:rPr>
              <w:t>Comparator</w:t>
            </w:r>
          </w:p>
        </w:tc>
        <w:tc>
          <w:tcPr>
            <w:tcW w:w="4076" w:type="pct"/>
            <w:shd w:val="clear" w:color="auto" w:fill="auto"/>
          </w:tcPr>
          <w:p w14:paraId="73DFD75B" w14:textId="77777777" w:rsidR="003E76BE" w:rsidRPr="00381526" w:rsidRDefault="003E76BE">
            <w:pPr>
              <w:keepNext/>
              <w:keepLines/>
              <w:rPr>
                <w:rFonts w:ascii="Arial Narrow" w:eastAsiaTheme="majorEastAsia" w:hAnsi="Arial Narrow" w:cstheme="majorBidi"/>
                <w:bCs/>
                <w:sz w:val="20"/>
              </w:rPr>
            </w:pPr>
            <w:r w:rsidRPr="00381526">
              <w:rPr>
                <w:rFonts w:ascii="Arial Narrow" w:eastAsiaTheme="majorEastAsia" w:hAnsi="Arial Narrow" w:cstheme="majorBidi"/>
                <w:bCs/>
                <w:sz w:val="20"/>
              </w:rPr>
              <w:t>Atezolizumab 1,200 mg in combination with bevacizumab 15 mg/kg Q3W until disease progression</w:t>
            </w:r>
          </w:p>
        </w:tc>
      </w:tr>
      <w:tr w:rsidR="003E76BE" w:rsidRPr="00381526" w14:paraId="480E0469" w14:textId="77777777">
        <w:trPr>
          <w:cantSplit/>
        </w:trPr>
        <w:tc>
          <w:tcPr>
            <w:tcW w:w="924" w:type="pct"/>
            <w:shd w:val="clear" w:color="auto" w:fill="auto"/>
            <w:vAlign w:val="center"/>
          </w:tcPr>
          <w:p w14:paraId="0AC4C0DF" w14:textId="77777777" w:rsidR="003E76BE" w:rsidRPr="00381526" w:rsidRDefault="003E76BE">
            <w:pPr>
              <w:keepNext/>
              <w:keepLines/>
              <w:rPr>
                <w:rFonts w:ascii="Arial Narrow" w:eastAsiaTheme="majorEastAsia" w:hAnsi="Arial Narrow" w:cstheme="majorBidi"/>
                <w:bCs/>
                <w:sz w:val="20"/>
              </w:rPr>
            </w:pPr>
            <w:r w:rsidRPr="00381526">
              <w:rPr>
                <w:rFonts w:ascii="Arial Narrow" w:eastAsiaTheme="majorEastAsia" w:hAnsi="Arial Narrow" w:cstheme="majorBidi"/>
                <w:bCs/>
                <w:sz w:val="20"/>
              </w:rPr>
              <w:t>Outcomes</w:t>
            </w:r>
          </w:p>
        </w:tc>
        <w:tc>
          <w:tcPr>
            <w:tcW w:w="4076" w:type="pct"/>
            <w:shd w:val="clear" w:color="auto" w:fill="auto"/>
          </w:tcPr>
          <w:p w14:paraId="3927D473" w14:textId="77777777" w:rsidR="003E76BE" w:rsidRPr="00381526" w:rsidRDefault="003E76BE">
            <w:pPr>
              <w:keepNext/>
              <w:keepLines/>
              <w:rPr>
                <w:rFonts w:ascii="Arial Narrow" w:hAnsi="Arial Narrow" w:cs="Arial"/>
                <w:bCs/>
                <w:snapToGrid w:val="0"/>
                <w:color w:val="0066FF"/>
                <w:sz w:val="20"/>
                <w:szCs w:val="20"/>
              </w:rPr>
            </w:pPr>
            <w:r w:rsidRPr="00381526">
              <w:rPr>
                <w:rFonts w:ascii="Arial Narrow" w:eastAsiaTheme="majorEastAsia" w:hAnsi="Arial Narrow" w:cstheme="majorBidi"/>
                <w:bCs/>
                <w:sz w:val="20"/>
              </w:rPr>
              <w:t xml:space="preserve">OS, PFS, ORR, PROs, safety </w:t>
            </w:r>
          </w:p>
        </w:tc>
      </w:tr>
      <w:tr w:rsidR="003E76BE" w:rsidRPr="00381526" w14:paraId="2254824E" w14:textId="77777777">
        <w:trPr>
          <w:cantSplit/>
        </w:trPr>
        <w:tc>
          <w:tcPr>
            <w:tcW w:w="924" w:type="pct"/>
            <w:shd w:val="clear" w:color="auto" w:fill="auto"/>
            <w:vAlign w:val="center"/>
          </w:tcPr>
          <w:p w14:paraId="5CCC18AB" w14:textId="77777777" w:rsidR="003E76BE" w:rsidRPr="00381526" w:rsidRDefault="003E76BE">
            <w:pPr>
              <w:keepNext/>
              <w:keepLines/>
              <w:rPr>
                <w:rFonts w:ascii="Arial Narrow" w:eastAsiaTheme="majorEastAsia" w:hAnsi="Arial Narrow" w:cstheme="majorBidi"/>
                <w:bCs/>
                <w:sz w:val="20"/>
              </w:rPr>
            </w:pPr>
            <w:r w:rsidRPr="00381526">
              <w:rPr>
                <w:rFonts w:ascii="Arial Narrow" w:eastAsiaTheme="majorEastAsia" w:hAnsi="Arial Narrow" w:cstheme="majorBidi"/>
                <w:bCs/>
                <w:sz w:val="20"/>
              </w:rPr>
              <w:t>Clinical claim</w:t>
            </w:r>
          </w:p>
        </w:tc>
        <w:tc>
          <w:tcPr>
            <w:tcW w:w="4076" w:type="pct"/>
            <w:shd w:val="clear" w:color="auto" w:fill="auto"/>
          </w:tcPr>
          <w:p w14:paraId="1CDB40E0" w14:textId="77777777" w:rsidR="003E76BE" w:rsidRPr="00381526" w:rsidRDefault="003E76BE">
            <w:pPr>
              <w:keepNext/>
              <w:keepLines/>
              <w:rPr>
                <w:rFonts w:ascii="Arial Narrow" w:hAnsi="Arial Narrow" w:cs="Arial"/>
                <w:bCs/>
                <w:snapToGrid w:val="0"/>
                <w:color w:val="0066FF"/>
                <w:sz w:val="20"/>
                <w:szCs w:val="20"/>
              </w:rPr>
            </w:pPr>
            <w:r w:rsidRPr="00381526">
              <w:rPr>
                <w:rFonts w:ascii="Arial Narrow" w:eastAsiaTheme="majorEastAsia" w:hAnsi="Arial Narrow" w:cstheme="majorBidi"/>
                <w:bCs/>
                <w:sz w:val="20"/>
              </w:rPr>
              <w:t>In patients with advanced (unresectable) BCLC Stage B or Stage C HCC, STRIDE is non-inferior in terms of efficacy and safety when compared to atezolizumab plus bevacizumab</w:t>
            </w:r>
          </w:p>
        </w:tc>
      </w:tr>
    </w:tbl>
    <w:p w14:paraId="1F17B544" w14:textId="77777777" w:rsidR="003E76BE" w:rsidRPr="00381526" w:rsidRDefault="003E76BE" w:rsidP="003E76BE">
      <w:pPr>
        <w:spacing w:after="120"/>
        <w:contextualSpacing/>
        <w:rPr>
          <w:rFonts w:ascii="Arial Narrow" w:hAnsi="Arial Narrow" w:cs="Arial"/>
          <w:snapToGrid w:val="0"/>
          <w:sz w:val="18"/>
          <w:szCs w:val="22"/>
        </w:rPr>
      </w:pPr>
      <w:r w:rsidRPr="00381526">
        <w:rPr>
          <w:rFonts w:ascii="Arial Narrow" w:hAnsi="Arial Narrow" w:cs="Arial"/>
          <w:snapToGrid w:val="0"/>
          <w:sz w:val="18"/>
          <w:szCs w:val="22"/>
        </w:rPr>
        <w:t>Source: Table 1-1, pp 29-30 of the submission.</w:t>
      </w:r>
    </w:p>
    <w:p w14:paraId="6B91BDC1" w14:textId="77777777" w:rsidR="003E76BE" w:rsidRPr="00381526" w:rsidRDefault="003E76BE" w:rsidP="003E76BE">
      <w:pPr>
        <w:spacing w:after="120"/>
        <w:contextualSpacing/>
        <w:rPr>
          <w:rFonts w:ascii="Arial Narrow" w:hAnsi="Arial Narrow" w:cs="Arial"/>
          <w:snapToGrid w:val="0"/>
          <w:sz w:val="18"/>
          <w:szCs w:val="22"/>
        </w:rPr>
      </w:pPr>
      <w:r w:rsidRPr="00381526">
        <w:rPr>
          <w:rFonts w:ascii="Arial Narrow" w:hAnsi="Arial Narrow" w:cs="Arial"/>
          <w:snapToGrid w:val="0"/>
          <w:sz w:val="18"/>
          <w:szCs w:val="22"/>
        </w:rPr>
        <w:t>BCLC = Barcelona Clinic Liver Cancer; HCC = hepatocellular carcinoma; ORR = objective response rate; OS = overall survival; PFS = progression-free survival; PROs = patient reported outcomes; Q3W = every 3 weeks; Q4W = every four weeks</w:t>
      </w:r>
      <w:r>
        <w:rPr>
          <w:rFonts w:ascii="Arial Narrow" w:hAnsi="Arial Narrow" w:cs="Arial"/>
          <w:snapToGrid w:val="0"/>
          <w:sz w:val="18"/>
          <w:szCs w:val="22"/>
        </w:rPr>
        <w:t>;</w:t>
      </w:r>
      <w:r w:rsidRPr="003F0B9C">
        <w:rPr>
          <w:rFonts w:ascii="Arial Narrow" w:hAnsi="Arial Narrow" w:cs="Arial"/>
          <w:snapToGrid w:val="0"/>
          <w:sz w:val="18"/>
          <w:szCs w:val="22"/>
        </w:rPr>
        <w:t xml:space="preserve"> </w:t>
      </w:r>
      <w:r w:rsidRPr="00381526">
        <w:rPr>
          <w:rFonts w:ascii="Arial Narrow" w:hAnsi="Arial Narrow" w:cs="Arial"/>
          <w:snapToGrid w:val="0"/>
          <w:sz w:val="18"/>
          <w:szCs w:val="22"/>
        </w:rPr>
        <w:t xml:space="preserve">STRIDE = </w:t>
      </w:r>
      <w:r>
        <w:rPr>
          <w:rFonts w:ascii="Arial Narrow" w:hAnsi="Arial Narrow" w:cs="Arial"/>
          <w:snapToGrid w:val="0"/>
          <w:sz w:val="18"/>
          <w:szCs w:val="22"/>
        </w:rPr>
        <w:t>S</w:t>
      </w:r>
      <w:r w:rsidRPr="00A37FDA">
        <w:rPr>
          <w:rFonts w:ascii="Arial Narrow" w:hAnsi="Arial Narrow" w:cs="Arial"/>
          <w:snapToGrid w:val="0"/>
          <w:sz w:val="18"/>
          <w:szCs w:val="22"/>
        </w:rPr>
        <w:t xml:space="preserve">ingle </w:t>
      </w:r>
      <w:r>
        <w:rPr>
          <w:rFonts w:ascii="Arial Narrow" w:hAnsi="Arial Narrow" w:cs="Arial"/>
          <w:snapToGrid w:val="0"/>
          <w:sz w:val="18"/>
          <w:szCs w:val="22"/>
        </w:rPr>
        <w:t>T</w:t>
      </w:r>
      <w:r w:rsidRPr="00A37FDA">
        <w:rPr>
          <w:rFonts w:ascii="Arial Narrow" w:hAnsi="Arial Narrow" w:cs="Arial"/>
          <w:snapToGrid w:val="0"/>
          <w:sz w:val="18"/>
          <w:szCs w:val="22"/>
        </w:rPr>
        <w:t xml:space="preserve">remelimumab </w:t>
      </w:r>
      <w:r>
        <w:rPr>
          <w:rFonts w:ascii="Arial Narrow" w:hAnsi="Arial Narrow" w:cs="Arial"/>
          <w:snapToGrid w:val="0"/>
          <w:sz w:val="18"/>
          <w:szCs w:val="22"/>
        </w:rPr>
        <w:t>R</w:t>
      </w:r>
      <w:r w:rsidRPr="00A37FDA">
        <w:rPr>
          <w:rFonts w:ascii="Arial Narrow" w:hAnsi="Arial Narrow" w:cs="Arial"/>
          <w:snapToGrid w:val="0"/>
          <w:sz w:val="18"/>
          <w:szCs w:val="22"/>
        </w:rPr>
        <w:t xml:space="preserve">egular </w:t>
      </w:r>
      <w:r>
        <w:rPr>
          <w:rFonts w:ascii="Arial Narrow" w:hAnsi="Arial Narrow" w:cs="Arial"/>
          <w:snapToGrid w:val="0"/>
          <w:sz w:val="18"/>
          <w:szCs w:val="22"/>
        </w:rPr>
        <w:t>I</w:t>
      </w:r>
      <w:r w:rsidRPr="00A37FDA">
        <w:rPr>
          <w:rFonts w:ascii="Arial Narrow" w:hAnsi="Arial Narrow" w:cs="Arial"/>
          <w:snapToGrid w:val="0"/>
          <w:sz w:val="18"/>
          <w:szCs w:val="22"/>
        </w:rPr>
        <w:t xml:space="preserve">nterval </w:t>
      </w:r>
      <w:r>
        <w:rPr>
          <w:rFonts w:ascii="Arial Narrow" w:hAnsi="Arial Narrow" w:cs="Arial"/>
          <w:snapToGrid w:val="0"/>
          <w:sz w:val="18"/>
          <w:szCs w:val="22"/>
        </w:rPr>
        <w:t>D</w:t>
      </w:r>
      <w:r w:rsidRPr="00A37FDA">
        <w:rPr>
          <w:rFonts w:ascii="Arial Narrow" w:hAnsi="Arial Narrow" w:cs="Arial"/>
          <w:snapToGrid w:val="0"/>
          <w:sz w:val="18"/>
          <w:szCs w:val="22"/>
        </w:rPr>
        <w:t>urvaluma</w:t>
      </w:r>
      <w:r>
        <w:rPr>
          <w:rFonts w:ascii="Arial Narrow" w:hAnsi="Arial Narrow" w:cs="Arial"/>
          <w:snapToGrid w:val="0"/>
          <w:sz w:val="18"/>
          <w:szCs w:val="22"/>
        </w:rPr>
        <w:t>b</w:t>
      </w:r>
      <w:r w:rsidRPr="00381526">
        <w:rPr>
          <w:rFonts w:ascii="Arial Narrow" w:hAnsi="Arial Narrow" w:cs="Arial"/>
          <w:snapToGrid w:val="0"/>
          <w:sz w:val="18"/>
          <w:szCs w:val="22"/>
        </w:rPr>
        <w:t>.</w:t>
      </w:r>
    </w:p>
    <w:p w14:paraId="51297CF7" w14:textId="77777777" w:rsidR="003E76BE" w:rsidRPr="00381526" w:rsidRDefault="003E76BE" w:rsidP="00612E40">
      <w:pPr>
        <w:pStyle w:val="2-SectionHeading"/>
      </w:pPr>
      <w:bookmarkStart w:id="7" w:name="_Toc193103681"/>
      <w:r w:rsidRPr="00381526">
        <w:t>Background</w:t>
      </w:r>
      <w:bookmarkEnd w:id="7"/>
    </w:p>
    <w:p w14:paraId="3FABE047" w14:textId="77777777" w:rsidR="003E76BE" w:rsidRPr="00381526" w:rsidRDefault="003E76BE" w:rsidP="003E76BE">
      <w:pPr>
        <w:keepNext/>
        <w:spacing w:before="120" w:after="120"/>
        <w:outlineLvl w:val="1"/>
        <w:rPr>
          <w:rFonts w:asciiTheme="minorHAnsi" w:eastAsiaTheme="majorEastAsia" w:hAnsiTheme="minorHAnsi" w:cstheme="majorBidi"/>
          <w:b/>
          <w:i/>
          <w:spacing w:val="5"/>
          <w:kern w:val="28"/>
          <w:sz w:val="28"/>
          <w:szCs w:val="36"/>
          <w:lang w:eastAsia="en-US"/>
        </w:rPr>
      </w:pPr>
      <w:r w:rsidRPr="00381526">
        <w:rPr>
          <w:rFonts w:asciiTheme="minorHAnsi" w:eastAsiaTheme="majorEastAsia" w:hAnsiTheme="minorHAnsi" w:cstheme="majorBidi"/>
          <w:b/>
          <w:i/>
          <w:spacing w:val="5"/>
          <w:kern w:val="28"/>
          <w:sz w:val="28"/>
          <w:szCs w:val="36"/>
          <w:lang w:eastAsia="en-US"/>
        </w:rPr>
        <w:t>Registration status</w:t>
      </w:r>
    </w:p>
    <w:p w14:paraId="49608881" w14:textId="77777777" w:rsidR="00257130" w:rsidRPr="00257130" w:rsidRDefault="003E76BE" w:rsidP="00257130">
      <w:pPr>
        <w:pStyle w:val="3-BodyText"/>
        <w:rPr>
          <w:rFonts w:eastAsia="Times New Roman" w:cs="Times New Roman"/>
          <w:i/>
          <w:szCs w:val="24"/>
        </w:rPr>
      </w:pPr>
      <w:r w:rsidRPr="00257130">
        <w:t xml:space="preserve">Durvalumab in combination with tremelimumab was Therapeutic Goods Administration (TGA) registered in June 2023 for the treatment of adult patients with </w:t>
      </w:r>
      <w:r w:rsidRPr="00257130">
        <w:lastRenderedPageBreak/>
        <w:t xml:space="preserve">unresectable HCC who have not received prior treatment with a </w:t>
      </w:r>
      <w:r w:rsidRPr="00257130">
        <w:rPr>
          <w:lang w:eastAsia="zh-CN"/>
        </w:rPr>
        <w:t>human programmed death/-ligand 1 (</w:t>
      </w:r>
      <w:r w:rsidRPr="00257130">
        <w:t>PD-1/PD-L1) inhibitor.</w:t>
      </w:r>
      <w:bookmarkStart w:id="8" w:name="_Hlk76375324"/>
    </w:p>
    <w:p w14:paraId="003F275A" w14:textId="4FDC16B9" w:rsidR="00DA3289" w:rsidRPr="00257130" w:rsidRDefault="00DA3289" w:rsidP="00257130">
      <w:pPr>
        <w:pStyle w:val="3-BodyText"/>
        <w:numPr>
          <w:ilvl w:val="0"/>
          <w:numId w:val="0"/>
        </w:numPr>
        <w:ind w:left="720"/>
        <w:rPr>
          <w:i/>
          <w:iCs/>
        </w:rPr>
      </w:pPr>
      <w:r w:rsidRPr="00257130">
        <w:rPr>
          <w:i/>
          <w:iCs/>
        </w:rPr>
        <w:t>For more detail on PBAC’s view, see section 7 PBAC outcome.</w:t>
      </w:r>
    </w:p>
    <w:p w14:paraId="7E3C9D24" w14:textId="55583C87" w:rsidR="003E76BE" w:rsidRPr="00257130" w:rsidRDefault="003E76BE" w:rsidP="00257130">
      <w:pPr>
        <w:pStyle w:val="2-SectionHeading"/>
      </w:pPr>
      <w:bookmarkStart w:id="9" w:name="_Toc193103682"/>
      <w:bookmarkEnd w:id="8"/>
      <w:r w:rsidRPr="00381526">
        <w:t>Requested listing</w:t>
      </w:r>
      <w:bookmarkEnd w:id="9"/>
    </w:p>
    <w:p w14:paraId="46C8FC6D" w14:textId="77777777" w:rsidR="000D083B" w:rsidRDefault="002F7086" w:rsidP="001A69E6">
      <w:pPr>
        <w:pStyle w:val="3-BodyText"/>
      </w:pPr>
      <w:r w:rsidRPr="003E370B">
        <w:t>S</w:t>
      </w:r>
      <w:r w:rsidR="001727FE" w:rsidRPr="003E370B">
        <w:t xml:space="preserve">uggested additions </w:t>
      </w:r>
      <w:r w:rsidR="00B31301" w:rsidRPr="003E370B">
        <w:t>are in italics and deletions are in strikethrough</w:t>
      </w:r>
      <w:r w:rsidRPr="003E370B">
        <w:t>.</w:t>
      </w:r>
    </w:p>
    <w:p w14:paraId="2323AB73" w14:textId="0D6069D6" w:rsidR="0012027F" w:rsidRPr="001727FE" w:rsidRDefault="0012027F" w:rsidP="004D2A88">
      <w:pPr>
        <w:pStyle w:val="5-SubsectionSubheading"/>
        <w:spacing w:before="0" w:after="120"/>
        <w:outlineLvl w:val="9"/>
        <w:rPr>
          <w:highlight w:val="yellow"/>
        </w:rPr>
      </w:pPr>
      <w:r w:rsidRPr="00D7733D">
        <w:t>Tremelimumab – initial once-off treatment</w:t>
      </w:r>
      <w:r w:rsidR="000D083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973"/>
        <w:gridCol w:w="1973"/>
        <w:gridCol w:w="1969"/>
        <w:gridCol w:w="7"/>
      </w:tblGrid>
      <w:tr w:rsidR="0012027F" w:rsidRPr="00D7733D" w14:paraId="4FE66F40" w14:textId="77777777" w:rsidTr="002650BF">
        <w:trPr>
          <w:cantSplit/>
          <w:trHeight w:val="20"/>
        </w:trPr>
        <w:tc>
          <w:tcPr>
            <w:tcW w:w="1716" w:type="pct"/>
            <w:vAlign w:val="center"/>
          </w:tcPr>
          <w:p w14:paraId="2A7522EF" w14:textId="77777777" w:rsidR="0012027F" w:rsidRPr="00D7733D" w:rsidRDefault="0012027F" w:rsidP="002650BF">
            <w:pPr>
              <w:keepNext/>
              <w:rPr>
                <w:rFonts w:ascii="Arial Narrow" w:hAnsi="Arial Narrow"/>
                <w:b/>
                <w:bCs/>
                <w:sz w:val="20"/>
                <w:szCs w:val="20"/>
              </w:rPr>
            </w:pPr>
            <w:r w:rsidRPr="00D7733D">
              <w:rPr>
                <w:rFonts w:ascii="Arial Narrow" w:hAnsi="Arial Narrow"/>
                <w:b/>
                <w:bCs/>
                <w:sz w:val="20"/>
                <w:szCs w:val="20"/>
              </w:rPr>
              <w:t>MEDICINAL PRODUCT</w:t>
            </w:r>
          </w:p>
          <w:p w14:paraId="6ACA0197" w14:textId="77777777" w:rsidR="0012027F" w:rsidRPr="00D7733D" w:rsidRDefault="0012027F" w:rsidP="002650BF">
            <w:pPr>
              <w:keepNext/>
              <w:rPr>
                <w:rFonts w:ascii="Arial Narrow" w:hAnsi="Arial Narrow" w:cs="Arial"/>
                <w:b/>
                <w:sz w:val="20"/>
                <w:szCs w:val="20"/>
              </w:rPr>
            </w:pPr>
            <w:r w:rsidRPr="00D7733D">
              <w:rPr>
                <w:rFonts w:ascii="Arial Narrow" w:hAnsi="Arial Narrow" w:cs="Arial"/>
                <w:b/>
                <w:sz w:val="20"/>
                <w:szCs w:val="20"/>
              </w:rPr>
              <w:t>Form</w:t>
            </w:r>
          </w:p>
        </w:tc>
        <w:tc>
          <w:tcPr>
            <w:tcW w:w="1094" w:type="pct"/>
            <w:vAlign w:val="center"/>
          </w:tcPr>
          <w:p w14:paraId="62ABE4BB" w14:textId="77777777" w:rsidR="0012027F" w:rsidRPr="00D7733D" w:rsidRDefault="0012027F" w:rsidP="002650BF">
            <w:pPr>
              <w:keepNext/>
              <w:jc w:val="center"/>
              <w:rPr>
                <w:rFonts w:ascii="Arial Narrow" w:hAnsi="Arial Narrow" w:cs="Arial"/>
                <w:b/>
                <w:sz w:val="20"/>
                <w:szCs w:val="20"/>
              </w:rPr>
            </w:pPr>
            <w:r w:rsidRPr="00D7733D">
              <w:rPr>
                <w:rFonts w:ascii="Arial Narrow" w:hAnsi="Arial Narrow" w:cs="Arial"/>
                <w:b/>
                <w:sz w:val="20"/>
                <w:szCs w:val="20"/>
              </w:rPr>
              <w:t>PBS item code</w:t>
            </w:r>
          </w:p>
        </w:tc>
        <w:tc>
          <w:tcPr>
            <w:tcW w:w="1094" w:type="pct"/>
            <w:vAlign w:val="center"/>
          </w:tcPr>
          <w:p w14:paraId="7772C2E8" w14:textId="77777777" w:rsidR="0012027F" w:rsidRPr="00D7733D" w:rsidRDefault="0012027F" w:rsidP="002650BF">
            <w:pPr>
              <w:keepNext/>
              <w:jc w:val="center"/>
              <w:rPr>
                <w:rFonts w:ascii="Arial Narrow" w:hAnsi="Arial Narrow" w:cs="Arial"/>
                <w:b/>
                <w:sz w:val="20"/>
                <w:szCs w:val="20"/>
              </w:rPr>
            </w:pPr>
            <w:r w:rsidRPr="00D7733D">
              <w:rPr>
                <w:rFonts w:ascii="Arial Narrow" w:hAnsi="Arial Narrow" w:cs="Arial"/>
                <w:b/>
                <w:sz w:val="20"/>
                <w:szCs w:val="20"/>
              </w:rPr>
              <w:t>Max. Amount</w:t>
            </w:r>
          </w:p>
        </w:tc>
        <w:tc>
          <w:tcPr>
            <w:tcW w:w="1096" w:type="pct"/>
            <w:gridSpan w:val="2"/>
            <w:vAlign w:val="center"/>
          </w:tcPr>
          <w:p w14:paraId="08AC2A7B" w14:textId="77777777" w:rsidR="0012027F" w:rsidRPr="00D7733D" w:rsidRDefault="0012027F" w:rsidP="002650BF">
            <w:pPr>
              <w:keepNext/>
              <w:jc w:val="center"/>
              <w:rPr>
                <w:rFonts w:ascii="Arial Narrow" w:hAnsi="Arial Narrow" w:cs="Arial"/>
                <w:b/>
                <w:bCs/>
                <w:sz w:val="20"/>
                <w:szCs w:val="20"/>
              </w:rPr>
            </w:pPr>
            <w:r w:rsidRPr="00D7733D">
              <w:rPr>
                <w:rFonts w:ascii="Arial Narrow" w:hAnsi="Arial Narrow" w:cs="Arial"/>
                <w:b/>
                <w:bCs/>
                <w:sz w:val="20"/>
                <w:szCs w:val="20"/>
              </w:rPr>
              <w:t>№.of Rpts</w:t>
            </w:r>
          </w:p>
        </w:tc>
      </w:tr>
      <w:tr w:rsidR="0012027F" w:rsidRPr="00D7733D" w14:paraId="0800371D" w14:textId="77777777" w:rsidTr="002650BF">
        <w:trPr>
          <w:cantSplit/>
          <w:trHeight w:val="20"/>
        </w:trPr>
        <w:tc>
          <w:tcPr>
            <w:tcW w:w="1716" w:type="pct"/>
            <w:vAlign w:val="center"/>
          </w:tcPr>
          <w:p w14:paraId="5646B76D" w14:textId="77777777" w:rsidR="0012027F" w:rsidRPr="00D7733D" w:rsidRDefault="0012027F" w:rsidP="002650BF">
            <w:pPr>
              <w:keepNext/>
              <w:rPr>
                <w:rFonts w:ascii="Arial Narrow" w:hAnsi="Arial Narrow" w:cs="Arial"/>
                <w:sz w:val="20"/>
                <w:szCs w:val="20"/>
              </w:rPr>
            </w:pPr>
            <w:r w:rsidRPr="00D7733D">
              <w:rPr>
                <w:rFonts w:ascii="Arial Narrow" w:hAnsi="Arial Narrow" w:cs="Arial"/>
                <w:sz w:val="20"/>
                <w:szCs w:val="20"/>
              </w:rPr>
              <w:t>TREMELIMUMAB</w:t>
            </w:r>
          </w:p>
          <w:p w14:paraId="71F7ADE1" w14:textId="77777777" w:rsidR="0012027F" w:rsidRPr="00D7733D" w:rsidRDefault="0012027F" w:rsidP="002650BF">
            <w:pPr>
              <w:keepNext/>
              <w:rPr>
                <w:rFonts w:ascii="Arial Narrow" w:hAnsi="Arial Narrow" w:cs="Arial"/>
                <w:sz w:val="20"/>
                <w:szCs w:val="20"/>
              </w:rPr>
            </w:pPr>
            <w:r w:rsidRPr="00D7733D">
              <w:rPr>
                <w:rFonts w:ascii="Arial Narrow" w:hAnsi="Arial Narrow" w:cs="Arial"/>
                <w:sz w:val="20"/>
                <w:szCs w:val="20"/>
              </w:rPr>
              <w:t>Injection</w:t>
            </w:r>
          </w:p>
        </w:tc>
        <w:tc>
          <w:tcPr>
            <w:tcW w:w="1094" w:type="pct"/>
            <w:vAlign w:val="center"/>
          </w:tcPr>
          <w:p w14:paraId="45D69669" w14:textId="77777777" w:rsidR="0012027F" w:rsidRPr="00D7733D" w:rsidRDefault="0012027F" w:rsidP="002650BF">
            <w:pPr>
              <w:keepNext/>
              <w:jc w:val="center"/>
              <w:rPr>
                <w:rFonts w:ascii="Arial Narrow" w:hAnsi="Arial Narrow" w:cs="Arial"/>
                <w:sz w:val="20"/>
                <w:szCs w:val="20"/>
              </w:rPr>
            </w:pPr>
            <w:r w:rsidRPr="00D7733D">
              <w:rPr>
                <w:rFonts w:ascii="Arial Narrow" w:hAnsi="Arial Narrow" w:cs="Arial"/>
                <w:sz w:val="20"/>
                <w:szCs w:val="20"/>
              </w:rPr>
              <w:t>{NEW (Public)}</w:t>
            </w:r>
            <w:r w:rsidRPr="00D7733D">
              <w:rPr>
                <w:rFonts w:ascii="Arial Narrow" w:hAnsi="Arial Narrow" w:cs="Arial"/>
                <w:sz w:val="20"/>
                <w:szCs w:val="20"/>
              </w:rPr>
              <w:br/>
              <w:t>{NEW (Private)}</w:t>
            </w:r>
          </w:p>
        </w:tc>
        <w:tc>
          <w:tcPr>
            <w:tcW w:w="1094" w:type="pct"/>
            <w:vAlign w:val="center"/>
          </w:tcPr>
          <w:p w14:paraId="545515C8" w14:textId="77777777" w:rsidR="0012027F" w:rsidRPr="00D7733D" w:rsidRDefault="0012027F" w:rsidP="002650BF">
            <w:pPr>
              <w:keepNext/>
              <w:jc w:val="center"/>
              <w:rPr>
                <w:rFonts w:ascii="Arial Narrow" w:hAnsi="Arial Narrow" w:cs="Arial"/>
                <w:sz w:val="20"/>
                <w:szCs w:val="20"/>
              </w:rPr>
            </w:pPr>
            <w:r w:rsidRPr="00D7733D">
              <w:rPr>
                <w:rFonts w:ascii="Arial Narrow" w:hAnsi="Arial Narrow" w:cs="Arial"/>
                <w:sz w:val="20"/>
                <w:szCs w:val="20"/>
              </w:rPr>
              <w:t>300mg</w:t>
            </w:r>
          </w:p>
        </w:tc>
        <w:tc>
          <w:tcPr>
            <w:tcW w:w="1096" w:type="pct"/>
            <w:gridSpan w:val="2"/>
            <w:vAlign w:val="center"/>
          </w:tcPr>
          <w:p w14:paraId="5F31791D" w14:textId="77777777" w:rsidR="0012027F" w:rsidRPr="00D7733D" w:rsidRDefault="0012027F" w:rsidP="002650BF">
            <w:pPr>
              <w:keepNext/>
              <w:jc w:val="center"/>
              <w:rPr>
                <w:rFonts w:ascii="Arial Narrow" w:hAnsi="Arial Narrow" w:cs="Arial"/>
                <w:sz w:val="20"/>
                <w:szCs w:val="20"/>
              </w:rPr>
            </w:pPr>
            <w:r w:rsidRPr="00D7733D">
              <w:rPr>
                <w:rFonts w:ascii="Arial Narrow" w:hAnsi="Arial Narrow" w:cs="Arial"/>
                <w:sz w:val="20"/>
                <w:szCs w:val="20"/>
              </w:rPr>
              <w:t>0</w:t>
            </w:r>
          </w:p>
        </w:tc>
      </w:tr>
      <w:tr w:rsidR="0012027F" w:rsidRPr="00D7733D" w14:paraId="71683449" w14:textId="77777777" w:rsidTr="002650BF">
        <w:trPr>
          <w:cantSplit/>
          <w:trHeight w:val="20"/>
        </w:trPr>
        <w:tc>
          <w:tcPr>
            <w:tcW w:w="5000" w:type="pct"/>
            <w:gridSpan w:val="5"/>
            <w:vAlign w:val="center"/>
          </w:tcPr>
          <w:p w14:paraId="0B4F0464" w14:textId="77777777" w:rsidR="0012027F" w:rsidRPr="00D7733D" w:rsidRDefault="0012027F" w:rsidP="002650BF">
            <w:pPr>
              <w:keepNext/>
              <w:rPr>
                <w:rFonts w:ascii="Arial Narrow" w:hAnsi="Arial Narrow"/>
                <w:b/>
                <w:sz w:val="20"/>
                <w:szCs w:val="20"/>
              </w:rPr>
            </w:pPr>
            <w:r w:rsidRPr="00D7733D">
              <w:rPr>
                <w:rFonts w:ascii="Arial Narrow" w:hAnsi="Arial Narrow"/>
                <w:b/>
                <w:sz w:val="20"/>
                <w:szCs w:val="20"/>
              </w:rPr>
              <w:t xml:space="preserve">Available brands </w:t>
            </w:r>
          </w:p>
        </w:tc>
      </w:tr>
      <w:tr w:rsidR="0012027F" w:rsidRPr="00D7733D" w14:paraId="69938AF9" w14:textId="77777777" w:rsidTr="002650BF">
        <w:trPr>
          <w:cantSplit/>
          <w:trHeight w:val="20"/>
        </w:trPr>
        <w:tc>
          <w:tcPr>
            <w:tcW w:w="5000" w:type="pct"/>
            <w:gridSpan w:val="5"/>
            <w:vAlign w:val="center"/>
          </w:tcPr>
          <w:p w14:paraId="45AACB0E" w14:textId="77777777" w:rsidR="0012027F" w:rsidRPr="00D7733D" w:rsidRDefault="0012027F" w:rsidP="002650BF">
            <w:pPr>
              <w:keepNext/>
              <w:rPr>
                <w:rFonts w:ascii="Arial Narrow" w:hAnsi="Arial Narrow" w:cs="Arial"/>
                <w:sz w:val="20"/>
                <w:szCs w:val="20"/>
              </w:rPr>
            </w:pPr>
            <w:proofErr w:type="spellStart"/>
            <w:r w:rsidRPr="00D7733D">
              <w:rPr>
                <w:rFonts w:ascii="Arial Narrow" w:hAnsi="Arial Narrow" w:cs="Arial"/>
                <w:sz w:val="20"/>
                <w:szCs w:val="20"/>
              </w:rPr>
              <w:t>Imjudo</w:t>
            </w:r>
            <w:proofErr w:type="spellEnd"/>
          </w:p>
          <w:p w14:paraId="443CBFB6" w14:textId="77777777" w:rsidR="0012027F" w:rsidRPr="00D7733D" w:rsidRDefault="0012027F" w:rsidP="002650BF">
            <w:pPr>
              <w:keepNext/>
              <w:rPr>
                <w:rFonts w:ascii="Arial Narrow" w:hAnsi="Arial Narrow" w:cs="Arial"/>
                <w:sz w:val="20"/>
                <w:szCs w:val="20"/>
              </w:rPr>
            </w:pPr>
            <w:r w:rsidRPr="00D7733D">
              <w:rPr>
                <w:rFonts w:ascii="Arial Narrow" w:hAnsi="Arial Narrow" w:cs="Arial"/>
                <w:sz w:val="20"/>
                <w:szCs w:val="20"/>
              </w:rPr>
              <w:t>(300 mg/15mL injection, 15 mL vial)</w:t>
            </w:r>
          </w:p>
        </w:tc>
      </w:tr>
      <w:tr w:rsidR="0012027F" w:rsidRPr="00D7733D" w14:paraId="378E828A" w14:textId="77777777" w:rsidTr="002650BF">
        <w:trPr>
          <w:cantSplit/>
          <w:trHeight w:val="20"/>
        </w:trPr>
        <w:tc>
          <w:tcPr>
            <w:tcW w:w="5000" w:type="pct"/>
            <w:gridSpan w:val="5"/>
            <w:vAlign w:val="center"/>
          </w:tcPr>
          <w:p w14:paraId="5C4754D6" w14:textId="77777777" w:rsidR="0012027F" w:rsidRPr="00D7733D" w:rsidRDefault="0012027F" w:rsidP="002650BF">
            <w:pPr>
              <w:keepNext/>
              <w:rPr>
                <w:rFonts w:ascii="Arial Narrow" w:hAnsi="Arial Narrow" w:cs="Arial"/>
                <w:sz w:val="20"/>
                <w:szCs w:val="20"/>
              </w:rPr>
            </w:pPr>
          </w:p>
        </w:tc>
      </w:tr>
      <w:tr w:rsidR="0012027F" w:rsidRPr="00D7733D" w14:paraId="41CCD033" w14:textId="77777777" w:rsidTr="002650BF">
        <w:trPr>
          <w:cantSplit/>
          <w:trHeight w:val="20"/>
        </w:trPr>
        <w:tc>
          <w:tcPr>
            <w:tcW w:w="5000" w:type="pct"/>
            <w:gridSpan w:val="5"/>
            <w:vAlign w:val="center"/>
          </w:tcPr>
          <w:p w14:paraId="7132B814" w14:textId="77777777" w:rsidR="0012027F" w:rsidRPr="00D7733D" w:rsidRDefault="0012027F" w:rsidP="002650BF">
            <w:pPr>
              <w:keepNext/>
              <w:rPr>
                <w:rFonts w:ascii="Arial Narrow" w:hAnsi="Arial Narrow" w:cs="Arial"/>
                <w:color w:val="FF0000"/>
                <w:sz w:val="20"/>
                <w:szCs w:val="20"/>
              </w:rPr>
            </w:pPr>
            <w:r w:rsidRPr="00D7733D">
              <w:rPr>
                <w:rFonts w:ascii="Arial Narrow" w:hAnsi="Arial Narrow"/>
                <w:b/>
                <w:sz w:val="20"/>
                <w:szCs w:val="20"/>
              </w:rPr>
              <w:t>Restriction Summary [new1]/ Treatment of Concept: [new1A]</w:t>
            </w:r>
          </w:p>
        </w:tc>
      </w:tr>
      <w:tr w:rsidR="000B2B1E" w:rsidRPr="00D7733D" w14:paraId="7C0DA10E"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0C9CF271" w14:textId="77777777" w:rsidR="000B2B1E" w:rsidRPr="00D7733D" w:rsidRDefault="000B2B1E" w:rsidP="002650BF">
            <w:pPr>
              <w:keepNext/>
              <w:rPr>
                <w:rFonts w:ascii="Arial Narrow" w:hAnsi="Arial Narrow" w:cs="Arial"/>
                <w:sz w:val="20"/>
                <w:szCs w:val="20"/>
              </w:rPr>
            </w:pPr>
            <w:r w:rsidRPr="00D7733D">
              <w:rPr>
                <w:rFonts w:ascii="Arial Narrow" w:hAnsi="Arial Narrow" w:cs="Arial"/>
                <w:b/>
                <w:bCs/>
                <w:sz w:val="20"/>
                <w:szCs w:val="20"/>
              </w:rPr>
              <w:t xml:space="preserve">Category / Program: </w:t>
            </w:r>
            <w:r w:rsidRPr="00D7733D">
              <w:rPr>
                <w:rFonts w:ascii="Arial Narrow" w:hAnsi="Arial Narrow" w:cs="Arial"/>
                <w:sz w:val="20"/>
                <w:szCs w:val="20"/>
              </w:rPr>
              <w:t xml:space="preserve">Section 100 – Efficient Funding of Chemotherapy Public/Private hospitals </w:t>
            </w:r>
          </w:p>
        </w:tc>
      </w:tr>
      <w:tr w:rsidR="000B2B1E" w:rsidRPr="00D7733D" w14:paraId="072D49CC"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404DE3E9" w14:textId="77777777" w:rsidR="000B2B1E" w:rsidRPr="00D7733D" w:rsidRDefault="000B2B1E" w:rsidP="002650BF">
            <w:pPr>
              <w:keepNext/>
              <w:rPr>
                <w:rFonts w:ascii="Arial Narrow" w:hAnsi="Arial Narrow" w:cs="Arial"/>
                <w:b/>
                <w:bCs/>
                <w:sz w:val="20"/>
                <w:szCs w:val="20"/>
              </w:rPr>
            </w:pPr>
            <w:r w:rsidRPr="00D7733D">
              <w:rPr>
                <w:rFonts w:ascii="Arial Narrow" w:hAnsi="Arial Narrow" w:cs="Arial"/>
                <w:b/>
                <w:bCs/>
                <w:sz w:val="20"/>
                <w:szCs w:val="20"/>
              </w:rPr>
              <w:t xml:space="preserve">Prescriber type: </w:t>
            </w:r>
            <w:r w:rsidRPr="00D7733D">
              <w:rPr>
                <w:rFonts w:ascii="Arial Narrow" w:hAnsi="Arial Narrow" w:cs="Arial"/>
                <w:sz w:val="20"/>
                <w:szCs w:val="20"/>
              </w:rPr>
              <w:fldChar w:fldCharType="begin">
                <w:ffData>
                  <w:name w:val=""/>
                  <w:enabled/>
                  <w:calcOnExit w:val="0"/>
                  <w:checkBox>
                    <w:sizeAuto/>
                    <w:default w:val="1"/>
                  </w:checkBox>
                </w:ffData>
              </w:fldChar>
            </w:r>
            <w:r w:rsidRPr="00D7733D">
              <w:rPr>
                <w:rFonts w:ascii="Arial Narrow" w:hAnsi="Arial Narrow" w:cs="Arial"/>
                <w:sz w:val="20"/>
                <w:szCs w:val="20"/>
              </w:rPr>
              <w:instrText xml:space="preserve"> FORMCHECKBOX </w:instrText>
            </w:r>
            <w:r w:rsidRPr="00D7733D">
              <w:rPr>
                <w:rFonts w:ascii="Arial Narrow" w:hAnsi="Arial Narrow" w:cs="Arial"/>
                <w:sz w:val="20"/>
                <w:szCs w:val="20"/>
              </w:rPr>
            </w:r>
            <w:r w:rsidRPr="00D7733D">
              <w:rPr>
                <w:rFonts w:ascii="Arial Narrow" w:hAnsi="Arial Narrow" w:cs="Arial"/>
                <w:sz w:val="20"/>
                <w:szCs w:val="20"/>
              </w:rPr>
              <w:fldChar w:fldCharType="separate"/>
            </w:r>
            <w:r w:rsidRPr="00D7733D">
              <w:rPr>
                <w:rFonts w:ascii="Arial Narrow" w:hAnsi="Arial Narrow" w:cs="Arial"/>
                <w:sz w:val="20"/>
                <w:szCs w:val="20"/>
              </w:rPr>
              <w:fldChar w:fldCharType="end"/>
            </w:r>
            <w:r w:rsidRPr="00D7733D">
              <w:rPr>
                <w:rFonts w:ascii="Arial Narrow" w:hAnsi="Arial Narrow" w:cs="Arial"/>
                <w:sz w:val="20"/>
                <w:szCs w:val="20"/>
              </w:rPr>
              <w:t xml:space="preserve">Medical Practitioners </w:t>
            </w:r>
          </w:p>
        </w:tc>
      </w:tr>
      <w:tr w:rsidR="000B2B1E" w:rsidRPr="00D7733D" w14:paraId="1DAC1BC1"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714FCE59" w14:textId="77777777" w:rsidR="000B2B1E" w:rsidRPr="00D7733D" w:rsidRDefault="000B2B1E" w:rsidP="002650BF">
            <w:pPr>
              <w:rPr>
                <w:rFonts w:ascii="Arial Narrow" w:eastAsia="Calibri" w:hAnsi="Arial Narrow" w:cs="Arial"/>
                <w:sz w:val="20"/>
                <w:szCs w:val="20"/>
              </w:rPr>
            </w:pPr>
            <w:r w:rsidRPr="00D7733D">
              <w:rPr>
                <w:rFonts w:ascii="Arial Narrow" w:hAnsi="Arial Narrow" w:cs="Arial"/>
                <w:b/>
                <w:sz w:val="20"/>
                <w:szCs w:val="20"/>
              </w:rPr>
              <w:t xml:space="preserve">Restriction type: </w:t>
            </w:r>
            <w:r w:rsidRPr="00D7733D">
              <w:rPr>
                <w:rFonts w:ascii="Arial Narrow" w:eastAsia="Calibri" w:hAnsi="Arial Narrow" w:cs="Arial"/>
                <w:sz w:val="20"/>
                <w:szCs w:val="20"/>
              </w:rPr>
              <w:fldChar w:fldCharType="begin">
                <w:ffData>
                  <w:name w:val=""/>
                  <w:enabled/>
                  <w:calcOnExit w:val="0"/>
                  <w:checkBox>
                    <w:sizeAuto/>
                    <w:default w:val="1"/>
                  </w:checkBox>
                </w:ffData>
              </w:fldChar>
            </w:r>
            <w:r w:rsidRPr="00D7733D">
              <w:rPr>
                <w:rFonts w:ascii="Arial Narrow" w:eastAsia="Calibri" w:hAnsi="Arial Narrow" w:cs="Arial"/>
                <w:sz w:val="20"/>
                <w:szCs w:val="20"/>
              </w:rPr>
              <w:instrText xml:space="preserve"> FORMCHECKBOX </w:instrText>
            </w:r>
            <w:r w:rsidRPr="00D7733D">
              <w:rPr>
                <w:rFonts w:ascii="Arial Narrow" w:eastAsia="Calibri" w:hAnsi="Arial Narrow" w:cs="Arial"/>
                <w:sz w:val="20"/>
                <w:szCs w:val="20"/>
              </w:rPr>
            </w:r>
            <w:r w:rsidRPr="00D7733D">
              <w:rPr>
                <w:rFonts w:ascii="Arial Narrow" w:eastAsia="Calibri" w:hAnsi="Arial Narrow" w:cs="Arial"/>
                <w:sz w:val="20"/>
                <w:szCs w:val="20"/>
              </w:rPr>
              <w:fldChar w:fldCharType="separate"/>
            </w:r>
            <w:r w:rsidRPr="00D7733D">
              <w:rPr>
                <w:rFonts w:ascii="Arial Narrow" w:eastAsia="Calibri" w:hAnsi="Arial Narrow" w:cs="Arial"/>
                <w:sz w:val="20"/>
                <w:szCs w:val="20"/>
              </w:rPr>
              <w:fldChar w:fldCharType="end"/>
            </w:r>
            <w:r w:rsidRPr="00D7733D">
              <w:rPr>
                <w:rFonts w:ascii="Arial Narrow" w:eastAsia="Calibri" w:hAnsi="Arial Narrow" w:cs="Arial"/>
                <w:sz w:val="20"/>
                <w:szCs w:val="20"/>
              </w:rPr>
              <w:t>Authority Required (STREAMLINED) [NEW]</w:t>
            </w:r>
            <w:r w:rsidRPr="00D7733D">
              <w:rPr>
                <w:rFonts w:ascii="Arial Narrow" w:eastAsia="Calibri" w:hAnsi="Arial Narrow" w:cs="Arial"/>
                <w:color w:val="FF0000"/>
                <w:sz w:val="20"/>
                <w:szCs w:val="20"/>
              </w:rPr>
              <w:t xml:space="preserve"> </w:t>
            </w:r>
          </w:p>
        </w:tc>
      </w:tr>
      <w:tr w:rsidR="000B2B1E" w:rsidRPr="00D7733D" w14:paraId="5E46EBF1" w14:textId="77777777" w:rsidTr="000B2B1E">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19C05EE6" w14:textId="77777777" w:rsidR="000B2B1E" w:rsidRPr="00D7733D" w:rsidRDefault="000B2B1E" w:rsidP="002650BF">
            <w:pPr>
              <w:keepLines/>
              <w:contextualSpacing/>
              <w:rPr>
                <w:rFonts w:ascii="Arial Narrow" w:hAnsi="Arial Narrow"/>
                <w:sz w:val="20"/>
                <w:szCs w:val="20"/>
              </w:rPr>
            </w:pPr>
            <w:r w:rsidRPr="00D7733D">
              <w:rPr>
                <w:rFonts w:ascii="Arial Narrow" w:hAnsi="Arial Narrow"/>
                <w:b/>
                <w:bCs/>
                <w:sz w:val="20"/>
                <w:szCs w:val="20"/>
              </w:rPr>
              <w:t>Administrative Advice:</w:t>
            </w:r>
          </w:p>
          <w:p w14:paraId="040566D7" w14:textId="77777777" w:rsidR="000B2B1E" w:rsidRPr="00D7733D" w:rsidRDefault="000B2B1E" w:rsidP="002650BF">
            <w:pPr>
              <w:keepLines/>
              <w:contextualSpacing/>
              <w:rPr>
                <w:rFonts w:ascii="Arial Narrow" w:hAnsi="Arial Narrow"/>
                <w:sz w:val="20"/>
                <w:szCs w:val="20"/>
              </w:rPr>
            </w:pPr>
            <w:r w:rsidRPr="00D7733D">
              <w:rPr>
                <w:rFonts w:ascii="Arial Narrow" w:hAnsi="Arial Narrow"/>
                <w:sz w:val="20"/>
                <w:szCs w:val="20"/>
              </w:rPr>
              <w:t>No increase in the maximum amount or number of units may be authorised.</w:t>
            </w:r>
          </w:p>
        </w:tc>
      </w:tr>
      <w:tr w:rsidR="000B2B1E" w:rsidRPr="00D7733D" w14:paraId="43F29ECA" w14:textId="77777777" w:rsidTr="000B2B1E">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7A1A7E9B" w14:textId="77777777" w:rsidR="000B2B1E" w:rsidRPr="00D7733D" w:rsidRDefault="000B2B1E" w:rsidP="002650BF">
            <w:pPr>
              <w:keepLines/>
              <w:contextualSpacing/>
              <w:rPr>
                <w:rFonts w:ascii="Arial Narrow" w:hAnsi="Arial Narrow"/>
                <w:b/>
                <w:bCs/>
                <w:sz w:val="20"/>
                <w:szCs w:val="20"/>
              </w:rPr>
            </w:pPr>
            <w:r w:rsidRPr="00D7733D">
              <w:rPr>
                <w:rFonts w:ascii="Arial Narrow" w:hAnsi="Arial Narrow"/>
                <w:b/>
                <w:bCs/>
                <w:sz w:val="20"/>
                <w:szCs w:val="20"/>
              </w:rPr>
              <w:t>Administrative Advice:</w:t>
            </w:r>
          </w:p>
          <w:p w14:paraId="6577E755" w14:textId="77777777" w:rsidR="000B2B1E" w:rsidRPr="00D7733D" w:rsidRDefault="000B2B1E" w:rsidP="002650BF">
            <w:pPr>
              <w:keepLines/>
              <w:contextualSpacing/>
              <w:rPr>
                <w:rFonts w:ascii="Arial Narrow" w:hAnsi="Arial Narrow"/>
                <w:sz w:val="20"/>
                <w:szCs w:val="20"/>
              </w:rPr>
            </w:pPr>
            <w:r w:rsidRPr="00D7733D">
              <w:rPr>
                <w:rFonts w:ascii="Arial Narrow" w:hAnsi="Arial Narrow"/>
                <w:sz w:val="20"/>
                <w:szCs w:val="20"/>
              </w:rPr>
              <w:t>No increase in the maximum number of repeats may be authorised.</w:t>
            </w:r>
          </w:p>
        </w:tc>
      </w:tr>
      <w:tr w:rsidR="000B2B1E" w:rsidRPr="00D7733D" w14:paraId="7A2E940B" w14:textId="77777777" w:rsidTr="000B2B1E">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299312DE" w14:textId="77777777" w:rsidR="000B2B1E" w:rsidRPr="00D7733D" w:rsidRDefault="000B2B1E" w:rsidP="002650BF">
            <w:pPr>
              <w:keepLines/>
              <w:contextualSpacing/>
              <w:rPr>
                <w:rFonts w:ascii="Arial Narrow" w:hAnsi="Arial Narrow"/>
                <w:b/>
                <w:bCs/>
                <w:sz w:val="20"/>
                <w:szCs w:val="20"/>
              </w:rPr>
            </w:pPr>
            <w:r w:rsidRPr="00D7733D">
              <w:rPr>
                <w:rFonts w:ascii="Arial Narrow" w:hAnsi="Arial Narrow"/>
                <w:b/>
                <w:bCs/>
                <w:sz w:val="20"/>
                <w:szCs w:val="20"/>
              </w:rPr>
              <w:t>Administrative Advice:</w:t>
            </w:r>
          </w:p>
          <w:p w14:paraId="0A47A917" w14:textId="77777777" w:rsidR="000B2B1E" w:rsidRPr="00D7733D" w:rsidRDefault="000B2B1E" w:rsidP="002650BF">
            <w:pPr>
              <w:keepLines/>
              <w:contextualSpacing/>
              <w:rPr>
                <w:rFonts w:ascii="Arial Narrow" w:hAnsi="Arial Narrow"/>
                <w:sz w:val="20"/>
                <w:szCs w:val="20"/>
              </w:rPr>
            </w:pPr>
            <w:r w:rsidRPr="00D7733D">
              <w:rPr>
                <w:rFonts w:ascii="Arial Narrow" w:hAnsi="Arial Narrow"/>
                <w:sz w:val="20"/>
                <w:szCs w:val="20"/>
              </w:rPr>
              <w:t>Special Pricing Arrangements apply.</w:t>
            </w:r>
          </w:p>
        </w:tc>
      </w:tr>
      <w:tr w:rsidR="000B2B1E" w:rsidRPr="00D7733D" w14:paraId="14C8C293"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A9EAFBD" w14:textId="77777777" w:rsidR="000B2B1E" w:rsidRPr="00D7733D" w:rsidRDefault="000B2B1E" w:rsidP="002650BF">
            <w:pPr>
              <w:keepLines/>
              <w:rPr>
                <w:rFonts w:ascii="Arial Narrow" w:hAnsi="Arial Narrow"/>
                <w:b/>
                <w:bCs/>
                <w:sz w:val="20"/>
                <w:szCs w:val="20"/>
              </w:rPr>
            </w:pPr>
            <w:r w:rsidRPr="00D7733D">
              <w:rPr>
                <w:rFonts w:ascii="Arial Narrow" w:hAnsi="Arial Narrow"/>
                <w:b/>
                <w:bCs/>
                <w:sz w:val="20"/>
                <w:szCs w:val="20"/>
              </w:rPr>
              <w:t xml:space="preserve">Severity: </w:t>
            </w:r>
            <w:r w:rsidRPr="00D7733D">
              <w:rPr>
                <w:rFonts w:ascii="Arial Narrow" w:hAnsi="Arial Narrow"/>
                <w:bCs/>
                <w:sz w:val="20"/>
                <w:szCs w:val="20"/>
              </w:rPr>
              <w:t xml:space="preserve">Advanced (unresectable) Barcelona Clinic Liver Cancer Stage B or Stage C </w:t>
            </w:r>
            <w:r w:rsidRPr="00D7733D">
              <w:rPr>
                <w:rFonts w:ascii="Arial Narrow" w:hAnsi="Arial Narrow"/>
                <w:bCs/>
                <w:strike/>
                <w:sz w:val="20"/>
                <w:szCs w:val="20"/>
              </w:rPr>
              <w:t>hepatocellular carcinoma</w:t>
            </w:r>
          </w:p>
        </w:tc>
      </w:tr>
      <w:tr w:rsidR="000B2B1E" w:rsidRPr="00D7733D" w14:paraId="716DD190"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69B5DE4" w14:textId="77777777" w:rsidR="000B2B1E" w:rsidRPr="00D7733D" w:rsidRDefault="000B2B1E" w:rsidP="002650BF">
            <w:pPr>
              <w:keepLines/>
              <w:rPr>
                <w:rFonts w:ascii="Arial Narrow" w:hAnsi="Arial Narrow"/>
                <w:b/>
                <w:bCs/>
                <w:sz w:val="20"/>
                <w:szCs w:val="20"/>
              </w:rPr>
            </w:pPr>
            <w:r w:rsidRPr="00D7733D">
              <w:rPr>
                <w:rFonts w:ascii="Arial Narrow" w:hAnsi="Arial Narrow"/>
                <w:b/>
                <w:bCs/>
                <w:sz w:val="20"/>
                <w:szCs w:val="20"/>
              </w:rPr>
              <w:t xml:space="preserve">Condition: </w:t>
            </w:r>
            <w:r w:rsidRPr="00D7733D">
              <w:rPr>
                <w:rFonts w:ascii="Arial Narrow" w:hAnsi="Arial Narrow"/>
                <w:bCs/>
                <w:sz w:val="20"/>
                <w:szCs w:val="20"/>
              </w:rPr>
              <w:t>Hepatocellular carcinoma</w:t>
            </w:r>
          </w:p>
        </w:tc>
      </w:tr>
      <w:tr w:rsidR="000B2B1E" w:rsidRPr="00D7733D" w14:paraId="0976E23B"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25C4C99A" w14:textId="77777777" w:rsidR="000B2B1E" w:rsidRPr="00D7733D" w:rsidRDefault="000B2B1E" w:rsidP="002650BF">
            <w:pPr>
              <w:keepLines/>
              <w:rPr>
                <w:rFonts w:ascii="Arial Narrow" w:hAnsi="Arial Narrow"/>
                <w:sz w:val="20"/>
                <w:szCs w:val="20"/>
              </w:rPr>
            </w:pPr>
            <w:r w:rsidRPr="00D7733D">
              <w:rPr>
                <w:rFonts w:ascii="Arial Narrow" w:hAnsi="Arial Narrow"/>
                <w:b/>
                <w:bCs/>
                <w:sz w:val="20"/>
                <w:szCs w:val="20"/>
              </w:rPr>
              <w:t>Indication:</w:t>
            </w:r>
            <w:r w:rsidRPr="00D7733D">
              <w:rPr>
                <w:rFonts w:ascii="Arial Narrow" w:hAnsi="Arial Narrow"/>
                <w:sz w:val="20"/>
                <w:szCs w:val="20"/>
              </w:rPr>
              <w:t xml:space="preserve"> Advanced (unresectable) Barcelona Clinic Liver Cancer Stage B or Stage C hepatocellular carcinoma</w:t>
            </w:r>
          </w:p>
        </w:tc>
      </w:tr>
      <w:tr w:rsidR="000B2B1E" w:rsidRPr="00D7733D" w14:paraId="21F6C4B7"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73A527DA" w14:textId="77777777" w:rsidR="000B2B1E" w:rsidRPr="00D7733D" w:rsidRDefault="000B2B1E" w:rsidP="002650BF">
            <w:pPr>
              <w:rPr>
                <w:rFonts w:ascii="Arial Narrow" w:hAnsi="Arial Narrow"/>
                <w:sz w:val="20"/>
                <w:szCs w:val="20"/>
              </w:rPr>
            </w:pPr>
            <w:r w:rsidRPr="00D7733D">
              <w:rPr>
                <w:rFonts w:ascii="Arial Narrow" w:hAnsi="Arial Narrow"/>
                <w:b/>
                <w:bCs/>
                <w:sz w:val="20"/>
                <w:szCs w:val="20"/>
              </w:rPr>
              <w:t>Treatment Phase:</w:t>
            </w:r>
            <w:r w:rsidRPr="00D7733D">
              <w:rPr>
                <w:rFonts w:ascii="Arial Narrow" w:hAnsi="Arial Narrow"/>
                <w:sz w:val="20"/>
                <w:szCs w:val="20"/>
              </w:rPr>
              <w:t xml:space="preserve"> Initial </w:t>
            </w:r>
            <w:r w:rsidRPr="00D7733D">
              <w:rPr>
                <w:rFonts w:ascii="Arial Narrow" w:hAnsi="Arial Narrow"/>
                <w:i/>
                <w:iCs/>
                <w:sz w:val="20"/>
                <w:szCs w:val="20"/>
              </w:rPr>
              <w:t>(once-off)</w:t>
            </w:r>
            <w:r w:rsidRPr="00D7733D">
              <w:rPr>
                <w:rFonts w:ascii="Arial Narrow" w:hAnsi="Arial Narrow"/>
                <w:sz w:val="20"/>
                <w:szCs w:val="20"/>
              </w:rPr>
              <w:t xml:space="preserve"> treatment </w:t>
            </w:r>
          </w:p>
        </w:tc>
      </w:tr>
      <w:tr w:rsidR="000B2B1E" w:rsidRPr="00D7733D" w14:paraId="397D95A1"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081F72A3" w14:textId="77777777" w:rsidR="000B2B1E" w:rsidRPr="00D7733D" w:rsidRDefault="000B2B1E" w:rsidP="002650BF">
            <w:pPr>
              <w:rPr>
                <w:rFonts w:ascii="Arial Narrow" w:hAnsi="Arial Narrow"/>
                <w:sz w:val="20"/>
                <w:szCs w:val="20"/>
              </w:rPr>
            </w:pPr>
            <w:r w:rsidRPr="00D7733D">
              <w:rPr>
                <w:rFonts w:ascii="Arial Narrow" w:hAnsi="Arial Narrow"/>
                <w:b/>
                <w:bCs/>
                <w:color w:val="333333"/>
                <w:sz w:val="20"/>
                <w:szCs w:val="20"/>
              </w:rPr>
              <w:t xml:space="preserve">Clinical criteria: </w:t>
            </w:r>
          </w:p>
        </w:tc>
      </w:tr>
      <w:tr w:rsidR="000B2B1E" w:rsidRPr="00D7733D" w14:paraId="0763F6AA"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C0282E1" w14:textId="77777777" w:rsidR="000B2B1E" w:rsidRPr="00D7733D" w:rsidRDefault="000B2B1E" w:rsidP="002650BF">
            <w:pPr>
              <w:rPr>
                <w:rFonts w:ascii="Arial Narrow" w:hAnsi="Arial Narrow"/>
                <w:b/>
                <w:bCs/>
                <w:color w:val="333333"/>
                <w:sz w:val="20"/>
                <w:szCs w:val="20"/>
              </w:rPr>
            </w:pPr>
            <w:r w:rsidRPr="00D7733D">
              <w:rPr>
                <w:rFonts w:ascii="Arial Narrow" w:hAnsi="Arial Narrow"/>
                <w:color w:val="333333"/>
                <w:sz w:val="20"/>
                <w:szCs w:val="20"/>
              </w:rPr>
              <w:t xml:space="preserve">Patient must be undergoing combination treatment with </w:t>
            </w:r>
            <w:r w:rsidRPr="00D7733D">
              <w:rPr>
                <w:rFonts w:ascii="Arial Narrow" w:hAnsi="Arial Narrow"/>
                <w:i/>
                <w:color w:val="333333"/>
                <w:sz w:val="20"/>
                <w:szCs w:val="20"/>
              </w:rPr>
              <w:t>PBS subsidised</w:t>
            </w:r>
            <w:r w:rsidRPr="00D7733D">
              <w:rPr>
                <w:rFonts w:ascii="Arial Narrow" w:hAnsi="Arial Narrow"/>
                <w:color w:val="333333"/>
                <w:sz w:val="20"/>
                <w:szCs w:val="20"/>
              </w:rPr>
              <w:t xml:space="preserve"> durvalumab.</w:t>
            </w:r>
          </w:p>
        </w:tc>
      </w:tr>
      <w:tr w:rsidR="000B2B1E" w:rsidRPr="00D7733D" w14:paraId="721CCDDC"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8153EF3" w14:textId="77777777" w:rsidR="000B2B1E" w:rsidRPr="00D7733D" w:rsidRDefault="000B2B1E" w:rsidP="002650BF">
            <w:pPr>
              <w:rPr>
                <w:rFonts w:ascii="Arial Narrow" w:hAnsi="Arial Narrow"/>
                <w:b/>
                <w:bCs/>
                <w:color w:val="333333"/>
                <w:sz w:val="20"/>
                <w:szCs w:val="20"/>
              </w:rPr>
            </w:pPr>
            <w:r w:rsidRPr="00D7733D">
              <w:rPr>
                <w:rFonts w:ascii="Arial Narrow" w:hAnsi="Arial Narrow"/>
                <w:b/>
                <w:bCs/>
                <w:color w:val="333333"/>
                <w:sz w:val="20"/>
                <w:szCs w:val="20"/>
              </w:rPr>
              <w:t>AND</w:t>
            </w:r>
          </w:p>
        </w:tc>
      </w:tr>
      <w:tr w:rsidR="000B2B1E" w:rsidRPr="00D7733D" w14:paraId="32464853"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BCA12F7" w14:textId="77777777" w:rsidR="000B2B1E" w:rsidRPr="00D7733D" w:rsidRDefault="000B2B1E" w:rsidP="002650BF">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0B2B1E" w:rsidRPr="00D7733D" w14:paraId="287EACE6"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8CE2C1A" w14:textId="77777777" w:rsidR="000B2B1E" w:rsidRPr="00D7733D" w:rsidRDefault="000B2B1E" w:rsidP="002650BF">
            <w:pPr>
              <w:rPr>
                <w:rFonts w:ascii="Arial Narrow" w:hAnsi="Arial Narrow"/>
                <w:b/>
                <w:bCs/>
                <w:color w:val="333333"/>
                <w:sz w:val="20"/>
                <w:szCs w:val="20"/>
              </w:rPr>
            </w:pPr>
            <w:r w:rsidRPr="00D7733D">
              <w:rPr>
                <w:rFonts w:ascii="Arial Narrow" w:hAnsi="Arial Narrow"/>
                <w:color w:val="333333"/>
                <w:sz w:val="20"/>
                <w:szCs w:val="20"/>
              </w:rPr>
              <w:t>Patient must have a WHO performance status of 0 or 1</w:t>
            </w:r>
            <w:r w:rsidRPr="00D7733D">
              <w:rPr>
                <w:rFonts w:ascii="Arial Narrow" w:hAnsi="Arial Narrow"/>
                <w:b/>
                <w:bCs/>
                <w:color w:val="333333"/>
                <w:sz w:val="20"/>
                <w:szCs w:val="20"/>
              </w:rPr>
              <w:t>,</w:t>
            </w:r>
          </w:p>
        </w:tc>
      </w:tr>
      <w:tr w:rsidR="000B2B1E" w:rsidRPr="00D7733D" w14:paraId="72E6C518"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542132F" w14:textId="77777777" w:rsidR="000B2B1E" w:rsidRPr="00D7733D" w:rsidRDefault="000B2B1E" w:rsidP="002650BF">
            <w:pPr>
              <w:rPr>
                <w:rFonts w:ascii="Arial Narrow" w:hAnsi="Arial Narrow"/>
                <w:b/>
                <w:bCs/>
                <w:color w:val="333333"/>
                <w:sz w:val="20"/>
                <w:szCs w:val="20"/>
              </w:rPr>
            </w:pPr>
            <w:r w:rsidRPr="00D7733D">
              <w:rPr>
                <w:rFonts w:ascii="Arial Narrow" w:hAnsi="Arial Narrow"/>
                <w:b/>
                <w:bCs/>
                <w:color w:val="333333"/>
                <w:sz w:val="20"/>
                <w:szCs w:val="20"/>
              </w:rPr>
              <w:t>AND</w:t>
            </w:r>
          </w:p>
        </w:tc>
      </w:tr>
      <w:tr w:rsidR="000B2B1E" w:rsidRPr="00D7733D" w14:paraId="41BE6497"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424C59F" w14:textId="77777777" w:rsidR="000B2B1E" w:rsidRPr="00D7733D" w:rsidRDefault="000B2B1E" w:rsidP="002650BF">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0B2B1E" w:rsidRPr="00D7733D" w14:paraId="756A6F30"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4CADC19" w14:textId="77777777" w:rsidR="000B2B1E" w:rsidRPr="00D7733D" w:rsidRDefault="000B2B1E" w:rsidP="002650BF">
            <w:pPr>
              <w:pStyle w:val="TableText0"/>
              <w:ind w:left="32"/>
            </w:pPr>
            <w:r w:rsidRPr="00D7733D">
              <w:t xml:space="preserve">Patient must not be suitable for </w:t>
            </w:r>
            <w:proofErr w:type="spellStart"/>
            <w:r w:rsidRPr="00D7733D">
              <w:t>transarterial</w:t>
            </w:r>
            <w:proofErr w:type="spellEnd"/>
            <w:r w:rsidRPr="00D7733D">
              <w:t xml:space="preserve"> </w:t>
            </w:r>
            <w:proofErr w:type="spellStart"/>
            <w:r w:rsidRPr="00D7733D">
              <w:t>chemoembolisation</w:t>
            </w:r>
            <w:proofErr w:type="spellEnd"/>
          </w:p>
        </w:tc>
      </w:tr>
      <w:tr w:rsidR="000B2B1E" w:rsidRPr="00D7733D" w14:paraId="3B2B5968"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6E931E2" w14:textId="77777777" w:rsidR="000B2B1E" w:rsidRPr="00D7733D" w:rsidRDefault="000B2B1E" w:rsidP="002650BF">
            <w:pPr>
              <w:rPr>
                <w:rFonts w:ascii="Arial Narrow" w:hAnsi="Arial Narrow"/>
                <w:b/>
                <w:bCs/>
                <w:color w:val="333333"/>
                <w:sz w:val="20"/>
                <w:szCs w:val="20"/>
              </w:rPr>
            </w:pPr>
            <w:r w:rsidRPr="00D7733D">
              <w:rPr>
                <w:rFonts w:ascii="Arial Narrow" w:hAnsi="Arial Narrow"/>
                <w:b/>
                <w:bCs/>
                <w:color w:val="333333"/>
                <w:sz w:val="20"/>
                <w:szCs w:val="20"/>
              </w:rPr>
              <w:t>AND</w:t>
            </w:r>
          </w:p>
        </w:tc>
      </w:tr>
      <w:tr w:rsidR="000B2B1E" w:rsidRPr="00D7733D" w14:paraId="60541680"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B2688A0" w14:textId="77777777" w:rsidR="000B2B1E" w:rsidRPr="00D7733D" w:rsidRDefault="000B2B1E" w:rsidP="002650BF">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0B2B1E" w:rsidRPr="00D7733D" w14:paraId="1633BA0B"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6FF2B7A" w14:textId="77777777" w:rsidR="000B2B1E" w:rsidRPr="00D7733D" w:rsidRDefault="000B2B1E" w:rsidP="002650BF">
            <w:pPr>
              <w:rPr>
                <w:rFonts w:ascii="Arial Narrow" w:hAnsi="Arial Narrow"/>
                <w:color w:val="333333"/>
                <w:sz w:val="20"/>
                <w:szCs w:val="20"/>
              </w:rPr>
            </w:pPr>
            <w:r w:rsidRPr="00D7733D">
              <w:rPr>
                <w:rFonts w:ascii="Arial Narrow" w:hAnsi="Arial Narrow"/>
                <w:color w:val="333333"/>
                <w:sz w:val="20"/>
                <w:szCs w:val="20"/>
              </w:rPr>
              <w:t>Patient must have Child Pugh class A</w:t>
            </w:r>
          </w:p>
        </w:tc>
      </w:tr>
      <w:tr w:rsidR="000B2B1E" w:rsidRPr="00D7733D" w14:paraId="1B914624"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8882F73" w14:textId="77777777" w:rsidR="000B2B1E" w:rsidRPr="00D7733D" w:rsidRDefault="000B2B1E" w:rsidP="002650BF">
            <w:pPr>
              <w:rPr>
                <w:rFonts w:ascii="Arial Narrow" w:hAnsi="Arial Narrow"/>
                <w:color w:val="333333"/>
                <w:sz w:val="20"/>
                <w:szCs w:val="20"/>
              </w:rPr>
            </w:pPr>
            <w:r w:rsidRPr="00D7733D">
              <w:rPr>
                <w:rFonts w:ascii="Arial Narrow" w:hAnsi="Arial Narrow"/>
                <w:b/>
                <w:bCs/>
                <w:color w:val="333333"/>
                <w:sz w:val="20"/>
                <w:szCs w:val="20"/>
              </w:rPr>
              <w:t>AND</w:t>
            </w:r>
          </w:p>
        </w:tc>
      </w:tr>
      <w:tr w:rsidR="000B2B1E" w:rsidRPr="00D7733D" w14:paraId="2BB25078"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20DEFB8" w14:textId="77777777" w:rsidR="000B2B1E" w:rsidRPr="00D7733D" w:rsidRDefault="000B2B1E" w:rsidP="002650BF">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0B2B1E" w:rsidRPr="00D7733D" w14:paraId="066C5F84"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9FA67C9" w14:textId="77777777" w:rsidR="000B2B1E" w:rsidRPr="00D7733D" w:rsidRDefault="000B2B1E" w:rsidP="002650BF">
            <w:pPr>
              <w:rPr>
                <w:rFonts w:ascii="Arial Narrow" w:hAnsi="Arial Narrow"/>
                <w:color w:val="333333"/>
                <w:sz w:val="20"/>
                <w:szCs w:val="20"/>
              </w:rPr>
            </w:pPr>
            <w:r w:rsidRPr="00D7733D">
              <w:rPr>
                <w:rFonts w:ascii="Arial Narrow" w:hAnsi="Arial Narrow"/>
                <w:color w:val="333333"/>
                <w:sz w:val="20"/>
                <w:szCs w:val="20"/>
              </w:rPr>
              <w:t xml:space="preserve">The condition must be untreated with systemic therapy; </w:t>
            </w:r>
            <w:r w:rsidRPr="00D7733D">
              <w:rPr>
                <w:rFonts w:ascii="Arial Narrow" w:hAnsi="Arial Narrow"/>
                <w:b/>
                <w:bCs/>
                <w:color w:val="333333"/>
                <w:sz w:val="20"/>
                <w:szCs w:val="20"/>
              </w:rPr>
              <w:t>OR</w:t>
            </w:r>
          </w:p>
        </w:tc>
      </w:tr>
      <w:tr w:rsidR="000B2B1E" w:rsidRPr="00D7733D" w14:paraId="0358E324"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7D862F3" w14:textId="77777777" w:rsidR="000B2B1E" w:rsidRPr="00D7733D" w:rsidRDefault="000B2B1E" w:rsidP="002650BF">
            <w:pPr>
              <w:rPr>
                <w:rFonts w:ascii="Arial Narrow" w:hAnsi="Arial Narrow"/>
                <w:color w:val="333333"/>
                <w:sz w:val="20"/>
                <w:szCs w:val="20"/>
              </w:rPr>
            </w:pPr>
            <w:r w:rsidRPr="00D7733D">
              <w:rPr>
                <w:rFonts w:ascii="Arial Narrow" w:hAnsi="Arial Narrow"/>
                <w:color w:val="333333"/>
                <w:sz w:val="20"/>
                <w:szCs w:val="20"/>
              </w:rPr>
              <w:lastRenderedPageBreak/>
              <w:t>Patient must have developed intolerance</w:t>
            </w:r>
            <w:r w:rsidRPr="00D7733D">
              <w:rPr>
                <w:rFonts w:ascii="Arial Narrow" w:hAnsi="Arial Narrow"/>
                <w:i/>
                <w:iCs/>
                <w:color w:val="333333"/>
                <w:sz w:val="20"/>
                <w:szCs w:val="20"/>
              </w:rPr>
              <w:t xml:space="preserve"> of a severity necessitating permanent treatment withdrawal, in the absence of disease progression</w:t>
            </w:r>
            <w:r w:rsidRPr="00D7733D">
              <w:rPr>
                <w:rFonts w:ascii="Arial Narrow" w:hAnsi="Arial Narrow"/>
                <w:color w:val="333333"/>
                <w:sz w:val="20"/>
                <w:szCs w:val="20"/>
              </w:rPr>
              <w:t xml:space="preserve"> to </w:t>
            </w:r>
            <w:r w:rsidRPr="00D7733D">
              <w:rPr>
                <w:rFonts w:ascii="Arial Narrow" w:hAnsi="Arial Narrow"/>
                <w:i/>
                <w:iCs/>
                <w:color w:val="333333"/>
                <w:sz w:val="20"/>
                <w:szCs w:val="20"/>
              </w:rPr>
              <w:t xml:space="preserve">any of the following: (i) </w:t>
            </w:r>
            <w:r w:rsidRPr="00D7733D">
              <w:rPr>
                <w:rFonts w:ascii="Arial Narrow" w:hAnsi="Arial Narrow"/>
                <w:color w:val="333333"/>
                <w:sz w:val="20"/>
                <w:szCs w:val="20"/>
              </w:rPr>
              <w:t xml:space="preserve">atezolizumab </w:t>
            </w:r>
            <w:r w:rsidRPr="00D7733D">
              <w:rPr>
                <w:rFonts w:ascii="Arial Narrow" w:hAnsi="Arial Narrow"/>
                <w:i/>
                <w:iCs/>
                <w:color w:val="333333"/>
                <w:sz w:val="20"/>
                <w:szCs w:val="20"/>
              </w:rPr>
              <w:t>+ bevacizumab combination therapy;</w:t>
            </w:r>
            <w:r w:rsidRPr="00D7733D">
              <w:rPr>
                <w:rFonts w:ascii="Arial Narrow" w:hAnsi="Arial Narrow"/>
                <w:color w:val="333333"/>
                <w:sz w:val="20"/>
                <w:szCs w:val="20"/>
              </w:rPr>
              <w:t xml:space="preserve"> </w:t>
            </w:r>
            <w:r w:rsidRPr="00D7733D">
              <w:rPr>
                <w:rFonts w:ascii="Arial Narrow" w:hAnsi="Arial Narrow"/>
                <w:strike/>
                <w:color w:val="333333"/>
                <w:sz w:val="20"/>
                <w:szCs w:val="20"/>
              </w:rPr>
              <w:t>or</w:t>
            </w:r>
            <w:r w:rsidRPr="00D7733D">
              <w:rPr>
                <w:rFonts w:ascii="Arial Narrow" w:hAnsi="Arial Narrow"/>
                <w:color w:val="333333"/>
                <w:sz w:val="20"/>
                <w:szCs w:val="20"/>
              </w:rPr>
              <w:t xml:space="preserve"> </w:t>
            </w:r>
            <w:r w:rsidRPr="00D7733D">
              <w:rPr>
                <w:rFonts w:ascii="Arial Narrow" w:hAnsi="Arial Narrow"/>
                <w:i/>
                <w:iCs/>
                <w:color w:val="333333"/>
                <w:sz w:val="20"/>
                <w:szCs w:val="20"/>
              </w:rPr>
              <w:t>(ii)</w:t>
            </w:r>
            <w:r w:rsidRPr="00D7733D">
              <w:rPr>
                <w:rFonts w:ascii="Arial Narrow" w:hAnsi="Arial Narrow"/>
                <w:color w:val="333333"/>
                <w:sz w:val="20"/>
                <w:szCs w:val="20"/>
              </w:rPr>
              <w:t xml:space="preserve"> a vascular endothelial growth factor (VEGF) inhibitor </w:t>
            </w:r>
            <w:r w:rsidRPr="00D7733D">
              <w:rPr>
                <w:rFonts w:ascii="Arial Narrow" w:hAnsi="Arial Narrow"/>
                <w:i/>
                <w:iCs/>
                <w:color w:val="333333"/>
                <w:sz w:val="20"/>
                <w:szCs w:val="20"/>
              </w:rPr>
              <w:t>tyrosine kinase inhibitor (TKI)</w:t>
            </w:r>
            <w:r w:rsidRPr="00D7733D">
              <w:rPr>
                <w:rFonts w:ascii="Arial Narrow" w:hAnsi="Arial Narrow"/>
                <w:color w:val="333333"/>
                <w:sz w:val="20"/>
                <w:szCs w:val="20"/>
              </w:rPr>
              <w:t xml:space="preserve"> </w:t>
            </w:r>
            <w:r w:rsidRPr="00D7733D">
              <w:rPr>
                <w:rFonts w:ascii="Arial Narrow" w:hAnsi="Arial Narrow"/>
                <w:strike/>
                <w:color w:val="333333"/>
                <w:sz w:val="20"/>
                <w:szCs w:val="20"/>
              </w:rPr>
              <w:t>of a severity necessitating permanent treatment withdrawal.</w:t>
            </w:r>
          </w:p>
        </w:tc>
      </w:tr>
      <w:tr w:rsidR="000B2B1E" w:rsidRPr="00D7733D" w14:paraId="2C23FFC6"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D66CF1A" w14:textId="77777777" w:rsidR="000B2B1E" w:rsidRPr="00D7733D" w:rsidRDefault="000B2B1E" w:rsidP="002650BF">
            <w:pPr>
              <w:rPr>
                <w:rFonts w:ascii="Arial Narrow" w:hAnsi="Arial Narrow"/>
                <w:i/>
                <w:iCs/>
                <w:color w:val="333333"/>
                <w:sz w:val="20"/>
                <w:szCs w:val="20"/>
              </w:rPr>
            </w:pPr>
            <w:r w:rsidRPr="00D7733D">
              <w:rPr>
                <w:rFonts w:ascii="Arial Narrow" w:hAnsi="Arial Narrow"/>
                <w:b/>
                <w:bCs/>
                <w:i/>
                <w:iCs/>
                <w:color w:val="333333"/>
                <w:sz w:val="20"/>
                <w:szCs w:val="20"/>
              </w:rPr>
              <w:t>AND</w:t>
            </w:r>
          </w:p>
        </w:tc>
      </w:tr>
      <w:tr w:rsidR="000B2B1E" w:rsidRPr="00D7733D" w14:paraId="37FD639A"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2E72182" w14:textId="77777777" w:rsidR="000B2B1E" w:rsidRPr="00D7733D" w:rsidRDefault="000B2B1E" w:rsidP="002650BF">
            <w:pPr>
              <w:rPr>
                <w:rFonts w:ascii="Arial Narrow" w:hAnsi="Arial Narrow"/>
                <w:i/>
                <w:iCs/>
                <w:color w:val="333333"/>
                <w:sz w:val="20"/>
                <w:szCs w:val="20"/>
              </w:rPr>
            </w:pPr>
            <w:r w:rsidRPr="00D7733D">
              <w:rPr>
                <w:rFonts w:ascii="Arial Narrow" w:hAnsi="Arial Narrow"/>
                <w:b/>
                <w:bCs/>
                <w:i/>
                <w:iCs/>
                <w:color w:val="333333"/>
                <w:sz w:val="20"/>
                <w:szCs w:val="20"/>
              </w:rPr>
              <w:t>Treatment criteria:</w:t>
            </w:r>
          </w:p>
        </w:tc>
      </w:tr>
      <w:tr w:rsidR="000B2B1E" w:rsidRPr="00D7733D" w14:paraId="4A016D61" w14:textId="77777777" w:rsidTr="000B2B1E">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D5C53A3" w14:textId="77777777" w:rsidR="000B2B1E" w:rsidRPr="00D7733D" w:rsidRDefault="000B2B1E" w:rsidP="002650BF">
            <w:pPr>
              <w:rPr>
                <w:rFonts w:ascii="Arial Narrow" w:hAnsi="Arial Narrow"/>
                <w:i/>
                <w:iCs/>
                <w:color w:val="333333"/>
                <w:sz w:val="20"/>
                <w:szCs w:val="20"/>
              </w:rPr>
            </w:pPr>
            <w:r w:rsidRPr="00D7733D">
              <w:rPr>
                <w:rFonts w:ascii="Arial Narrow" w:hAnsi="Arial Narrow"/>
                <w:i/>
                <w:iCs/>
                <w:color w:val="333333"/>
                <w:sz w:val="20"/>
                <w:szCs w:val="20"/>
              </w:rPr>
              <w:t xml:space="preserve">Patient must not receive PBS-subsidised treatment with this drug for this indication more than once per lifetime </w:t>
            </w:r>
          </w:p>
        </w:tc>
      </w:tr>
    </w:tbl>
    <w:p w14:paraId="3D6CD14F" w14:textId="77777777" w:rsidR="0012027F" w:rsidRPr="00D7733D" w:rsidRDefault="0012027F" w:rsidP="00AD2CBF">
      <w:pPr>
        <w:pStyle w:val="5-SubsectionSubheading"/>
        <w:spacing w:before="120" w:after="120"/>
        <w:outlineLvl w:val="9"/>
      </w:pPr>
      <w:r w:rsidRPr="00D7733D">
        <w:t xml:space="preserve">Durvalumab – initial and continuing treatment </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31"/>
        <w:gridCol w:w="1973"/>
        <w:gridCol w:w="1973"/>
        <w:gridCol w:w="1944"/>
      </w:tblGrid>
      <w:tr w:rsidR="0012027F" w:rsidRPr="00D7733D" w14:paraId="45766596" w14:textId="77777777" w:rsidTr="00AD2CBF">
        <w:trPr>
          <w:cantSplit/>
          <w:trHeight w:val="20"/>
        </w:trPr>
        <w:tc>
          <w:tcPr>
            <w:tcW w:w="1722" w:type="pct"/>
            <w:gridSpan w:val="2"/>
            <w:vAlign w:val="center"/>
          </w:tcPr>
          <w:p w14:paraId="12A6A27D" w14:textId="77777777" w:rsidR="0012027F" w:rsidRPr="00D7733D" w:rsidRDefault="0012027F" w:rsidP="002650BF">
            <w:pPr>
              <w:keepNext/>
              <w:rPr>
                <w:rFonts w:ascii="Arial Narrow" w:hAnsi="Arial Narrow"/>
                <w:b/>
                <w:bCs/>
                <w:sz w:val="20"/>
                <w:szCs w:val="20"/>
              </w:rPr>
            </w:pPr>
            <w:r w:rsidRPr="00D7733D">
              <w:rPr>
                <w:rFonts w:ascii="Arial Narrow" w:hAnsi="Arial Narrow"/>
                <w:b/>
                <w:bCs/>
                <w:sz w:val="20"/>
                <w:szCs w:val="20"/>
              </w:rPr>
              <w:t>MEDICINAL PRODUCT</w:t>
            </w:r>
          </w:p>
          <w:p w14:paraId="1DB44046" w14:textId="77777777" w:rsidR="0012027F" w:rsidRPr="00D7733D" w:rsidRDefault="0012027F" w:rsidP="002650BF">
            <w:pPr>
              <w:keepNext/>
              <w:rPr>
                <w:rFonts w:ascii="Arial Narrow" w:hAnsi="Arial Narrow" w:cs="Arial"/>
                <w:b/>
                <w:sz w:val="20"/>
                <w:szCs w:val="20"/>
              </w:rPr>
            </w:pPr>
            <w:r w:rsidRPr="00D7733D">
              <w:rPr>
                <w:rFonts w:ascii="Arial Narrow" w:hAnsi="Arial Narrow" w:cs="Arial"/>
                <w:b/>
                <w:sz w:val="20"/>
                <w:szCs w:val="20"/>
              </w:rPr>
              <w:t>Form</w:t>
            </w:r>
          </w:p>
        </w:tc>
        <w:tc>
          <w:tcPr>
            <w:tcW w:w="1098" w:type="pct"/>
            <w:vAlign w:val="center"/>
          </w:tcPr>
          <w:p w14:paraId="27126D03" w14:textId="77777777" w:rsidR="0012027F" w:rsidRPr="00D7733D" w:rsidRDefault="0012027F" w:rsidP="002650BF">
            <w:pPr>
              <w:keepNext/>
              <w:jc w:val="center"/>
              <w:rPr>
                <w:rFonts w:ascii="Arial Narrow" w:hAnsi="Arial Narrow" w:cs="Arial"/>
                <w:b/>
                <w:sz w:val="20"/>
                <w:szCs w:val="20"/>
              </w:rPr>
            </w:pPr>
            <w:r w:rsidRPr="00D7733D">
              <w:rPr>
                <w:rFonts w:ascii="Arial Narrow" w:hAnsi="Arial Narrow" w:cs="Arial"/>
                <w:b/>
                <w:sz w:val="20"/>
                <w:szCs w:val="20"/>
              </w:rPr>
              <w:t>PBS item code</w:t>
            </w:r>
          </w:p>
        </w:tc>
        <w:tc>
          <w:tcPr>
            <w:tcW w:w="1098" w:type="pct"/>
            <w:vAlign w:val="center"/>
          </w:tcPr>
          <w:p w14:paraId="08ECCCAF" w14:textId="77777777" w:rsidR="0012027F" w:rsidRPr="00D7733D" w:rsidRDefault="0012027F" w:rsidP="002650BF">
            <w:pPr>
              <w:keepNext/>
              <w:jc w:val="center"/>
              <w:rPr>
                <w:rFonts w:ascii="Arial Narrow" w:hAnsi="Arial Narrow" w:cs="Arial"/>
                <w:b/>
                <w:sz w:val="20"/>
                <w:szCs w:val="20"/>
              </w:rPr>
            </w:pPr>
            <w:r w:rsidRPr="00D7733D">
              <w:rPr>
                <w:rFonts w:ascii="Arial Narrow" w:hAnsi="Arial Narrow" w:cs="Arial"/>
                <w:b/>
                <w:sz w:val="20"/>
                <w:szCs w:val="20"/>
              </w:rPr>
              <w:t>Max. Amount</w:t>
            </w:r>
          </w:p>
        </w:tc>
        <w:tc>
          <w:tcPr>
            <w:tcW w:w="1082" w:type="pct"/>
            <w:vAlign w:val="center"/>
          </w:tcPr>
          <w:p w14:paraId="7F74F8B6" w14:textId="77777777" w:rsidR="0012027F" w:rsidRPr="00D7733D" w:rsidRDefault="0012027F" w:rsidP="002650BF">
            <w:pPr>
              <w:keepNext/>
              <w:jc w:val="center"/>
              <w:rPr>
                <w:rFonts w:ascii="Arial Narrow" w:hAnsi="Arial Narrow" w:cs="Arial"/>
                <w:b/>
                <w:bCs/>
                <w:sz w:val="20"/>
                <w:szCs w:val="20"/>
              </w:rPr>
            </w:pPr>
            <w:r w:rsidRPr="00D7733D">
              <w:rPr>
                <w:rFonts w:ascii="Arial Narrow" w:hAnsi="Arial Narrow" w:cs="Arial"/>
                <w:b/>
                <w:bCs/>
                <w:sz w:val="20"/>
                <w:szCs w:val="20"/>
              </w:rPr>
              <w:t>№.of Rpts</w:t>
            </w:r>
          </w:p>
        </w:tc>
      </w:tr>
      <w:tr w:rsidR="0012027F" w:rsidRPr="00D7733D" w14:paraId="1C7BB8BD" w14:textId="77777777" w:rsidTr="00AD2CBF">
        <w:trPr>
          <w:cantSplit/>
          <w:trHeight w:val="20"/>
        </w:trPr>
        <w:tc>
          <w:tcPr>
            <w:tcW w:w="1722" w:type="pct"/>
            <w:gridSpan w:val="2"/>
            <w:vAlign w:val="center"/>
          </w:tcPr>
          <w:p w14:paraId="6A2414EA" w14:textId="77777777" w:rsidR="0012027F" w:rsidRPr="00D7733D" w:rsidRDefault="0012027F" w:rsidP="002650BF">
            <w:pPr>
              <w:keepNext/>
              <w:rPr>
                <w:rFonts w:ascii="Arial Narrow" w:hAnsi="Arial Narrow" w:cs="Arial"/>
                <w:sz w:val="20"/>
                <w:szCs w:val="20"/>
              </w:rPr>
            </w:pPr>
            <w:r w:rsidRPr="00D7733D">
              <w:rPr>
                <w:rFonts w:ascii="Arial Narrow" w:hAnsi="Arial Narrow" w:cs="Arial"/>
                <w:sz w:val="20"/>
                <w:szCs w:val="20"/>
              </w:rPr>
              <w:t>DURVALUMAB</w:t>
            </w:r>
          </w:p>
          <w:p w14:paraId="054344A8" w14:textId="77777777" w:rsidR="0012027F" w:rsidRPr="00D7733D" w:rsidRDefault="0012027F" w:rsidP="002650BF">
            <w:pPr>
              <w:keepNext/>
              <w:rPr>
                <w:rFonts w:ascii="Arial Narrow" w:hAnsi="Arial Narrow" w:cs="Arial"/>
                <w:sz w:val="20"/>
                <w:szCs w:val="20"/>
              </w:rPr>
            </w:pPr>
            <w:r w:rsidRPr="00D7733D">
              <w:rPr>
                <w:rFonts w:ascii="Arial Narrow" w:hAnsi="Arial Narrow" w:cs="Arial"/>
                <w:sz w:val="20"/>
                <w:szCs w:val="20"/>
              </w:rPr>
              <w:t>Injection</w:t>
            </w:r>
          </w:p>
        </w:tc>
        <w:tc>
          <w:tcPr>
            <w:tcW w:w="1098" w:type="pct"/>
            <w:vAlign w:val="center"/>
          </w:tcPr>
          <w:p w14:paraId="00AD86E0" w14:textId="77777777" w:rsidR="0012027F" w:rsidRPr="00D7733D" w:rsidRDefault="0012027F" w:rsidP="002650BF">
            <w:pPr>
              <w:keepNext/>
              <w:jc w:val="center"/>
              <w:rPr>
                <w:rFonts w:ascii="Arial Narrow" w:hAnsi="Arial Narrow" w:cs="Arial"/>
                <w:sz w:val="20"/>
                <w:szCs w:val="20"/>
              </w:rPr>
            </w:pPr>
            <w:r w:rsidRPr="00D7733D">
              <w:rPr>
                <w:rFonts w:ascii="Arial Narrow" w:hAnsi="Arial Narrow" w:cs="Arial"/>
                <w:sz w:val="20"/>
                <w:szCs w:val="20"/>
              </w:rPr>
              <w:t>{NEW (Public)}</w:t>
            </w:r>
            <w:r w:rsidRPr="00D7733D">
              <w:rPr>
                <w:rFonts w:ascii="Arial Narrow" w:hAnsi="Arial Narrow" w:cs="Arial"/>
                <w:sz w:val="20"/>
                <w:szCs w:val="20"/>
              </w:rPr>
              <w:br/>
              <w:t>{NEW (Private)}</w:t>
            </w:r>
          </w:p>
        </w:tc>
        <w:tc>
          <w:tcPr>
            <w:tcW w:w="1098" w:type="pct"/>
            <w:vAlign w:val="center"/>
          </w:tcPr>
          <w:p w14:paraId="1C1BE870" w14:textId="77777777" w:rsidR="0012027F" w:rsidRPr="00D7733D" w:rsidRDefault="0012027F" w:rsidP="002650BF">
            <w:pPr>
              <w:keepNext/>
              <w:jc w:val="center"/>
              <w:rPr>
                <w:rFonts w:ascii="Arial Narrow" w:hAnsi="Arial Narrow" w:cs="Arial"/>
                <w:sz w:val="20"/>
                <w:szCs w:val="20"/>
              </w:rPr>
            </w:pPr>
            <w:r w:rsidRPr="00D7733D">
              <w:rPr>
                <w:rFonts w:ascii="Arial Narrow" w:hAnsi="Arial Narrow" w:cs="Arial"/>
                <w:sz w:val="20"/>
                <w:szCs w:val="20"/>
              </w:rPr>
              <w:t>1500mg</w:t>
            </w:r>
          </w:p>
        </w:tc>
        <w:tc>
          <w:tcPr>
            <w:tcW w:w="1082" w:type="pct"/>
            <w:vAlign w:val="center"/>
          </w:tcPr>
          <w:p w14:paraId="75B0D8D7" w14:textId="77777777" w:rsidR="0012027F" w:rsidRPr="00D7733D" w:rsidRDefault="0012027F" w:rsidP="002650BF">
            <w:pPr>
              <w:keepNext/>
              <w:jc w:val="center"/>
              <w:rPr>
                <w:rFonts w:ascii="Arial Narrow" w:hAnsi="Arial Narrow" w:cs="Arial"/>
                <w:sz w:val="20"/>
                <w:szCs w:val="20"/>
              </w:rPr>
            </w:pPr>
            <w:r w:rsidRPr="00D7733D">
              <w:rPr>
                <w:rFonts w:ascii="Arial Narrow" w:hAnsi="Arial Narrow" w:cs="Arial"/>
                <w:sz w:val="20"/>
                <w:szCs w:val="20"/>
              </w:rPr>
              <w:t>5</w:t>
            </w:r>
          </w:p>
        </w:tc>
      </w:tr>
      <w:tr w:rsidR="0012027F" w:rsidRPr="00D7733D" w14:paraId="1000468A" w14:textId="77777777" w:rsidTr="00531585">
        <w:trPr>
          <w:cantSplit/>
          <w:trHeight w:val="20"/>
        </w:trPr>
        <w:tc>
          <w:tcPr>
            <w:tcW w:w="5000" w:type="pct"/>
            <w:gridSpan w:val="5"/>
            <w:vAlign w:val="center"/>
          </w:tcPr>
          <w:p w14:paraId="516AF9DC" w14:textId="77777777" w:rsidR="0012027F" w:rsidRPr="00D7733D" w:rsidRDefault="0012027F" w:rsidP="002650BF">
            <w:pPr>
              <w:keepNext/>
              <w:rPr>
                <w:rFonts w:ascii="Arial Narrow" w:hAnsi="Arial Narrow"/>
                <w:b/>
                <w:sz w:val="20"/>
                <w:szCs w:val="20"/>
              </w:rPr>
            </w:pPr>
            <w:r w:rsidRPr="00D7733D">
              <w:rPr>
                <w:rFonts w:ascii="Arial Narrow" w:hAnsi="Arial Narrow"/>
                <w:b/>
                <w:sz w:val="20"/>
                <w:szCs w:val="20"/>
              </w:rPr>
              <w:t xml:space="preserve">Available brands </w:t>
            </w:r>
          </w:p>
        </w:tc>
      </w:tr>
      <w:tr w:rsidR="0012027F" w:rsidRPr="00D7733D" w14:paraId="4A4B04F3" w14:textId="77777777" w:rsidTr="00531585">
        <w:trPr>
          <w:cantSplit/>
          <w:trHeight w:val="20"/>
        </w:trPr>
        <w:tc>
          <w:tcPr>
            <w:tcW w:w="5000" w:type="pct"/>
            <w:gridSpan w:val="5"/>
            <w:vAlign w:val="center"/>
          </w:tcPr>
          <w:p w14:paraId="759ED8E6" w14:textId="77777777" w:rsidR="0012027F" w:rsidRPr="00D7733D" w:rsidRDefault="0012027F" w:rsidP="002650BF">
            <w:pPr>
              <w:keepNext/>
              <w:rPr>
                <w:rFonts w:ascii="Arial Narrow" w:hAnsi="Arial Narrow" w:cs="Arial"/>
                <w:sz w:val="20"/>
                <w:szCs w:val="20"/>
              </w:rPr>
            </w:pPr>
            <w:r w:rsidRPr="00D7733D">
              <w:rPr>
                <w:rFonts w:ascii="Arial Narrow" w:hAnsi="Arial Narrow" w:cs="Arial"/>
                <w:sz w:val="20"/>
                <w:szCs w:val="20"/>
              </w:rPr>
              <w:t>Imfinzi</w:t>
            </w:r>
          </w:p>
          <w:p w14:paraId="69F3D54E" w14:textId="77777777" w:rsidR="0012027F" w:rsidRPr="00D7733D" w:rsidRDefault="0012027F" w:rsidP="002650BF">
            <w:pPr>
              <w:keepNext/>
              <w:rPr>
                <w:rFonts w:ascii="Arial Narrow" w:hAnsi="Arial Narrow" w:cs="Arial"/>
                <w:sz w:val="20"/>
                <w:szCs w:val="20"/>
              </w:rPr>
            </w:pPr>
            <w:r w:rsidRPr="00D7733D">
              <w:rPr>
                <w:rFonts w:ascii="Arial Narrow" w:hAnsi="Arial Narrow" w:cs="Arial"/>
                <w:sz w:val="20"/>
                <w:szCs w:val="20"/>
              </w:rPr>
              <w:t>500 mg/10 mL injection, 10 mL vial</w:t>
            </w:r>
          </w:p>
        </w:tc>
      </w:tr>
      <w:tr w:rsidR="0012027F" w:rsidRPr="00D7733D" w14:paraId="3201C13B" w14:textId="77777777" w:rsidTr="00531585">
        <w:trPr>
          <w:cantSplit/>
          <w:trHeight w:val="20"/>
        </w:trPr>
        <w:tc>
          <w:tcPr>
            <w:tcW w:w="5000" w:type="pct"/>
            <w:gridSpan w:val="5"/>
            <w:vAlign w:val="center"/>
          </w:tcPr>
          <w:p w14:paraId="2E447D15" w14:textId="77777777" w:rsidR="000D083B" w:rsidRDefault="0012027F" w:rsidP="002650BF">
            <w:pPr>
              <w:keepNext/>
              <w:rPr>
                <w:rFonts w:ascii="Arial Narrow" w:hAnsi="Arial Narrow" w:cs="Arial"/>
                <w:sz w:val="20"/>
                <w:szCs w:val="20"/>
              </w:rPr>
            </w:pPr>
            <w:r w:rsidRPr="00D7733D">
              <w:rPr>
                <w:rFonts w:ascii="Arial Narrow" w:hAnsi="Arial Narrow" w:cs="Arial"/>
                <w:sz w:val="20"/>
                <w:szCs w:val="20"/>
              </w:rPr>
              <w:t>Imfinzi</w:t>
            </w:r>
          </w:p>
          <w:p w14:paraId="0078B699" w14:textId="7CADAFF6" w:rsidR="0012027F" w:rsidRPr="00D7733D" w:rsidRDefault="0012027F" w:rsidP="002650BF">
            <w:pPr>
              <w:keepNext/>
              <w:rPr>
                <w:rFonts w:ascii="Arial Narrow" w:hAnsi="Arial Narrow" w:cs="Arial"/>
                <w:sz w:val="20"/>
                <w:szCs w:val="20"/>
              </w:rPr>
            </w:pPr>
            <w:r w:rsidRPr="00D7733D">
              <w:rPr>
                <w:rFonts w:ascii="Arial Narrow" w:hAnsi="Arial Narrow" w:cs="Arial"/>
                <w:sz w:val="20"/>
                <w:szCs w:val="20"/>
              </w:rPr>
              <w:t>120 mg/2.4 mL injection, 2.4 mL vial</w:t>
            </w:r>
          </w:p>
        </w:tc>
      </w:tr>
      <w:tr w:rsidR="0012027F" w:rsidRPr="00D7733D" w14:paraId="386CACFC" w14:textId="77777777" w:rsidTr="00531585">
        <w:trPr>
          <w:cantSplit/>
          <w:trHeight w:val="20"/>
        </w:trPr>
        <w:tc>
          <w:tcPr>
            <w:tcW w:w="5000" w:type="pct"/>
            <w:gridSpan w:val="5"/>
            <w:vAlign w:val="center"/>
          </w:tcPr>
          <w:p w14:paraId="085ED060" w14:textId="77777777" w:rsidR="0012027F" w:rsidRPr="00D7733D" w:rsidRDefault="0012027F" w:rsidP="002650BF">
            <w:pPr>
              <w:keepNext/>
              <w:rPr>
                <w:rFonts w:ascii="Arial Narrow" w:hAnsi="Arial Narrow" w:cs="Arial"/>
                <w:sz w:val="20"/>
                <w:szCs w:val="20"/>
              </w:rPr>
            </w:pPr>
          </w:p>
        </w:tc>
      </w:tr>
      <w:tr w:rsidR="0012027F" w:rsidRPr="00D7733D" w14:paraId="587136E6" w14:textId="77777777" w:rsidTr="00531585">
        <w:trPr>
          <w:cantSplit/>
          <w:trHeight w:val="20"/>
        </w:trPr>
        <w:tc>
          <w:tcPr>
            <w:tcW w:w="5000" w:type="pct"/>
            <w:gridSpan w:val="5"/>
            <w:vAlign w:val="center"/>
          </w:tcPr>
          <w:p w14:paraId="3C3500EC" w14:textId="77777777" w:rsidR="0012027F" w:rsidRPr="00D7733D" w:rsidRDefault="0012027F" w:rsidP="002650BF">
            <w:pPr>
              <w:keepNext/>
              <w:rPr>
                <w:rFonts w:ascii="Arial Narrow" w:hAnsi="Arial Narrow" w:cs="Arial"/>
                <w:color w:val="FF0000"/>
                <w:sz w:val="20"/>
                <w:szCs w:val="20"/>
              </w:rPr>
            </w:pPr>
            <w:r w:rsidRPr="00D7733D">
              <w:rPr>
                <w:rFonts w:ascii="Arial Narrow" w:hAnsi="Arial Narrow"/>
                <w:b/>
                <w:sz w:val="20"/>
                <w:szCs w:val="20"/>
              </w:rPr>
              <w:t>Restriction Summary [new2]/ Treatment of Concept: [new2A]</w:t>
            </w:r>
          </w:p>
        </w:tc>
      </w:tr>
      <w:tr w:rsidR="00531585" w:rsidRPr="00D7733D" w14:paraId="184857A6"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tcPr>
          <w:p w14:paraId="51F3FD46" w14:textId="77777777" w:rsidR="00531585" w:rsidRPr="00D7733D" w:rsidRDefault="00531585" w:rsidP="002650BF">
            <w:pPr>
              <w:keepNext/>
              <w:rPr>
                <w:rFonts w:ascii="Arial Narrow" w:hAnsi="Arial Narrow" w:cs="Arial"/>
                <w:sz w:val="20"/>
                <w:szCs w:val="20"/>
              </w:rPr>
            </w:pPr>
            <w:r w:rsidRPr="00D7733D">
              <w:rPr>
                <w:rFonts w:ascii="Arial Narrow" w:hAnsi="Arial Narrow" w:cs="Arial"/>
                <w:b/>
                <w:sz w:val="20"/>
                <w:szCs w:val="20"/>
              </w:rPr>
              <w:t xml:space="preserve">Category / Program: </w:t>
            </w:r>
            <w:r w:rsidRPr="00D7733D">
              <w:rPr>
                <w:rFonts w:ascii="Arial Narrow" w:hAnsi="Arial Narrow" w:cs="Arial"/>
                <w:sz w:val="20"/>
                <w:szCs w:val="20"/>
              </w:rPr>
              <w:t xml:space="preserve">Section 100 – Efficient Funding of Chemotherapy Public/Private hospitals </w:t>
            </w:r>
          </w:p>
        </w:tc>
      </w:tr>
      <w:tr w:rsidR="00531585" w:rsidRPr="00D7733D" w14:paraId="7BAD2435"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tcPr>
          <w:p w14:paraId="704E01EF" w14:textId="77777777" w:rsidR="00531585" w:rsidRPr="00D7733D" w:rsidRDefault="00531585" w:rsidP="002650BF">
            <w:pPr>
              <w:keepNext/>
              <w:rPr>
                <w:rFonts w:ascii="Arial Narrow" w:hAnsi="Arial Narrow" w:cs="Arial"/>
                <w:b/>
                <w:sz w:val="20"/>
                <w:szCs w:val="20"/>
              </w:rPr>
            </w:pPr>
            <w:r w:rsidRPr="00D7733D">
              <w:rPr>
                <w:rFonts w:ascii="Arial Narrow" w:hAnsi="Arial Narrow" w:cs="Arial"/>
                <w:b/>
                <w:sz w:val="20"/>
                <w:szCs w:val="20"/>
              </w:rPr>
              <w:t xml:space="preserve">Prescriber type: </w:t>
            </w:r>
            <w:r w:rsidRPr="00D7733D">
              <w:rPr>
                <w:rFonts w:ascii="Arial Narrow" w:hAnsi="Arial Narrow" w:cs="Arial"/>
                <w:sz w:val="20"/>
                <w:szCs w:val="20"/>
              </w:rPr>
              <w:fldChar w:fldCharType="begin">
                <w:ffData>
                  <w:name w:val=""/>
                  <w:enabled/>
                  <w:calcOnExit w:val="0"/>
                  <w:checkBox>
                    <w:sizeAuto/>
                    <w:default w:val="1"/>
                  </w:checkBox>
                </w:ffData>
              </w:fldChar>
            </w:r>
            <w:r w:rsidRPr="00D7733D">
              <w:rPr>
                <w:rFonts w:ascii="Arial Narrow" w:hAnsi="Arial Narrow" w:cs="Arial"/>
                <w:sz w:val="20"/>
                <w:szCs w:val="20"/>
              </w:rPr>
              <w:instrText xml:space="preserve"> FORMCHECKBOX </w:instrText>
            </w:r>
            <w:r w:rsidRPr="00D7733D">
              <w:rPr>
                <w:rFonts w:ascii="Arial Narrow" w:hAnsi="Arial Narrow" w:cs="Arial"/>
                <w:sz w:val="20"/>
                <w:szCs w:val="20"/>
              </w:rPr>
            </w:r>
            <w:r w:rsidRPr="00D7733D">
              <w:rPr>
                <w:rFonts w:ascii="Arial Narrow" w:hAnsi="Arial Narrow" w:cs="Arial"/>
                <w:sz w:val="20"/>
                <w:szCs w:val="20"/>
              </w:rPr>
              <w:fldChar w:fldCharType="separate"/>
            </w:r>
            <w:r w:rsidRPr="00D7733D">
              <w:rPr>
                <w:rFonts w:ascii="Arial Narrow" w:hAnsi="Arial Narrow" w:cs="Arial"/>
                <w:sz w:val="20"/>
                <w:szCs w:val="20"/>
              </w:rPr>
              <w:fldChar w:fldCharType="end"/>
            </w:r>
            <w:r w:rsidRPr="00D7733D">
              <w:rPr>
                <w:rFonts w:ascii="Arial Narrow" w:hAnsi="Arial Narrow" w:cs="Arial"/>
                <w:sz w:val="20"/>
                <w:szCs w:val="20"/>
              </w:rPr>
              <w:t xml:space="preserve">Medical Practitioners </w:t>
            </w:r>
          </w:p>
        </w:tc>
      </w:tr>
      <w:tr w:rsidR="00531585" w:rsidRPr="00D7733D" w14:paraId="203F6F0C"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tcPr>
          <w:p w14:paraId="57F9ABC4" w14:textId="77777777" w:rsidR="00531585" w:rsidRPr="00D7733D" w:rsidRDefault="00531585" w:rsidP="002650BF">
            <w:pPr>
              <w:pStyle w:val="TableText0"/>
              <w:ind w:left="32"/>
            </w:pPr>
            <w:r w:rsidRPr="00D7733D">
              <w:rPr>
                <w:b/>
              </w:rPr>
              <w:t xml:space="preserve">Restriction type: </w:t>
            </w:r>
            <w:r w:rsidRPr="00D7733D">
              <w:rPr>
                <w:rFonts w:eastAsia="Calibri"/>
              </w:rPr>
              <w:fldChar w:fldCharType="begin">
                <w:ffData>
                  <w:name w:val=""/>
                  <w:enabled/>
                  <w:calcOnExit w:val="0"/>
                  <w:checkBox>
                    <w:sizeAuto/>
                    <w:default w:val="1"/>
                  </w:checkBox>
                </w:ffData>
              </w:fldChar>
            </w:r>
            <w:r w:rsidRPr="00D7733D">
              <w:rPr>
                <w:rFonts w:eastAsia="Calibri"/>
              </w:rPr>
              <w:instrText xml:space="preserve"> FORMCHECKBOX </w:instrText>
            </w:r>
            <w:r w:rsidRPr="00D7733D">
              <w:rPr>
                <w:rFonts w:eastAsia="Calibri"/>
              </w:rPr>
            </w:r>
            <w:r w:rsidRPr="00D7733D">
              <w:rPr>
                <w:rFonts w:eastAsia="Calibri"/>
              </w:rPr>
              <w:fldChar w:fldCharType="separate"/>
            </w:r>
            <w:r w:rsidRPr="00D7733D">
              <w:rPr>
                <w:rFonts w:eastAsia="Calibri"/>
              </w:rPr>
              <w:fldChar w:fldCharType="end"/>
            </w:r>
            <w:r w:rsidRPr="00D7733D">
              <w:rPr>
                <w:rFonts w:eastAsia="Calibri"/>
              </w:rPr>
              <w:t>Authority Required (STREAMLINED) [NEW]</w:t>
            </w:r>
            <w:r w:rsidRPr="00D7733D">
              <w:rPr>
                <w:rFonts w:eastAsia="Calibri"/>
                <w:color w:val="FF0000"/>
              </w:rPr>
              <w:t xml:space="preserve"> </w:t>
            </w:r>
          </w:p>
        </w:tc>
      </w:tr>
      <w:tr w:rsidR="00531585" w:rsidRPr="00D7733D" w14:paraId="31C4C79E" w14:textId="77777777" w:rsidTr="00531585">
        <w:tblPrEx>
          <w:tblCellMar>
            <w:top w:w="15" w:type="dxa"/>
            <w:bottom w:w="15" w:type="dxa"/>
          </w:tblCellMar>
          <w:tblLook w:val="04A0" w:firstRow="1" w:lastRow="0" w:firstColumn="1" w:lastColumn="0" w:noHBand="0" w:noVBand="1"/>
        </w:tblPrEx>
        <w:trPr>
          <w:trHeight w:val="20"/>
        </w:trPr>
        <w:tc>
          <w:tcPr>
            <w:tcW w:w="313" w:type="pct"/>
            <w:vMerge w:val="restart"/>
            <w:textDirection w:val="btLr"/>
            <w:vAlign w:val="center"/>
          </w:tcPr>
          <w:p w14:paraId="3C93E7F7" w14:textId="017431CD" w:rsidR="00531585" w:rsidRPr="00D7733D" w:rsidRDefault="00531585" w:rsidP="002650BF">
            <w:pPr>
              <w:keepLines/>
              <w:ind w:right="113"/>
              <w:jc w:val="center"/>
              <w:rPr>
                <w:rFonts w:ascii="Arial Narrow" w:hAnsi="Arial Narrow"/>
                <w:color w:val="333333"/>
                <w:sz w:val="20"/>
                <w:szCs w:val="20"/>
              </w:rPr>
            </w:pPr>
          </w:p>
        </w:tc>
        <w:tc>
          <w:tcPr>
            <w:tcW w:w="4687" w:type="pct"/>
            <w:gridSpan w:val="4"/>
            <w:vAlign w:val="center"/>
          </w:tcPr>
          <w:p w14:paraId="7DC7BA10" w14:textId="77777777" w:rsidR="00531585" w:rsidRPr="00D7733D" w:rsidRDefault="00531585" w:rsidP="002650BF">
            <w:pPr>
              <w:keepLines/>
              <w:contextualSpacing/>
              <w:rPr>
                <w:rFonts w:ascii="Arial Narrow" w:hAnsi="Arial Narrow"/>
                <w:sz w:val="20"/>
                <w:szCs w:val="20"/>
              </w:rPr>
            </w:pPr>
            <w:r w:rsidRPr="00D7733D">
              <w:rPr>
                <w:rFonts w:ascii="Arial Narrow" w:hAnsi="Arial Narrow"/>
                <w:b/>
                <w:bCs/>
                <w:sz w:val="20"/>
                <w:szCs w:val="20"/>
              </w:rPr>
              <w:t>Administrative Advice:</w:t>
            </w:r>
          </w:p>
          <w:p w14:paraId="7239E2F5" w14:textId="77777777" w:rsidR="00531585" w:rsidRPr="00D7733D" w:rsidRDefault="00531585" w:rsidP="002650BF">
            <w:pPr>
              <w:keepLines/>
              <w:contextualSpacing/>
              <w:rPr>
                <w:rFonts w:ascii="Arial Narrow" w:hAnsi="Arial Narrow"/>
                <w:sz w:val="20"/>
                <w:szCs w:val="20"/>
              </w:rPr>
            </w:pPr>
            <w:r w:rsidRPr="00D7733D">
              <w:rPr>
                <w:rFonts w:ascii="Arial Narrow" w:hAnsi="Arial Narrow"/>
                <w:sz w:val="20"/>
                <w:szCs w:val="20"/>
              </w:rPr>
              <w:t>No increase in the maximum amount or number of units may be authorised.</w:t>
            </w:r>
          </w:p>
        </w:tc>
      </w:tr>
      <w:tr w:rsidR="00531585" w:rsidRPr="00D7733D" w14:paraId="74B9F26A" w14:textId="77777777" w:rsidTr="00531585">
        <w:tblPrEx>
          <w:tblCellMar>
            <w:top w:w="15" w:type="dxa"/>
            <w:bottom w:w="15" w:type="dxa"/>
          </w:tblCellMar>
          <w:tblLook w:val="04A0" w:firstRow="1" w:lastRow="0" w:firstColumn="1" w:lastColumn="0" w:noHBand="0" w:noVBand="1"/>
        </w:tblPrEx>
        <w:trPr>
          <w:trHeight w:val="20"/>
        </w:trPr>
        <w:tc>
          <w:tcPr>
            <w:tcW w:w="313" w:type="pct"/>
            <w:vMerge/>
            <w:vAlign w:val="center"/>
          </w:tcPr>
          <w:p w14:paraId="652AC08D" w14:textId="77777777" w:rsidR="00531585" w:rsidRPr="00D7733D" w:rsidRDefault="00531585" w:rsidP="002650BF">
            <w:pPr>
              <w:keepLines/>
              <w:jc w:val="center"/>
              <w:rPr>
                <w:rFonts w:ascii="Arial Narrow" w:hAnsi="Arial Narrow"/>
                <w:color w:val="333333"/>
                <w:sz w:val="20"/>
                <w:szCs w:val="20"/>
              </w:rPr>
            </w:pPr>
          </w:p>
        </w:tc>
        <w:tc>
          <w:tcPr>
            <w:tcW w:w="4687" w:type="pct"/>
            <w:gridSpan w:val="4"/>
            <w:vAlign w:val="center"/>
          </w:tcPr>
          <w:p w14:paraId="45440992" w14:textId="77777777" w:rsidR="00531585" w:rsidRPr="00D7733D" w:rsidRDefault="00531585" w:rsidP="002650BF">
            <w:pPr>
              <w:keepLines/>
              <w:contextualSpacing/>
              <w:rPr>
                <w:rFonts w:ascii="Arial Narrow" w:hAnsi="Arial Narrow"/>
                <w:b/>
                <w:bCs/>
                <w:sz w:val="20"/>
                <w:szCs w:val="20"/>
              </w:rPr>
            </w:pPr>
            <w:r w:rsidRPr="00D7733D">
              <w:rPr>
                <w:rFonts w:ascii="Arial Narrow" w:hAnsi="Arial Narrow"/>
                <w:b/>
                <w:bCs/>
                <w:sz w:val="20"/>
                <w:szCs w:val="20"/>
              </w:rPr>
              <w:t>Administrative Advice:</w:t>
            </w:r>
          </w:p>
          <w:p w14:paraId="5E300EF0" w14:textId="77777777" w:rsidR="00531585" w:rsidRPr="00D7733D" w:rsidRDefault="00531585" w:rsidP="002650BF">
            <w:pPr>
              <w:keepLines/>
              <w:contextualSpacing/>
              <w:rPr>
                <w:rFonts w:ascii="Arial Narrow" w:hAnsi="Arial Narrow"/>
                <w:sz w:val="20"/>
                <w:szCs w:val="20"/>
              </w:rPr>
            </w:pPr>
            <w:r w:rsidRPr="00D7733D">
              <w:rPr>
                <w:rFonts w:ascii="Arial Narrow" w:hAnsi="Arial Narrow"/>
                <w:sz w:val="20"/>
                <w:szCs w:val="20"/>
              </w:rPr>
              <w:t>No increase in the maximum number of repeats may be authorised.</w:t>
            </w:r>
          </w:p>
        </w:tc>
      </w:tr>
      <w:tr w:rsidR="00531585" w:rsidRPr="00D7733D" w14:paraId="443254AB" w14:textId="77777777" w:rsidTr="00531585">
        <w:tblPrEx>
          <w:tblCellMar>
            <w:top w:w="15" w:type="dxa"/>
            <w:bottom w:w="15" w:type="dxa"/>
          </w:tblCellMar>
          <w:tblLook w:val="04A0" w:firstRow="1" w:lastRow="0" w:firstColumn="1" w:lastColumn="0" w:noHBand="0" w:noVBand="1"/>
        </w:tblPrEx>
        <w:trPr>
          <w:trHeight w:val="20"/>
        </w:trPr>
        <w:tc>
          <w:tcPr>
            <w:tcW w:w="313" w:type="pct"/>
            <w:vMerge/>
            <w:vAlign w:val="center"/>
          </w:tcPr>
          <w:p w14:paraId="1C95B58F" w14:textId="77777777" w:rsidR="00531585" w:rsidRPr="00D7733D" w:rsidRDefault="00531585" w:rsidP="002650BF">
            <w:pPr>
              <w:keepLines/>
              <w:jc w:val="center"/>
              <w:rPr>
                <w:rFonts w:ascii="Arial Narrow" w:hAnsi="Arial Narrow"/>
                <w:color w:val="333333"/>
                <w:sz w:val="20"/>
                <w:szCs w:val="20"/>
              </w:rPr>
            </w:pPr>
          </w:p>
        </w:tc>
        <w:tc>
          <w:tcPr>
            <w:tcW w:w="4687" w:type="pct"/>
            <w:gridSpan w:val="4"/>
            <w:vAlign w:val="center"/>
          </w:tcPr>
          <w:p w14:paraId="0E66954D" w14:textId="77777777" w:rsidR="00531585" w:rsidRPr="00D7733D" w:rsidRDefault="00531585" w:rsidP="002650BF">
            <w:pPr>
              <w:keepLines/>
              <w:contextualSpacing/>
              <w:rPr>
                <w:rFonts w:ascii="Arial Narrow" w:hAnsi="Arial Narrow"/>
                <w:b/>
                <w:bCs/>
                <w:sz w:val="20"/>
                <w:szCs w:val="20"/>
              </w:rPr>
            </w:pPr>
            <w:r w:rsidRPr="00D7733D">
              <w:rPr>
                <w:rFonts w:ascii="Arial Narrow" w:hAnsi="Arial Narrow"/>
                <w:b/>
                <w:bCs/>
                <w:sz w:val="20"/>
                <w:szCs w:val="20"/>
              </w:rPr>
              <w:t>Administrative Advice:</w:t>
            </w:r>
          </w:p>
          <w:p w14:paraId="107A7049" w14:textId="77777777" w:rsidR="00531585" w:rsidRPr="00D7733D" w:rsidRDefault="00531585" w:rsidP="002650BF">
            <w:pPr>
              <w:keepLines/>
              <w:contextualSpacing/>
              <w:rPr>
                <w:rFonts w:ascii="Arial Narrow" w:hAnsi="Arial Narrow"/>
                <w:sz w:val="20"/>
                <w:szCs w:val="20"/>
              </w:rPr>
            </w:pPr>
            <w:r w:rsidRPr="00D7733D">
              <w:rPr>
                <w:rFonts w:ascii="Arial Narrow" w:hAnsi="Arial Narrow"/>
                <w:sz w:val="20"/>
                <w:szCs w:val="20"/>
              </w:rPr>
              <w:t>Special Pricing Arrangements apply.</w:t>
            </w:r>
          </w:p>
        </w:tc>
      </w:tr>
      <w:tr w:rsidR="00531585" w:rsidRPr="00D7733D" w14:paraId="49A3E968"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10167C1C" w14:textId="77777777" w:rsidR="00531585" w:rsidRPr="00D7733D" w:rsidRDefault="00531585" w:rsidP="002650BF">
            <w:pPr>
              <w:keepLines/>
              <w:rPr>
                <w:rFonts w:ascii="Arial Narrow" w:hAnsi="Arial Narrow"/>
                <w:b/>
                <w:bCs/>
                <w:sz w:val="20"/>
                <w:szCs w:val="20"/>
              </w:rPr>
            </w:pPr>
            <w:r w:rsidRPr="00D7733D">
              <w:rPr>
                <w:rFonts w:ascii="Arial Narrow" w:hAnsi="Arial Narrow"/>
                <w:b/>
                <w:bCs/>
                <w:sz w:val="20"/>
                <w:szCs w:val="20"/>
              </w:rPr>
              <w:t xml:space="preserve">Severity: </w:t>
            </w:r>
            <w:r w:rsidRPr="00D7733D">
              <w:rPr>
                <w:rFonts w:ascii="Arial Narrow" w:hAnsi="Arial Narrow"/>
                <w:bCs/>
                <w:sz w:val="20"/>
                <w:szCs w:val="20"/>
              </w:rPr>
              <w:t>Advanced (unresectable) Barcelona Clinic Liver Cancer Stage B or Stage C hepatocellular carcinoma</w:t>
            </w:r>
          </w:p>
        </w:tc>
      </w:tr>
      <w:tr w:rsidR="00531585" w:rsidRPr="00D7733D" w14:paraId="64322D89"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578D563C" w14:textId="77777777" w:rsidR="00531585" w:rsidRPr="00D7733D" w:rsidRDefault="00531585" w:rsidP="002650BF">
            <w:pPr>
              <w:keepLines/>
              <w:rPr>
                <w:rFonts w:ascii="Arial Narrow" w:hAnsi="Arial Narrow"/>
                <w:b/>
                <w:bCs/>
                <w:sz w:val="20"/>
                <w:szCs w:val="20"/>
              </w:rPr>
            </w:pPr>
            <w:r w:rsidRPr="00D7733D">
              <w:rPr>
                <w:rFonts w:ascii="Arial Narrow" w:hAnsi="Arial Narrow"/>
                <w:b/>
                <w:bCs/>
                <w:sz w:val="20"/>
                <w:szCs w:val="20"/>
              </w:rPr>
              <w:t xml:space="preserve">Condition: </w:t>
            </w:r>
            <w:r w:rsidRPr="00D7733D">
              <w:rPr>
                <w:rFonts w:ascii="Arial Narrow" w:hAnsi="Arial Narrow"/>
                <w:bCs/>
                <w:sz w:val="20"/>
                <w:szCs w:val="20"/>
              </w:rPr>
              <w:t>Hepatocellular carcinoma</w:t>
            </w:r>
          </w:p>
        </w:tc>
      </w:tr>
      <w:tr w:rsidR="00531585" w:rsidRPr="00D7733D" w14:paraId="017FF078"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387BD3FA" w14:textId="77777777" w:rsidR="00531585" w:rsidRPr="00D7733D" w:rsidRDefault="00531585" w:rsidP="002650BF">
            <w:pPr>
              <w:keepLines/>
              <w:rPr>
                <w:rFonts w:ascii="Arial Narrow" w:hAnsi="Arial Narrow"/>
                <w:sz w:val="20"/>
                <w:szCs w:val="20"/>
              </w:rPr>
            </w:pPr>
            <w:r w:rsidRPr="00D7733D">
              <w:rPr>
                <w:rFonts w:ascii="Arial Narrow" w:hAnsi="Arial Narrow"/>
                <w:b/>
                <w:bCs/>
                <w:sz w:val="20"/>
                <w:szCs w:val="20"/>
              </w:rPr>
              <w:t>Indication:</w:t>
            </w:r>
            <w:r w:rsidRPr="00D7733D">
              <w:rPr>
                <w:rFonts w:ascii="Arial Narrow" w:hAnsi="Arial Narrow"/>
                <w:sz w:val="20"/>
                <w:szCs w:val="20"/>
              </w:rPr>
              <w:t xml:space="preserve"> Advanced (unresectable) Barcelona Clinic Liver Cancer Stage B or Stage C hepatocellular carcinoma</w:t>
            </w:r>
          </w:p>
        </w:tc>
      </w:tr>
      <w:tr w:rsidR="00531585" w:rsidRPr="00D7733D" w14:paraId="26D611F0"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36D51010" w14:textId="77777777" w:rsidR="00531585" w:rsidRPr="00D7733D" w:rsidRDefault="00531585" w:rsidP="002650BF">
            <w:pPr>
              <w:rPr>
                <w:rFonts w:ascii="Arial Narrow" w:hAnsi="Arial Narrow"/>
                <w:sz w:val="20"/>
                <w:szCs w:val="20"/>
              </w:rPr>
            </w:pPr>
            <w:r w:rsidRPr="00D7733D">
              <w:rPr>
                <w:rFonts w:ascii="Arial Narrow" w:hAnsi="Arial Narrow"/>
                <w:b/>
                <w:bCs/>
                <w:sz w:val="20"/>
                <w:szCs w:val="20"/>
              </w:rPr>
              <w:t>Treatment Phase:</w:t>
            </w:r>
            <w:r w:rsidRPr="00D7733D">
              <w:rPr>
                <w:rFonts w:ascii="Arial Narrow" w:hAnsi="Arial Narrow"/>
                <w:sz w:val="20"/>
                <w:szCs w:val="20"/>
              </w:rPr>
              <w:t xml:space="preserve"> Initial treatment</w:t>
            </w:r>
          </w:p>
        </w:tc>
      </w:tr>
      <w:tr w:rsidR="00531585" w:rsidRPr="00D7733D" w14:paraId="7CAF5B2C"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71704FB9" w14:textId="77777777" w:rsidR="00531585" w:rsidRPr="00D7733D" w:rsidRDefault="00531585" w:rsidP="002650BF">
            <w:pPr>
              <w:rPr>
                <w:rFonts w:ascii="Arial Narrow" w:hAnsi="Arial Narrow"/>
                <w:sz w:val="20"/>
                <w:szCs w:val="20"/>
              </w:rPr>
            </w:pPr>
            <w:r w:rsidRPr="00D7733D">
              <w:rPr>
                <w:rFonts w:ascii="Arial Narrow" w:hAnsi="Arial Narrow"/>
                <w:b/>
                <w:bCs/>
                <w:color w:val="333333"/>
                <w:sz w:val="20"/>
                <w:szCs w:val="20"/>
              </w:rPr>
              <w:t xml:space="preserve">Clinical criteria: </w:t>
            </w:r>
          </w:p>
        </w:tc>
      </w:tr>
      <w:tr w:rsidR="00531585" w:rsidRPr="00D7733D" w14:paraId="10909CDB"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1AB0ED69" w14:textId="77777777" w:rsidR="00531585" w:rsidRPr="00D7733D" w:rsidRDefault="00531585" w:rsidP="002650BF">
            <w:pPr>
              <w:rPr>
                <w:rFonts w:ascii="Arial Narrow" w:hAnsi="Arial Narrow"/>
                <w:b/>
                <w:bCs/>
                <w:color w:val="333333"/>
                <w:sz w:val="20"/>
                <w:szCs w:val="20"/>
              </w:rPr>
            </w:pPr>
            <w:r w:rsidRPr="00D7733D">
              <w:rPr>
                <w:rFonts w:ascii="Arial Narrow" w:hAnsi="Arial Narrow"/>
                <w:color w:val="333333"/>
                <w:sz w:val="20"/>
                <w:szCs w:val="20"/>
              </w:rPr>
              <w:t>Patient must be undergoing combination treatment with tremelimumab for the first dose of treatment.</w:t>
            </w:r>
          </w:p>
        </w:tc>
      </w:tr>
      <w:tr w:rsidR="00531585" w:rsidRPr="00D7733D" w14:paraId="1D45B574"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411E331" w14:textId="77777777" w:rsidR="00531585" w:rsidRPr="00D7733D" w:rsidRDefault="00531585" w:rsidP="002650BF">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376F397A"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E6BC4F1" w14:textId="77777777" w:rsidR="00531585" w:rsidRPr="00D7733D" w:rsidRDefault="00531585" w:rsidP="002650BF">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12FC8491"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3E7B15B5" w14:textId="77777777" w:rsidR="00531585" w:rsidRPr="00D7733D" w:rsidRDefault="00531585" w:rsidP="002650BF">
            <w:pPr>
              <w:rPr>
                <w:rFonts w:ascii="Arial Narrow" w:hAnsi="Arial Narrow"/>
                <w:b/>
                <w:bCs/>
                <w:color w:val="333333"/>
                <w:sz w:val="20"/>
                <w:szCs w:val="20"/>
              </w:rPr>
            </w:pPr>
            <w:r w:rsidRPr="00D7733D">
              <w:rPr>
                <w:rFonts w:ascii="Arial Narrow" w:hAnsi="Arial Narrow"/>
                <w:color w:val="333333"/>
                <w:sz w:val="20"/>
                <w:szCs w:val="20"/>
              </w:rPr>
              <w:t>Patient must have a WHO performance status of 0 or 1</w:t>
            </w:r>
            <w:r w:rsidRPr="00D7733D">
              <w:rPr>
                <w:rFonts w:ascii="Arial Narrow" w:hAnsi="Arial Narrow"/>
                <w:b/>
                <w:bCs/>
                <w:color w:val="333333"/>
                <w:sz w:val="20"/>
                <w:szCs w:val="20"/>
              </w:rPr>
              <w:t>,</w:t>
            </w:r>
          </w:p>
        </w:tc>
      </w:tr>
      <w:tr w:rsidR="00531585" w:rsidRPr="00D7733D" w14:paraId="4F86E508"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6D68A5C" w14:textId="77777777" w:rsidR="00531585" w:rsidRPr="00D7733D" w:rsidRDefault="00531585" w:rsidP="002650BF">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5E8943E1"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6E4471E" w14:textId="77777777" w:rsidR="00531585" w:rsidRPr="00D7733D" w:rsidRDefault="00531585" w:rsidP="002650BF">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2A6FFD48" w14:textId="77777777" w:rsidTr="00531585">
        <w:tblPrEx>
          <w:tblCellMar>
            <w:top w:w="15" w:type="dxa"/>
            <w:bottom w:w="15" w:type="dxa"/>
          </w:tblCellMar>
          <w:tblLook w:val="04A0" w:firstRow="1" w:lastRow="0" w:firstColumn="1" w:lastColumn="0" w:noHBand="0" w:noVBand="1"/>
        </w:tblPrEx>
        <w:trPr>
          <w:cantSplit/>
          <w:trHeight w:val="103"/>
        </w:trPr>
        <w:tc>
          <w:tcPr>
            <w:tcW w:w="5000" w:type="pct"/>
            <w:gridSpan w:val="5"/>
            <w:vAlign w:val="center"/>
          </w:tcPr>
          <w:p w14:paraId="75E6985C" w14:textId="77777777" w:rsidR="00531585" w:rsidRPr="00D7733D" w:rsidRDefault="00531585" w:rsidP="002650BF">
            <w:pPr>
              <w:pStyle w:val="TableText0"/>
              <w:ind w:left="32"/>
            </w:pPr>
            <w:r w:rsidRPr="00D7733D">
              <w:t xml:space="preserve">Patient must not be suitable for </w:t>
            </w:r>
            <w:proofErr w:type="spellStart"/>
            <w:r w:rsidRPr="00D7733D">
              <w:t>transarterial</w:t>
            </w:r>
            <w:proofErr w:type="spellEnd"/>
            <w:r w:rsidRPr="00D7733D">
              <w:t xml:space="preserve"> </w:t>
            </w:r>
            <w:proofErr w:type="spellStart"/>
            <w:r w:rsidRPr="00D7733D">
              <w:t>chemoembolisation</w:t>
            </w:r>
            <w:proofErr w:type="spellEnd"/>
          </w:p>
        </w:tc>
      </w:tr>
      <w:tr w:rsidR="00531585" w:rsidRPr="00D7733D" w14:paraId="317E81DB"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3367D5B6" w14:textId="77777777" w:rsidR="00531585" w:rsidRPr="00D7733D" w:rsidRDefault="00531585" w:rsidP="002650BF">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0FE7EAD2"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274A4ED" w14:textId="77777777" w:rsidR="00531585" w:rsidRPr="00D7733D" w:rsidRDefault="00531585" w:rsidP="002650BF">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4A36B206"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567E66B3" w14:textId="77777777" w:rsidR="00531585" w:rsidRPr="00D7733D" w:rsidRDefault="00531585" w:rsidP="002650BF">
            <w:pPr>
              <w:rPr>
                <w:rFonts w:ascii="Arial Narrow" w:hAnsi="Arial Narrow"/>
                <w:color w:val="333333"/>
                <w:sz w:val="20"/>
                <w:szCs w:val="20"/>
              </w:rPr>
            </w:pPr>
            <w:r w:rsidRPr="00D7733D">
              <w:rPr>
                <w:rFonts w:ascii="Arial Narrow" w:hAnsi="Arial Narrow"/>
                <w:color w:val="333333"/>
                <w:sz w:val="20"/>
                <w:szCs w:val="20"/>
              </w:rPr>
              <w:t>Patient must have Child Pugh class A</w:t>
            </w:r>
          </w:p>
        </w:tc>
      </w:tr>
      <w:tr w:rsidR="00531585" w:rsidRPr="00D7733D" w14:paraId="73095A02"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FF05C14" w14:textId="77777777" w:rsidR="00531585" w:rsidRPr="00D7733D" w:rsidRDefault="00531585" w:rsidP="002650BF">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0154C95B"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508E562" w14:textId="77777777" w:rsidR="00531585" w:rsidRPr="00D7733D" w:rsidRDefault="00531585" w:rsidP="002650BF">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15F28BA9"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770BACD6" w14:textId="77777777" w:rsidR="00531585" w:rsidRPr="00D7733D" w:rsidRDefault="00531585" w:rsidP="002650BF">
            <w:pPr>
              <w:rPr>
                <w:rFonts w:ascii="Arial Narrow" w:hAnsi="Arial Narrow"/>
                <w:color w:val="333333"/>
                <w:sz w:val="20"/>
                <w:szCs w:val="20"/>
              </w:rPr>
            </w:pPr>
            <w:r w:rsidRPr="00D7733D">
              <w:rPr>
                <w:rFonts w:ascii="Arial Narrow" w:hAnsi="Arial Narrow"/>
                <w:color w:val="333333"/>
                <w:sz w:val="20"/>
                <w:szCs w:val="20"/>
              </w:rPr>
              <w:t xml:space="preserve">The condition must be untreated with systemic therapy; </w:t>
            </w:r>
            <w:r w:rsidRPr="00D7733D">
              <w:rPr>
                <w:rFonts w:ascii="Arial Narrow" w:hAnsi="Arial Narrow"/>
                <w:b/>
                <w:bCs/>
                <w:color w:val="333333"/>
                <w:sz w:val="20"/>
                <w:szCs w:val="20"/>
              </w:rPr>
              <w:t>OR</w:t>
            </w:r>
          </w:p>
        </w:tc>
      </w:tr>
      <w:tr w:rsidR="00531585" w:rsidRPr="00D7733D" w14:paraId="1A1721FB"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22405C06" w14:textId="77777777" w:rsidR="00531585" w:rsidRPr="00D7733D" w:rsidRDefault="00531585" w:rsidP="002650BF">
            <w:pPr>
              <w:rPr>
                <w:rFonts w:ascii="Arial Narrow" w:hAnsi="Arial Narrow"/>
                <w:color w:val="333333"/>
                <w:sz w:val="20"/>
                <w:szCs w:val="20"/>
              </w:rPr>
            </w:pPr>
            <w:r w:rsidRPr="00D7733D">
              <w:rPr>
                <w:rFonts w:ascii="Arial Narrow" w:hAnsi="Arial Narrow"/>
                <w:color w:val="333333"/>
                <w:sz w:val="20"/>
                <w:szCs w:val="20"/>
              </w:rPr>
              <w:t>Patient must have developed intolerance to atezolizumab or a vascular endothelial growth factor (VEGF) inhibitor of a severity necessitating permanent treatment withdrawal.</w:t>
            </w:r>
          </w:p>
        </w:tc>
      </w:tr>
      <w:tr w:rsidR="00531585" w:rsidRPr="00D7733D" w14:paraId="3D320487"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25656074" w14:textId="77777777" w:rsidR="00531585" w:rsidRPr="00D7733D" w:rsidRDefault="00531585" w:rsidP="002650BF">
            <w:pPr>
              <w:rPr>
                <w:rFonts w:ascii="Arial Narrow" w:hAnsi="Arial Narrow"/>
                <w:color w:val="333333"/>
                <w:sz w:val="20"/>
                <w:szCs w:val="20"/>
              </w:rPr>
            </w:pPr>
          </w:p>
        </w:tc>
      </w:tr>
      <w:tr w:rsidR="0012027F" w:rsidRPr="00D7733D" w14:paraId="54025C2B"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2E48656" w14:textId="77777777" w:rsidR="0012027F" w:rsidRPr="00D7733D" w:rsidRDefault="0012027F" w:rsidP="002650BF">
            <w:pPr>
              <w:rPr>
                <w:rFonts w:ascii="Arial Narrow" w:hAnsi="Arial Narrow"/>
                <w:color w:val="333333"/>
                <w:sz w:val="20"/>
                <w:szCs w:val="20"/>
              </w:rPr>
            </w:pPr>
            <w:r w:rsidRPr="00D7733D">
              <w:rPr>
                <w:rFonts w:ascii="Arial Narrow" w:hAnsi="Arial Narrow"/>
                <w:b/>
                <w:sz w:val="20"/>
                <w:szCs w:val="20"/>
              </w:rPr>
              <w:t>Restriction Summary [new3]/ Treatment of Concept: [new3A]</w:t>
            </w:r>
          </w:p>
        </w:tc>
      </w:tr>
      <w:tr w:rsidR="00531585" w:rsidRPr="00D7733D" w14:paraId="0BDE62D0"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29B7D11F" w14:textId="77777777" w:rsidR="00531585" w:rsidRPr="00D7733D" w:rsidRDefault="00531585" w:rsidP="002650BF">
            <w:pPr>
              <w:rPr>
                <w:rFonts w:ascii="Arial Narrow" w:hAnsi="Arial Narrow"/>
                <w:color w:val="333333"/>
                <w:sz w:val="20"/>
                <w:szCs w:val="20"/>
              </w:rPr>
            </w:pPr>
            <w:r w:rsidRPr="00D7733D">
              <w:rPr>
                <w:rFonts w:ascii="Arial Narrow" w:hAnsi="Arial Narrow"/>
                <w:b/>
                <w:bCs/>
                <w:sz w:val="20"/>
                <w:szCs w:val="20"/>
              </w:rPr>
              <w:t xml:space="preserve">Severity: </w:t>
            </w:r>
            <w:r w:rsidRPr="00D7733D">
              <w:rPr>
                <w:rFonts w:ascii="Arial Narrow" w:hAnsi="Arial Narrow"/>
                <w:bCs/>
                <w:sz w:val="20"/>
                <w:szCs w:val="20"/>
              </w:rPr>
              <w:t>Advanced (unresectable) Barcelona Clinic Liver Cancer Stage B or Stage C hepatocellular carcinoma</w:t>
            </w:r>
          </w:p>
        </w:tc>
      </w:tr>
      <w:tr w:rsidR="00531585" w:rsidRPr="00D7733D" w14:paraId="0E70CF0B"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1C9154D9" w14:textId="77777777" w:rsidR="00531585" w:rsidRPr="00D7733D" w:rsidRDefault="00531585" w:rsidP="002650BF">
            <w:pPr>
              <w:rPr>
                <w:rFonts w:ascii="Arial Narrow" w:hAnsi="Arial Narrow"/>
                <w:color w:val="333333"/>
                <w:sz w:val="20"/>
                <w:szCs w:val="20"/>
              </w:rPr>
            </w:pPr>
            <w:r w:rsidRPr="00D7733D">
              <w:rPr>
                <w:rFonts w:ascii="Arial Narrow" w:hAnsi="Arial Narrow"/>
                <w:b/>
                <w:bCs/>
                <w:sz w:val="20"/>
                <w:szCs w:val="20"/>
              </w:rPr>
              <w:t xml:space="preserve">Condition: </w:t>
            </w:r>
            <w:r w:rsidRPr="00D7733D">
              <w:rPr>
                <w:rFonts w:ascii="Arial Narrow" w:hAnsi="Arial Narrow"/>
                <w:bCs/>
                <w:sz w:val="20"/>
                <w:szCs w:val="20"/>
              </w:rPr>
              <w:t>Hepatocellular carcinoma</w:t>
            </w:r>
          </w:p>
        </w:tc>
      </w:tr>
      <w:tr w:rsidR="00531585" w:rsidRPr="00D7733D" w14:paraId="5321F3D5"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22132292" w14:textId="77777777" w:rsidR="00531585" w:rsidRPr="00D7733D" w:rsidRDefault="00531585" w:rsidP="002650BF">
            <w:pPr>
              <w:rPr>
                <w:rFonts w:ascii="Arial Narrow" w:hAnsi="Arial Narrow"/>
                <w:color w:val="333333"/>
                <w:sz w:val="20"/>
                <w:szCs w:val="20"/>
              </w:rPr>
            </w:pPr>
            <w:r w:rsidRPr="00D7733D">
              <w:rPr>
                <w:rFonts w:ascii="Arial Narrow" w:hAnsi="Arial Narrow"/>
                <w:b/>
                <w:bCs/>
                <w:sz w:val="20"/>
                <w:szCs w:val="20"/>
              </w:rPr>
              <w:t>Indication:</w:t>
            </w:r>
            <w:r w:rsidRPr="00D7733D">
              <w:rPr>
                <w:rFonts w:ascii="Arial Narrow" w:hAnsi="Arial Narrow"/>
                <w:sz w:val="20"/>
                <w:szCs w:val="20"/>
              </w:rPr>
              <w:t xml:space="preserve"> Advanced (unresectable) Barcelona Clinic Liver Cancer Stage B or Stage C hepatocellular carcinoma</w:t>
            </w:r>
          </w:p>
        </w:tc>
      </w:tr>
      <w:tr w:rsidR="00531585" w:rsidRPr="00D7733D" w14:paraId="29244294"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693A4C0" w14:textId="77777777" w:rsidR="00531585" w:rsidRPr="00D7733D" w:rsidRDefault="00531585" w:rsidP="002650BF">
            <w:pPr>
              <w:rPr>
                <w:rFonts w:ascii="Arial Narrow" w:hAnsi="Arial Narrow"/>
                <w:color w:val="333333"/>
                <w:sz w:val="20"/>
                <w:szCs w:val="20"/>
              </w:rPr>
            </w:pPr>
            <w:r w:rsidRPr="00D7733D">
              <w:rPr>
                <w:rFonts w:ascii="Arial Narrow" w:hAnsi="Arial Narrow"/>
                <w:b/>
                <w:bCs/>
                <w:sz w:val="20"/>
                <w:szCs w:val="20"/>
              </w:rPr>
              <w:t>Treatment Phase:</w:t>
            </w:r>
            <w:r w:rsidRPr="00D7733D">
              <w:rPr>
                <w:rFonts w:ascii="Arial Narrow" w:hAnsi="Arial Narrow"/>
                <w:sz w:val="20"/>
                <w:szCs w:val="20"/>
              </w:rPr>
              <w:t xml:space="preserve"> Continuing treatment</w:t>
            </w:r>
          </w:p>
        </w:tc>
      </w:tr>
      <w:tr w:rsidR="00531585" w:rsidRPr="00D7733D" w14:paraId="1943DE2E"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75034390" w14:textId="77777777" w:rsidR="00531585" w:rsidRPr="00D7733D" w:rsidRDefault="00531585" w:rsidP="002650BF">
            <w:pPr>
              <w:rPr>
                <w:rFonts w:ascii="Arial Narrow" w:hAnsi="Arial Narrow"/>
                <w:color w:val="333333"/>
                <w:sz w:val="20"/>
                <w:szCs w:val="20"/>
              </w:rPr>
            </w:pPr>
            <w:r w:rsidRPr="00D7733D">
              <w:rPr>
                <w:rFonts w:ascii="Arial Narrow" w:hAnsi="Arial Narrow"/>
                <w:b/>
                <w:bCs/>
                <w:color w:val="333333"/>
                <w:sz w:val="20"/>
                <w:szCs w:val="20"/>
              </w:rPr>
              <w:t xml:space="preserve">Clinical criteria: </w:t>
            </w:r>
          </w:p>
        </w:tc>
      </w:tr>
      <w:tr w:rsidR="00531585" w:rsidRPr="00D7733D" w14:paraId="55829AFA"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F922AD8" w14:textId="77777777" w:rsidR="00531585" w:rsidRPr="00D7733D" w:rsidRDefault="00531585" w:rsidP="002650BF">
            <w:pPr>
              <w:rPr>
                <w:rFonts w:ascii="Arial Narrow" w:hAnsi="Arial Narrow"/>
                <w:color w:val="333333"/>
                <w:sz w:val="20"/>
                <w:szCs w:val="20"/>
              </w:rPr>
            </w:pPr>
            <w:r w:rsidRPr="00D7733D">
              <w:rPr>
                <w:rFonts w:ascii="Arial Narrow" w:hAnsi="Arial Narrow"/>
                <w:color w:val="333333"/>
                <w:sz w:val="20"/>
                <w:szCs w:val="20"/>
              </w:rPr>
              <w:t>Patient must have previously received PBS-subsidised treatment with this drug for this condition</w:t>
            </w:r>
          </w:p>
        </w:tc>
      </w:tr>
      <w:tr w:rsidR="00531585" w:rsidRPr="00D7733D" w14:paraId="00A35972"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9732019" w14:textId="77777777" w:rsidR="00531585" w:rsidRPr="00D7733D" w:rsidRDefault="00531585" w:rsidP="002650BF">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6FB9BBB6"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5E75FEB8" w14:textId="77777777" w:rsidR="00531585" w:rsidRPr="00D7733D" w:rsidRDefault="00531585" w:rsidP="002650BF">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28EBFC82" w14:textId="77777777" w:rsidTr="0053158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B41732A" w14:textId="77777777" w:rsidR="00531585" w:rsidRPr="00D7733D" w:rsidRDefault="00531585" w:rsidP="002650BF">
            <w:pPr>
              <w:rPr>
                <w:rFonts w:ascii="Arial Narrow" w:hAnsi="Arial Narrow"/>
                <w:color w:val="333333"/>
                <w:sz w:val="20"/>
                <w:szCs w:val="20"/>
              </w:rPr>
            </w:pPr>
            <w:r w:rsidRPr="00D7733D">
              <w:rPr>
                <w:rFonts w:ascii="Arial Narrow" w:hAnsi="Arial Narrow"/>
                <w:color w:val="333333"/>
                <w:sz w:val="20"/>
                <w:szCs w:val="20"/>
              </w:rPr>
              <w:t>Patient must not have developed disease progression while being treated with this drug for this condition.</w:t>
            </w:r>
          </w:p>
        </w:tc>
      </w:tr>
    </w:tbl>
    <w:p w14:paraId="7543F827" w14:textId="5F48BEFD" w:rsidR="003E76BE" w:rsidRPr="005C7291" w:rsidRDefault="003E76BE" w:rsidP="001A69E6">
      <w:pPr>
        <w:pStyle w:val="3-BodyText"/>
      </w:pPr>
      <w:r w:rsidRPr="00381526">
        <w:t>Durvalumab is currently PBS listed for treatment of both small and non-small cell lung cancer</w:t>
      </w:r>
      <w:r>
        <w:t xml:space="preserve">, </w:t>
      </w:r>
      <w:r w:rsidRPr="00381526">
        <w:t xml:space="preserve">locally advanced, and metastatic or recurrent biliary tract cancer. </w:t>
      </w:r>
      <w:r w:rsidRPr="005C7291">
        <w:t>The submission proposed a Special Pricing Arrangement (SPA) with the proposed effective AEMPs</w:t>
      </w:r>
      <w:r w:rsidR="00385CA3">
        <w:t xml:space="preserve">: </w:t>
      </w:r>
      <w:r w:rsidRPr="005C7291">
        <w:t>$</w:t>
      </w:r>
      <w:r w:rsidR="00DF294A" w:rsidRPr="00AC295B">
        <w:rPr>
          <w:color w:val="000000"/>
          <w:w w:val="15"/>
          <w:shd w:val="solid" w:color="000000" w:fill="000000"/>
          <w:fitText w:val="-20" w:id="-664012032"/>
          <w14:textFill>
            <w14:solidFill>
              <w14:srgbClr w14:val="000000">
                <w14:alpha w14:val="100000"/>
              </w14:srgbClr>
            </w14:solidFill>
          </w14:textFill>
        </w:rPr>
        <w:t xml:space="preserve">|  </w:t>
      </w:r>
      <w:r w:rsidR="00DF294A" w:rsidRPr="00AC295B">
        <w:rPr>
          <w:color w:val="000000"/>
          <w:spacing w:val="-69"/>
          <w:w w:val="15"/>
          <w:shd w:val="solid" w:color="000000" w:fill="000000"/>
          <w:fitText w:val="-20" w:id="-664012032"/>
          <w14:textFill>
            <w14:solidFill>
              <w14:srgbClr w14:val="000000">
                <w14:alpha w14:val="100000"/>
              </w14:srgbClr>
            </w14:solidFill>
          </w14:textFill>
        </w:rPr>
        <w:t>|</w:t>
      </w:r>
      <w:r w:rsidRPr="005C7291">
        <w:t xml:space="preserve"> per </w:t>
      </w:r>
      <w:r w:rsidR="00884AE7" w:rsidRPr="005C7291">
        <w:t xml:space="preserve">15 mL vial </w:t>
      </w:r>
      <w:r w:rsidRPr="005C7291">
        <w:t>for tremelimumab and $</w:t>
      </w:r>
      <w:r w:rsidR="00DF294A" w:rsidRPr="00AC295B">
        <w:rPr>
          <w:color w:val="000000"/>
          <w:w w:val="15"/>
          <w:shd w:val="solid" w:color="000000" w:fill="000000"/>
          <w:fitText w:val="-20" w:id="-664012031"/>
          <w14:textFill>
            <w14:solidFill>
              <w14:srgbClr w14:val="000000">
                <w14:alpha w14:val="100000"/>
              </w14:srgbClr>
            </w14:solidFill>
          </w14:textFill>
        </w:rPr>
        <w:t xml:space="preserve">|  </w:t>
      </w:r>
      <w:r w:rsidR="00DF294A" w:rsidRPr="00AC295B">
        <w:rPr>
          <w:color w:val="000000"/>
          <w:spacing w:val="-69"/>
          <w:w w:val="15"/>
          <w:shd w:val="solid" w:color="000000" w:fill="000000"/>
          <w:fitText w:val="-20" w:id="-664012031"/>
          <w14:textFill>
            <w14:solidFill>
              <w14:srgbClr w14:val="000000">
                <w14:alpha w14:val="100000"/>
              </w14:srgbClr>
            </w14:solidFill>
          </w14:textFill>
        </w:rPr>
        <w:t>|</w:t>
      </w:r>
      <w:r w:rsidRPr="005C7291">
        <w:t xml:space="preserve"> per 500</w:t>
      </w:r>
      <w:r w:rsidR="00AD2CBF">
        <w:t> </w:t>
      </w:r>
      <w:r w:rsidRPr="005C7291">
        <w:t>mg/10</w:t>
      </w:r>
      <w:r w:rsidR="00AD2CBF">
        <w:t> </w:t>
      </w:r>
      <w:r w:rsidRPr="005C7291">
        <w:t xml:space="preserve">mL vial for durvalumab. The submission also proposed </w:t>
      </w:r>
      <w:r w:rsidR="00BA0DAC">
        <w:t>the</w:t>
      </w:r>
      <w:r w:rsidR="00BA0DAC" w:rsidRPr="005C7291">
        <w:t xml:space="preserve"> </w:t>
      </w:r>
      <w:r w:rsidR="00AD2CBF" w:rsidRPr="005C7291">
        <w:t>120</w:t>
      </w:r>
      <w:r w:rsidR="00AD2CBF">
        <w:t> </w:t>
      </w:r>
      <w:r w:rsidRPr="005C7291">
        <w:t>mg/2.4</w:t>
      </w:r>
      <w:r w:rsidR="00520FEA">
        <w:t> </w:t>
      </w:r>
      <w:r w:rsidRPr="005C7291">
        <w:t>mL vial for durvalumab</w:t>
      </w:r>
      <w:r w:rsidR="00B52756">
        <w:t xml:space="preserve"> at an equivalent price per mg</w:t>
      </w:r>
      <w:r w:rsidRPr="005C7291">
        <w:t>.</w:t>
      </w:r>
    </w:p>
    <w:p w14:paraId="4B93D7F1" w14:textId="3BFFF5B3" w:rsidR="003E76BE" w:rsidRPr="00245F10" w:rsidRDefault="003E76BE" w:rsidP="001A69E6">
      <w:pPr>
        <w:pStyle w:val="3-BodyText"/>
      </w:pPr>
      <w:r w:rsidRPr="005C7291">
        <w:t>The proposed restriction included a provision for commencing STRIDE treatment in patients who have developed intolerance to atezolizumab or a vascular endothelial growth factor (VEGF) inhibitor. Th</w:t>
      </w:r>
      <w:r w:rsidR="00646280">
        <w:t xml:space="preserve">e </w:t>
      </w:r>
      <w:r w:rsidR="00646280" w:rsidRPr="00245F10">
        <w:t>evaluation and ESC noted</w:t>
      </w:r>
      <w:r w:rsidR="00AC2984" w:rsidRPr="00245F10">
        <w:t xml:space="preserve"> the</w:t>
      </w:r>
      <w:r w:rsidR="00AC2984">
        <w:t xml:space="preserve"> proposed restriction</w:t>
      </w:r>
      <w:r w:rsidRPr="005C7291">
        <w:t xml:space="preserve"> was not consistent with the TGA product information (PI) for STRIDE, which states that tremelimumab in combination with durvalumab may be used </w:t>
      </w:r>
      <w:r w:rsidR="00BB7A96" w:rsidRPr="005C7291">
        <w:t xml:space="preserve">only </w:t>
      </w:r>
      <w:r w:rsidRPr="005C7291">
        <w:t>in adult patients with unresectable HCC who have not received prior treatment with a PD-1/PD-L1 inhibitor (and would therefore preclude prior treatment with atezolizumab).</w:t>
      </w:r>
      <w:r w:rsidR="00646280" w:rsidRPr="00646280">
        <w:rPr>
          <w:rFonts w:cstheme="minorHAnsi"/>
          <w:bCs/>
          <w:i/>
          <w:iCs/>
        </w:rPr>
        <w:t xml:space="preserve"> </w:t>
      </w:r>
      <w:r w:rsidR="00646280" w:rsidRPr="00245F10">
        <w:rPr>
          <w:rFonts w:cstheme="minorHAnsi"/>
          <w:bCs/>
        </w:rPr>
        <w:t xml:space="preserve">The </w:t>
      </w:r>
      <w:r w:rsidR="00941983" w:rsidRPr="00941983">
        <w:rPr>
          <w:rFonts w:cstheme="minorHAnsi"/>
          <w:bCs/>
        </w:rPr>
        <w:t>Pre-Sub-Committee Response (PSCR</w:t>
      </w:r>
      <w:r w:rsidR="00941983" w:rsidRPr="00254F48">
        <w:rPr>
          <w:rFonts w:cstheme="minorHAnsi"/>
          <w:bCs/>
        </w:rPr>
        <w:t>)</w:t>
      </w:r>
      <w:r w:rsidR="00646280" w:rsidRPr="00245F10">
        <w:rPr>
          <w:rFonts w:cstheme="minorHAnsi"/>
          <w:bCs/>
        </w:rPr>
        <w:t xml:space="preserve"> also stated a willingness from the Sponsor for the restriction to be based on PBAC’s consideration of similar listings </w:t>
      </w:r>
      <w:proofErr w:type="gramStart"/>
      <w:r w:rsidR="00646280" w:rsidRPr="00245F10">
        <w:rPr>
          <w:rFonts w:cstheme="minorHAnsi"/>
          <w:bCs/>
        </w:rPr>
        <w:t>where</w:t>
      </w:r>
      <w:proofErr w:type="gramEnd"/>
      <w:r w:rsidR="00646280" w:rsidRPr="00245F10">
        <w:rPr>
          <w:rFonts w:cstheme="minorHAnsi"/>
          <w:bCs/>
        </w:rPr>
        <w:t xml:space="preserve"> switching due to intolerability is appropriate.</w:t>
      </w:r>
    </w:p>
    <w:p w14:paraId="544412FF" w14:textId="204759E3" w:rsidR="000D083B" w:rsidRDefault="003E76BE" w:rsidP="001A69E6">
      <w:pPr>
        <w:pStyle w:val="3-BodyText"/>
      </w:pPr>
      <w:r w:rsidRPr="005C7291">
        <w:t xml:space="preserve">The criterion proposed for continuing treatment with STRIDE, ‘Patient must not have developed disease progression while being treated with this drug for this condition’ was not consistent with treatment </w:t>
      </w:r>
      <w:r w:rsidR="00AC2984" w:rsidRPr="00245F10">
        <w:t>provided</w:t>
      </w:r>
      <w:r w:rsidRPr="005C7291">
        <w:t xml:space="preserve"> in the pivotal trial, HIMALAYA. In HIMALAYA, patients who progressed on STRIDE were allowed to continue treatment. The potential applicability of this difference in the proposed listing and the trial evidence </w:t>
      </w:r>
      <w:proofErr w:type="gramStart"/>
      <w:r w:rsidRPr="005C7291">
        <w:t>with regard to</w:t>
      </w:r>
      <w:proofErr w:type="gramEnd"/>
      <w:r w:rsidRPr="005C7291">
        <w:t xml:space="preserve"> treatment beyond progression </w:t>
      </w:r>
      <w:r w:rsidRPr="00DC2920">
        <w:t xml:space="preserve">is discussed in paragraph </w:t>
      </w:r>
      <w:r w:rsidR="00F104B4" w:rsidRPr="00DC2920">
        <w:fldChar w:fldCharType="begin"/>
      </w:r>
      <w:r w:rsidR="00F104B4" w:rsidRPr="00DC2920">
        <w:instrText xml:space="preserve"> REF _Ref191289102 \r \h </w:instrText>
      </w:r>
      <w:r w:rsidR="005C7291" w:rsidRPr="00DC2920">
        <w:instrText xml:space="preserve"> \* MERGEFORMAT </w:instrText>
      </w:r>
      <w:r w:rsidR="00F104B4" w:rsidRPr="00DC2920">
        <w:fldChar w:fldCharType="separate"/>
      </w:r>
      <w:r w:rsidR="00AC295B">
        <w:t>6.13</w:t>
      </w:r>
      <w:r w:rsidR="00F104B4" w:rsidRPr="00DC2920">
        <w:fldChar w:fldCharType="end"/>
      </w:r>
      <w:r w:rsidR="00F104B4" w:rsidRPr="00DC2920">
        <w:t>.</w:t>
      </w:r>
    </w:p>
    <w:p w14:paraId="29AB71FB" w14:textId="5B2C1040" w:rsidR="003E76BE" w:rsidRDefault="003E76BE" w:rsidP="001A69E6">
      <w:pPr>
        <w:pStyle w:val="3-BodyText"/>
      </w:pPr>
      <w:r w:rsidRPr="005C7291">
        <w:rPr>
          <w:bCs/>
        </w:rPr>
        <w:t>In HIMALAYA patients were allowed to be rechallenged with a single dose of tremelimumab 300</w:t>
      </w:r>
      <w:r w:rsidR="00325354">
        <w:rPr>
          <w:bCs/>
        </w:rPr>
        <w:t> </w:t>
      </w:r>
      <w:r w:rsidRPr="005C7291">
        <w:rPr>
          <w:bCs/>
        </w:rPr>
        <w:t>mg and durvalumab 1,</w:t>
      </w:r>
      <w:r w:rsidR="0048717D" w:rsidRPr="005C7291">
        <w:rPr>
          <w:bCs/>
        </w:rPr>
        <w:t>500</w:t>
      </w:r>
      <w:r w:rsidR="0048717D">
        <w:rPr>
          <w:bCs/>
        </w:rPr>
        <w:t> </w:t>
      </w:r>
      <w:r w:rsidRPr="005C7291">
        <w:rPr>
          <w:bCs/>
        </w:rPr>
        <w:t>mg for one cycle, followed by durvalumab monotherapy 1,500</w:t>
      </w:r>
      <w:r w:rsidR="0048717D">
        <w:rPr>
          <w:bCs/>
        </w:rPr>
        <w:t> </w:t>
      </w:r>
      <w:r w:rsidRPr="005C7291">
        <w:rPr>
          <w:bCs/>
        </w:rPr>
        <w:t xml:space="preserve">mg </w:t>
      </w:r>
      <w:r w:rsidRPr="005C7291">
        <w:rPr>
          <w:lang w:eastAsia="zh-CN"/>
        </w:rPr>
        <w:t>if they were deemed to be continuing to derive clinical benefit</w:t>
      </w:r>
      <w:r w:rsidRPr="005C7291">
        <w:rPr>
          <w:bCs/>
        </w:rPr>
        <w:t xml:space="preserve">, but with evidence of progressed disease. This was inconsistent with the proposed PBS listing which provided for only a single dose of tremelimumab. </w:t>
      </w:r>
      <w:r w:rsidRPr="005C7291">
        <w:t xml:space="preserve">This is </w:t>
      </w:r>
      <w:r w:rsidRPr="00DC2920">
        <w:t>discussed further in paragraph</w:t>
      </w:r>
      <w:r w:rsidR="00F104B4" w:rsidRPr="00DC2920">
        <w:t xml:space="preserve"> </w:t>
      </w:r>
      <w:r w:rsidR="00F104B4" w:rsidRPr="00DC2920">
        <w:fldChar w:fldCharType="begin"/>
      </w:r>
      <w:r w:rsidR="00F104B4" w:rsidRPr="00DC2920">
        <w:instrText xml:space="preserve"> REF _Ref191289102 \r \h </w:instrText>
      </w:r>
      <w:r w:rsidR="005C7291" w:rsidRPr="00DC2920">
        <w:instrText xml:space="preserve"> \* MERGEFORMAT </w:instrText>
      </w:r>
      <w:r w:rsidR="00F104B4" w:rsidRPr="00DC2920">
        <w:fldChar w:fldCharType="separate"/>
      </w:r>
      <w:r w:rsidR="00AC295B">
        <w:t>6.13</w:t>
      </w:r>
      <w:r w:rsidR="00F104B4" w:rsidRPr="00DC2920">
        <w:fldChar w:fldCharType="end"/>
      </w:r>
      <w:r w:rsidR="00F104B4" w:rsidRPr="00DC2920">
        <w:t>.</w:t>
      </w:r>
    </w:p>
    <w:p w14:paraId="67C80997" w14:textId="5EE2DDA0" w:rsidR="00661CDD" w:rsidRPr="00661CDD" w:rsidRDefault="00661CDD" w:rsidP="00661CDD">
      <w:pPr>
        <w:pStyle w:val="3-BodyText"/>
        <w:numPr>
          <w:ilvl w:val="0"/>
          <w:numId w:val="0"/>
        </w:numPr>
        <w:ind w:left="709"/>
        <w:rPr>
          <w:i/>
          <w:iCs/>
        </w:rPr>
      </w:pPr>
      <w:r w:rsidRPr="00661CDD">
        <w:rPr>
          <w:i/>
          <w:iCs/>
        </w:rPr>
        <w:t>For more detail on PBAC’s view, see section 7 PBAC outcome.</w:t>
      </w:r>
    </w:p>
    <w:p w14:paraId="31406D3F" w14:textId="77777777" w:rsidR="003E76BE" w:rsidRPr="00381526" w:rsidDel="00195452" w:rsidRDefault="003E76BE" w:rsidP="00612E40">
      <w:pPr>
        <w:pStyle w:val="2-SectionHeading"/>
      </w:pPr>
      <w:bookmarkStart w:id="10" w:name="_Toc193103683"/>
      <w:r w:rsidRPr="00381526" w:rsidDel="00195452">
        <w:lastRenderedPageBreak/>
        <w:t>Population and disease</w:t>
      </w:r>
      <w:bookmarkEnd w:id="10"/>
    </w:p>
    <w:p w14:paraId="182CD9B3" w14:textId="77777777" w:rsidR="000D083B" w:rsidRDefault="003E76BE" w:rsidP="001A69E6">
      <w:pPr>
        <w:pStyle w:val="3-BodyText"/>
      </w:pPr>
      <w:r w:rsidRPr="00381526">
        <w:t>HCC is the most common form of primary liver cancer, accounting for approximately 90% of all liver cancer cases</w:t>
      </w:r>
      <w:r w:rsidR="002F29F6">
        <w:t xml:space="preserve"> globally</w:t>
      </w:r>
      <w:r w:rsidRPr="00381526">
        <w:t>. In 2023, it was estimated 3,048 new cases of liver cancer were diagnosed</w:t>
      </w:r>
      <w:r w:rsidR="00E97ADE">
        <w:t>,</w:t>
      </w:r>
      <w:r w:rsidRPr="00381526">
        <w:t xml:space="preserve"> making liver cancer the twelfth most commonly diagnosed cancer and the sixth most common cause of cancer-related death in Australia</w:t>
      </w:r>
      <w:r w:rsidRPr="00E7365D">
        <w:rPr>
          <w:rStyle w:val="FootnoteReference"/>
        </w:rPr>
        <w:footnoteReference w:id="2"/>
      </w:r>
      <w:r w:rsidR="00CA13DF">
        <w:t>.</w:t>
      </w:r>
      <w:r w:rsidRPr="00381526">
        <w:t xml:space="preserve"> Approximately 15-20% of patients present with advanced/unresectable HCC (</w:t>
      </w:r>
      <w:proofErr w:type="spellStart"/>
      <w:r w:rsidRPr="00381526">
        <w:t>aHCC</w:t>
      </w:r>
      <w:proofErr w:type="spellEnd"/>
      <w:r w:rsidRPr="00381526">
        <w:t xml:space="preserve">), which limits the use of treatments with curative potential; for these patients, systemic therapy is considered the most appropriate treatment. The overall prognosis for patients with </w:t>
      </w:r>
      <w:proofErr w:type="spellStart"/>
      <w:r w:rsidRPr="00381526">
        <w:t>aHCC</w:t>
      </w:r>
      <w:proofErr w:type="spellEnd"/>
      <w:r w:rsidRPr="00381526">
        <w:t xml:space="preserve"> remains poor. </w:t>
      </w:r>
      <w:r w:rsidR="000F0E72">
        <w:t>Globally, the</w:t>
      </w:r>
      <w:r w:rsidR="000F0E72" w:rsidRPr="00381526">
        <w:t xml:space="preserve"> </w:t>
      </w:r>
      <w:r w:rsidRPr="00381526">
        <w:t xml:space="preserve">median </w:t>
      </w:r>
      <w:r>
        <w:t>overall survival (</w:t>
      </w:r>
      <w:r w:rsidRPr="00381526">
        <w:t>OS</w:t>
      </w:r>
      <w:r>
        <w:t>)</w:t>
      </w:r>
      <w:r w:rsidRPr="00381526">
        <w:t xml:space="preserve"> for patients with intermediate- </w:t>
      </w:r>
      <w:r>
        <w:t xml:space="preserve">(BCLC Stage B) </w:t>
      </w:r>
      <w:r w:rsidRPr="00381526">
        <w:t xml:space="preserve">and </w:t>
      </w:r>
      <w:r w:rsidR="0055154A">
        <w:t xml:space="preserve">for </w:t>
      </w:r>
      <w:r w:rsidRPr="00381526">
        <w:t xml:space="preserve">late-stage HCC </w:t>
      </w:r>
      <w:r>
        <w:t xml:space="preserve">(BCLC Stage Cor D) </w:t>
      </w:r>
      <w:r w:rsidRPr="00381526">
        <w:t>is 26 to 30 months and 8 to 19 months, respectively</w:t>
      </w:r>
      <w:r w:rsidRPr="00E7365D">
        <w:rPr>
          <w:rStyle w:val="FootnoteReference"/>
        </w:rPr>
        <w:footnoteReference w:id="3"/>
      </w:r>
      <w:r w:rsidR="00AB2BA3">
        <w:t>.</w:t>
      </w:r>
    </w:p>
    <w:p w14:paraId="51435D1F" w14:textId="5FFA160D" w:rsidR="003E76BE" w:rsidRPr="00381526" w:rsidRDefault="003E76BE" w:rsidP="001A69E6">
      <w:pPr>
        <w:pStyle w:val="3-BodyText"/>
        <w:rPr>
          <w:color w:val="0066FF"/>
        </w:rPr>
      </w:pPr>
      <w:r w:rsidRPr="00381526">
        <w:t xml:space="preserve">The target population was defined as patients with advanced (unresectable) BCLC Stage B or Stage C HCC who are not eligible for locoregional therapy and had not received prior systemic therapy. </w:t>
      </w:r>
      <w:r w:rsidRPr="005C7291">
        <w:t xml:space="preserve">The PBAC have previously considered this patient population (atezolizumab </w:t>
      </w:r>
      <w:r w:rsidR="00DC2DF4">
        <w:t>Public Summary Document (</w:t>
      </w:r>
      <w:r w:rsidRPr="005C7291">
        <w:t>PSD</w:t>
      </w:r>
      <w:r w:rsidR="00DC2DF4">
        <w:t>)</w:t>
      </w:r>
      <w:r w:rsidRPr="005C7291">
        <w:t>, July 2020 PBAC meeting).</w:t>
      </w:r>
    </w:p>
    <w:p w14:paraId="20583E83" w14:textId="6A4A311E" w:rsidR="003E76BE" w:rsidRPr="00381526" w:rsidRDefault="003E76BE" w:rsidP="001A69E6">
      <w:pPr>
        <w:pStyle w:val="3-BodyText"/>
        <w:rPr>
          <w:color w:val="0066FF"/>
        </w:rPr>
      </w:pPr>
      <w:r w:rsidRPr="00381526">
        <w:rPr>
          <w:lang w:eastAsia="zh-CN"/>
        </w:rPr>
        <w:t>Durvalumab is a checkpoint inhibitor; a high-affinity, human, recombinant IgG1κ monoclonal antibody which acts as a potent inhibitor of PD-L1 receptors</w:t>
      </w:r>
      <w:r w:rsidR="006C0A3D">
        <w:rPr>
          <w:lang w:eastAsia="zh-CN"/>
        </w:rPr>
        <w:fldChar w:fldCharType="begin">
          <w:fldData xml:space="preserve">PEVuZE5vdGU+PENpdGU+PEF1dGhvcj5Hb2xmaWVyaTwvQXV0aG9yPjxZZWFyPjIwMTQ8L1llYXI+
PFJlY051bT4xMzczOTwvUmVjTnVtPjxEaXNwbGF5VGV4dD48c3R5bGUgZmFjZT0ic3VwZXJzY3Jp
cHQiPjE8L3N0eWxlPjwvRGlzcGxheVRleHQ+PHJlY29yZD48cmVjLW51bWJlcj4xMzczOTwvcmVj
LW51bWJlcj48Zm9yZWlnbi1rZXlzPjxrZXkgYXBwPSJFTiIgZGItaWQ9IndlYWVkZXJ6NHZmd3pq
ZWY5YWF4czU5dTI5dGVheGF3YWZ0cCIgdGltZXN0YW1wPSIxNzQwMzQ3NTk1IiBndWlkPSJmZGEy
ZTY0ZC0wOTIzLTQwMzItOTQ3OS1jMjI3OTI3YzJkYzAiPjEzNzM5PC9rZXk+PC9mb3JlaWduLWtl
eXM+PHJlZi10eXBlIG5hbWU9IkpvdXJuYWwgQXJ0aWNsZSI+MTc8L3JlZi10eXBlPjxjb250cmli
dXRvcnM+PGF1dGhvcnM+PGF1dGhvcj5Hb2xmaWVyaSwgUi48L2F1dGhvcj48YXV0aG9yPkdpYW1w
YWxtYSwgRS48L2F1dGhvcj48YXV0aG9yPlJlbnp1bGxpLCBNLjwvYXV0aG9yPjxhdXRob3I+Q2lv
bmksIFIuPC9hdXRob3I+PGF1dGhvcj5CYXJnZWxsaW5pLCBJLjwvYXV0aG9yPjxhdXRob3I+QmFy
dG9sb3p6aSwgQy48L2F1dGhvcj48YXV0aG9yPkJyZWF0dGEsIEEuIEQuPC9hdXRob3I+PGF1dGhv
cj5HYW5kaW5pLCBHLjwvYXV0aG9yPjxhdXRob3I+TmFuaSwgUi48L2F1dGhvcj48YXV0aG9yPkdh
c3BhcmluaSwgRC48L2F1dGhvcj48YXV0aG9yPkN1Y2NoZXR0aSwgQS48L2F1dGhvcj48YXV0aG9y
PkJvbG9uZGksIEwuPC9hdXRob3I+PGF1dGhvcj5UcmV2aXNhbmksIEYuPC9hdXRob3I+PC9hdXRo
b3JzPjwvY29udHJpYnV0b3JzPjxhdXRoLWFkZHJlc3M+UmFkaW9sb2d5IFVuaXQsIERlcGFydG1l
bnQgb2YgRGlnZXN0aXZlIERpc2Vhc2UgYW5kIEludGVybmFsIE1lZGljaW5lLCBTLiBPcnNvbGEt
TWFscGlnaGkgSG9zcGl0YWwsIEJvbG9nbmEgVW5pdmVyc2l0eSwgQWxiZXJ0b25pIFN0cmVldCAx
NSwgNDAxMzggQm9sb2duYSwgSXRhbHkuJiN4RDtEaWFnbm9zdGljIGFuZCBJbnRlcnZlbnRpb25h
bCBSYWRpb2xvZ3ksIERlcGFydG1lbnQgb2YgT25jb2xvZ3ksIFRyYW5zcGxhbnRzIGFuZCBBZHZh
bmNlZCBUZWNobm9sb2dpZXMgaW4gTWVkaWNpbmUsIFVuaXZlcnNpdHkgb2YgUGlzYSwgUGlzYSwg
SXRhbHkuJiN4RDtEaWFnbm9zdGljIEltYWdpbmcgRGl2aXNpb24sIERlcGFydG1lbnQgb2YgTWVk
aWNhbCBhbmQgU3VyZ2ljYWwgRGlzY2lwbGluZXMgVW5pdmVyc2l0eSBvZiBUdXJpbiwgQU9VIFMu
IEdpb3Zhbm5pIEJhdHRpc3RhLCBUdXJpbiwgSXRhbHkuJiN4RDtDZUxpdmVSLCBPc3BlZGFsaSBS
aXVuaXRpIGRpIEJlcmdhbW8sIEJlcmdhbW8sIEl0YWx5LiYjeEQ7RGVwYXJ0bWVudCBvZiBSYWRp
b2xvZ2ljIFNjaWVuY2VzLCBVbml2ZXJzaXR5IEhvc3BpdGFsLCBTLiBNYXJpYSBkZWxsYSBNaXNl
cmljb3JkaWEsIFVkaW5lLCBJdGFseS4mI3hEO0RlcGFydG1lbnQgb2YgTWVkaWNhbCBhbmQgU3Vy
Z2ljYWwgU2NpZW5jZXMsIEFsbWEgTWF0ZXIgU3R1ZGlvcnVtIC0gVW5pdmVyc2l0eSBvZiBCb2xv
Z25hLCBCb2xvZ25hLCBJdGFseS48L2F1dGgtYWRkcmVzcz48dGl0bGVzPjx0aXRsZT5SYW5kb21p
c2VkIGNvbnRyb2xsZWQgdHJpYWwgb2YgZG94b3J1YmljaW4tZWx1dGluZyBiZWFkcyB2cyBjb252
ZW50aW9uYWwgY2hlbW9lbWJvbGlzYXRpb24gZm9yIGhlcGF0b2NlbGx1bGFyIGNhcmNpbm9tYTwv
dGl0bGU+PHNlY29uZGFyeS10aXRsZT5CciBKIENhbmNlcjwvc2Vjb25kYXJ5LXRpdGxlPjwvdGl0
bGVzPjxwZXJpb2RpY2FsPjxmdWxsLXRpdGxlPkJyIEogQ2FuY2VyPC9mdWxsLXRpdGxlPjwvcGVy
aW9kaWNhbD48cGFnZXM+MjU1LTY0PC9wYWdlcz48dm9sdW1lPjExMTwvdm9sdW1lPjxudW1iZXI+
MjwvbnVtYmVyPjxlZGl0aW9uPjIwMTQwNjE3PC9lZGl0aW9uPjxrZXl3b3Jkcz48a2V5d29yZD5B
Z2VkPC9rZXl3b3JkPjxrZXl3b3JkPkFudGliaW90aWNzLCBBbnRpbmVvcGxhc3RpYy8qYWRtaW5p
c3RyYXRpb24gJmFtcDsgZG9zYWdlPC9rZXl3b3JkPjxrZXl3b3JkPkNhcmNpbm9tYSwgSGVwYXRv
Y2VsbHVsYXIvKnRoZXJhcHk8L2tleXdvcmQ+PGtleXdvcmQ+Q2hlbW9lbWJvbGl6YXRpb24sIFRo
ZXJhcGV1dGljLyptZXRob2RzPC9rZXl3b3JkPjxrZXl3b3JkPkRveG9ydWJpY2luLyphZG1pbmlz
dHJhdGlvbiAmYW1wOyBkb3NhZ2U8L2tleXdvcmQ+PGtleXdvcmQ+RmVtYWxlPC9rZXl3b3JkPjxr
ZXl3b3JkPkh1bWFuczwva2V5d29yZD48a2V5d29yZD5MaXZlciBOZW9wbGFzbXMvKnRoZXJhcHk8
L2tleXdvcmQ+PGtleXdvcmQ+TWFsZTwva2V5d29yZD48a2V5d29yZD5Qcm9zcGVjdGl2ZSBTdHVk
aWVzPC9rZXl3b3JkPjxrZXl3b3JkPlN1cnZpdmFsIFJhdGU8L2tleXdvcmQ+PC9rZXl3b3Jkcz48
ZGF0ZXM+PHllYXI+MjAxNDwveWVhcj48cHViLWRhdGVzPjxkYXRlPkp1bCAxNTwvZGF0ZT48L3B1
Yi1kYXRlcz48L2RhdGVzPjxpc2JuPjAwMDctMDkyMCAoUHJpbnQpJiN4RDswMDA3LTA5MjA8L2lz
Ym4+PGFjY2Vzc2lvbi1udW0+MjQ5Mzc2Njk8L2FjY2Vzc2lvbi1udW0+PHVybHM+PC91cmxzPjxj
dXN0b20yPlBNQzQxMDI5MzQ8L2N1c3RvbTI+PGVsZWN0cm9uaWMtcmVzb3VyY2UtbnVtPjEwLjEw
MzgvYmpjLjIwMTQuMTk5PC9lbGVjdHJvbmljLXJlc291cmNlLW51bT48cmVtb3RlLWRhdGFiYXNl
LXByb3ZpZGVyPk5MTTwvcmVtb3RlLWRhdGFiYXNlLXByb3ZpZGVyPjxsYW5ndWFnZT5lbmc8L2xh
bmd1YWdlPjwvcmVjb3JkPjwvQ2l0ZT48L0VuZE5vdGU+AG==
</w:fldData>
        </w:fldChar>
      </w:r>
      <w:r w:rsidR="00057DA1">
        <w:rPr>
          <w:lang w:eastAsia="zh-CN"/>
        </w:rPr>
        <w:instrText xml:space="preserve"> ADDIN EN.CITE </w:instrText>
      </w:r>
      <w:r w:rsidR="00057DA1">
        <w:rPr>
          <w:lang w:eastAsia="zh-CN"/>
        </w:rPr>
        <w:fldChar w:fldCharType="begin">
          <w:fldData xml:space="preserve">PEVuZE5vdGU+PENpdGU+PEF1dGhvcj5Hb2xmaWVyaTwvQXV0aG9yPjxZZWFyPjIwMTQ8L1llYXI+
PFJlY051bT4xMzczOTwvUmVjTnVtPjxEaXNwbGF5VGV4dD48c3R5bGUgZmFjZT0ic3VwZXJzY3Jp
cHQiPjE8L3N0eWxlPjwvRGlzcGxheVRleHQ+PHJlY29yZD48cmVjLW51bWJlcj4xMzczOTwvcmVj
LW51bWJlcj48Zm9yZWlnbi1rZXlzPjxrZXkgYXBwPSJFTiIgZGItaWQ9IndlYWVkZXJ6NHZmd3pq
ZWY5YWF4czU5dTI5dGVheGF3YWZ0cCIgdGltZXN0YW1wPSIxNzQwMzQ3NTk1IiBndWlkPSJmZGEy
ZTY0ZC0wOTIzLTQwMzItOTQ3OS1jMjI3OTI3YzJkYzAiPjEzNzM5PC9rZXk+PC9mb3JlaWduLWtl
eXM+PHJlZi10eXBlIG5hbWU9IkpvdXJuYWwgQXJ0aWNsZSI+MTc8L3JlZi10eXBlPjxjb250cmli
dXRvcnM+PGF1dGhvcnM+PGF1dGhvcj5Hb2xmaWVyaSwgUi48L2F1dGhvcj48YXV0aG9yPkdpYW1w
YWxtYSwgRS48L2F1dGhvcj48YXV0aG9yPlJlbnp1bGxpLCBNLjwvYXV0aG9yPjxhdXRob3I+Q2lv
bmksIFIuPC9hdXRob3I+PGF1dGhvcj5CYXJnZWxsaW5pLCBJLjwvYXV0aG9yPjxhdXRob3I+QmFy
dG9sb3p6aSwgQy48L2F1dGhvcj48YXV0aG9yPkJyZWF0dGEsIEEuIEQuPC9hdXRob3I+PGF1dGhv
cj5HYW5kaW5pLCBHLjwvYXV0aG9yPjxhdXRob3I+TmFuaSwgUi48L2F1dGhvcj48YXV0aG9yPkdh
c3BhcmluaSwgRC48L2F1dGhvcj48YXV0aG9yPkN1Y2NoZXR0aSwgQS48L2F1dGhvcj48YXV0aG9y
PkJvbG9uZGksIEwuPC9hdXRob3I+PGF1dGhvcj5UcmV2aXNhbmksIEYuPC9hdXRob3I+PC9hdXRo
b3JzPjwvY29udHJpYnV0b3JzPjxhdXRoLWFkZHJlc3M+UmFkaW9sb2d5IFVuaXQsIERlcGFydG1l
bnQgb2YgRGlnZXN0aXZlIERpc2Vhc2UgYW5kIEludGVybmFsIE1lZGljaW5lLCBTLiBPcnNvbGEt
TWFscGlnaGkgSG9zcGl0YWwsIEJvbG9nbmEgVW5pdmVyc2l0eSwgQWxiZXJ0b25pIFN0cmVldCAx
NSwgNDAxMzggQm9sb2duYSwgSXRhbHkuJiN4RDtEaWFnbm9zdGljIGFuZCBJbnRlcnZlbnRpb25h
bCBSYWRpb2xvZ3ksIERlcGFydG1lbnQgb2YgT25jb2xvZ3ksIFRyYW5zcGxhbnRzIGFuZCBBZHZh
bmNlZCBUZWNobm9sb2dpZXMgaW4gTWVkaWNpbmUsIFVuaXZlcnNpdHkgb2YgUGlzYSwgUGlzYSwg
SXRhbHkuJiN4RDtEaWFnbm9zdGljIEltYWdpbmcgRGl2aXNpb24sIERlcGFydG1lbnQgb2YgTWVk
aWNhbCBhbmQgU3VyZ2ljYWwgRGlzY2lwbGluZXMgVW5pdmVyc2l0eSBvZiBUdXJpbiwgQU9VIFMu
IEdpb3Zhbm5pIEJhdHRpc3RhLCBUdXJpbiwgSXRhbHkuJiN4RDtDZUxpdmVSLCBPc3BlZGFsaSBS
aXVuaXRpIGRpIEJlcmdhbW8sIEJlcmdhbW8sIEl0YWx5LiYjeEQ7RGVwYXJ0bWVudCBvZiBSYWRp
b2xvZ2ljIFNjaWVuY2VzLCBVbml2ZXJzaXR5IEhvc3BpdGFsLCBTLiBNYXJpYSBkZWxsYSBNaXNl
cmljb3JkaWEsIFVkaW5lLCBJdGFseS4mI3hEO0RlcGFydG1lbnQgb2YgTWVkaWNhbCBhbmQgU3Vy
Z2ljYWwgU2NpZW5jZXMsIEFsbWEgTWF0ZXIgU3R1ZGlvcnVtIC0gVW5pdmVyc2l0eSBvZiBCb2xv
Z25hLCBCb2xvZ25hLCBJdGFseS48L2F1dGgtYWRkcmVzcz48dGl0bGVzPjx0aXRsZT5SYW5kb21p
c2VkIGNvbnRyb2xsZWQgdHJpYWwgb2YgZG94b3J1YmljaW4tZWx1dGluZyBiZWFkcyB2cyBjb252
ZW50aW9uYWwgY2hlbW9lbWJvbGlzYXRpb24gZm9yIGhlcGF0b2NlbGx1bGFyIGNhcmNpbm9tYTwv
dGl0bGU+PHNlY29uZGFyeS10aXRsZT5CciBKIENhbmNlcjwvc2Vjb25kYXJ5LXRpdGxlPjwvdGl0
bGVzPjxwZXJpb2RpY2FsPjxmdWxsLXRpdGxlPkJyIEogQ2FuY2VyPC9mdWxsLXRpdGxlPjwvcGVy
aW9kaWNhbD48cGFnZXM+MjU1LTY0PC9wYWdlcz48dm9sdW1lPjExMTwvdm9sdW1lPjxudW1iZXI+
MjwvbnVtYmVyPjxlZGl0aW9uPjIwMTQwNjE3PC9lZGl0aW9uPjxrZXl3b3Jkcz48a2V5d29yZD5B
Z2VkPC9rZXl3b3JkPjxrZXl3b3JkPkFudGliaW90aWNzLCBBbnRpbmVvcGxhc3RpYy8qYWRtaW5p
c3RyYXRpb24gJmFtcDsgZG9zYWdlPC9rZXl3b3JkPjxrZXl3b3JkPkNhcmNpbm9tYSwgSGVwYXRv
Y2VsbHVsYXIvKnRoZXJhcHk8L2tleXdvcmQ+PGtleXdvcmQ+Q2hlbW9lbWJvbGl6YXRpb24sIFRo
ZXJhcGV1dGljLyptZXRob2RzPC9rZXl3b3JkPjxrZXl3b3JkPkRveG9ydWJpY2luLyphZG1pbmlz
dHJhdGlvbiAmYW1wOyBkb3NhZ2U8L2tleXdvcmQ+PGtleXdvcmQ+RmVtYWxlPC9rZXl3b3JkPjxr
ZXl3b3JkPkh1bWFuczwva2V5d29yZD48a2V5d29yZD5MaXZlciBOZW9wbGFzbXMvKnRoZXJhcHk8
L2tleXdvcmQ+PGtleXdvcmQ+TWFsZTwva2V5d29yZD48a2V5d29yZD5Qcm9zcGVjdGl2ZSBTdHVk
aWVzPC9rZXl3b3JkPjxrZXl3b3JkPlN1cnZpdmFsIFJhdGU8L2tleXdvcmQ+PC9rZXl3b3Jkcz48
ZGF0ZXM+PHllYXI+MjAxNDwveWVhcj48cHViLWRhdGVzPjxkYXRlPkp1bCAxNTwvZGF0ZT48L3B1
Yi1kYXRlcz48L2RhdGVzPjxpc2JuPjAwMDctMDkyMCAoUHJpbnQpJiN4RDswMDA3LTA5MjA8L2lz
Ym4+PGFjY2Vzc2lvbi1udW0+MjQ5Mzc2Njk8L2FjY2Vzc2lvbi1udW0+PHVybHM+PC91cmxzPjxj
dXN0b20yPlBNQzQxMDI5MzQ8L2N1c3RvbTI+PGVsZWN0cm9uaWMtcmVzb3VyY2UtbnVtPjEwLjEw
MzgvYmpjLjIwMTQuMTk5PC9lbGVjdHJvbmljLXJlc291cmNlLW51bT48cmVtb3RlLWRhdGFiYXNl
LXByb3ZpZGVyPk5MTTwvcmVtb3RlLWRhdGFiYXNlLXByb3ZpZGVyPjxsYW5ndWFnZT5lbmc8L2xh
bmd1YWdlPjwvcmVjb3JkPjwvQ2l0ZT48L0VuZE5vdGU+AG==
</w:fldData>
        </w:fldChar>
      </w:r>
      <w:r w:rsidR="00057DA1">
        <w:rPr>
          <w:lang w:eastAsia="zh-CN"/>
        </w:rPr>
        <w:instrText xml:space="preserve"> ADDIN EN.CITE.DATA </w:instrText>
      </w:r>
      <w:r w:rsidR="00057DA1">
        <w:rPr>
          <w:lang w:eastAsia="zh-CN"/>
        </w:rPr>
      </w:r>
      <w:r w:rsidR="00057DA1">
        <w:rPr>
          <w:lang w:eastAsia="zh-CN"/>
        </w:rPr>
        <w:fldChar w:fldCharType="end"/>
      </w:r>
      <w:r w:rsidR="006C0A3D">
        <w:rPr>
          <w:lang w:eastAsia="zh-CN"/>
        </w:rPr>
      </w:r>
      <w:r w:rsidR="006C0A3D">
        <w:rPr>
          <w:lang w:eastAsia="zh-CN"/>
        </w:rPr>
        <w:fldChar w:fldCharType="separate"/>
      </w:r>
      <w:r w:rsidR="00057DA1" w:rsidRPr="00057DA1">
        <w:rPr>
          <w:noProof/>
          <w:vertAlign w:val="superscript"/>
          <w:lang w:eastAsia="zh-CN"/>
        </w:rPr>
        <w:t>1</w:t>
      </w:r>
      <w:r w:rsidR="006C0A3D">
        <w:rPr>
          <w:lang w:eastAsia="zh-CN"/>
        </w:rPr>
        <w:fldChar w:fldCharType="end"/>
      </w:r>
      <w:r w:rsidR="00D37976">
        <w:rPr>
          <w:lang w:eastAsia="zh-CN"/>
        </w:rPr>
        <w:t>.</w:t>
      </w:r>
      <w:r w:rsidRPr="00381526">
        <w:rPr>
          <w:lang w:eastAsia="zh-CN"/>
        </w:rPr>
        <w:t xml:space="preserve"> </w:t>
      </w:r>
      <w:r w:rsidRPr="00381526">
        <w:t>Tremelimumab is a fully human IgG2 monoclonal antibody targeting the cytotoxic T-lymphocyte associated protein 4 (CTLA-4) receptor known as an immune checkpoint. By blocking the interaction between CTLA-4 and CD80/CD86, tremelimumab enables binding of CD28 to CD80/CD86, which enhances CD8+ T cell activation and function, resulting in increased release of cytokines from T cells and peripheral blood mononuclear cells, enhancing the immune response.</w:t>
      </w:r>
    </w:p>
    <w:p w14:paraId="507AD9E1" w14:textId="6FD46046" w:rsidR="00257130" w:rsidRDefault="003E76BE" w:rsidP="001A69E6">
      <w:pPr>
        <w:pStyle w:val="3-BodyText"/>
        <w:rPr>
          <w:i/>
          <w:iCs/>
        </w:rPr>
      </w:pPr>
      <w:r w:rsidRPr="00381526">
        <w:t xml:space="preserve">The </w:t>
      </w:r>
      <w:r w:rsidR="00181A3A">
        <w:t xml:space="preserve">submission stated that the </w:t>
      </w:r>
      <w:r w:rsidRPr="00381526">
        <w:t xml:space="preserve">combination of tremelimumab and durvalumab (STRIDE) was developed on the theory that </w:t>
      </w:r>
      <w:r w:rsidRPr="00381526">
        <w:rPr>
          <w:lang w:eastAsia="zh-CN"/>
        </w:rPr>
        <w:t>simultaneous blockade of PD-L1 and CTLA-4 pathways by durvalumab and tremelimumab may result in complementary, longer-lasting immune effects, enhanced anti-tumour activity and improved patient outcomes.</w:t>
      </w:r>
      <w:r w:rsidRPr="00E7365D">
        <w:rPr>
          <w:rStyle w:val="FootnoteReference"/>
        </w:rPr>
        <w:footnoteReference w:id="4"/>
      </w:r>
    </w:p>
    <w:p w14:paraId="7462EFAB" w14:textId="43A949A3" w:rsidR="003E76BE" w:rsidRPr="00257130" w:rsidRDefault="00355A90" w:rsidP="00257130">
      <w:pPr>
        <w:pStyle w:val="3-BodyText"/>
        <w:numPr>
          <w:ilvl w:val="0"/>
          <w:numId w:val="0"/>
        </w:numPr>
        <w:ind w:left="720"/>
        <w:rPr>
          <w:i/>
          <w:iCs/>
        </w:rPr>
      </w:pPr>
      <w:r w:rsidRPr="00257130">
        <w:rPr>
          <w:i/>
          <w:iCs/>
        </w:rPr>
        <w:t>For more detail on PBAC’s view, see section 7 PBAC outcome.</w:t>
      </w:r>
    </w:p>
    <w:p w14:paraId="230E5964" w14:textId="3D630B40" w:rsidR="00522384" w:rsidRPr="00522384" w:rsidRDefault="003E76BE" w:rsidP="00522384">
      <w:pPr>
        <w:pStyle w:val="2-SectionHeading"/>
      </w:pPr>
      <w:bookmarkStart w:id="11" w:name="_Toc193103684"/>
      <w:r w:rsidRPr="00381526">
        <w:t>Comparator</w:t>
      </w:r>
      <w:bookmarkEnd w:id="11"/>
    </w:p>
    <w:p w14:paraId="374F8ECC" w14:textId="77777777" w:rsidR="000D083B" w:rsidRDefault="003E76BE" w:rsidP="002D6E5B">
      <w:pPr>
        <w:pStyle w:val="3-BodyText"/>
        <w:rPr>
          <w:rFonts w:ascii="Arial" w:hAnsi="Arial"/>
          <w:i/>
          <w:iCs/>
          <w:sz w:val="22"/>
        </w:rPr>
      </w:pPr>
      <w:r w:rsidRPr="00522384">
        <w:t xml:space="preserve">The submission nominated </w:t>
      </w:r>
      <w:proofErr w:type="spellStart"/>
      <w:r w:rsidRPr="00522384">
        <w:t>atezo</w:t>
      </w:r>
      <w:proofErr w:type="spellEnd"/>
      <w:r w:rsidRPr="00522384">
        <w:t xml:space="preserve"> + b as the main comparator. The nomination of </w:t>
      </w:r>
      <w:proofErr w:type="spellStart"/>
      <w:r w:rsidRPr="00522384">
        <w:t>atezo</w:t>
      </w:r>
      <w:proofErr w:type="spellEnd"/>
      <w:r w:rsidRPr="00522384">
        <w:t xml:space="preserve"> + b as the comparator for the treatment naive population was appropriate and adequately justified. </w:t>
      </w:r>
      <w:proofErr w:type="spellStart"/>
      <w:r w:rsidRPr="00522384">
        <w:t>Atezo</w:t>
      </w:r>
      <w:proofErr w:type="spellEnd"/>
      <w:r w:rsidRPr="00522384">
        <w:t xml:space="preserve"> + b (a PD-L1 inhibitor + VEGF inhibitor) </w:t>
      </w:r>
      <w:r w:rsidR="00DD7302" w:rsidRPr="00522384">
        <w:t>wa</w:t>
      </w:r>
      <w:r w:rsidRPr="00522384">
        <w:t xml:space="preserve">s recommended </w:t>
      </w:r>
      <w:r w:rsidRPr="00522384">
        <w:lastRenderedPageBreak/>
        <w:t xml:space="preserve">as </w:t>
      </w:r>
      <w:r w:rsidR="00B32A11" w:rsidRPr="00522384">
        <w:t xml:space="preserve">one of </w:t>
      </w:r>
      <w:r w:rsidRPr="00522384">
        <w:t xml:space="preserve">the preferred option to treat first-line </w:t>
      </w:r>
      <w:proofErr w:type="spellStart"/>
      <w:r w:rsidRPr="00522384">
        <w:t>aHCC</w:t>
      </w:r>
      <w:proofErr w:type="spellEnd"/>
      <w:r w:rsidRPr="00522384">
        <w:t xml:space="preserve"> in the most recent National Comprehensive Cancer Network (NCCN</w:t>
      </w:r>
      <w:r w:rsidR="008863CC" w:rsidRPr="00522384">
        <w:t xml:space="preserve"> Version 1.2025</w:t>
      </w:r>
      <w:r w:rsidRPr="00522384">
        <w:t xml:space="preserve">), American Society of Clinical Oncology (ASCO) and European Society for Medical Oncology (ESMO) guidelines and is </w:t>
      </w:r>
      <w:r w:rsidRPr="00522384">
        <w:rPr>
          <w:color w:val="000000" w:themeColor="text1"/>
        </w:rPr>
        <w:t>now</w:t>
      </w:r>
      <w:r w:rsidRPr="00522384">
        <w:t xml:space="preserve"> standard of care in Australia</w:t>
      </w:r>
      <w:r w:rsidRPr="00E7365D">
        <w:rPr>
          <w:rStyle w:val="FootnoteReference"/>
        </w:rPr>
        <w:footnoteReference w:id="5"/>
      </w:r>
      <w:r w:rsidRPr="00522384">
        <w:rPr>
          <w:vertAlign w:val="superscript"/>
        </w:rPr>
        <w:t>,</w:t>
      </w:r>
      <w:r w:rsidRPr="00E7365D">
        <w:rPr>
          <w:rStyle w:val="FootnoteReference"/>
        </w:rPr>
        <w:footnoteReference w:id="6"/>
      </w:r>
      <w:r w:rsidRPr="00522384">
        <w:rPr>
          <w:vertAlign w:val="superscript"/>
        </w:rPr>
        <w:t>,</w:t>
      </w:r>
      <w:r w:rsidRPr="00E7365D">
        <w:rPr>
          <w:rStyle w:val="FootnoteReference"/>
        </w:rPr>
        <w:footnoteReference w:id="7"/>
      </w:r>
      <w:r w:rsidRPr="00522384">
        <w:t xml:space="preserve">. </w:t>
      </w:r>
      <w:r w:rsidR="00185690" w:rsidRPr="00522384">
        <w:rPr>
          <w:rFonts w:cstheme="minorHAnsi"/>
        </w:rPr>
        <w:t xml:space="preserve">The PSCR noted that </w:t>
      </w:r>
      <w:r w:rsidR="00CD287B" w:rsidRPr="00522384">
        <w:rPr>
          <w:rFonts w:cstheme="minorHAnsi"/>
        </w:rPr>
        <w:t>the</w:t>
      </w:r>
      <w:r w:rsidR="00185690" w:rsidRPr="00522384">
        <w:rPr>
          <w:rFonts w:cstheme="minorHAnsi"/>
        </w:rPr>
        <w:t xml:space="preserve"> European Society for Medical Oncology (ESMO) guidelines were updated </w:t>
      </w:r>
      <w:r w:rsidR="001F1D08" w:rsidRPr="00522384">
        <w:rPr>
          <w:rFonts w:cstheme="minorHAnsi"/>
        </w:rPr>
        <w:t>post-submission</w:t>
      </w:r>
      <w:r w:rsidR="00101E1D" w:rsidRPr="00522384">
        <w:rPr>
          <w:rFonts w:cstheme="minorHAnsi"/>
        </w:rPr>
        <w:t>,</w:t>
      </w:r>
      <w:r w:rsidR="001F1D08" w:rsidRPr="00522384">
        <w:rPr>
          <w:rFonts w:cstheme="minorHAnsi"/>
        </w:rPr>
        <w:t xml:space="preserve"> in February</w:t>
      </w:r>
      <w:r w:rsidR="006A1723">
        <w:rPr>
          <w:rFonts w:cstheme="minorHAnsi"/>
        </w:rPr>
        <w:t> </w:t>
      </w:r>
      <w:r w:rsidR="001F1D08" w:rsidRPr="00522384">
        <w:rPr>
          <w:rFonts w:cstheme="minorHAnsi"/>
        </w:rPr>
        <w:t>2025</w:t>
      </w:r>
      <w:r w:rsidR="00101E1D" w:rsidRPr="00522384">
        <w:rPr>
          <w:rFonts w:cstheme="minorHAnsi"/>
        </w:rPr>
        <w:t>,</w:t>
      </w:r>
      <w:r w:rsidR="001F1D08" w:rsidRPr="00522384">
        <w:rPr>
          <w:rFonts w:cstheme="minorHAnsi"/>
        </w:rPr>
        <w:t xml:space="preserve"> </w:t>
      </w:r>
      <w:r w:rsidR="00C423E0" w:rsidRPr="00522384">
        <w:rPr>
          <w:rFonts w:cstheme="minorHAnsi"/>
        </w:rPr>
        <w:t xml:space="preserve">and now include STRIDE as an equally preferred option to </w:t>
      </w:r>
      <w:proofErr w:type="spellStart"/>
      <w:r w:rsidR="00C423E0" w:rsidRPr="00522384">
        <w:rPr>
          <w:rFonts w:cstheme="minorHAnsi"/>
        </w:rPr>
        <w:t>atezo</w:t>
      </w:r>
      <w:proofErr w:type="spellEnd"/>
      <w:r w:rsidR="00C423E0" w:rsidRPr="00522384">
        <w:rPr>
          <w:rFonts w:cstheme="minorHAnsi"/>
        </w:rPr>
        <w:t xml:space="preserve"> + b (Vogel et al 2025</w:t>
      </w:r>
      <w:r w:rsidR="00397C67" w:rsidRPr="007620A1">
        <w:rPr>
          <w:rStyle w:val="FootnoteReference"/>
          <w:rFonts w:cstheme="minorHAnsi"/>
        </w:rPr>
        <w:footnoteReference w:id="8"/>
      </w:r>
      <w:r w:rsidR="00C423E0" w:rsidRPr="00522384">
        <w:rPr>
          <w:rFonts w:cstheme="minorHAnsi"/>
        </w:rPr>
        <w:t>).</w:t>
      </w:r>
    </w:p>
    <w:p w14:paraId="08BE2C1D" w14:textId="1C34F960" w:rsidR="002B654E" w:rsidRPr="00316F9B" w:rsidRDefault="00B46AC7" w:rsidP="002D6E5B">
      <w:pPr>
        <w:pStyle w:val="3-BodyText"/>
        <w:rPr>
          <w:color w:val="000000" w:themeColor="text1"/>
        </w:rPr>
      </w:pPr>
      <w:r w:rsidRPr="00316F9B">
        <w:rPr>
          <w:color w:val="000000" w:themeColor="text1"/>
        </w:rPr>
        <w:t xml:space="preserve">Both durvalumab and atezolizumab work by binding to and blocking the PD-L1 protein. </w:t>
      </w:r>
      <w:r w:rsidR="00C5009E" w:rsidRPr="00316F9B">
        <w:rPr>
          <w:color w:val="000000" w:themeColor="text1"/>
        </w:rPr>
        <w:t>T</w:t>
      </w:r>
      <w:r w:rsidRPr="00316F9B">
        <w:rPr>
          <w:color w:val="000000" w:themeColor="text1"/>
        </w:rPr>
        <w:t xml:space="preserve">remelimumab </w:t>
      </w:r>
      <w:r w:rsidR="000B1F76" w:rsidRPr="00316F9B">
        <w:rPr>
          <w:rFonts w:cstheme="minorHAnsi"/>
          <w:color w:val="000000" w:themeColor="text1"/>
          <w:lang w:eastAsia="zh-CN"/>
        </w:rPr>
        <w:t>primarily acts early in the T cell response, increasing</w:t>
      </w:r>
      <w:r w:rsidR="000B1F76" w:rsidRPr="00316F9B">
        <w:rPr>
          <w:rFonts w:cs="Arial"/>
          <w:color w:val="000000" w:themeColor="text1"/>
          <w:lang w:eastAsia="zh-CN"/>
        </w:rPr>
        <w:t xml:space="preserve"> activation to create a diverse T cell response</w:t>
      </w:r>
      <w:r w:rsidR="00397C67" w:rsidRPr="00316F9B">
        <w:rPr>
          <w:rFonts w:cs="Arial"/>
          <w:color w:val="000000" w:themeColor="text1"/>
          <w:lang w:eastAsia="zh-CN"/>
        </w:rPr>
        <w:t xml:space="preserve"> (CTLA-4 inhibitor)</w:t>
      </w:r>
      <w:r w:rsidR="00844ADD" w:rsidRPr="00316F9B">
        <w:rPr>
          <w:rFonts w:cs="Arial"/>
          <w:color w:val="000000" w:themeColor="text1"/>
          <w:lang w:eastAsia="zh-CN"/>
        </w:rPr>
        <w:t>, and</w:t>
      </w:r>
      <w:r w:rsidR="005A141D" w:rsidRPr="00316F9B">
        <w:rPr>
          <w:rFonts w:cs="Arial"/>
          <w:color w:val="000000" w:themeColor="text1"/>
          <w:lang w:eastAsia="zh-CN"/>
        </w:rPr>
        <w:t xml:space="preserve"> </w:t>
      </w:r>
      <w:r w:rsidR="00844ADD" w:rsidRPr="00316F9B">
        <w:rPr>
          <w:rFonts w:cs="Arial"/>
          <w:color w:val="000000" w:themeColor="text1"/>
          <w:lang w:eastAsia="zh-CN"/>
        </w:rPr>
        <w:t>a</w:t>
      </w:r>
      <w:r w:rsidRPr="00316F9B">
        <w:rPr>
          <w:color w:val="000000" w:themeColor="text1"/>
        </w:rPr>
        <w:t>fter approximately 4 weeks, most of the active compound has been eliminated from the bod</w:t>
      </w:r>
      <w:r w:rsidR="005A141D" w:rsidRPr="00316F9B">
        <w:rPr>
          <w:color w:val="000000" w:themeColor="text1"/>
        </w:rPr>
        <w:t>y</w:t>
      </w:r>
      <w:r w:rsidRPr="00316F9B">
        <w:rPr>
          <w:color w:val="000000" w:themeColor="text1"/>
        </w:rPr>
        <w:t>. This means that after the first month of treatment</w:t>
      </w:r>
      <w:r w:rsidR="00771E11" w:rsidRPr="00316F9B">
        <w:rPr>
          <w:color w:val="000000" w:themeColor="text1"/>
        </w:rPr>
        <w:t xml:space="preserve"> with STRIDE</w:t>
      </w:r>
      <w:r w:rsidRPr="00316F9B">
        <w:rPr>
          <w:color w:val="000000" w:themeColor="text1"/>
        </w:rPr>
        <w:t>, PD-L1 inhibitor monotherapy (durvalumab) is being compared to the ongoing administration of two active treatments (the combination of a PD-L1 inhibitor [atezolizumab] and VEGF inhibitor [bevacizumab]).</w:t>
      </w:r>
    </w:p>
    <w:p w14:paraId="027D1325" w14:textId="77777777" w:rsidR="000D083B" w:rsidRDefault="00963FE8" w:rsidP="002D6E5B">
      <w:pPr>
        <w:pStyle w:val="3-BodyText"/>
      </w:pPr>
      <w:r w:rsidRPr="005C7291">
        <w:t>The submission</w:t>
      </w:r>
      <w:r w:rsidR="00FC101B" w:rsidRPr="005C7291">
        <w:t>’s</w:t>
      </w:r>
      <w:r w:rsidRPr="005C7291">
        <w:t xml:space="preserve"> requested listing </w:t>
      </w:r>
      <w:r w:rsidR="00E067D3" w:rsidRPr="005C7291">
        <w:t xml:space="preserve">was </w:t>
      </w:r>
      <w:r w:rsidRPr="005C7291">
        <w:t xml:space="preserve">for STRIDE to be given to patients who were unable to tolerate atezolizumab or a VEGF inhibitor, however </w:t>
      </w:r>
      <w:r w:rsidR="00DF1744">
        <w:t xml:space="preserve">it </w:t>
      </w:r>
      <w:r w:rsidRPr="005C7291">
        <w:t>did not provide evidence for efficacy and safety in this population</w:t>
      </w:r>
      <w:r w:rsidR="007D774F" w:rsidRPr="005C7291">
        <w:t>.</w:t>
      </w:r>
    </w:p>
    <w:p w14:paraId="31E4A84F" w14:textId="77777777" w:rsidR="000D083B" w:rsidRDefault="003E76BE" w:rsidP="002D6E5B">
      <w:pPr>
        <w:pStyle w:val="3-BodyText"/>
      </w:pPr>
      <w:r w:rsidRPr="005C7291">
        <w:t xml:space="preserve">In the context of the cost-minimisation approach taken by the submission, </w:t>
      </w:r>
      <w:r w:rsidRPr="00142B64">
        <w:t xml:space="preserve">a further consideration for PBAC </w:t>
      </w:r>
      <w:r w:rsidR="00142B64" w:rsidRPr="00142B64">
        <w:t xml:space="preserve">was </w:t>
      </w:r>
      <w:r w:rsidRPr="00142B64">
        <w:t>that</w:t>
      </w:r>
      <w:r w:rsidRPr="005C7291">
        <w:t xml:space="preserve">, under Section 101(3B) of the </w:t>
      </w:r>
      <w:r w:rsidRPr="0011622B">
        <w:rPr>
          <w:i/>
          <w:iCs/>
        </w:rPr>
        <w:t>National Health Act 1953</w:t>
      </w:r>
      <w:r w:rsidRPr="005C7291">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329309D9" w14:textId="7E08C7C4" w:rsidR="00257130" w:rsidRPr="002D6E5B" w:rsidRDefault="003E76BE" w:rsidP="002D6E5B">
      <w:pPr>
        <w:pStyle w:val="3-BodyText"/>
      </w:pPr>
      <w:r w:rsidRPr="002D6E5B">
        <w:t xml:space="preserve">Nivolumab (a PD-L1) plus ipilimumab (a CTLA-4) is a potential near market </w:t>
      </w:r>
      <w:r w:rsidR="00635D19" w:rsidRPr="002D6E5B">
        <w:t>comparator and</w:t>
      </w:r>
      <w:r w:rsidRPr="002D6E5B">
        <w:t xml:space="preserve"> is currently being investigated in the CheckMate 9DW trial in the same patient population. Its submission to the TGA was accepted in September 2024</w:t>
      </w:r>
      <w:r w:rsidR="00C751F0" w:rsidRPr="002D6E5B">
        <w:t xml:space="preserve"> and </w:t>
      </w:r>
      <w:r w:rsidR="002D3BF6" w:rsidRPr="002D6E5B">
        <w:t>a submission has been made to the July 2025 PBAC meeting</w:t>
      </w:r>
      <w:r w:rsidRPr="002D6E5B">
        <w:t>.</w:t>
      </w:r>
    </w:p>
    <w:p w14:paraId="35756F38" w14:textId="059B5185" w:rsidR="003E76BE" w:rsidRPr="00AB33B9" w:rsidRDefault="00DC1DED" w:rsidP="00257130">
      <w:pPr>
        <w:pStyle w:val="3-BodyText"/>
        <w:numPr>
          <w:ilvl w:val="0"/>
          <w:numId w:val="0"/>
        </w:numPr>
        <w:ind w:left="709"/>
      </w:pPr>
      <w:r w:rsidRPr="00302293">
        <w:rPr>
          <w:i/>
          <w:iCs/>
        </w:rPr>
        <w:t>For more detail on PBAC’s view, see section 7 PBAC outcome.</w:t>
      </w:r>
    </w:p>
    <w:p w14:paraId="75387EE6" w14:textId="77777777" w:rsidR="003E76BE" w:rsidRPr="00615D25" w:rsidRDefault="003E76BE" w:rsidP="00177D10">
      <w:pPr>
        <w:pStyle w:val="2-SectionHeading"/>
        <w:numPr>
          <w:ilvl w:val="0"/>
          <w:numId w:val="1"/>
        </w:numPr>
      </w:pPr>
      <w:bookmarkStart w:id="12" w:name="_Toc193103685"/>
      <w:r w:rsidRPr="00615D25">
        <w:lastRenderedPageBreak/>
        <w:t>Consideration of the evidence</w:t>
      </w:r>
      <w:bookmarkEnd w:id="12"/>
    </w:p>
    <w:p w14:paraId="05AE0A71" w14:textId="77777777" w:rsidR="0077105B" w:rsidRPr="00F24853" w:rsidRDefault="0077105B" w:rsidP="00CD18EF">
      <w:pPr>
        <w:pStyle w:val="4-SubsectionHeading"/>
      </w:pPr>
      <w:bookmarkStart w:id="13" w:name="_Toc193103686"/>
      <w:r w:rsidRPr="00F24853">
        <w:t>Sponsor hearing</w:t>
      </w:r>
    </w:p>
    <w:p w14:paraId="3F7C432E" w14:textId="0FA2CBC8" w:rsidR="00B1353A" w:rsidRPr="00B1353A" w:rsidRDefault="00CB5649" w:rsidP="00B1353A">
      <w:pPr>
        <w:pStyle w:val="3-BodyText"/>
      </w:pPr>
      <w:r w:rsidRPr="00B1353A">
        <w:t>There was no hearing for this item</w:t>
      </w:r>
      <w:r w:rsidR="00B1353A" w:rsidRPr="00B1353A">
        <w:t>.</w:t>
      </w:r>
    </w:p>
    <w:p w14:paraId="3F52AB4A" w14:textId="3EC3C9C8" w:rsidR="0077105B" w:rsidRDefault="009D1344" w:rsidP="003E76BE">
      <w:pPr>
        <w:pStyle w:val="4-SubsectionHeading"/>
      </w:pPr>
      <w:r w:rsidRPr="009D1344">
        <w:t>Consumer comments</w:t>
      </w:r>
    </w:p>
    <w:p w14:paraId="6748078C" w14:textId="77777777" w:rsidR="000D083B" w:rsidRDefault="00CB5649" w:rsidP="00DD2A72">
      <w:pPr>
        <w:pStyle w:val="3-BodyText"/>
        <w:rPr>
          <w:bCs/>
          <w:snapToGrid w:val="0"/>
        </w:rPr>
      </w:pPr>
      <w:r w:rsidRPr="00DD2A72">
        <w:rPr>
          <w:bCs/>
          <w:snapToGrid w:val="0"/>
        </w:rPr>
        <w:t>The PBAC noted and welcomed the input from</w:t>
      </w:r>
      <w:r w:rsidR="00495D1D" w:rsidRPr="00DD2A72">
        <w:rPr>
          <w:bCs/>
          <w:snapToGrid w:val="0"/>
        </w:rPr>
        <w:t xml:space="preserve"> </w:t>
      </w:r>
      <w:r w:rsidR="001E0A18" w:rsidRPr="00DD2A72">
        <w:rPr>
          <w:bCs/>
          <w:snapToGrid w:val="0"/>
        </w:rPr>
        <w:t>health professionals</w:t>
      </w:r>
      <w:r w:rsidR="00991B29" w:rsidRPr="00DD2A72">
        <w:rPr>
          <w:bCs/>
          <w:snapToGrid w:val="0"/>
        </w:rPr>
        <w:t xml:space="preserve"> (3)</w:t>
      </w:r>
      <w:r w:rsidR="009039E7" w:rsidRPr="00DD2A72">
        <w:rPr>
          <w:bCs/>
          <w:snapToGrid w:val="0"/>
        </w:rPr>
        <w:t xml:space="preserve"> as well as</w:t>
      </w:r>
      <w:r w:rsidR="00664A28">
        <w:rPr>
          <w:bCs/>
          <w:snapToGrid w:val="0"/>
        </w:rPr>
        <w:t xml:space="preserve"> </w:t>
      </w:r>
      <w:r w:rsidR="002401D8" w:rsidRPr="00DD2A72">
        <w:rPr>
          <w:bCs/>
          <w:snapToGrid w:val="0"/>
        </w:rPr>
        <w:t>the</w:t>
      </w:r>
      <w:r w:rsidR="00C2547D" w:rsidRPr="00DD2A72">
        <w:rPr>
          <w:bCs/>
          <w:snapToGrid w:val="0"/>
        </w:rPr>
        <w:t xml:space="preserve"> </w:t>
      </w:r>
      <w:r w:rsidR="002401D8" w:rsidRPr="00DD2A72">
        <w:rPr>
          <w:rFonts w:cs="Arial"/>
          <w:bCs/>
          <w:snapToGrid w:val="0"/>
        </w:rPr>
        <w:t>Medical Oncology Group of Australia (MOGA)</w:t>
      </w:r>
      <w:r w:rsidR="00754674">
        <w:rPr>
          <w:rFonts w:cs="Arial"/>
          <w:bCs/>
          <w:snapToGrid w:val="0"/>
        </w:rPr>
        <w:t xml:space="preserve"> </w:t>
      </w:r>
      <w:r w:rsidR="00C15394" w:rsidRPr="00DD2A72">
        <w:rPr>
          <w:bCs/>
          <w:snapToGrid w:val="0"/>
        </w:rPr>
        <w:t xml:space="preserve">and </w:t>
      </w:r>
      <w:r w:rsidR="002401D8" w:rsidRPr="00DD2A72">
        <w:rPr>
          <w:bCs/>
          <w:snapToGrid w:val="0"/>
        </w:rPr>
        <w:t xml:space="preserve">two </w:t>
      </w:r>
      <w:r w:rsidR="00FA1798" w:rsidRPr="00DD2A72">
        <w:rPr>
          <w:bCs/>
          <w:snapToGrid w:val="0"/>
        </w:rPr>
        <w:t xml:space="preserve">consumer </w:t>
      </w:r>
      <w:r w:rsidR="00E55079" w:rsidRPr="00DD2A72">
        <w:rPr>
          <w:bCs/>
          <w:snapToGrid w:val="0"/>
        </w:rPr>
        <w:t>organisations</w:t>
      </w:r>
      <w:r w:rsidR="003142B3" w:rsidRPr="00DD2A72">
        <w:rPr>
          <w:bCs/>
          <w:snapToGrid w:val="0"/>
        </w:rPr>
        <w:t xml:space="preserve"> (Pancare</w:t>
      </w:r>
      <w:r w:rsidR="0047721A" w:rsidRPr="00DD2A72">
        <w:rPr>
          <w:bCs/>
          <w:snapToGrid w:val="0"/>
        </w:rPr>
        <w:t>; Rare Cancers Australia)</w:t>
      </w:r>
      <w:r w:rsidR="003142B3" w:rsidRPr="00DD2A72">
        <w:rPr>
          <w:bCs/>
          <w:snapToGrid w:val="0"/>
        </w:rPr>
        <w:t xml:space="preserve"> </w:t>
      </w:r>
      <w:r w:rsidR="00AF71DA" w:rsidRPr="00DD2A72">
        <w:rPr>
          <w:bCs/>
          <w:snapToGrid w:val="0"/>
        </w:rPr>
        <w:t>via the Consumer Comments facility on the PBS website.</w:t>
      </w:r>
      <w:r w:rsidR="0021149D">
        <w:t xml:space="preserve"> </w:t>
      </w:r>
      <w:r w:rsidR="0021149D" w:rsidRPr="00DD2A72">
        <w:rPr>
          <w:bCs/>
          <w:snapToGrid w:val="0"/>
        </w:rPr>
        <w:t>Comments</w:t>
      </w:r>
      <w:r w:rsidR="006C6619" w:rsidRPr="00DD2A72">
        <w:rPr>
          <w:bCs/>
          <w:snapToGrid w:val="0"/>
        </w:rPr>
        <w:t xml:space="preserve"> from </w:t>
      </w:r>
      <w:r w:rsidR="00952470" w:rsidRPr="00DD2A72">
        <w:rPr>
          <w:bCs/>
          <w:snapToGrid w:val="0"/>
        </w:rPr>
        <w:t>health professionals</w:t>
      </w:r>
      <w:r w:rsidR="0026722F" w:rsidRPr="00DD2A72">
        <w:rPr>
          <w:bCs/>
          <w:snapToGrid w:val="0"/>
        </w:rPr>
        <w:t xml:space="preserve"> described </w:t>
      </w:r>
      <w:r w:rsidR="00805994" w:rsidRPr="00DD2A72">
        <w:rPr>
          <w:bCs/>
          <w:snapToGrid w:val="0"/>
        </w:rPr>
        <w:t xml:space="preserve">the poor prognosis of HCC, </w:t>
      </w:r>
      <w:r w:rsidR="00DF512A" w:rsidRPr="00DD2A72">
        <w:rPr>
          <w:bCs/>
          <w:snapToGrid w:val="0"/>
        </w:rPr>
        <w:t xml:space="preserve">the lack of effective treatment and limited treatment options. They noted </w:t>
      </w:r>
      <w:r w:rsidR="001874FD" w:rsidRPr="00DD2A72">
        <w:rPr>
          <w:bCs/>
          <w:snapToGrid w:val="0"/>
        </w:rPr>
        <w:t xml:space="preserve">that some patients do not tolerate existing treatments </w:t>
      </w:r>
      <w:r w:rsidR="001B76E6" w:rsidRPr="00DD2A72">
        <w:rPr>
          <w:bCs/>
          <w:snapToGrid w:val="0"/>
        </w:rPr>
        <w:t>and experience serious side effects</w:t>
      </w:r>
      <w:r w:rsidR="00582DAC">
        <w:rPr>
          <w:bCs/>
          <w:snapToGrid w:val="0"/>
        </w:rPr>
        <w:t xml:space="preserve"> and</w:t>
      </w:r>
      <w:r w:rsidR="002B022F" w:rsidRPr="00DD2A72">
        <w:rPr>
          <w:bCs/>
          <w:snapToGrid w:val="0"/>
        </w:rPr>
        <w:t xml:space="preserve"> that</w:t>
      </w:r>
      <w:r w:rsidR="0069008B" w:rsidRPr="00DD2A72">
        <w:rPr>
          <w:bCs/>
          <w:snapToGrid w:val="0"/>
        </w:rPr>
        <w:t xml:space="preserve"> </w:t>
      </w:r>
      <w:r w:rsidR="002B022F" w:rsidRPr="00DD2A72">
        <w:rPr>
          <w:bCs/>
          <w:snapToGrid w:val="0"/>
        </w:rPr>
        <w:t>a</w:t>
      </w:r>
      <w:r w:rsidR="00D75631" w:rsidRPr="00DD2A72">
        <w:rPr>
          <w:bCs/>
          <w:snapToGrid w:val="0"/>
        </w:rPr>
        <w:t>dditional options for therapy</w:t>
      </w:r>
      <w:r w:rsidR="00DF512A" w:rsidRPr="00DD2A72">
        <w:rPr>
          <w:bCs/>
          <w:snapToGrid w:val="0"/>
        </w:rPr>
        <w:t xml:space="preserve"> </w:t>
      </w:r>
      <w:r w:rsidR="0088139E" w:rsidRPr="00DD2A72">
        <w:rPr>
          <w:bCs/>
          <w:snapToGrid w:val="0"/>
        </w:rPr>
        <w:t xml:space="preserve">with proven benefit would </w:t>
      </w:r>
      <w:r w:rsidR="00B74F38" w:rsidRPr="00DD2A72">
        <w:rPr>
          <w:bCs/>
          <w:snapToGrid w:val="0"/>
        </w:rPr>
        <w:t xml:space="preserve">enable some patients to have long term tumour </w:t>
      </w:r>
      <w:r w:rsidR="00B46B72" w:rsidRPr="00DD2A72">
        <w:rPr>
          <w:bCs/>
          <w:snapToGrid w:val="0"/>
        </w:rPr>
        <w:t>control and maintain quality of life.</w:t>
      </w:r>
    </w:p>
    <w:p w14:paraId="5CFBADAD" w14:textId="5A6B73D8" w:rsidR="00DD17D5" w:rsidRDefault="00DD17D5" w:rsidP="00DD17D5">
      <w:pPr>
        <w:pStyle w:val="3-BodyText"/>
      </w:pPr>
      <w:r>
        <w:t>Pancare noted that liver cancer is one of Australia’s deadliest cancers and that HCC is the most common type and highlighted the limited treatment options for patients if the cancer is advanced or has spread beyond the liver.</w:t>
      </w:r>
    </w:p>
    <w:p w14:paraId="4E6500E5" w14:textId="57DE7374" w:rsidR="00DD17D5" w:rsidRDefault="00DD17D5" w:rsidP="00DD17D5">
      <w:pPr>
        <w:pStyle w:val="3-BodyText"/>
      </w:pPr>
      <w:r>
        <w:t>Both Pancare and Rare Cancers Australia highlighted the financial burden of treatment</w:t>
      </w:r>
      <w:r w:rsidR="001B5CA6">
        <w:t>,</w:t>
      </w:r>
      <w:r>
        <w:t xml:space="preserve"> the intersection of the costs of the treatment, inability to work and cost of living burden is a significant issue. </w:t>
      </w:r>
      <w:r w:rsidR="00CE6D1F">
        <w:t xml:space="preserve">Both </w:t>
      </w:r>
      <w:r>
        <w:t>organisations also</w:t>
      </w:r>
      <w:r w:rsidR="00CE6D1F">
        <w:t xml:space="preserve"> noted</w:t>
      </w:r>
      <w:r w:rsidR="00DD2A72">
        <w:t xml:space="preserve"> that current treatments include surgery, immunotherapy, Selective Internal Radiation Treatment, neoadjuvant chemotherapy, and adjuvant chemotherapy.</w:t>
      </w:r>
      <w:r>
        <w:t xml:space="preserve"> </w:t>
      </w:r>
      <w:r w:rsidR="00767E1C">
        <w:t xml:space="preserve">Pancare noted </w:t>
      </w:r>
      <w:r w:rsidR="00052992">
        <w:t xml:space="preserve">the superiority of STRIDE compared to </w:t>
      </w:r>
      <w:r w:rsidR="00052992">
        <w:rPr>
          <w:rFonts w:cs="Arial"/>
          <w:snapToGrid w:val="0"/>
        </w:rPr>
        <w:t>sorafenib, however</w:t>
      </w:r>
      <w:r w:rsidR="0084596A">
        <w:rPr>
          <w:rFonts w:cs="Arial"/>
          <w:snapToGrid w:val="0"/>
        </w:rPr>
        <w:t xml:space="preserve"> the PBAC noted</w:t>
      </w:r>
      <w:r w:rsidR="00052992">
        <w:rPr>
          <w:rFonts w:cs="Arial"/>
          <w:snapToGrid w:val="0"/>
        </w:rPr>
        <w:t xml:space="preserve"> Pancare </w:t>
      </w:r>
      <w:r w:rsidR="0084596A">
        <w:rPr>
          <w:rFonts w:cs="Arial"/>
          <w:snapToGrid w:val="0"/>
        </w:rPr>
        <w:t>may not have been aware</w:t>
      </w:r>
      <w:r w:rsidR="00052992">
        <w:rPr>
          <w:rFonts w:cs="Arial"/>
          <w:snapToGrid w:val="0"/>
        </w:rPr>
        <w:t xml:space="preserve"> that the main comparator in the submission was </w:t>
      </w:r>
      <w:proofErr w:type="spellStart"/>
      <w:r w:rsidR="00052992" w:rsidRPr="00001718">
        <w:t>Atezo</w:t>
      </w:r>
      <w:proofErr w:type="spellEnd"/>
      <w:r w:rsidR="00052992" w:rsidRPr="00001718">
        <w:t xml:space="preserve"> + b</w:t>
      </w:r>
      <w:r w:rsidR="0084596A">
        <w:t>.</w:t>
      </w:r>
    </w:p>
    <w:p w14:paraId="7F4F20E7" w14:textId="1AD6DA8E" w:rsidR="00582DAC" w:rsidRDefault="00DD17D5" w:rsidP="00DD17D5">
      <w:pPr>
        <w:pStyle w:val="3-BodyText"/>
      </w:pPr>
      <w:r w:rsidRPr="00001718">
        <w:t>Rare Cancers Australia described how patients are often diagnosed at a later stage which worsens</w:t>
      </w:r>
      <w:r>
        <w:t xml:space="preserve"> their prognosis and</w:t>
      </w:r>
      <w:r w:rsidR="00DD2A72" w:rsidRPr="004948B9">
        <w:t xml:space="preserve"> noted that many patients report experiencing both physical and financial toxicities from these treatments and that surgical treatment heavily affects quality of life and is associated with extensive recovery time</w:t>
      </w:r>
      <w:r w:rsidR="000E1D9E">
        <w:t>.</w:t>
      </w:r>
    </w:p>
    <w:p w14:paraId="761BBC82" w14:textId="24077FC1" w:rsidR="005F79E3" w:rsidRPr="00010052" w:rsidRDefault="007F6468" w:rsidP="00F55455">
      <w:pPr>
        <w:pStyle w:val="3-BodyText"/>
      </w:pPr>
      <w:r w:rsidRPr="7F0BD753">
        <w:rPr>
          <w:rFonts w:cs="Arial"/>
          <w:snapToGrid w:val="0"/>
        </w:rPr>
        <w:t xml:space="preserve">The Medical Oncology Group of Australia (MOGA) expressed its strong support for the STRIDE submission, categorising it as one of the therapies of highest priority for PBS listing based on the results of the HIMALAYA trial. The PBAC noted that the MOGA presented a European Society for Medical Oncology Magnitude of Benefit Scale (ESMO-MCBS) score of 5 representing substantial improvement, based on a comparison with </w:t>
      </w:r>
      <w:r w:rsidR="00E4075E">
        <w:rPr>
          <w:rFonts w:cs="Arial"/>
          <w:snapToGrid w:val="0"/>
        </w:rPr>
        <w:t xml:space="preserve">sorafenib, however the PBAC noted that MOGA </w:t>
      </w:r>
      <w:r w:rsidR="0084596A">
        <w:rPr>
          <w:rFonts w:cs="Arial"/>
          <w:snapToGrid w:val="0"/>
        </w:rPr>
        <w:t>may not have been aware</w:t>
      </w:r>
      <w:r w:rsidR="00052992">
        <w:rPr>
          <w:rFonts w:cs="Arial"/>
          <w:snapToGrid w:val="0"/>
        </w:rPr>
        <w:t xml:space="preserve"> </w:t>
      </w:r>
      <w:r w:rsidR="00E4075E">
        <w:rPr>
          <w:rFonts w:cs="Arial"/>
          <w:snapToGrid w:val="0"/>
        </w:rPr>
        <w:t xml:space="preserve">that the main comparator in the submission was </w:t>
      </w:r>
      <w:proofErr w:type="spellStart"/>
      <w:r w:rsidRPr="00001718">
        <w:t>Atezo</w:t>
      </w:r>
      <w:proofErr w:type="spellEnd"/>
      <w:r w:rsidRPr="00001718">
        <w:t xml:space="preserve"> + b</w:t>
      </w:r>
      <w:r w:rsidRPr="7F0BD753">
        <w:rPr>
          <w:rFonts w:cs="Arial"/>
          <w:snapToGrid w:val="0"/>
        </w:rPr>
        <w:t>.</w:t>
      </w:r>
    </w:p>
    <w:p w14:paraId="1369294E" w14:textId="61820A07" w:rsidR="003E76BE" w:rsidRPr="0098262F" w:rsidRDefault="003E76BE" w:rsidP="003E76BE">
      <w:pPr>
        <w:pStyle w:val="4-SubsectionHeading"/>
      </w:pPr>
      <w:r w:rsidRPr="0098262F">
        <w:t>Clinical trials</w:t>
      </w:r>
      <w:bookmarkEnd w:id="13"/>
    </w:p>
    <w:p w14:paraId="3C5111EF" w14:textId="77777777" w:rsidR="000D083B" w:rsidRDefault="003E76BE" w:rsidP="001A4706">
      <w:pPr>
        <w:pStyle w:val="3-BodyText"/>
      </w:pPr>
      <w:r w:rsidRPr="0098262F">
        <w:t>The submission was based on one head-to-head trial</w:t>
      </w:r>
      <w:r>
        <w:t xml:space="preserve"> </w:t>
      </w:r>
      <w:r w:rsidRPr="0098262F">
        <w:t xml:space="preserve">comparing </w:t>
      </w:r>
      <w:r>
        <w:t>STRIDE</w:t>
      </w:r>
      <w:r w:rsidRPr="0098262F">
        <w:t xml:space="preserve"> </w:t>
      </w:r>
      <w:r>
        <w:t xml:space="preserve">(n=393) </w:t>
      </w:r>
      <w:r w:rsidRPr="0098262F">
        <w:t xml:space="preserve">to </w:t>
      </w:r>
      <w:r w:rsidRPr="005C7291">
        <w:t xml:space="preserve">sorafenib (n=389), HIMALAYA. For the anchored ITC, efficacy and safety data comparing </w:t>
      </w:r>
      <w:proofErr w:type="spellStart"/>
      <w:r w:rsidRPr="005C7291">
        <w:t>atezo</w:t>
      </w:r>
      <w:proofErr w:type="spellEnd"/>
      <w:r w:rsidRPr="005C7291">
        <w:t xml:space="preserve"> + b (n=336) to sorafenib (n=165) in the IMBRAVE150 trial were used. </w:t>
      </w:r>
      <w:r w:rsidRPr="005C7291">
        <w:lastRenderedPageBreak/>
        <w:t>An earlier data cut of IMBRAVE150 has previously been reviewed by the PBAC (atezolizumab PSD, July 2020 PBAC meeting).</w:t>
      </w:r>
    </w:p>
    <w:p w14:paraId="7C0A2348" w14:textId="77777777" w:rsidR="00AC295B" w:rsidRPr="00D17E2F" w:rsidRDefault="003E76BE" w:rsidP="00D17E2F">
      <w:pPr>
        <w:pStyle w:val="3-BodyText"/>
        <w:rPr>
          <w:rFonts w:cstheme="minorHAnsi"/>
        </w:rPr>
      </w:pPr>
      <w:r w:rsidRPr="00FA7D86">
        <w:rPr>
          <w:rFonts w:cstheme="minorHAnsi"/>
        </w:rPr>
        <w:t>Details of the trials presented in the submission are provided in</w:t>
      </w:r>
      <w:r w:rsidR="000F25E8">
        <w:rPr>
          <w:rFonts w:cstheme="minorHAnsi"/>
        </w:rPr>
        <w:t xml:space="preserve"> </w:t>
      </w:r>
      <w:r w:rsidR="00AF6163" w:rsidRPr="00D17E2F">
        <w:rPr>
          <w:rFonts w:cstheme="minorHAnsi"/>
        </w:rPr>
        <w:fldChar w:fldCharType="begin"/>
      </w:r>
      <w:r w:rsidR="00AF6163" w:rsidRPr="002024CD">
        <w:rPr>
          <w:rFonts w:cstheme="minorHAnsi"/>
        </w:rPr>
        <w:instrText xml:space="preserve"> REF _Ref191289161 \h </w:instrText>
      </w:r>
      <w:r w:rsidR="002024CD">
        <w:rPr>
          <w:rFonts w:cstheme="minorHAnsi"/>
        </w:rPr>
        <w:instrText xml:space="preserve"> \* MERGEFORMAT </w:instrText>
      </w:r>
      <w:r w:rsidR="00AF6163" w:rsidRPr="00D17E2F">
        <w:rPr>
          <w:rFonts w:cstheme="minorHAnsi"/>
        </w:rPr>
      </w:r>
      <w:r w:rsidR="00AF6163" w:rsidRPr="00D17E2F">
        <w:rPr>
          <w:rFonts w:cstheme="minorHAnsi"/>
        </w:rPr>
        <w:fldChar w:fldCharType="separate"/>
      </w:r>
    </w:p>
    <w:p w14:paraId="382789A5" w14:textId="788FEC44" w:rsidR="00E02D23" w:rsidRPr="00D17E2F" w:rsidRDefault="00AC295B" w:rsidP="00D17E2F">
      <w:pPr>
        <w:pStyle w:val="3-BodyText"/>
        <w:rPr>
          <w:rFonts w:cstheme="minorHAnsi"/>
        </w:rPr>
      </w:pPr>
      <w:r w:rsidRPr="00AC295B">
        <w:rPr>
          <w:rFonts w:cstheme="minorHAnsi"/>
        </w:rPr>
        <w:t xml:space="preserve">Table </w:t>
      </w:r>
      <w:r>
        <w:rPr>
          <w:noProof/>
        </w:rPr>
        <w:t>2</w:t>
      </w:r>
      <w:r w:rsidR="00AF6163" w:rsidRPr="00D17E2F">
        <w:rPr>
          <w:rFonts w:cstheme="minorHAnsi"/>
        </w:rPr>
        <w:fldChar w:fldCharType="end"/>
      </w:r>
      <w:r w:rsidR="00AF6163" w:rsidRPr="00D17E2F">
        <w:rPr>
          <w:rFonts w:cstheme="minorHAnsi"/>
          <w:szCs w:val="24"/>
        </w:rPr>
        <w:t>. For brevity, a complete list of publications is not presented in the Executive Summary.</w:t>
      </w:r>
      <w:bookmarkStart w:id="14" w:name="_Ref191289161"/>
    </w:p>
    <w:p w14:paraId="468C4CD1" w14:textId="2618E6E7" w:rsidR="003E76BE" w:rsidRDefault="0074332E" w:rsidP="003E76BE">
      <w:pPr>
        <w:pStyle w:val="Caption"/>
      </w:pPr>
      <w:r w:rsidRPr="00381526">
        <w:t xml:space="preserve">Table </w:t>
      </w:r>
      <w:r w:rsidRPr="00381526">
        <w:rPr>
          <w:b w:val="0"/>
          <w:bCs w:val="0"/>
        </w:rPr>
        <w:fldChar w:fldCharType="begin"/>
      </w:r>
      <w:r w:rsidRPr="00381526">
        <w:instrText xml:space="preserve"> SEQ Table \* ARABIC </w:instrText>
      </w:r>
      <w:r w:rsidRPr="00381526">
        <w:rPr>
          <w:b w:val="0"/>
          <w:bCs w:val="0"/>
        </w:rPr>
        <w:fldChar w:fldCharType="separate"/>
      </w:r>
      <w:r w:rsidR="00AC295B">
        <w:rPr>
          <w:noProof/>
        </w:rPr>
        <w:t>2</w:t>
      </w:r>
      <w:r w:rsidRPr="00381526">
        <w:rPr>
          <w:b w:val="0"/>
          <w:bCs w:val="0"/>
          <w:noProof/>
        </w:rPr>
        <w:fldChar w:fldCharType="end"/>
      </w:r>
      <w:bookmarkEnd w:id="14"/>
      <w:r w:rsidR="003E76BE">
        <w:t>: Master list of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1"/>
        <w:gridCol w:w="5928"/>
        <w:gridCol w:w="1538"/>
      </w:tblGrid>
      <w:tr w:rsidR="003E76BE" w:rsidRPr="0098262F" w14:paraId="4913349F" w14:textId="77777777">
        <w:trPr>
          <w:cantSplit/>
          <w:tblHeader/>
        </w:trPr>
        <w:tc>
          <w:tcPr>
            <w:tcW w:w="860" w:type="pct"/>
          </w:tcPr>
          <w:p w14:paraId="0F6BBCC1" w14:textId="77777777" w:rsidR="003E76BE" w:rsidRPr="0098262F" w:rsidRDefault="003E76BE">
            <w:pPr>
              <w:pStyle w:val="In-tableHeading"/>
              <w:rPr>
                <w:lang w:val="en-AU"/>
              </w:rPr>
            </w:pPr>
            <w:r w:rsidRPr="005729D9">
              <w:t>Study identifier (ID)</w:t>
            </w:r>
          </w:p>
        </w:tc>
        <w:tc>
          <w:tcPr>
            <w:tcW w:w="3287" w:type="pct"/>
            <w:tcBorders>
              <w:bottom w:val="single" w:sz="4" w:space="0" w:color="auto"/>
            </w:tcBorders>
          </w:tcPr>
          <w:p w14:paraId="3334EEE3" w14:textId="77777777" w:rsidR="003E76BE" w:rsidRPr="0098262F" w:rsidRDefault="003E76BE">
            <w:pPr>
              <w:pStyle w:val="In-tableHeading"/>
              <w:rPr>
                <w:lang w:val="en-AU"/>
              </w:rPr>
            </w:pPr>
            <w:r w:rsidRPr="005729D9">
              <w:t>Reports/Protocol title/ Publication title</w:t>
            </w:r>
          </w:p>
        </w:tc>
        <w:tc>
          <w:tcPr>
            <w:tcW w:w="853" w:type="pct"/>
            <w:tcBorders>
              <w:bottom w:val="single" w:sz="4" w:space="0" w:color="auto"/>
            </w:tcBorders>
          </w:tcPr>
          <w:p w14:paraId="10BD4BD7" w14:textId="77777777" w:rsidR="003E76BE" w:rsidRPr="0098262F" w:rsidRDefault="003E76BE">
            <w:pPr>
              <w:pStyle w:val="In-tableHeading"/>
            </w:pPr>
            <w:r w:rsidRPr="005729D9">
              <w:t>Publication citation</w:t>
            </w:r>
          </w:p>
        </w:tc>
      </w:tr>
      <w:tr w:rsidR="00C868E8" w:rsidRPr="0098262F" w14:paraId="44E49E9F" w14:textId="77777777">
        <w:trPr>
          <w:cantSplit/>
        </w:trPr>
        <w:tc>
          <w:tcPr>
            <w:tcW w:w="860" w:type="pct"/>
            <w:vMerge w:val="restart"/>
          </w:tcPr>
          <w:p w14:paraId="00D6967A" w14:textId="77777777" w:rsidR="00C868E8" w:rsidRPr="000D0BAD" w:rsidRDefault="00C868E8" w:rsidP="00F55455">
            <w:pPr>
              <w:pStyle w:val="PBACTabletext"/>
              <w:keepNext w:val="0"/>
              <w:spacing w:after="0"/>
              <w:rPr>
                <w:b/>
                <w:bCs/>
                <w:szCs w:val="20"/>
                <w:lang w:eastAsia="en-AU"/>
              </w:rPr>
            </w:pPr>
            <w:r w:rsidRPr="000D0BAD">
              <w:rPr>
                <w:b/>
                <w:bCs/>
                <w:szCs w:val="20"/>
                <w:lang w:eastAsia="en-AU"/>
              </w:rPr>
              <w:t>HIMALAYA</w:t>
            </w:r>
          </w:p>
          <w:p w14:paraId="43576A36" w14:textId="77777777" w:rsidR="00C868E8" w:rsidRPr="0098262F" w:rsidRDefault="00C868E8">
            <w:pPr>
              <w:pStyle w:val="TableText0"/>
            </w:pPr>
            <w:r>
              <w:rPr>
                <w:szCs w:val="20"/>
              </w:rPr>
              <w:t>(</w:t>
            </w:r>
            <w:r w:rsidRPr="005729D9">
              <w:rPr>
                <w:szCs w:val="20"/>
              </w:rPr>
              <w:t>NCT03298451</w:t>
            </w:r>
            <w:r>
              <w:rPr>
                <w:szCs w:val="20"/>
              </w:rPr>
              <w:t>)</w:t>
            </w:r>
          </w:p>
        </w:tc>
        <w:tc>
          <w:tcPr>
            <w:tcW w:w="3287" w:type="pct"/>
            <w:tcBorders>
              <w:bottom w:val="single" w:sz="4" w:space="0" w:color="auto"/>
            </w:tcBorders>
            <w:vAlign w:val="center"/>
          </w:tcPr>
          <w:p w14:paraId="0B9273B0" w14:textId="77777777" w:rsidR="00C868E8" w:rsidRPr="0098262F" w:rsidRDefault="00C868E8">
            <w:pPr>
              <w:pStyle w:val="TableText0"/>
            </w:pPr>
            <w:r w:rsidRPr="005729D9">
              <w:rPr>
                <w:rFonts w:eastAsia="TimesNewRoman"/>
                <w:szCs w:val="20"/>
              </w:rPr>
              <w:t xml:space="preserve">Clinical Study Report: Final analysis </w:t>
            </w:r>
          </w:p>
        </w:tc>
        <w:tc>
          <w:tcPr>
            <w:tcW w:w="853" w:type="pct"/>
            <w:tcBorders>
              <w:bottom w:val="single" w:sz="4" w:space="0" w:color="auto"/>
            </w:tcBorders>
          </w:tcPr>
          <w:p w14:paraId="0C6CCC41" w14:textId="77777777" w:rsidR="00C868E8" w:rsidRPr="0098262F" w:rsidRDefault="00C868E8">
            <w:pPr>
              <w:pStyle w:val="TableText0"/>
              <w:rPr>
                <w:rFonts w:ascii="Times" w:hAnsi="Times"/>
              </w:rPr>
            </w:pPr>
            <w:r>
              <w:t>August 2021</w:t>
            </w:r>
            <w:r w:rsidRPr="005729D9">
              <w:t xml:space="preserve"> </w:t>
            </w:r>
          </w:p>
        </w:tc>
      </w:tr>
      <w:tr w:rsidR="00C868E8" w:rsidRPr="0098262F" w14:paraId="39149BD2" w14:textId="77777777">
        <w:trPr>
          <w:cantSplit/>
        </w:trPr>
        <w:tc>
          <w:tcPr>
            <w:tcW w:w="860" w:type="pct"/>
            <w:vMerge/>
          </w:tcPr>
          <w:p w14:paraId="11A61EC5" w14:textId="77777777" w:rsidR="00C868E8" w:rsidRPr="0098262F" w:rsidRDefault="00C868E8">
            <w:pPr>
              <w:pStyle w:val="TableText0"/>
            </w:pPr>
          </w:p>
        </w:tc>
        <w:tc>
          <w:tcPr>
            <w:tcW w:w="3287" w:type="pct"/>
            <w:tcBorders>
              <w:top w:val="single" w:sz="4" w:space="0" w:color="auto"/>
              <w:bottom w:val="single" w:sz="4" w:space="0" w:color="auto"/>
            </w:tcBorders>
            <w:vAlign w:val="center"/>
          </w:tcPr>
          <w:p w14:paraId="2CF71959" w14:textId="77777777" w:rsidR="00C868E8" w:rsidRPr="0098262F" w:rsidRDefault="00C868E8">
            <w:pPr>
              <w:pStyle w:val="TableText0"/>
            </w:pPr>
            <w:r w:rsidRPr="005729D9">
              <w:rPr>
                <w:rFonts w:eastAsia="TimesNewRoman"/>
                <w:szCs w:val="20"/>
              </w:rPr>
              <w:t xml:space="preserve">LTFU1: Long-term follow-up analysis tables and figures </w:t>
            </w:r>
          </w:p>
        </w:tc>
        <w:tc>
          <w:tcPr>
            <w:tcW w:w="853" w:type="pct"/>
            <w:tcBorders>
              <w:top w:val="single" w:sz="4" w:space="0" w:color="auto"/>
              <w:bottom w:val="single" w:sz="4" w:space="0" w:color="auto"/>
            </w:tcBorders>
          </w:tcPr>
          <w:p w14:paraId="1E944480" w14:textId="77777777" w:rsidR="00C868E8" w:rsidRPr="0098262F" w:rsidRDefault="00C868E8">
            <w:pPr>
              <w:pStyle w:val="TableText0"/>
            </w:pPr>
            <w:r>
              <w:t>January 2023</w:t>
            </w:r>
            <w:r w:rsidRPr="005729D9">
              <w:t xml:space="preserve"> </w:t>
            </w:r>
          </w:p>
        </w:tc>
      </w:tr>
      <w:tr w:rsidR="00C868E8" w:rsidRPr="0098262F" w14:paraId="33BBF495" w14:textId="77777777">
        <w:trPr>
          <w:cantSplit/>
        </w:trPr>
        <w:tc>
          <w:tcPr>
            <w:tcW w:w="860" w:type="pct"/>
            <w:vMerge/>
          </w:tcPr>
          <w:p w14:paraId="66AA9F67" w14:textId="77777777" w:rsidR="00C868E8" w:rsidRPr="0098262F" w:rsidRDefault="00C868E8">
            <w:pPr>
              <w:pStyle w:val="TableText0"/>
            </w:pPr>
          </w:p>
        </w:tc>
        <w:tc>
          <w:tcPr>
            <w:tcW w:w="3287" w:type="pct"/>
            <w:tcBorders>
              <w:top w:val="single" w:sz="4" w:space="0" w:color="auto"/>
              <w:bottom w:val="single" w:sz="4" w:space="0" w:color="auto"/>
            </w:tcBorders>
            <w:vAlign w:val="center"/>
          </w:tcPr>
          <w:p w14:paraId="3AB223A3" w14:textId="77777777" w:rsidR="00C868E8" w:rsidRPr="0098262F" w:rsidRDefault="00C868E8">
            <w:pPr>
              <w:pStyle w:val="TableText0"/>
            </w:pPr>
            <w:proofErr w:type="spellStart"/>
            <w:r w:rsidRPr="005729D9">
              <w:rPr>
                <w:szCs w:val="20"/>
              </w:rPr>
              <w:t>Rimassa</w:t>
            </w:r>
            <w:proofErr w:type="spellEnd"/>
            <w:r w:rsidRPr="005729D9">
              <w:rPr>
                <w:szCs w:val="20"/>
              </w:rPr>
              <w:t xml:space="preserve"> et al., Five-year overall survival (OS) and OS by tumour response measures from the Phase 3 HIMALAYA study of tremelimumab plus durvalumab in unresectable hepatocellular carcinoma</w:t>
            </w:r>
            <w:r>
              <w:rPr>
                <w:szCs w:val="20"/>
              </w:rPr>
              <w:t xml:space="preserve"> </w:t>
            </w:r>
            <w:r w:rsidRPr="005729D9">
              <w:rPr>
                <w:szCs w:val="20"/>
              </w:rPr>
              <w:t>(</w:t>
            </w:r>
            <w:proofErr w:type="spellStart"/>
            <w:r w:rsidRPr="005729D9">
              <w:rPr>
                <w:szCs w:val="20"/>
              </w:rPr>
              <w:t>uHCC</w:t>
            </w:r>
            <w:proofErr w:type="spellEnd"/>
            <w:r w:rsidRPr="005729D9">
              <w:rPr>
                <w:szCs w:val="20"/>
              </w:rPr>
              <w:t xml:space="preserve">). </w:t>
            </w:r>
          </w:p>
        </w:tc>
        <w:tc>
          <w:tcPr>
            <w:tcW w:w="853" w:type="pct"/>
            <w:tcBorders>
              <w:top w:val="single" w:sz="4" w:space="0" w:color="auto"/>
              <w:bottom w:val="single" w:sz="4" w:space="0" w:color="auto"/>
            </w:tcBorders>
          </w:tcPr>
          <w:p w14:paraId="5F0DE94C" w14:textId="2129972B" w:rsidR="00C868E8" w:rsidRPr="0098262F" w:rsidRDefault="00C868E8">
            <w:pPr>
              <w:pStyle w:val="TableText0"/>
              <w:rPr>
                <w:i/>
              </w:rPr>
            </w:pPr>
            <w:r w:rsidRPr="005729D9">
              <w:t>ESMO</w:t>
            </w:r>
            <w:r>
              <w:t>.</w:t>
            </w:r>
            <w:r w:rsidR="000D083B">
              <w:t xml:space="preserve"> </w:t>
            </w:r>
            <w:r w:rsidRPr="005729D9">
              <w:t>September 2024</w:t>
            </w:r>
          </w:p>
        </w:tc>
      </w:tr>
      <w:tr w:rsidR="00C868E8" w:rsidRPr="0098262F" w14:paraId="08C00AE3" w14:textId="77777777">
        <w:trPr>
          <w:cantSplit/>
        </w:trPr>
        <w:tc>
          <w:tcPr>
            <w:tcW w:w="860" w:type="pct"/>
            <w:vMerge/>
          </w:tcPr>
          <w:p w14:paraId="4CA2C827" w14:textId="77777777" w:rsidR="00C868E8" w:rsidRPr="0098262F" w:rsidRDefault="00C868E8">
            <w:pPr>
              <w:pStyle w:val="TableText0"/>
              <w:rPr>
                <w:rFonts w:ascii="Times" w:hAnsi="Times"/>
              </w:rPr>
            </w:pPr>
          </w:p>
        </w:tc>
        <w:tc>
          <w:tcPr>
            <w:tcW w:w="3287" w:type="pct"/>
            <w:tcBorders>
              <w:top w:val="single" w:sz="4" w:space="0" w:color="auto"/>
              <w:bottom w:val="single" w:sz="4" w:space="0" w:color="auto"/>
            </w:tcBorders>
          </w:tcPr>
          <w:p w14:paraId="1BE559B6" w14:textId="77777777" w:rsidR="00C868E8" w:rsidRPr="0098262F" w:rsidRDefault="00C868E8">
            <w:pPr>
              <w:pStyle w:val="TableText0"/>
              <w:rPr>
                <w:rFonts w:ascii="Times" w:hAnsi="Times"/>
              </w:rPr>
            </w:pPr>
            <w:r w:rsidRPr="005729D9">
              <w:rPr>
                <w:szCs w:val="20"/>
              </w:rPr>
              <w:t xml:space="preserve">Clinical Study Protocol v7 </w:t>
            </w:r>
          </w:p>
        </w:tc>
        <w:tc>
          <w:tcPr>
            <w:tcW w:w="853" w:type="pct"/>
            <w:tcBorders>
              <w:bottom w:val="single" w:sz="4" w:space="0" w:color="auto"/>
            </w:tcBorders>
          </w:tcPr>
          <w:p w14:paraId="48AF50EA" w14:textId="77777777" w:rsidR="00C868E8" w:rsidRPr="0098262F" w:rsidRDefault="00C868E8">
            <w:pPr>
              <w:pStyle w:val="TableText0"/>
            </w:pPr>
            <w:r>
              <w:t>September 2022</w:t>
            </w:r>
          </w:p>
        </w:tc>
      </w:tr>
      <w:tr w:rsidR="00C868E8" w:rsidRPr="0098262F" w14:paraId="2D1171D3" w14:textId="77777777">
        <w:trPr>
          <w:cantSplit/>
        </w:trPr>
        <w:tc>
          <w:tcPr>
            <w:tcW w:w="860" w:type="pct"/>
            <w:vMerge/>
          </w:tcPr>
          <w:p w14:paraId="4A6E4CD4" w14:textId="77777777" w:rsidR="00C868E8" w:rsidRPr="0098262F" w:rsidRDefault="00C868E8">
            <w:pPr>
              <w:pStyle w:val="TableText0"/>
            </w:pPr>
          </w:p>
        </w:tc>
        <w:tc>
          <w:tcPr>
            <w:tcW w:w="3287" w:type="pct"/>
            <w:tcBorders>
              <w:top w:val="single" w:sz="4" w:space="0" w:color="auto"/>
              <w:bottom w:val="single" w:sz="4" w:space="0" w:color="auto"/>
            </w:tcBorders>
          </w:tcPr>
          <w:p w14:paraId="04863ADC" w14:textId="77777777" w:rsidR="00C868E8" w:rsidRPr="0098262F" w:rsidRDefault="00C868E8">
            <w:pPr>
              <w:pStyle w:val="TableText0"/>
            </w:pPr>
            <w:r w:rsidRPr="005729D9">
              <w:rPr>
                <w:szCs w:val="20"/>
                <w:lang w:val="da-DK"/>
              </w:rPr>
              <w:t xml:space="preserve">Abou-Alfa, GK, Lau, G, Kudo, M, et al. </w:t>
            </w:r>
            <w:r w:rsidRPr="005729D9">
              <w:rPr>
                <w:szCs w:val="20"/>
              </w:rPr>
              <w:t xml:space="preserve">(2022). Tremelimumab plus Durvalumab in Unresectable Hepatocellular Carcinoma. </w:t>
            </w:r>
          </w:p>
        </w:tc>
        <w:tc>
          <w:tcPr>
            <w:tcW w:w="853" w:type="pct"/>
            <w:tcBorders>
              <w:top w:val="single" w:sz="4" w:space="0" w:color="auto"/>
              <w:bottom w:val="single" w:sz="4" w:space="0" w:color="auto"/>
            </w:tcBorders>
          </w:tcPr>
          <w:p w14:paraId="2C8CB53B" w14:textId="77777777" w:rsidR="00C868E8" w:rsidRPr="0098262F" w:rsidRDefault="00C868E8">
            <w:pPr>
              <w:pStyle w:val="TableText0"/>
              <w:rPr>
                <w:i/>
              </w:rPr>
            </w:pPr>
            <w:r w:rsidRPr="005729D9">
              <w:t>NEJM Evid, 1(8)</w:t>
            </w:r>
            <w:r>
              <w:t>. 2022</w:t>
            </w:r>
            <w:r w:rsidRPr="005729D9">
              <w:t>.</w:t>
            </w:r>
          </w:p>
        </w:tc>
      </w:tr>
      <w:tr w:rsidR="00C868E8" w:rsidRPr="0098262F" w14:paraId="4487B7A2" w14:textId="77777777">
        <w:trPr>
          <w:cantSplit/>
        </w:trPr>
        <w:tc>
          <w:tcPr>
            <w:tcW w:w="860" w:type="pct"/>
            <w:vMerge/>
          </w:tcPr>
          <w:p w14:paraId="114879E1" w14:textId="77777777" w:rsidR="00C868E8" w:rsidRPr="0098262F" w:rsidRDefault="00C868E8">
            <w:pPr>
              <w:pStyle w:val="TableText0"/>
            </w:pPr>
          </w:p>
        </w:tc>
        <w:tc>
          <w:tcPr>
            <w:tcW w:w="3287" w:type="pct"/>
            <w:tcBorders>
              <w:top w:val="single" w:sz="4" w:space="0" w:color="auto"/>
              <w:bottom w:val="single" w:sz="4" w:space="0" w:color="auto"/>
            </w:tcBorders>
          </w:tcPr>
          <w:p w14:paraId="2478787E" w14:textId="3279F02A" w:rsidR="00C868E8" w:rsidRPr="0098262F" w:rsidRDefault="00C868E8">
            <w:pPr>
              <w:pStyle w:val="TableText0"/>
            </w:pPr>
            <w:r w:rsidRPr="005729D9">
              <w:rPr>
                <w:szCs w:val="20"/>
                <w:lang w:val="da-DK"/>
              </w:rPr>
              <w:t>Sangro, B, Chan, SL, Kelley, RK, et al.</w:t>
            </w:r>
            <w:r w:rsidR="000D083B">
              <w:rPr>
                <w:szCs w:val="20"/>
                <w:lang w:val="da-DK"/>
              </w:rPr>
              <w:t xml:space="preserve"> </w:t>
            </w:r>
            <w:r w:rsidRPr="005729D9">
              <w:rPr>
                <w:szCs w:val="20"/>
              </w:rPr>
              <w:t xml:space="preserve">Four-year overall survival update from the phase III HIMALAYA study of tremelimumab plus durvalumab in unresectable hepatocellular carcinoma </w:t>
            </w:r>
          </w:p>
        </w:tc>
        <w:tc>
          <w:tcPr>
            <w:tcW w:w="853" w:type="pct"/>
            <w:tcBorders>
              <w:top w:val="single" w:sz="4" w:space="0" w:color="auto"/>
              <w:bottom w:val="single" w:sz="4" w:space="0" w:color="auto"/>
            </w:tcBorders>
          </w:tcPr>
          <w:p w14:paraId="3CB345C0" w14:textId="77777777" w:rsidR="00C868E8" w:rsidRPr="0098262F" w:rsidRDefault="00C868E8">
            <w:pPr>
              <w:pStyle w:val="TableText0"/>
              <w:rPr>
                <w:rFonts w:ascii="Times" w:hAnsi="Times"/>
              </w:rPr>
            </w:pPr>
            <w:r w:rsidRPr="0061555D">
              <w:rPr>
                <w:i/>
                <w:iCs/>
              </w:rPr>
              <w:t>Annals of oncology: official journal of the European Society for Medical Oncology</w:t>
            </w:r>
            <w:r w:rsidRPr="005729D9">
              <w:t>, 35(5), 448</w:t>
            </w:r>
            <w:r w:rsidRPr="005729D9">
              <w:rPr>
                <w:rFonts w:ascii="Cambria Math" w:hAnsi="Cambria Math" w:cs="Cambria Math"/>
              </w:rPr>
              <w:t>‐</w:t>
            </w:r>
            <w:r w:rsidRPr="005729D9">
              <w:t>457.</w:t>
            </w:r>
            <w:r>
              <w:t xml:space="preserve"> 2024</w:t>
            </w:r>
          </w:p>
        </w:tc>
      </w:tr>
      <w:tr w:rsidR="00C868E8" w:rsidRPr="0098262F" w14:paraId="67D7FCFF" w14:textId="77777777">
        <w:trPr>
          <w:cantSplit/>
        </w:trPr>
        <w:tc>
          <w:tcPr>
            <w:tcW w:w="860" w:type="pct"/>
            <w:vMerge/>
          </w:tcPr>
          <w:p w14:paraId="259C965F" w14:textId="77777777" w:rsidR="00C868E8" w:rsidRPr="0098262F" w:rsidRDefault="00C868E8">
            <w:pPr>
              <w:pStyle w:val="TableText0"/>
            </w:pPr>
          </w:p>
        </w:tc>
        <w:tc>
          <w:tcPr>
            <w:tcW w:w="3287" w:type="pct"/>
            <w:tcBorders>
              <w:bottom w:val="single" w:sz="4" w:space="0" w:color="auto"/>
            </w:tcBorders>
          </w:tcPr>
          <w:p w14:paraId="03419029" w14:textId="77777777" w:rsidR="00C868E8" w:rsidRPr="0098262F" w:rsidRDefault="00C868E8">
            <w:pPr>
              <w:pStyle w:val="TableText0"/>
              <w:rPr>
                <w:rFonts w:ascii="Times" w:hAnsi="Times"/>
              </w:rPr>
            </w:pPr>
            <w:r w:rsidRPr="005729D9">
              <w:rPr>
                <w:szCs w:val="20"/>
                <w:lang w:val="da-DK"/>
              </w:rPr>
              <w:t xml:space="preserve">Sangro, B, Galle, PR, Kelley, RK, et al. </w:t>
            </w:r>
            <w:r w:rsidRPr="005729D9">
              <w:rPr>
                <w:szCs w:val="20"/>
              </w:rPr>
              <w:t xml:space="preserve">Patient-Reported Outcomes From the Phase III HIMALAYA Study of Tremelimumab Plus Durvalumab in Unresectable Hepatocellular Carcinoma [Article in Press] </w:t>
            </w:r>
          </w:p>
        </w:tc>
        <w:tc>
          <w:tcPr>
            <w:tcW w:w="853" w:type="pct"/>
            <w:tcBorders>
              <w:bottom w:val="single" w:sz="4" w:space="0" w:color="auto"/>
            </w:tcBorders>
          </w:tcPr>
          <w:p w14:paraId="7A60699B" w14:textId="77777777" w:rsidR="000D083B" w:rsidRDefault="00C868E8">
            <w:pPr>
              <w:pStyle w:val="TableText0"/>
            </w:pPr>
            <w:r>
              <w:t>2024</w:t>
            </w:r>
          </w:p>
          <w:p w14:paraId="20974FAA" w14:textId="20766DD6" w:rsidR="00C868E8" w:rsidRPr="0098262F" w:rsidRDefault="00C868E8">
            <w:pPr>
              <w:pStyle w:val="TableText0"/>
              <w:rPr>
                <w:rFonts w:ascii="Times" w:hAnsi="Times"/>
              </w:rPr>
            </w:pPr>
            <w:r w:rsidRPr="0061555D">
              <w:rPr>
                <w:i/>
                <w:iCs/>
              </w:rPr>
              <w:t>Journal of clinical oncology</w:t>
            </w:r>
            <w:r>
              <w:t xml:space="preserve">. </w:t>
            </w:r>
          </w:p>
        </w:tc>
      </w:tr>
      <w:tr w:rsidR="00315BB2" w:rsidRPr="0098262F" w14:paraId="6B8A095C" w14:textId="77777777">
        <w:trPr>
          <w:cantSplit/>
        </w:trPr>
        <w:tc>
          <w:tcPr>
            <w:tcW w:w="860" w:type="pct"/>
            <w:vMerge w:val="restart"/>
          </w:tcPr>
          <w:p w14:paraId="391C4290" w14:textId="77777777" w:rsidR="00315BB2" w:rsidRPr="000D0BAD" w:rsidRDefault="00315BB2">
            <w:pPr>
              <w:pStyle w:val="TableText0"/>
              <w:rPr>
                <w:b/>
                <w:bCs w:val="0"/>
                <w:szCs w:val="20"/>
              </w:rPr>
            </w:pPr>
            <w:r w:rsidRPr="000D0BAD">
              <w:rPr>
                <w:b/>
                <w:bCs w:val="0"/>
                <w:szCs w:val="20"/>
              </w:rPr>
              <w:t>IMBRAVE150</w:t>
            </w:r>
          </w:p>
          <w:p w14:paraId="0C3257AC" w14:textId="77777777" w:rsidR="00315BB2" w:rsidRPr="0098262F" w:rsidRDefault="00315BB2">
            <w:pPr>
              <w:pStyle w:val="Tabletext"/>
              <w:keepLines/>
            </w:pPr>
            <w:r>
              <w:rPr>
                <w:szCs w:val="20"/>
              </w:rPr>
              <w:t>(</w:t>
            </w:r>
            <w:r w:rsidRPr="006726F8">
              <w:rPr>
                <w:szCs w:val="20"/>
              </w:rPr>
              <w:t>NCT03434379</w:t>
            </w:r>
            <w:r>
              <w:rPr>
                <w:szCs w:val="20"/>
              </w:rPr>
              <w:t>)</w:t>
            </w:r>
          </w:p>
        </w:tc>
        <w:tc>
          <w:tcPr>
            <w:tcW w:w="3287" w:type="pct"/>
            <w:tcBorders>
              <w:top w:val="nil"/>
              <w:bottom w:val="single" w:sz="4" w:space="0" w:color="auto"/>
            </w:tcBorders>
            <w:shd w:val="clear" w:color="auto" w:fill="B8CCE4" w:themeFill="accent1" w:themeFillTint="66"/>
          </w:tcPr>
          <w:p w14:paraId="025A0E4C" w14:textId="77777777" w:rsidR="00315BB2" w:rsidRPr="006726F8" w:rsidRDefault="00315BB2">
            <w:pPr>
              <w:pStyle w:val="TableText0"/>
              <w:rPr>
                <w:szCs w:val="20"/>
                <w:lang w:val="da-DK"/>
              </w:rPr>
            </w:pPr>
            <w:r w:rsidRPr="006726F8">
              <w:rPr>
                <w:szCs w:val="20"/>
                <w:lang w:val="da-DK"/>
              </w:rPr>
              <w:t xml:space="preserve">Finn, RS, Qin, S, Ikeda, M, et al. </w:t>
            </w:r>
            <w:r w:rsidRPr="006726F8">
              <w:rPr>
                <w:szCs w:val="20"/>
              </w:rPr>
              <w:t xml:space="preserve">Atezolizumab plus Bevacizumab in Unresectable Hepatocellular Carcinoma </w:t>
            </w:r>
          </w:p>
        </w:tc>
        <w:tc>
          <w:tcPr>
            <w:tcW w:w="853" w:type="pct"/>
            <w:tcBorders>
              <w:top w:val="single" w:sz="4" w:space="0" w:color="auto"/>
              <w:bottom w:val="single" w:sz="4" w:space="0" w:color="auto"/>
            </w:tcBorders>
            <w:shd w:val="clear" w:color="auto" w:fill="B8CCE4" w:themeFill="accent1" w:themeFillTint="66"/>
          </w:tcPr>
          <w:p w14:paraId="53E31E8C" w14:textId="77777777" w:rsidR="00315BB2" w:rsidRDefault="00315BB2">
            <w:pPr>
              <w:pStyle w:val="TableText0"/>
              <w:rPr>
                <w:i/>
                <w:iCs/>
              </w:rPr>
            </w:pPr>
            <w:r w:rsidRPr="006726F8">
              <w:t>2020</w:t>
            </w:r>
          </w:p>
          <w:p w14:paraId="4B17CFC1" w14:textId="77777777" w:rsidR="00315BB2" w:rsidRPr="006726F8" w:rsidRDefault="00315BB2">
            <w:pPr>
              <w:pStyle w:val="TableText0"/>
            </w:pPr>
            <w:r w:rsidRPr="0061555D">
              <w:rPr>
                <w:i/>
                <w:iCs/>
              </w:rPr>
              <w:t>N Engl J Med</w:t>
            </w:r>
            <w:r w:rsidRPr="006726F8">
              <w:t xml:space="preserve">, 382(20)., 1894-1905. </w:t>
            </w:r>
          </w:p>
        </w:tc>
      </w:tr>
      <w:tr w:rsidR="00315BB2" w:rsidRPr="0098262F" w14:paraId="5B8A2B9B" w14:textId="77777777">
        <w:trPr>
          <w:cantSplit/>
        </w:trPr>
        <w:tc>
          <w:tcPr>
            <w:tcW w:w="860" w:type="pct"/>
            <w:vMerge/>
          </w:tcPr>
          <w:p w14:paraId="2995FDFE" w14:textId="77777777" w:rsidR="00315BB2" w:rsidRPr="006726F8" w:rsidRDefault="00315BB2">
            <w:pPr>
              <w:rPr>
                <w:sz w:val="20"/>
                <w:szCs w:val="20"/>
              </w:rPr>
            </w:pPr>
          </w:p>
        </w:tc>
        <w:tc>
          <w:tcPr>
            <w:tcW w:w="3287" w:type="pct"/>
            <w:tcBorders>
              <w:top w:val="nil"/>
              <w:bottom w:val="single" w:sz="4" w:space="0" w:color="auto"/>
            </w:tcBorders>
            <w:shd w:val="clear" w:color="auto" w:fill="B8CCE4" w:themeFill="accent1" w:themeFillTint="66"/>
          </w:tcPr>
          <w:p w14:paraId="7A3DBE94" w14:textId="0EC6A180" w:rsidR="00315BB2" w:rsidRPr="006726F8" w:rsidRDefault="00315BB2">
            <w:pPr>
              <w:pStyle w:val="TableText0"/>
              <w:rPr>
                <w:szCs w:val="20"/>
                <w:lang w:val="da-DK"/>
              </w:rPr>
            </w:pPr>
            <w:r w:rsidRPr="006726F8">
              <w:rPr>
                <w:szCs w:val="20"/>
                <w:lang w:val="da-DK"/>
              </w:rPr>
              <w:t xml:space="preserve">Cheng, AL, Qin, S, Ikeda, M, et al. </w:t>
            </w:r>
            <w:r w:rsidRPr="006726F8">
              <w:rPr>
                <w:szCs w:val="20"/>
              </w:rPr>
              <w:t>Updated efficacy and safety data from IMbrave150: Atezolizumab plus bevacizumab vs</w:t>
            </w:r>
            <w:r>
              <w:rPr>
                <w:szCs w:val="20"/>
              </w:rPr>
              <w:t xml:space="preserve"> </w:t>
            </w:r>
            <w:r w:rsidRPr="006726F8">
              <w:rPr>
                <w:szCs w:val="20"/>
              </w:rPr>
              <w:t xml:space="preserve">sorafenib for unresectable hepatocellular carcinoma </w:t>
            </w:r>
          </w:p>
        </w:tc>
        <w:tc>
          <w:tcPr>
            <w:tcW w:w="853" w:type="pct"/>
            <w:tcBorders>
              <w:top w:val="single" w:sz="4" w:space="0" w:color="auto"/>
              <w:bottom w:val="single" w:sz="4" w:space="0" w:color="auto"/>
            </w:tcBorders>
            <w:shd w:val="clear" w:color="auto" w:fill="B8CCE4" w:themeFill="accent1" w:themeFillTint="66"/>
          </w:tcPr>
          <w:p w14:paraId="2DC534A5" w14:textId="77777777" w:rsidR="00315BB2" w:rsidRDefault="00315BB2">
            <w:pPr>
              <w:pStyle w:val="TableText0"/>
            </w:pPr>
            <w:r w:rsidRPr="006726F8">
              <w:t>2022</w:t>
            </w:r>
          </w:p>
          <w:p w14:paraId="0181619B" w14:textId="77777777" w:rsidR="00315BB2" w:rsidRPr="006726F8" w:rsidRDefault="00315BB2">
            <w:pPr>
              <w:pStyle w:val="TableText0"/>
            </w:pPr>
            <w:r w:rsidRPr="0061555D">
              <w:rPr>
                <w:i/>
                <w:iCs/>
              </w:rPr>
              <w:t>J Hepatol</w:t>
            </w:r>
            <w:r w:rsidRPr="006726F8">
              <w:t xml:space="preserve">, 76(4)., 862-873. </w:t>
            </w:r>
          </w:p>
        </w:tc>
      </w:tr>
      <w:tr w:rsidR="00315BB2" w:rsidRPr="0098262F" w14:paraId="68BD1761" w14:textId="77777777">
        <w:trPr>
          <w:cantSplit/>
        </w:trPr>
        <w:tc>
          <w:tcPr>
            <w:tcW w:w="860" w:type="pct"/>
            <w:vMerge/>
          </w:tcPr>
          <w:p w14:paraId="4B8FF2F1" w14:textId="77777777" w:rsidR="00315BB2" w:rsidRPr="006726F8" w:rsidRDefault="00315BB2">
            <w:pPr>
              <w:rPr>
                <w:sz w:val="20"/>
                <w:szCs w:val="20"/>
              </w:rPr>
            </w:pPr>
          </w:p>
        </w:tc>
        <w:tc>
          <w:tcPr>
            <w:tcW w:w="3287" w:type="pct"/>
            <w:tcBorders>
              <w:top w:val="nil"/>
              <w:bottom w:val="single" w:sz="4" w:space="0" w:color="auto"/>
            </w:tcBorders>
            <w:shd w:val="clear" w:color="auto" w:fill="B8CCE4" w:themeFill="accent1" w:themeFillTint="66"/>
          </w:tcPr>
          <w:p w14:paraId="6C67E92E" w14:textId="77777777" w:rsidR="00315BB2" w:rsidRPr="006726F8" w:rsidRDefault="00315BB2">
            <w:pPr>
              <w:pStyle w:val="TableText0"/>
              <w:rPr>
                <w:szCs w:val="20"/>
              </w:rPr>
            </w:pPr>
            <w:r w:rsidRPr="006726F8">
              <w:rPr>
                <w:szCs w:val="20"/>
                <w:lang w:val="da-DK"/>
              </w:rPr>
              <w:t xml:space="preserve">Galle, PR, Finn, RS, Qin, S, et al. </w:t>
            </w:r>
            <w:r w:rsidRPr="006726F8">
              <w:rPr>
                <w:szCs w:val="20"/>
              </w:rPr>
              <w:t xml:space="preserve">Patient-reported outcomes with atezolizumab plus bevacizumab versus sorafenib in patients with unresectable hepatocellular carcinoma (IMbrave150): an open-label, randomised, phase 3 trial </w:t>
            </w:r>
          </w:p>
        </w:tc>
        <w:tc>
          <w:tcPr>
            <w:tcW w:w="853" w:type="pct"/>
            <w:tcBorders>
              <w:top w:val="single" w:sz="4" w:space="0" w:color="auto"/>
              <w:bottom w:val="single" w:sz="4" w:space="0" w:color="auto"/>
            </w:tcBorders>
            <w:shd w:val="clear" w:color="auto" w:fill="B8CCE4" w:themeFill="accent1" w:themeFillTint="66"/>
          </w:tcPr>
          <w:p w14:paraId="69697D8C" w14:textId="77777777" w:rsidR="00315BB2" w:rsidRDefault="00315BB2">
            <w:pPr>
              <w:pStyle w:val="TableText0"/>
              <w:rPr>
                <w:i/>
                <w:iCs/>
              </w:rPr>
            </w:pPr>
            <w:r w:rsidRPr="006726F8">
              <w:t>2021</w:t>
            </w:r>
          </w:p>
          <w:p w14:paraId="0F025D2C" w14:textId="77777777" w:rsidR="00315BB2" w:rsidRPr="006726F8" w:rsidRDefault="00315BB2">
            <w:pPr>
              <w:pStyle w:val="TableText0"/>
            </w:pPr>
            <w:r w:rsidRPr="0061555D">
              <w:rPr>
                <w:i/>
                <w:iCs/>
              </w:rPr>
              <w:t>Lancet Oncol</w:t>
            </w:r>
            <w:r w:rsidRPr="006726F8">
              <w:t>, 22(7)., 991-1001.</w:t>
            </w:r>
          </w:p>
        </w:tc>
      </w:tr>
      <w:tr w:rsidR="00315BB2" w:rsidRPr="0098262F" w14:paraId="1536BFC0" w14:textId="77777777">
        <w:trPr>
          <w:cantSplit/>
        </w:trPr>
        <w:tc>
          <w:tcPr>
            <w:tcW w:w="860" w:type="pct"/>
            <w:vMerge/>
          </w:tcPr>
          <w:p w14:paraId="3936DF7F" w14:textId="77777777" w:rsidR="00315BB2" w:rsidRPr="006726F8" w:rsidRDefault="00315BB2">
            <w:pPr>
              <w:rPr>
                <w:sz w:val="20"/>
                <w:szCs w:val="20"/>
              </w:rPr>
            </w:pPr>
          </w:p>
        </w:tc>
        <w:tc>
          <w:tcPr>
            <w:tcW w:w="3287" w:type="pct"/>
            <w:tcBorders>
              <w:top w:val="nil"/>
              <w:bottom w:val="single" w:sz="4" w:space="0" w:color="auto"/>
            </w:tcBorders>
          </w:tcPr>
          <w:p w14:paraId="0928DD43" w14:textId="77777777" w:rsidR="00315BB2" w:rsidRPr="006726F8" w:rsidRDefault="00315BB2">
            <w:pPr>
              <w:pStyle w:val="TableText0"/>
              <w:rPr>
                <w:szCs w:val="20"/>
                <w:lang w:val="da-DK"/>
              </w:rPr>
            </w:pPr>
            <w:r w:rsidRPr="006726F8">
              <w:rPr>
                <w:szCs w:val="20"/>
                <w:lang w:val="da-DK"/>
              </w:rPr>
              <w:t xml:space="preserve">Kudo, M, Finn, RS, Galle, PR, et al. </w:t>
            </w:r>
            <w:r w:rsidRPr="006726F8">
              <w:rPr>
                <w:szCs w:val="20"/>
              </w:rPr>
              <w:t xml:space="preserve">IMbrave150: Efficacy and Safety of Atezolizumab plus Bevacizumab versus Sorafenib in Patients with Barcelona Clinic Liver Cancer Stage B Unresectable Hepatocellular Carcinoma: An Exploratory Analysis of the Phase III Study </w:t>
            </w:r>
          </w:p>
        </w:tc>
        <w:tc>
          <w:tcPr>
            <w:tcW w:w="853" w:type="pct"/>
            <w:tcBorders>
              <w:top w:val="single" w:sz="4" w:space="0" w:color="auto"/>
              <w:bottom w:val="single" w:sz="4" w:space="0" w:color="auto"/>
            </w:tcBorders>
          </w:tcPr>
          <w:p w14:paraId="7FBD09CF" w14:textId="77777777" w:rsidR="00315BB2" w:rsidRDefault="00315BB2">
            <w:pPr>
              <w:pStyle w:val="TableText0"/>
              <w:rPr>
                <w:i/>
                <w:iCs/>
              </w:rPr>
            </w:pPr>
            <w:r w:rsidRPr="006726F8">
              <w:t>2023</w:t>
            </w:r>
          </w:p>
          <w:p w14:paraId="122E4C6D" w14:textId="77777777" w:rsidR="00315BB2" w:rsidRPr="006726F8" w:rsidRDefault="00315BB2">
            <w:pPr>
              <w:pStyle w:val="TableText0"/>
            </w:pPr>
            <w:r w:rsidRPr="0061555D">
              <w:rPr>
                <w:i/>
                <w:iCs/>
              </w:rPr>
              <w:t>Liver Cancer</w:t>
            </w:r>
            <w:r w:rsidRPr="006726F8">
              <w:t>, 12(3)., 238-250.</w:t>
            </w:r>
          </w:p>
        </w:tc>
      </w:tr>
    </w:tbl>
    <w:p w14:paraId="7A4B4D25" w14:textId="77777777" w:rsidR="003E76BE" w:rsidRPr="00B45857" w:rsidRDefault="003E76BE" w:rsidP="003D2FB9">
      <w:pPr>
        <w:pStyle w:val="TableFigureFooter"/>
      </w:pPr>
      <w:r w:rsidRPr="00B45857">
        <w:t>Source: Table 2-4, Table 2-6, pp 59-60 and pp 64-65 of the submission.</w:t>
      </w:r>
    </w:p>
    <w:p w14:paraId="35DB8731" w14:textId="77777777" w:rsidR="003E76BE" w:rsidRPr="00B45857" w:rsidRDefault="003E76BE" w:rsidP="003D2FB9">
      <w:pPr>
        <w:pStyle w:val="TableFigureFooter"/>
      </w:pPr>
      <w:r w:rsidRPr="00B45857">
        <w:t>Blue shading indicates data previously seen by the PBAC.</w:t>
      </w:r>
    </w:p>
    <w:p w14:paraId="3DF6766F" w14:textId="54A80C2C" w:rsidR="000D083B" w:rsidRDefault="003E76BE" w:rsidP="003E76BE">
      <w:pPr>
        <w:pStyle w:val="3-BodyText"/>
        <w:spacing w:before="0"/>
        <w:rPr>
          <w:i/>
          <w:iCs/>
        </w:rPr>
      </w:pPr>
      <w:r w:rsidRPr="0098262F">
        <w:t>The key features of the</w:t>
      </w:r>
      <w:r>
        <w:t xml:space="preserve"> </w:t>
      </w:r>
      <w:r w:rsidRPr="0098262F">
        <w:t xml:space="preserve">randomised trials are </w:t>
      </w:r>
      <w:r w:rsidRPr="00F104B4">
        <w:rPr>
          <w:rFonts w:cstheme="minorHAnsi"/>
          <w:szCs w:val="24"/>
        </w:rPr>
        <w:t>summarised in</w:t>
      </w:r>
      <w:r w:rsidR="00F104B4" w:rsidRPr="00F104B4">
        <w:rPr>
          <w:rFonts w:cstheme="minorHAnsi"/>
          <w:szCs w:val="24"/>
        </w:rPr>
        <w:t xml:space="preserve"> </w:t>
      </w:r>
      <w:r w:rsidR="00F104B4" w:rsidRPr="00F104B4">
        <w:rPr>
          <w:rFonts w:cstheme="minorHAnsi"/>
          <w:b/>
          <w:bCs/>
          <w:szCs w:val="24"/>
        </w:rPr>
        <w:fldChar w:fldCharType="begin"/>
      </w:r>
      <w:r w:rsidR="00F104B4" w:rsidRPr="00F104B4">
        <w:rPr>
          <w:rFonts w:cstheme="minorHAnsi"/>
          <w:b/>
          <w:bCs/>
          <w:szCs w:val="24"/>
        </w:rPr>
        <w:instrText xml:space="preserve"> REF _Ref191289186 \h  \* MERGEFORMAT </w:instrText>
      </w:r>
      <w:r w:rsidR="00F104B4" w:rsidRPr="00F104B4">
        <w:rPr>
          <w:rFonts w:cstheme="minorHAnsi"/>
          <w:b/>
          <w:bCs/>
          <w:szCs w:val="24"/>
        </w:rPr>
      </w:r>
      <w:r w:rsidR="00F104B4" w:rsidRPr="00F104B4">
        <w:rPr>
          <w:rFonts w:cstheme="minorHAnsi"/>
          <w:b/>
          <w:bCs/>
          <w:szCs w:val="24"/>
        </w:rPr>
        <w:fldChar w:fldCharType="separate"/>
      </w:r>
      <w:r w:rsidR="00AC295B" w:rsidRPr="00AC295B">
        <w:rPr>
          <w:rStyle w:val="CommentReference"/>
          <w:rFonts w:asciiTheme="minorHAnsi" w:eastAsiaTheme="majorEastAsia" w:hAnsiTheme="minorHAnsi" w:cstheme="minorHAnsi"/>
          <w:b w:val="0"/>
          <w:bCs/>
          <w:sz w:val="24"/>
          <w:szCs w:val="24"/>
        </w:rPr>
        <w:t xml:space="preserve">Table </w:t>
      </w:r>
      <w:r w:rsidR="00AC295B" w:rsidRPr="00AC295B">
        <w:rPr>
          <w:rStyle w:val="CommentReference"/>
          <w:rFonts w:asciiTheme="minorHAnsi" w:eastAsiaTheme="majorEastAsia" w:hAnsiTheme="minorHAnsi" w:cstheme="minorHAnsi"/>
          <w:b w:val="0"/>
          <w:bCs/>
          <w:noProof/>
          <w:sz w:val="24"/>
          <w:szCs w:val="24"/>
        </w:rPr>
        <w:t>3</w:t>
      </w:r>
      <w:r w:rsidR="00F104B4" w:rsidRPr="00F104B4">
        <w:rPr>
          <w:rFonts w:cstheme="minorHAnsi"/>
          <w:b/>
          <w:bCs/>
          <w:szCs w:val="24"/>
        </w:rPr>
        <w:fldChar w:fldCharType="end"/>
      </w:r>
      <w:r w:rsidR="00F104B4" w:rsidRPr="00F104B4">
        <w:rPr>
          <w:rFonts w:cstheme="minorHAnsi"/>
          <w:b/>
          <w:bCs/>
          <w:szCs w:val="24"/>
        </w:rPr>
        <w:t>.</w:t>
      </w:r>
      <w:r w:rsidRPr="00F104B4">
        <w:rPr>
          <w:rFonts w:cstheme="minorHAnsi"/>
          <w:szCs w:val="24"/>
        </w:rPr>
        <w:t xml:space="preserve"> </w:t>
      </w:r>
      <w:r w:rsidRPr="004A37F8">
        <w:rPr>
          <w:rFonts w:cstheme="minorHAnsi"/>
          <w:szCs w:val="24"/>
        </w:rPr>
        <w:t>The</w:t>
      </w:r>
      <w:r w:rsidRPr="004A37F8">
        <w:t xml:space="preserve"> clinical claim was based on an anchored ITC of OS between HIMALAYA and IMBRAVE150.</w:t>
      </w:r>
    </w:p>
    <w:p w14:paraId="05957395" w14:textId="41283142" w:rsidR="003E76BE" w:rsidRPr="00F72C95" w:rsidRDefault="003E76BE" w:rsidP="003E76BE">
      <w:pPr>
        <w:pStyle w:val="3-BodyText"/>
        <w:spacing w:before="0"/>
        <w:rPr>
          <w:color w:val="0066FF"/>
        </w:rPr>
      </w:pPr>
      <w:r w:rsidRPr="00F72C95">
        <w:t>Results from HIMALAYA were presented from 3 data cut-offs</w:t>
      </w:r>
      <w:r>
        <w:t xml:space="preserve"> (DCOs)</w:t>
      </w:r>
      <w:r w:rsidRPr="00F72C95">
        <w:t>:</w:t>
      </w:r>
    </w:p>
    <w:p w14:paraId="517FCB9B" w14:textId="77777777" w:rsidR="003E76BE" w:rsidRPr="00773893" w:rsidRDefault="003E76BE" w:rsidP="00177D10">
      <w:pPr>
        <w:pStyle w:val="3-BodyText"/>
        <w:numPr>
          <w:ilvl w:val="0"/>
          <w:numId w:val="14"/>
        </w:numPr>
        <w:ind w:left="993" w:hanging="284"/>
      </w:pPr>
      <w:r w:rsidRPr="00773893">
        <w:t xml:space="preserve">primary analysis (August 2021 </w:t>
      </w:r>
      <w:r>
        <w:t>D</w:t>
      </w:r>
      <w:r w:rsidRPr="00773893">
        <w:t>CO, median patient follow-up of 33.2 months for STRIDE).</w:t>
      </w:r>
    </w:p>
    <w:p w14:paraId="2EB2E728" w14:textId="77777777" w:rsidR="003E76BE" w:rsidRPr="00773893" w:rsidRDefault="003E76BE" w:rsidP="00177D10">
      <w:pPr>
        <w:pStyle w:val="3-BodyText"/>
        <w:numPr>
          <w:ilvl w:val="0"/>
          <w:numId w:val="14"/>
        </w:numPr>
        <w:ind w:left="993" w:hanging="284"/>
      </w:pPr>
      <w:r w:rsidRPr="00773893">
        <w:t xml:space="preserve">four-year long-term OS and safety follow-up (January 2023 </w:t>
      </w:r>
      <w:r>
        <w:t>D</w:t>
      </w:r>
      <w:r w:rsidRPr="00773893">
        <w:t>CO, median patient follow-up of 49.1 months for STRIDE).</w:t>
      </w:r>
    </w:p>
    <w:p w14:paraId="3830E5F6" w14:textId="77777777" w:rsidR="000D083B" w:rsidRDefault="003E76BE" w:rsidP="00177D10">
      <w:pPr>
        <w:pStyle w:val="3-BodyText"/>
        <w:numPr>
          <w:ilvl w:val="0"/>
          <w:numId w:val="14"/>
        </w:numPr>
        <w:ind w:left="993" w:hanging="284"/>
      </w:pPr>
      <w:r w:rsidRPr="00773893">
        <w:lastRenderedPageBreak/>
        <w:t xml:space="preserve">five-year long-term OS follow up (March 2024 </w:t>
      </w:r>
      <w:r>
        <w:t>D</w:t>
      </w:r>
      <w:r w:rsidRPr="00773893">
        <w:t>CO, median patient follow-up of 62.5 months for STRIDE).</w:t>
      </w:r>
    </w:p>
    <w:p w14:paraId="50E9D484" w14:textId="5D9F0287" w:rsidR="003E76BE" w:rsidRPr="00186F81" w:rsidRDefault="003E76BE" w:rsidP="003E76BE">
      <w:pPr>
        <w:pStyle w:val="3-BodyText"/>
        <w:ind w:left="709"/>
        <w:rPr>
          <w:color w:val="0066FF"/>
        </w:rPr>
      </w:pPr>
      <w:r>
        <w:t>Results from IMBRAVE150 were presented from 2 data cut-offs:</w:t>
      </w:r>
    </w:p>
    <w:p w14:paraId="358AB17B" w14:textId="77777777" w:rsidR="003E76BE" w:rsidRPr="00203D4C" w:rsidRDefault="003E76BE" w:rsidP="00177D10">
      <w:pPr>
        <w:pStyle w:val="ListParagraph"/>
        <w:numPr>
          <w:ilvl w:val="0"/>
          <w:numId w:val="13"/>
        </w:numPr>
        <w:ind w:left="993" w:hanging="284"/>
      </w:pPr>
      <w:r w:rsidRPr="00203D4C">
        <w:t>primary analysis (August 2019 DCO, median patient follow-up of 8.6 months). Results from this data cut-off have previously been reviewed by the PBAC (atezolizumab PSD, July 2020 PBAC meeting).</w:t>
      </w:r>
    </w:p>
    <w:p w14:paraId="1A2D40DC" w14:textId="77777777" w:rsidR="000D083B" w:rsidRDefault="003E76BE" w:rsidP="00177D10">
      <w:pPr>
        <w:pStyle w:val="ListParagraph"/>
        <w:numPr>
          <w:ilvl w:val="0"/>
          <w:numId w:val="13"/>
        </w:numPr>
        <w:ind w:left="993" w:hanging="284"/>
      </w:pPr>
      <w:r>
        <w:t>updated OS follow-up (August 2020 DCO,</w:t>
      </w:r>
      <w:r w:rsidRPr="002E1AE7">
        <w:t xml:space="preserve"> </w:t>
      </w:r>
      <w:r>
        <w:t xml:space="preserve">median patient </w:t>
      </w:r>
      <w:r w:rsidRPr="006960A1">
        <w:t xml:space="preserve">follow-up of </w:t>
      </w:r>
      <w:r>
        <w:t>15.</w:t>
      </w:r>
      <w:r w:rsidR="003D2FB9">
        <w:t>6 </w:t>
      </w:r>
      <w:r>
        <w:t>months).</w:t>
      </w:r>
    </w:p>
    <w:p w14:paraId="18751F35" w14:textId="3D030458" w:rsidR="003E76BE" w:rsidRPr="0098262F" w:rsidRDefault="003E76BE" w:rsidP="00612E40">
      <w:pPr>
        <w:pStyle w:val="Caption"/>
        <w:rPr>
          <w:rStyle w:val="CommentReference"/>
          <w:rFonts w:eastAsiaTheme="majorEastAsia" w:cstheme="majorBidi"/>
          <w:b/>
          <w:szCs w:val="24"/>
        </w:rPr>
      </w:pPr>
      <w:bookmarkStart w:id="15" w:name="_Ref191289186"/>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AC295B">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15"/>
      <w:r w:rsidRPr="0098262F">
        <w:rPr>
          <w:rStyle w:val="CommentReference"/>
          <w:rFonts w:eastAsiaTheme="majorEastAsia" w:cstheme="majorBidi"/>
          <w:b/>
          <w:szCs w:val="24"/>
        </w:rPr>
        <w:t xml:space="preserve">: </w:t>
      </w:r>
      <w:r w:rsidRPr="0098262F">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805"/>
        <w:gridCol w:w="1375"/>
        <w:gridCol w:w="1086"/>
        <w:gridCol w:w="1753"/>
        <w:gridCol w:w="1088"/>
        <w:gridCol w:w="1659"/>
      </w:tblGrid>
      <w:tr w:rsidR="003E76BE" w:rsidRPr="00362192" w14:paraId="5EB3390E" w14:textId="77777777">
        <w:trPr>
          <w:cantSplit/>
          <w:tblHeader/>
        </w:trPr>
        <w:tc>
          <w:tcPr>
            <w:tcW w:w="713" w:type="pct"/>
            <w:shd w:val="clear" w:color="auto" w:fill="auto"/>
            <w:vAlign w:val="center"/>
          </w:tcPr>
          <w:p w14:paraId="603AF032" w14:textId="77777777" w:rsidR="003E76BE" w:rsidRPr="00362192" w:rsidRDefault="003E76BE" w:rsidP="00612E40">
            <w:pPr>
              <w:pStyle w:val="In-tableHeading"/>
              <w:jc w:val="center"/>
            </w:pPr>
            <w:r w:rsidRPr="00362192">
              <w:t>Trial</w:t>
            </w:r>
          </w:p>
        </w:tc>
        <w:tc>
          <w:tcPr>
            <w:tcW w:w="466" w:type="pct"/>
            <w:shd w:val="clear" w:color="auto" w:fill="auto"/>
            <w:vAlign w:val="center"/>
          </w:tcPr>
          <w:p w14:paraId="501D93FE" w14:textId="77777777" w:rsidR="003E76BE" w:rsidRPr="00362192" w:rsidRDefault="003E76BE" w:rsidP="00612E40">
            <w:pPr>
              <w:pStyle w:val="In-tableHeading"/>
              <w:jc w:val="center"/>
            </w:pPr>
            <w:r w:rsidRPr="00362192">
              <w:t>N</w:t>
            </w:r>
          </w:p>
        </w:tc>
        <w:tc>
          <w:tcPr>
            <w:tcW w:w="782" w:type="pct"/>
            <w:shd w:val="clear" w:color="auto" w:fill="auto"/>
            <w:vAlign w:val="center"/>
          </w:tcPr>
          <w:p w14:paraId="19C34B58" w14:textId="77777777" w:rsidR="003E76BE" w:rsidRPr="00362192" w:rsidRDefault="003E76BE" w:rsidP="00612E40">
            <w:pPr>
              <w:pStyle w:val="In-tableHeading"/>
              <w:jc w:val="center"/>
            </w:pPr>
            <w:r w:rsidRPr="00362192">
              <w:t>Design/ duration</w:t>
            </w:r>
          </w:p>
        </w:tc>
        <w:tc>
          <w:tcPr>
            <w:tcW w:w="621" w:type="pct"/>
            <w:shd w:val="clear" w:color="auto" w:fill="auto"/>
            <w:vAlign w:val="center"/>
          </w:tcPr>
          <w:p w14:paraId="742E412A" w14:textId="77777777" w:rsidR="003E76BE" w:rsidRPr="00362192" w:rsidRDefault="003E76BE" w:rsidP="00612E40">
            <w:pPr>
              <w:pStyle w:val="In-tableHeading"/>
              <w:jc w:val="center"/>
            </w:pPr>
            <w:r w:rsidRPr="00362192">
              <w:t>Risk of bias</w:t>
            </w:r>
          </w:p>
        </w:tc>
        <w:tc>
          <w:tcPr>
            <w:tcW w:w="857" w:type="pct"/>
            <w:shd w:val="clear" w:color="auto" w:fill="auto"/>
            <w:vAlign w:val="center"/>
          </w:tcPr>
          <w:p w14:paraId="2D86CC10" w14:textId="77777777" w:rsidR="003E76BE" w:rsidRPr="00362192" w:rsidRDefault="003E76BE" w:rsidP="00612E40">
            <w:pPr>
              <w:pStyle w:val="In-tableHeading"/>
              <w:jc w:val="center"/>
            </w:pPr>
            <w:r w:rsidRPr="00362192">
              <w:t>Patient population</w:t>
            </w:r>
          </w:p>
        </w:tc>
        <w:tc>
          <w:tcPr>
            <w:tcW w:w="622" w:type="pct"/>
            <w:shd w:val="clear" w:color="auto" w:fill="auto"/>
            <w:vAlign w:val="center"/>
          </w:tcPr>
          <w:p w14:paraId="274F598E" w14:textId="77777777" w:rsidR="003E76BE" w:rsidRPr="00362192" w:rsidRDefault="003E76BE" w:rsidP="00612E40">
            <w:pPr>
              <w:pStyle w:val="In-tableHeading"/>
              <w:jc w:val="center"/>
            </w:pPr>
            <w:r w:rsidRPr="00362192">
              <w:t>Outcomes</w:t>
            </w:r>
          </w:p>
        </w:tc>
        <w:tc>
          <w:tcPr>
            <w:tcW w:w="939" w:type="pct"/>
            <w:shd w:val="clear" w:color="auto" w:fill="auto"/>
            <w:vAlign w:val="center"/>
          </w:tcPr>
          <w:p w14:paraId="2A2B6AF6" w14:textId="77777777" w:rsidR="003E76BE" w:rsidRPr="00362192" w:rsidRDefault="003E76BE" w:rsidP="00612E40">
            <w:pPr>
              <w:pStyle w:val="In-tableHeading"/>
              <w:jc w:val="center"/>
            </w:pPr>
            <w:r w:rsidRPr="00362192">
              <w:t>Use in modelled evaluation</w:t>
            </w:r>
          </w:p>
        </w:tc>
      </w:tr>
      <w:tr w:rsidR="003E76BE" w:rsidRPr="00362192" w14:paraId="5CC6C4B4" w14:textId="77777777">
        <w:trPr>
          <w:cantSplit/>
        </w:trPr>
        <w:tc>
          <w:tcPr>
            <w:tcW w:w="5000" w:type="pct"/>
            <w:gridSpan w:val="7"/>
            <w:shd w:val="clear" w:color="auto" w:fill="auto"/>
            <w:vAlign w:val="center"/>
          </w:tcPr>
          <w:p w14:paraId="1CA0B830" w14:textId="77777777" w:rsidR="003E76BE" w:rsidRPr="00362192" w:rsidRDefault="003E76BE" w:rsidP="00612E40">
            <w:pPr>
              <w:pStyle w:val="In-tableHeading"/>
            </w:pPr>
            <w:r w:rsidRPr="00362192">
              <w:t>STRIDE vs sorafenib</w:t>
            </w:r>
          </w:p>
        </w:tc>
      </w:tr>
      <w:tr w:rsidR="003E76BE" w:rsidRPr="00362192" w14:paraId="575A3F87" w14:textId="77777777">
        <w:trPr>
          <w:cantSplit/>
        </w:trPr>
        <w:tc>
          <w:tcPr>
            <w:tcW w:w="713" w:type="pct"/>
            <w:shd w:val="clear" w:color="auto" w:fill="auto"/>
            <w:vAlign w:val="center"/>
          </w:tcPr>
          <w:p w14:paraId="5075213B" w14:textId="77777777" w:rsidR="003E76BE" w:rsidRPr="00362192" w:rsidRDefault="003E76BE" w:rsidP="00612E40">
            <w:pPr>
              <w:pStyle w:val="TableText0"/>
              <w:jc w:val="center"/>
            </w:pPr>
            <w:r w:rsidRPr="00362192">
              <w:t>HIMALAYA</w:t>
            </w:r>
          </w:p>
        </w:tc>
        <w:tc>
          <w:tcPr>
            <w:tcW w:w="466" w:type="pct"/>
            <w:shd w:val="clear" w:color="auto" w:fill="auto"/>
            <w:vAlign w:val="center"/>
          </w:tcPr>
          <w:p w14:paraId="3888A73B" w14:textId="77777777" w:rsidR="003E76BE" w:rsidRPr="00362192" w:rsidRDefault="003E76BE" w:rsidP="00612E40">
            <w:pPr>
              <w:pStyle w:val="TableText0"/>
              <w:jc w:val="center"/>
            </w:pPr>
            <w:r w:rsidRPr="00362192">
              <w:t xml:space="preserve">782 </w:t>
            </w:r>
            <w:r w:rsidRPr="00362192">
              <w:rPr>
                <w:vertAlign w:val="superscript"/>
              </w:rPr>
              <w:t>a</w:t>
            </w:r>
          </w:p>
        </w:tc>
        <w:tc>
          <w:tcPr>
            <w:tcW w:w="782" w:type="pct"/>
            <w:shd w:val="clear" w:color="auto" w:fill="auto"/>
            <w:vAlign w:val="center"/>
          </w:tcPr>
          <w:p w14:paraId="6D845141" w14:textId="77777777" w:rsidR="003E76BE" w:rsidRPr="00362192" w:rsidRDefault="003E76BE" w:rsidP="00612E40">
            <w:pPr>
              <w:pStyle w:val="TableText0"/>
              <w:jc w:val="center"/>
            </w:pPr>
            <w:r w:rsidRPr="00362192">
              <w:t>R, MC, OL</w:t>
            </w:r>
          </w:p>
          <w:p w14:paraId="082E2E1E" w14:textId="77777777" w:rsidR="003E76BE" w:rsidRPr="00362192" w:rsidRDefault="003E76BE" w:rsidP="00612E40">
            <w:pPr>
              <w:pStyle w:val="TableText0"/>
              <w:jc w:val="center"/>
            </w:pPr>
            <w:r w:rsidRPr="00362192">
              <w:t>5 yrs</w:t>
            </w:r>
          </w:p>
        </w:tc>
        <w:tc>
          <w:tcPr>
            <w:tcW w:w="621" w:type="pct"/>
            <w:shd w:val="clear" w:color="auto" w:fill="auto"/>
            <w:vAlign w:val="center"/>
          </w:tcPr>
          <w:p w14:paraId="6EABDFFB" w14:textId="77777777" w:rsidR="003E76BE" w:rsidRPr="00362192" w:rsidRDefault="003E76BE" w:rsidP="00612E40">
            <w:pPr>
              <w:pStyle w:val="TableText0"/>
              <w:jc w:val="center"/>
            </w:pPr>
            <w:r w:rsidRPr="00362192">
              <w:t>Low</w:t>
            </w:r>
          </w:p>
        </w:tc>
        <w:tc>
          <w:tcPr>
            <w:tcW w:w="857" w:type="pct"/>
            <w:shd w:val="clear" w:color="auto" w:fill="auto"/>
            <w:vAlign w:val="center"/>
          </w:tcPr>
          <w:p w14:paraId="52BC8B08" w14:textId="77777777" w:rsidR="003E76BE" w:rsidRPr="00362192" w:rsidRDefault="003E76BE" w:rsidP="00612E40">
            <w:pPr>
              <w:pStyle w:val="TableText0"/>
              <w:jc w:val="center"/>
            </w:pPr>
            <w:r w:rsidRPr="00362192">
              <w:t>Untreated advanced/unresectable HCC</w:t>
            </w:r>
          </w:p>
        </w:tc>
        <w:tc>
          <w:tcPr>
            <w:tcW w:w="622" w:type="pct"/>
            <w:shd w:val="clear" w:color="auto" w:fill="auto"/>
            <w:vAlign w:val="center"/>
          </w:tcPr>
          <w:p w14:paraId="262E8CA5" w14:textId="77777777" w:rsidR="003E76BE" w:rsidRPr="00362192" w:rsidRDefault="003E76BE" w:rsidP="00612E40">
            <w:pPr>
              <w:pStyle w:val="TableText0"/>
              <w:jc w:val="center"/>
            </w:pPr>
            <w:r w:rsidRPr="00362192">
              <w:t>OS, PFS, QoL, Safety</w:t>
            </w:r>
          </w:p>
        </w:tc>
        <w:tc>
          <w:tcPr>
            <w:tcW w:w="939" w:type="pct"/>
            <w:shd w:val="clear" w:color="auto" w:fill="auto"/>
            <w:vAlign w:val="center"/>
          </w:tcPr>
          <w:p w14:paraId="62D66E81" w14:textId="77777777" w:rsidR="003E76BE" w:rsidRPr="00362192" w:rsidRDefault="003E76BE" w:rsidP="00612E40">
            <w:pPr>
              <w:pStyle w:val="TableText0"/>
              <w:jc w:val="center"/>
            </w:pPr>
            <w:r w:rsidRPr="00362192">
              <w:t>Median duration of treatment</w:t>
            </w:r>
          </w:p>
        </w:tc>
      </w:tr>
      <w:tr w:rsidR="003E76BE" w:rsidRPr="00362192" w14:paraId="15785710" w14:textId="77777777">
        <w:trPr>
          <w:cantSplit/>
        </w:trPr>
        <w:tc>
          <w:tcPr>
            <w:tcW w:w="5000" w:type="pct"/>
            <w:gridSpan w:val="7"/>
            <w:shd w:val="clear" w:color="auto" w:fill="auto"/>
            <w:vAlign w:val="center"/>
          </w:tcPr>
          <w:p w14:paraId="3C43F0C4" w14:textId="77777777" w:rsidR="003E76BE" w:rsidRPr="00362192" w:rsidRDefault="003E76BE" w:rsidP="00612E40">
            <w:pPr>
              <w:pStyle w:val="In-tableHeading"/>
            </w:pPr>
            <w:proofErr w:type="spellStart"/>
            <w:r w:rsidRPr="00362192">
              <w:t>Atezo</w:t>
            </w:r>
            <w:proofErr w:type="spellEnd"/>
            <w:r w:rsidRPr="00362192">
              <w:t xml:space="preserve"> + b vs sorafenib</w:t>
            </w:r>
          </w:p>
        </w:tc>
      </w:tr>
      <w:tr w:rsidR="003E76BE" w:rsidRPr="00362192" w14:paraId="3737DED7" w14:textId="77777777" w:rsidTr="00362192">
        <w:trPr>
          <w:cantSplit/>
        </w:trPr>
        <w:tc>
          <w:tcPr>
            <w:tcW w:w="713" w:type="pct"/>
            <w:shd w:val="clear" w:color="auto" w:fill="auto"/>
            <w:vAlign w:val="center"/>
          </w:tcPr>
          <w:p w14:paraId="44B0BBB5" w14:textId="77777777" w:rsidR="003E76BE" w:rsidRPr="00362192" w:rsidRDefault="003E76BE" w:rsidP="00612E40">
            <w:pPr>
              <w:pStyle w:val="TableText0"/>
            </w:pPr>
            <w:r w:rsidRPr="00362192">
              <w:t>IMBRAVE150</w:t>
            </w:r>
          </w:p>
        </w:tc>
        <w:tc>
          <w:tcPr>
            <w:tcW w:w="466" w:type="pct"/>
            <w:shd w:val="clear" w:color="auto" w:fill="auto"/>
            <w:vAlign w:val="center"/>
          </w:tcPr>
          <w:p w14:paraId="4B1DDFC0" w14:textId="77777777" w:rsidR="003E76BE" w:rsidRPr="00362192" w:rsidRDefault="003E76BE" w:rsidP="00612E40">
            <w:pPr>
              <w:pStyle w:val="TableText0"/>
              <w:jc w:val="center"/>
            </w:pPr>
            <w:r w:rsidRPr="00362192">
              <w:t>501</w:t>
            </w:r>
          </w:p>
        </w:tc>
        <w:tc>
          <w:tcPr>
            <w:tcW w:w="782" w:type="pct"/>
            <w:shd w:val="clear" w:color="auto" w:fill="auto"/>
            <w:vAlign w:val="center"/>
          </w:tcPr>
          <w:p w14:paraId="541DB026" w14:textId="77777777" w:rsidR="003E76BE" w:rsidRPr="00362192" w:rsidRDefault="003E76BE" w:rsidP="00612E40">
            <w:pPr>
              <w:pStyle w:val="TableText0"/>
              <w:jc w:val="center"/>
            </w:pPr>
            <w:r w:rsidRPr="00362192">
              <w:t>R, MC, OL</w:t>
            </w:r>
          </w:p>
          <w:p w14:paraId="11FB951F" w14:textId="77777777" w:rsidR="003E76BE" w:rsidRPr="00362192" w:rsidRDefault="003E76BE" w:rsidP="00612E40">
            <w:pPr>
              <w:pStyle w:val="TableText0"/>
              <w:jc w:val="center"/>
            </w:pPr>
            <w:r w:rsidRPr="00362192">
              <w:t>15 mths</w:t>
            </w:r>
          </w:p>
        </w:tc>
        <w:tc>
          <w:tcPr>
            <w:tcW w:w="621" w:type="pct"/>
            <w:shd w:val="clear" w:color="auto" w:fill="auto"/>
            <w:vAlign w:val="center"/>
          </w:tcPr>
          <w:p w14:paraId="7B948EA4" w14:textId="77777777" w:rsidR="003E76BE" w:rsidRPr="00362192" w:rsidRDefault="003E76BE" w:rsidP="00612E40">
            <w:pPr>
              <w:pStyle w:val="TableText0"/>
              <w:jc w:val="center"/>
            </w:pPr>
            <w:r w:rsidRPr="00362192">
              <w:t>Low</w:t>
            </w:r>
          </w:p>
        </w:tc>
        <w:tc>
          <w:tcPr>
            <w:tcW w:w="857" w:type="pct"/>
            <w:shd w:val="clear" w:color="auto" w:fill="auto"/>
            <w:vAlign w:val="center"/>
          </w:tcPr>
          <w:p w14:paraId="0D311541" w14:textId="77777777" w:rsidR="003E76BE" w:rsidRPr="00362192" w:rsidRDefault="003E76BE" w:rsidP="00612E40">
            <w:pPr>
              <w:pStyle w:val="TableText0"/>
              <w:jc w:val="center"/>
            </w:pPr>
            <w:r w:rsidRPr="00362192">
              <w:t>Untreated advanced/unresectable HCC</w:t>
            </w:r>
          </w:p>
        </w:tc>
        <w:tc>
          <w:tcPr>
            <w:tcW w:w="622" w:type="pct"/>
            <w:shd w:val="clear" w:color="auto" w:fill="auto"/>
            <w:vAlign w:val="center"/>
          </w:tcPr>
          <w:p w14:paraId="2F0912D7" w14:textId="77777777" w:rsidR="003E76BE" w:rsidRPr="00362192" w:rsidRDefault="003E76BE" w:rsidP="00612E40">
            <w:pPr>
              <w:pStyle w:val="TableText0"/>
              <w:jc w:val="center"/>
            </w:pPr>
            <w:r w:rsidRPr="00362192">
              <w:t>OS, PFS, QoL, Safety</w:t>
            </w:r>
          </w:p>
        </w:tc>
        <w:tc>
          <w:tcPr>
            <w:tcW w:w="939" w:type="pct"/>
            <w:shd w:val="clear" w:color="auto" w:fill="auto"/>
            <w:vAlign w:val="center"/>
          </w:tcPr>
          <w:p w14:paraId="0A248CBD" w14:textId="77777777" w:rsidR="003E76BE" w:rsidRPr="00362192" w:rsidRDefault="003E76BE" w:rsidP="00612E40">
            <w:pPr>
              <w:pStyle w:val="TableText0"/>
              <w:jc w:val="center"/>
            </w:pPr>
            <w:r w:rsidRPr="00362192">
              <w:t>Median duration of treatment</w:t>
            </w:r>
          </w:p>
        </w:tc>
      </w:tr>
    </w:tbl>
    <w:p w14:paraId="756CB013" w14:textId="77777777" w:rsidR="003E76BE" w:rsidRDefault="003E76BE" w:rsidP="000A06CA">
      <w:pPr>
        <w:pStyle w:val="TableFigureFooter"/>
      </w:pPr>
      <w:r w:rsidRPr="0098262F">
        <w:t xml:space="preserve">Source: </w:t>
      </w:r>
      <w:r>
        <w:t>Table 2-12, p72 and Table 2-14, pp 75-76 of the submission</w:t>
      </w:r>
      <w:r w:rsidRPr="0098262F">
        <w:t>.</w:t>
      </w:r>
    </w:p>
    <w:p w14:paraId="65ABBE2A" w14:textId="77777777" w:rsidR="003E76BE" w:rsidRDefault="003E76BE" w:rsidP="000A06CA">
      <w:pPr>
        <w:pStyle w:val="TableFigureFooter"/>
      </w:pPr>
      <w:proofErr w:type="spellStart"/>
      <w:r>
        <w:t>Atezo</w:t>
      </w:r>
      <w:proofErr w:type="spellEnd"/>
      <w:r>
        <w:t xml:space="preserve"> + b = </w:t>
      </w:r>
      <w:r w:rsidRPr="001D1A4A">
        <w:t>atezolizumab plus bevacizumab</w:t>
      </w:r>
      <w:r>
        <w:t>; HCC = hepatocellular carcinoma;</w:t>
      </w:r>
      <w:r w:rsidRPr="0098262F">
        <w:t xml:space="preserve"> MC = multi-centre;</w:t>
      </w:r>
      <w:r>
        <w:t xml:space="preserve"> mths = months;</w:t>
      </w:r>
      <w:r w:rsidRPr="0098262F">
        <w:t xml:space="preserve"> OL = open label; OS = overall survival; PFS = progression-free survival; </w:t>
      </w:r>
      <w:r>
        <w:t xml:space="preserve">QoL = quality of life; </w:t>
      </w:r>
      <w:r w:rsidRPr="0098262F">
        <w:t>R = randomised</w:t>
      </w:r>
      <w:r>
        <w:t xml:space="preserve">; STRIDE = </w:t>
      </w:r>
      <w:r w:rsidRPr="00C807EB">
        <w:t>Single Tremelimumab Regular Interval Durvalumab</w:t>
      </w:r>
      <w:r>
        <w:t>; yrs = years</w:t>
      </w:r>
      <w:r w:rsidRPr="0098262F">
        <w:t>.</w:t>
      </w:r>
    </w:p>
    <w:p w14:paraId="08AB3571" w14:textId="77777777" w:rsidR="003E76BE" w:rsidRDefault="003E76BE" w:rsidP="000A06CA">
      <w:pPr>
        <w:pStyle w:val="TableFigureFooter"/>
      </w:pPr>
      <w:r w:rsidRPr="00A84972">
        <w:rPr>
          <w:vertAlign w:val="superscript"/>
        </w:rPr>
        <w:t>a</w:t>
      </w:r>
      <w:r>
        <w:t xml:space="preserve"> </w:t>
      </w:r>
      <w:r w:rsidRPr="00E55820">
        <w:t>Patients in HIMALAYA</w:t>
      </w:r>
      <w:r>
        <w:t xml:space="preserve"> (N=1,324)</w:t>
      </w:r>
      <w:r w:rsidRPr="00E55820">
        <w:t xml:space="preserve"> were randomly assigned in a 1:1:1:1 ratio to 4 treatment arms. Out of the four 4 treatment arms, the submission appropriately included only the arms that provided direct comparative evidence of STRIDE with sorafenib (Arms C and D; </w:t>
      </w:r>
      <w:r>
        <w:t>n</w:t>
      </w:r>
      <w:r w:rsidRPr="00E55820">
        <w:t>=782).</w:t>
      </w:r>
    </w:p>
    <w:p w14:paraId="19A6ED6B" w14:textId="123F702F" w:rsidR="003E76BE" w:rsidRPr="00257130" w:rsidRDefault="003E76BE" w:rsidP="000A06CA">
      <w:pPr>
        <w:pStyle w:val="TableFigureFooter"/>
        <w:rPr>
          <w:szCs w:val="18"/>
        </w:rPr>
      </w:pPr>
      <w:r w:rsidRPr="00B45857">
        <w:rPr>
          <w:szCs w:val="18"/>
        </w:rPr>
        <w:t>Blue shading indicates data previously seen by the PBAC.</w:t>
      </w:r>
    </w:p>
    <w:p w14:paraId="33EED712" w14:textId="47B9C361" w:rsidR="003E76BE" w:rsidRPr="006F7A3C" w:rsidRDefault="003E76BE" w:rsidP="003E76BE">
      <w:pPr>
        <w:pStyle w:val="3-BodyText"/>
      </w:pPr>
      <w:bookmarkStart w:id="16" w:name="_Ref191289102"/>
      <w:r w:rsidRPr="006F7A3C">
        <w:t xml:space="preserve">Broadly, </w:t>
      </w:r>
      <w:r w:rsidR="00AE0603">
        <w:t xml:space="preserve">both </w:t>
      </w:r>
      <w:r w:rsidRPr="006F7A3C">
        <w:t xml:space="preserve">the HIMALAYA and IMBRAVE150 trials had successful randomisation, with no </w:t>
      </w:r>
      <w:r w:rsidR="006826EC">
        <w:t>substantial</w:t>
      </w:r>
      <w:r w:rsidR="00E870BD">
        <w:t xml:space="preserve"> </w:t>
      </w:r>
      <w:r w:rsidRPr="006F7A3C">
        <w:t>sources of bias in prognostic factors</w:t>
      </w:r>
      <w:r w:rsidR="00AE0603">
        <w:t xml:space="preserve"> between treatment groups within each individual trial</w:t>
      </w:r>
      <w:r w:rsidRPr="006F7A3C">
        <w:t>. Comparing the two trials, some differences were identified:</w:t>
      </w:r>
      <w:bookmarkEnd w:id="16"/>
    </w:p>
    <w:p w14:paraId="0DA20A4B" w14:textId="77777777" w:rsidR="000D083B" w:rsidRDefault="003E76BE" w:rsidP="000A06CA">
      <w:pPr>
        <w:pStyle w:val="ListParagraph"/>
        <w:ind w:left="1134"/>
        <w:rPr>
          <w:lang w:val="en-GB"/>
        </w:rPr>
      </w:pPr>
      <w:r w:rsidRPr="00FA7D86">
        <w:t xml:space="preserve">Eligible patients in HIMALAYA were allowed to be rechallenged with a single dose of tremelimumab 300 mg and durvalumab 1,500 mg for one cycle, followed by durvalumab monotherapy 1,500 mg </w:t>
      </w:r>
      <w:r w:rsidRPr="00FA7D86">
        <w:rPr>
          <w:lang w:eastAsia="zh-CN"/>
        </w:rPr>
        <w:t>if they were deemed to be continuing to derive clinical benefit</w:t>
      </w:r>
      <w:r w:rsidRPr="00FA7D86">
        <w:t>, but with evidence of progressed disease. The subgroup which received treatment rechallenge in the STRIDE arm (n=30, 7.6%) had approximately double the median OS compared to the STRIDE full analysis set (FAS) in HIMALAYA (30.42 months vs 16.43 months respectively).</w:t>
      </w:r>
      <w:r w:rsidR="00105F22" w:rsidRPr="00FA7D86">
        <w:t xml:space="preserve"> It is unclear what proportion of the longer median OS may be </w:t>
      </w:r>
      <w:r w:rsidR="00CF7DD0" w:rsidRPr="00FA7D86">
        <w:t>attributable to</w:t>
      </w:r>
      <w:r w:rsidR="00105F22" w:rsidRPr="00FA7D86">
        <w:t xml:space="preserve"> </w:t>
      </w:r>
      <w:r w:rsidRPr="00FA7D86">
        <w:t xml:space="preserve">the treatment rechallenge or positive prognostic characteristics </w:t>
      </w:r>
      <w:r w:rsidR="00105F22" w:rsidRPr="00FA7D86">
        <w:t xml:space="preserve">which made those patients eligible for rechallenge. </w:t>
      </w:r>
      <w:r w:rsidRPr="00FA7D86">
        <w:t xml:space="preserve">Treatment rechallenge is inconsistent with the proposed PBS listing, which only allows for a single dose of tremelimumab and prohibits post-progression treatment. Efficacy data removing the rechallenge subgroup were </w:t>
      </w:r>
      <w:r w:rsidR="00425E78" w:rsidRPr="00FA7D86">
        <w:t xml:space="preserve">requested </w:t>
      </w:r>
      <w:r w:rsidR="000E384C" w:rsidRPr="00FA7D86">
        <w:t xml:space="preserve">but </w:t>
      </w:r>
      <w:r w:rsidRPr="00FA7D86">
        <w:t>not available</w:t>
      </w:r>
      <w:r w:rsidR="00FA7D86" w:rsidRPr="00D531E2">
        <w:t xml:space="preserve">. </w:t>
      </w:r>
      <w:r w:rsidR="00A93F02" w:rsidRPr="00D531E2">
        <w:t>The PSCR acknowledged the request but argued that the proposed analysis</w:t>
      </w:r>
      <w:r w:rsidR="00EE628F" w:rsidRPr="00D531E2">
        <w:t xml:space="preserve"> involved </w:t>
      </w:r>
      <w:r w:rsidR="00D45636" w:rsidRPr="00D531E2">
        <w:t xml:space="preserve">a small exploratory and highly selected </w:t>
      </w:r>
      <w:r w:rsidR="00D45636" w:rsidRPr="00D531E2">
        <w:lastRenderedPageBreak/>
        <w:t>subgroup of patient</w:t>
      </w:r>
      <w:r w:rsidR="00673814" w:rsidRPr="00D531E2">
        <w:t>s</w:t>
      </w:r>
      <w:r w:rsidR="00D45636" w:rsidRPr="00D531E2">
        <w:t xml:space="preserve"> and</w:t>
      </w:r>
      <w:r w:rsidR="00A93F02" w:rsidRPr="00D531E2">
        <w:t xml:space="preserve"> was inappropriate</w:t>
      </w:r>
      <w:r w:rsidR="00A93F02" w:rsidRPr="00D531E2">
        <w:rPr>
          <w:lang w:val="en-GB"/>
        </w:rPr>
        <w:t xml:space="preserve"> because these patients inherently had a different prognosis compared to the broader population in the HIMALAYA study.</w:t>
      </w:r>
      <w:r w:rsidR="0099278F" w:rsidRPr="00D531E2">
        <w:rPr>
          <w:lang w:val="en-GB"/>
        </w:rPr>
        <w:t xml:space="preserve"> Further, the PSCR argued that </w:t>
      </w:r>
      <w:r w:rsidR="007A2BCE" w:rsidRPr="00D531E2">
        <w:rPr>
          <w:lang w:val="en-GB"/>
        </w:rPr>
        <w:t>censoring of the rechallenged patients would introduce bias as they had to be alive for at least 6 months to be considered for re-challenge</w:t>
      </w:r>
      <w:r w:rsidR="00DE045E" w:rsidRPr="00D531E2">
        <w:rPr>
          <w:lang w:val="en-GB"/>
        </w:rPr>
        <w:t xml:space="preserve"> and had to</w:t>
      </w:r>
      <w:r w:rsidR="007A2BCE" w:rsidRPr="00D531E2">
        <w:rPr>
          <w:lang w:val="en-GB"/>
        </w:rPr>
        <w:t xml:space="preserve"> </w:t>
      </w:r>
      <w:r w:rsidR="00DE045E" w:rsidRPr="00D531E2">
        <w:rPr>
          <w:lang w:val="en-GB"/>
        </w:rPr>
        <w:t xml:space="preserve">meet </w:t>
      </w:r>
      <w:r w:rsidR="007A2BCE" w:rsidRPr="00D531E2">
        <w:rPr>
          <w:lang w:val="en-GB"/>
        </w:rPr>
        <w:t>additional criteria</w:t>
      </w:r>
      <w:r w:rsidR="00DE045E" w:rsidRPr="00D531E2">
        <w:rPr>
          <w:lang w:val="en-GB"/>
        </w:rPr>
        <w:t>.</w:t>
      </w:r>
    </w:p>
    <w:p w14:paraId="4297483D" w14:textId="77A4F042" w:rsidR="003E76BE" w:rsidRPr="00203D4C" w:rsidRDefault="003E76BE" w:rsidP="000A06CA">
      <w:pPr>
        <w:pStyle w:val="ListParagraph"/>
        <w:ind w:left="1134"/>
      </w:pPr>
      <w:r>
        <w:t>B</w:t>
      </w:r>
      <w:r w:rsidRPr="00BC5BA2">
        <w:t xml:space="preserve">oth studies allowed </w:t>
      </w:r>
      <w:r>
        <w:t>re</w:t>
      </w:r>
      <w:r w:rsidRPr="00BC5BA2">
        <w:t>treatment beyond progression</w:t>
      </w:r>
      <w:r>
        <w:t>,</w:t>
      </w:r>
      <w:r w:rsidR="007C0345">
        <w:t xml:space="preserve"> and</w:t>
      </w:r>
      <w:r>
        <w:t xml:space="preserve"> a greater proportion of patients in HIMALAYA continued treatment beyond progression (46.9% in the </w:t>
      </w:r>
      <w:r w:rsidRPr="00203D4C">
        <w:t xml:space="preserve">STRIDE arm and 35.8% of patients in the sorafenib arm) compared to patients treated with </w:t>
      </w:r>
      <w:proofErr w:type="spellStart"/>
      <w:r w:rsidRPr="00203D4C">
        <w:t>atezo</w:t>
      </w:r>
      <w:proofErr w:type="spellEnd"/>
      <w:r w:rsidRPr="00203D4C">
        <w:t xml:space="preserve"> + b in IMBRAVE150 (39.3%). </w:t>
      </w:r>
      <w:r w:rsidR="00B761D1" w:rsidRPr="00203D4C">
        <w:t>There is potential for limited benefit with post-progression PD-L1 treatment</w:t>
      </w:r>
      <w:r w:rsidR="00B761D1" w:rsidRPr="00203D4C">
        <w:rPr>
          <w:rStyle w:val="FootnoteReference"/>
        </w:rPr>
        <w:footnoteReference w:id="9"/>
      </w:r>
      <w:r w:rsidR="00B761D1" w:rsidRPr="00203D4C">
        <w:t xml:space="preserve">, however it is unlikely to have a large effect on the </w:t>
      </w:r>
      <w:r w:rsidR="00E973EB" w:rsidRPr="00203D4C">
        <w:t>OS</w:t>
      </w:r>
      <w:r w:rsidR="00B761D1" w:rsidRPr="00203D4C">
        <w:t xml:space="preserve"> results of HIMALAYA, and unlikely to bias the ITC as IMBRAVE150 also allowed for post-progression treatment.</w:t>
      </w:r>
    </w:p>
    <w:p w14:paraId="40BB2301" w14:textId="53D97557" w:rsidR="003E76BE" w:rsidRPr="00203D4C" w:rsidRDefault="003E76BE" w:rsidP="000A06CA">
      <w:pPr>
        <w:pStyle w:val="ListParagraph"/>
        <w:ind w:left="1134"/>
      </w:pPr>
      <w:r w:rsidRPr="00203D4C">
        <w:t>The proportion of patients with a non-viral cause of HCC was higher in HIMALAYA (41.8%) compared to IMBRAVE150 (30.5%). Patients with non-viral HCC present with more advanced disease, and have a worse prognosis compared to viral HCC aetiology</w:t>
      </w:r>
      <w:r w:rsidRPr="00203D4C">
        <w:rPr>
          <w:rStyle w:val="FootnoteReference"/>
        </w:rPr>
        <w:footnoteReference w:id="10"/>
      </w:r>
      <w:r w:rsidRPr="00203D4C">
        <w:t>; this difference favours the prognosis of patients in IMBRAVE150</w:t>
      </w:r>
      <w:r w:rsidR="00884BA9" w:rsidRPr="00203D4C">
        <w:t xml:space="preserve"> (</w:t>
      </w:r>
      <w:proofErr w:type="spellStart"/>
      <w:r w:rsidR="00884BA9" w:rsidRPr="00203D4C">
        <w:t>atezo</w:t>
      </w:r>
      <w:proofErr w:type="spellEnd"/>
      <w:r w:rsidR="00884BA9" w:rsidRPr="00203D4C">
        <w:t xml:space="preserve"> + b)</w:t>
      </w:r>
      <w:r w:rsidRPr="00203D4C">
        <w:t>.</w:t>
      </w:r>
    </w:p>
    <w:p w14:paraId="663AA4D8" w14:textId="264CFDCD" w:rsidR="003E76BE" w:rsidRPr="00203D4C" w:rsidRDefault="003E76BE" w:rsidP="000A06CA">
      <w:pPr>
        <w:pStyle w:val="ListParagraph"/>
        <w:ind w:left="1134"/>
      </w:pPr>
      <w:r w:rsidRPr="00203D4C">
        <w:t xml:space="preserve">Extra-hepatic spread </w:t>
      </w:r>
      <w:r w:rsidR="00535D4D" w:rsidRPr="00203D4C">
        <w:t xml:space="preserve">at baseline </w:t>
      </w:r>
      <w:r w:rsidRPr="00203D4C">
        <w:t>was</w:t>
      </w:r>
      <w:r w:rsidR="002B4302" w:rsidRPr="00203D4C">
        <w:t xml:space="preserve"> numerically</w:t>
      </w:r>
      <w:r w:rsidRPr="00203D4C">
        <w:t xml:space="preserve"> lower in HIMALAYA compared to IMBRAVE150 (52.6% vs 60.8%); this difference favours the prognosis of patients in HIMALAYA</w:t>
      </w:r>
      <w:r w:rsidR="00884BA9" w:rsidRPr="00203D4C">
        <w:t xml:space="preserve"> (STRIDE)</w:t>
      </w:r>
      <w:r w:rsidRPr="00203D4C">
        <w:t>.</w:t>
      </w:r>
    </w:p>
    <w:p w14:paraId="72D2D73F" w14:textId="45790906" w:rsidR="003E76BE" w:rsidRPr="00203D4C" w:rsidRDefault="003E76BE" w:rsidP="000A06CA">
      <w:pPr>
        <w:pStyle w:val="ListParagraph"/>
        <w:ind w:left="1134"/>
      </w:pPr>
      <w:r w:rsidRPr="00203D4C">
        <w:t xml:space="preserve">All the participants in HIMALAYA had </w:t>
      </w:r>
      <w:r w:rsidR="00617600" w:rsidRPr="00203D4C">
        <w:t xml:space="preserve">a </w:t>
      </w:r>
      <w:r w:rsidRPr="00203D4C">
        <w:t>disease stage of BCLC B or C at baseline (as per the inclusion criteria), whereas in IMBRAVE150, a small proportion of patients (3.0%) had BCLC stage A disease. Patients with BCLC stage A have a better prognosis than patients with BCLC stage B or C,</w:t>
      </w:r>
      <w:r w:rsidR="00884BA9" w:rsidRPr="00203D4C">
        <w:t xml:space="preserve"> so this would favour the prognosis of patients in IMBRAVE150 (</w:t>
      </w:r>
      <w:proofErr w:type="spellStart"/>
      <w:r w:rsidR="00884BA9" w:rsidRPr="00203D4C">
        <w:t>atezo</w:t>
      </w:r>
      <w:proofErr w:type="spellEnd"/>
      <w:r w:rsidR="00884BA9" w:rsidRPr="00203D4C">
        <w:t xml:space="preserve"> + b), </w:t>
      </w:r>
      <w:r w:rsidRPr="00203D4C">
        <w:t xml:space="preserve">but the difference was </w:t>
      </w:r>
      <w:r w:rsidR="00636EDC" w:rsidRPr="00203D4C">
        <w:t xml:space="preserve">likely </w:t>
      </w:r>
      <w:r w:rsidRPr="00203D4C">
        <w:t>small</w:t>
      </w:r>
      <w:r w:rsidR="008901D4" w:rsidRPr="00203D4C">
        <w:t>, given the small proportion of patients</w:t>
      </w:r>
      <w:r w:rsidRPr="00203D4C">
        <w:t>.</w:t>
      </w:r>
    </w:p>
    <w:p w14:paraId="1D98717E" w14:textId="77777777" w:rsidR="003E76BE" w:rsidRPr="0098262F" w:rsidRDefault="003E76BE" w:rsidP="003E76BE">
      <w:pPr>
        <w:pStyle w:val="4-SubsectionHeading"/>
      </w:pPr>
      <w:bookmarkStart w:id="17" w:name="_Toc193103687"/>
      <w:r w:rsidRPr="0098262F">
        <w:t>Comparative effectiveness</w:t>
      </w:r>
      <w:bookmarkEnd w:id="17"/>
    </w:p>
    <w:p w14:paraId="7CE28DBF" w14:textId="7AD3F163" w:rsidR="000D083B" w:rsidRDefault="003E76BE" w:rsidP="00063E2F">
      <w:pPr>
        <w:pStyle w:val="3-BodyText"/>
      </w:pPr>
      <w:r>
        <w:t>Results of OS at the five-year analysis (March 2024 DCO) and PFS at the August 2021 DCO are presented in</w:t>
      </w:r>
      <w:r w:rsidR="00242F11">
        <w:t xml:space="preserve"> </w:t>
      </w:r>
      <w:r w:rsidR="00242F11" w:rsidRPr="00242F11">
        <w:fldChar w:fldCharType="begin"/>
      </w:r>
      <w:r w:rsidR="00242F11" w:rsidRPr="00242F11">
        <w:instrText xml:space="preserve"> REF _Ref191289468 \h  \* MERGEFORMAT </w:instrText>
      </w:r>
      <w:r w:rsidR="00242F11" w:rsidRPr="00242F11">
        <w:fldChar w:fldCharType="separate"/>
      </w:r>
      <w:r w:rsidR="00AC295B" w:rsidRPr="00AC295B">
        <w:t>Table 4</w:t>
      </w:r>
      <w:r w:rsidR="00242F11" w:rsidRPr="00242F11">
        <w:fldChar w:fldCharType="end"/>
      </w:r>
      <w:r>
        <w:t>. The corresponding Kaplan-Meier (KM) curves for OS are presented in</w:t>
      </w:r>
      <w:r w:rsidR="00B73E52">
        <w:t xml:space="preserve"> </w:t>
      </w:r>
      <w:r w:rsidR="00B73E52">
        <w:fldChar w:fldCharType="begin"/>
      </w:r>
      <w:r w:rsidR="00B73E52">
        <w:instrText xml:space="preserve"> REF _Ref191289496 \h </w:instrText>
      </w:r>
      <w:r w:rsidR="00F65F65">
        <w:instrText xml:space="preserve"> \* MERGEFORMAT </w:instrText>
      </w:r>
      <w:r w:rsidR="00B73E52">
        <w:fldChar w:fldCharType="separate"/>
      </w:r>
      <w:r w:rsidR="00AC295B">
        <w:t>Figure</w:t>
      </w:r>
      <w:r w:rsidR="00AC295B">
        <w:rPr>
          <w:noProof/>
        </w:rPr>
        <w:t xml:space="preserve"> 1</w:t>
      </w:r>
      <w:r w:rsidR="00B73E52">
        <w:fldChar w:fldCharType="end"/>
      </w:r>
      <w:r w:rsidR="00B73E52">
        <w:t>.</w:t>
      </w:r>
    </w:p>
    <w:p w14:paraId="3E8BAEBF" w14:textId="1CE66376" w:rsidR="003E76BE" w:rsidRPr="002F06DF" w:rsidRDefault="003E76BE" w:rsidP="002F06DF">
      <w:pPr>
        <w:pStyle w:val="PBACTabletext"/>
        <w:spacing w:after="0"/>
        <w:rPr>
          <w:b/>
          <w:bCs/>
        </w:rPr>
      </w:pPr>
      <w:bookmarkStart w:id="18" w:name="_Ref191289468"/>
      <w:r w:rsidRPr="002F06DF">
        <w:rPr>
          <w:b/>
          <w:bCs/>
        </w:rPr>
        <w:lastRenderedPageBreak/>
        <w:t xml:space="preserve">Table </w:t>
      </w:r>
      <w:r w:rsidRPr="002F06DF">
        <w:rPr>
          <w:b/>
          <w:bCs/>
        </w:rPr>
        <w:fldChar w:fldCharType="begin"/>
      </w:r>
      <w:r w:rsidRPr="002F06DF">
        <w:rPr>
          <w:b/>
          <w:bCs/>
        </w:rPr>
        <w:instrText xml:space="preserve"> SEQ Table \* ARABIC </w:instrText>
      </w:r>
      <w:r w:rsidRPr="002F06DF">
        <w:rPr>
          <w:b/>
          <w:bCs/>
        </w:rPr>
        <w:fldChar w:fldCharType="separate"/>
      </w:r>
      <w:r w:rsidR="00AC295B">
        <w:rPr>
          <w:b/>
          <w:bCs/>
          <w:noProof/>
        </w:rPr>
        <w:t>4</w:t>
      </w:r>
      <w:r w:rsidRPr="002F06DF">
        <w:rPr>
          <w:b/>
          <w:bCs/>
          <w:noProof/>
        </w:rPr>
        <w:fldChar w:fldCharType="end"/>
      </w:r>
      <w:bookmarkEnd w:id="18"/>
      <w:r w:rsidRPr="002F06DF">
        <w:rPr>
          <w:b/>
          <w:bCs/>
        </w:rPr>
        <w:t>: Summary of HIMALAYA results</w:t>
      </w:r>
      <w:r w:rsidR="002F06DF" w:rsidRPr="002F06DF">
        <w:rPr>
          <w:b/>
          <w:bCs/>
        </w:rPr>
        <w:t xml:space="preserve">, </w:t>
      </w:r>
      <w:r w:rsidRPr="002F06DF">
        <w:rPr>
          <w:b/>
          <w:bCs/>
        </w:rPr>
        <w:t>FAS</w:t>
      </w:r>
    </w:p>
    <w:tbl>
      <w:tblPr>
        <w:tblStyle w:val="TableGrid"/>
        <w:tblW w:w="5085" w:type="pct"/>
        <w:tblLook w:val="04A0" w:firstRow="1" w:lastRow="0" w:firstColumn="1" w:lastColumn="0" w:noHBand="0" w:noVBand="1"/>
      </w:tblPr>
      <w:tblGrid>
        <w:gridCol w:w="911"/>
        <w:gridCol w:w="965"/>
        <w:gridCol w:w="790"/>
        <w:gridCol w:w="899"/>
        <w:gridCol w:w="1027"/>
        <w:gridCol w:w="790"/>
        <w:gridCol w:w="1341"/>
        <w:gridCol w:w="1018"/>
        <w:gridCol w:w="1429"/>
      </w:tblGrid>
      <w:tr w:rsidR="003E76BE" w:rsidRPr="0068154A" w14:paraId="0627228D" w14:textId="77777777">
        <w:tc>
          <w:tcPr>
            <w:tcW w:w="497" w:type="pct"/>
            <w:vMerge w:val="restart"/>
            <w:shd w:val="clear" w:color="auto" w:fill="auto"/>
            <w:vAlign w:val="center"/>
          </w:tcPr>
          <w:p w14:paraId="0FBBB838" w14:textId="77777777" w:rsidR="003E76BE" w:rsidRPr="0074452B" w:rsidRDefault="003E76BE">
            <w:pPr>
              <w:pStyle w:val="PBACTabletext"/>
              <w:rPr>
                <w:b/>
                <w:bCs/>
              </w:rPr>
            </w:pPr>
            <w:r>
              <w:rPr>
                <w:b/>
                <w:bCs/>
              </w:rPr>
              <w:t>D</w:t>
            </w:r>
            <w:r w:rsidRPr="0074452B">
              <w:rPr>
                <w:b/>
                <w:bCs/>
              </w:rPr>
              <w:t>CO</w:t>
            </w:r>
          </w:p>
        </w:tc>
        <w:tc>
          <w:tcPr>
            <w:tcW w:w="1447" w:type="pct"/>
            <w:gridSpan w:val="3"/>
            <w:shd w:val="clear" w:color="auto" w:fill="auto"/>
            <w:vAlign w:val="center"/>
          </w:tcPr>
          <w:p w14:paraId="2F970639" w14:textId="77777777" w:rsidR="003E76BE" w:rsidRPr="0074452B" w:rsidRDefault="003E76BE">
            <w:pPr>
              <w:pStyle w:val="PBACTabletext"/>
              <w:jc w:val="center"/>
              <w:rPr>
                <w:b/>
                <w:bCs/>
              </w:rPr>
            </w:pPr>
            <w:r w:rsidRPr="0074452B">
              <w:rPr>
                <w:b/>
                <w:bCs/>
              </w:rPr>
              <w:t>STRIDE</w:t>
            </w:r>
            <w:r>
              <w:rPr>
                <w:b/>
                <w:bCs/>
              </w:rPr>
              <w:t xml:space="preserve"> (N=393)</w:t>
            </w:r>
          </w:p>
        </w:tc>
        <w:tc>
          <w:tcPr>
            <w:tcW w:w="1722" w:type="pct"/>
            <w:gridSpan w:val="3"/>
            <w:shd w:val="clear" w:color="auto" w:fill="auto"/>
            <w:vAlign w:val="center"/>
          </w:tcPr>
          <w:p w14:paraId="4FD6964B" w14:textId="77777777" w:rsidR="003E76BE" w:rsidRPr="0074452B" w:rsidRDefault="003E76BE">
            <w:pPr>
              <w:pStyle w:val="PBACTabletext"/>
              <w:jc w:val="center"/>
              <w:rPr>
                <w:b/>
                <w:bCs/>
              </w:rPr>
            </w:pPr>
            <w:r w:rsidRPr="0074452B">
              <w:rPr>
                <w:b/>
                <w:bCs/>
              </w:rPr>
              <w:t>Sorafenib</w:t>
            </w:r>
            <w:r>
              <w:rPr>
                <w:b/>
                <w:bCs/>
              </w:rPr>
              <w:t xml:space="preserve"> (N=389)</w:t>
            </w:r>
          </w:p>
        </w:tc>
        <w:tc>
          <w:tcPr>
            <w:tcW w:w="555" w:type="pct"/>
            <w:vMerge w:val="restart"/>
            <w:shd w:val="clear" w:color="auto" w:fill="auto"/>
            <w:vAlign w:val="center"/>
          </w:tcPr>
          <w:p w14:paraId="76509010" w14:textId="77777777" w:rsidR="003E76BE" w:rsidRPr="0074452B" w:rsidRDefault="003E76BE">
            <w:pPr>
              <w:pStyle w:val="PBACTabletext"/>
              <w:jc w:val="center"/>
              <w:rPr>
                <w:b/>
                <w:bCs/>
              </w:rPr>
            </w:pPr>
            <w:r w:rsidRPr="0074452B">
              <w:rPr>
                <w:b/>
                <w:bCs/>
              </w:rPr>
              <w:t>Difference in median</w:t>
            </w:r>
            <w:r>
              <w:rPr>
                <w:b/>
                <w:bCs/>
              </w:rPr>
              <w:t>, months</w:t>
            </w:r>
          </w:p>
        </w:tc>
        <w:tc>
          <w:tcPr>
            <w:tcW w:w="778" w:type="pct"/>
            <w:vMerge w:val="restart"/>
            <w:shd w:val="clear" w:color="auto" w:fill="auto"/>
            <w:vAlign w:val="center"/>
          </w:tcPr>
          <w:p w14:paraId="0BB3A755" w14:textId="77777777" w:rsidR="003E76BE" w:rsidRPr="0074452B" w:rsidRDefault="003E76BE">
            <w:pPr>
              <w:pStyle w:val="PBACTabletext"/>
              <w:jc w:val="center"/>
              <w:rPr>
                <w:b/>
                <w:bCs/>
              </w:rPr>
            </w:pPr>
            <w:r w:rsidRPr="0074452B">
              <w:rPr>
                <w:b/>
                <w:bCs/>
              </w:rPr>
              <w:t>HR (95% CI)</w:t>
            </w:r>
          </w:p>
        </w:tc>
      </w:tr>
      <w:tr w:rsidR="003E76BE" w:rsidRPr="0068154A" w14:paraId="69BCC744" w14:textId="77777777">
        <w:tc>
          <w:tcPr>
            <w:tcW w:w="497" w:type="pct"/>
            <w:vMerge/>
            <w:shd w:val="clear" w:color="auto" w:fill="auto"/>
            <w:vAlign w:val="center"/>
          </w:tcPr>
          <w:p w14:paraId="26653751" w14:textId="77777777" w:rsidR="003E76BE" w:rsidRPr="0068154A" w:rsidRDefault="003E76BE">
            <w:pPr>
              <w:pStyle w:val="PBACTabletext"/>
            </w:pPr>
          </w:p>
        </w:tc>
        <w:tc>
          <w:tcPr>
            <w:tcW w:w="526" w:type="pct"/>
            <w:shd w:val="clear" w:color="auto" w:fill="auto"/>
            <w:vAlign w:val="center"/>
          </w:tcPr>
          <w:p w14:paraId="1407EBD4" w14:textId="77777777" w:rsidR="003E76BE" w:rsidRPr="0074452B" w:rsidRDefault="003E76BE">
            <w:pPr>
              <w:pStyle w:val="PBACTabletext"/>
              <w:jc w:val="center"/>
              <w:rPr>
                <w:b/>
                <w:bCs/>
              </w:rPr>
            </w:pPr>
            <w:r w:rsidRPr="0074452B">
              <w:rPr>
                <w:b/>
                <w:bCs/>
              </w:rPr>
              <w:t xml:space="preserve">Median </w:t>
            </w:r>
            <w:r w:rsidRPr="0074452B">
              <w:rPr>
                <w:b/>
                <w:bCs/>
              </w:rPr>
              <w:br/>
              <w:t>follow-up</w:t>
            </w:r>
            <w:r>
              <w:rPr>
                <w:b/>
                <w:bCs/>
              </w:rPr>
              <w:t xml:space="preserve"> (range), months</w:t>
            </w:r>
          </w:p>
        </w:tc>
        <w:tc>
          <w:tcPr>
            <w:tcW w:w="431" w:type="pct"/>
            <w:shd w:val="clear" w:color="auto" w:fill="auto"/>
            <w:vAlign w:val="center"/>
          </w:tcPr>
          <w:p w14:paraId="0EEEEFD9" w14:textId="77777777" w:rsidR="003E76BE" w:rsidRPr="0074452B" w:rsidRDefault="003E76BE">
            <w:pPr>
              <w:pStyle w:val="PBACTabletext"/>
              <w:jc w:val="center"/>
              <w:rPr>
                <w:b/>
                <w:bCs/>
              </w:rPr>
            </w:pPr>
            <w:r w:rsidRPr="0074452B">
              <w:rPr>
                <w:b/>
                <w:bCs/>
              </w:rPr>
              <w:t>Events (%)</w:t>
            </w:r>
          </w:p>
        </w:tc>
        <w:tc>
          <w:tcPr>
            <w:tcW w:w="490" w:type="pct"/>
            <w:shd w:val="clear" w:color="auto" w:fill="auto"/>
            <w:vAlign w:val="center"/>
          </w:tcPr>
          <w:p w14:paraId="7F740469" w14:textId="0D64BCDC" w:rsidR="003E76BE" w:rsidRPr="0074452B" w:rsidRDefault="003E76BE">
            <w:pPr>
              <w:pStyle w:val="PBACTabletext"/>
              <w:jc w:val="center"/>
              <w:rPr>
                <w:b/>
                <w:bCs/>
              </w:rPr>
            </w:pPr>
            <w:r w:rsidRPr="0074452B">
              <w:rPr>
                <w:b/>
                <w:bCs/>
              </w:rPr>
              <w:t>Median</w:t>
            </w:r>
            <w:r>
              <w:rPr>
                <w:b/>
                <w:bCs/>
              </w:rPr>
              <w:t>, months</w:t>
            </w:r>
            <w:r w:rsidRPr="0074452B">
              <w:rPr>
                <w:b/>
                <w:bCs/>
              </w:rPr>
              <w:t xml:space="preserve"> </w:t>
            </w:r>
            <w:r w:rsidRPr="0074452B">
              <w:rPr>
                <w:b/>
                <w:bCs/>
              </w:rPr>
              <w:br/>
              <w:t>(95% CI)</w:t>
            </w:r>
          </w:p>
        </w:tc>
        <w:tc>
          <w:tcPr>
            <w:tcW w:w="560" w:type="pct"/>
            <w:shd w:val="clear" w:color="auto" w:fill="auto"/>
            <w:vAlign w:val="center"/>
          </w:tcPr>
          <w:p w14:paraId="20DA3345" w14:textId="4CBB44A6" w:rsidR="003E76BE" w:rsidRPr="0074452B" w:rsidRDefault="003E76BE">
            <w:pPr>
              <w:pStyle w:val="PBACTabletext"/>
              <w:jc w:val="center"/>
              <w:rPr>
                <w:b/>
                <w:bCs/>
              </w:rPr>
            </w:pPr>
            <w:r w:rsidRPr="0074452B">
              <w:rPr>
                <w:b/>
                <w:bCs/>
              </w:rPr>
              <w:t>Median</w:t>
            </w:r>
            <w:r w:rsidR="000D083B">
              <w:rPr>
                <w:b/>
                <w:bCs/>
              </w:rPr>
              <w:t xml:space="preserve"> </w:t>
            </w:r>
            <w:r>
              <w:rPr>
                <w:b/>
                <w:bCs/>
              </w:rPr>
              <w:br/>
              <w:t>follow-up (range), months</w:t>
            </w:r>
          </w:p>
        </w:tc>
        <w:tc>
          <w:tcPr>
            <w:tcW w:w="431" w:type="pct"/>
            <w:shd w:val="clear" w:color="auto" w:fill="auto"/>
            <w:vAlign w:val="center"/>
          </w:tcPr>
          <w:p w14:paraId="6DEDB31C" w14:textId="77777777" w:rsidR="003E76BE" w:rsidRPr="0074452B" w:rsidRDefault="003E76BE">
            <w:pPr>
              <w:pStyle w:val="PBACTabletext"/>
              <w:jc w:val="center"/>
              <w:rPr>
                <w:b/>
                <w:bCs/>
              </w:rPr>
            </w:pPr>
            <w:r w:rsidRPr="0074452B">
              <w:rPr>
                <w:b/>
                <w:bCs/>
              </w:rPr>
              <w:t>Events (%)</w:t>
            </w:r>
          </w:p>
        </w:tc>
        <w:tc>
          <w:tcPr>
            <w:tcW w:w="731" w:type="pct"/>
            <w:shd w:val="clear" w:color="auto" w:fill="auto"/>
            <w:vAlign w:val="center"/>
          </w:tcPr>
          <w:p w14:paraId="52FD193B" w14:textId="49304915" w:rsidR="003E76BE" w:rsidRPr="0074452B" w:rsidRDefault="003E76BE">
            <w:pPr>
              <w:pStyle w:val="PBACTabletext"/>
              <w:jc w:val="center"/>
              <w:rPr>
                <w:b/>
                <w:bCs/>
              </w:rPr>
            </w:pPr>
            <w:r w:rsidRPr="0074452B">
              <w:rPr>
                <w:b/>
                <w:bCs/>
              </w:rPr>
              <w:t>Median</w:t>
            </w:r>
            <w:r>
              <w:rPr>
                <w:b/>
                <w:bCs/>
              </w:rPr>
              <w:t>, months</w:t>
            </w:r>
            <w:r w:rsidRPr="0074452B">
              <w:rPr>
                <w:b/>
                <w:bCs/>
              </w:rPr>
              <w:t xml:space="preserve"> </w:t>
            </w:r>
            <w:r w:rsidRPr="0074452B">
              <w:rPr>
                <w:b/>
                <w:bCs/>
              </w:rPr>
              <w:br/>
              <w:t>(95% CI)</w:t>
            </w:r>
          </w:p>
        </w:tc>
        <w:tc>
          <w:tcPr>
            <w:tcW w:w="555" w:type="pct"/>
            <w:vMerge/>
            <w:shd w:val="clear" w:color="auto" w:fill="auto"/>
            <w:vAlign w:val="center"/>
          </w:tcPr>
          <w:p w14:paraId="52BDC12D" w14:textId="77777777" w:rsidR="003E76BE" w:rsidRPr="0068154A" w:rsidRDefault="003E76BE">
            <w:pPr>
              <w:pStyle w:val="PBACTabletext"/>
              <w:jc w:val="center"/>
            </w:pPr>
          </w:p>
        </w:tc>
        <w:tc>
          <w:tcPr>
            <w:tcW w:w="778" w:type="pct"/>
            <w:vMerge/>
            <w:shd w:val="clear" w:color="auto" w:fill="auto"/>
            <w:vAlign w:val="center"/>
          </w:tcPr>
          <w:p w14:paraId="54A8C5E5" w14:textId="77777777" w:rsidR="003E76BE" w:rsidRPr="0068154A" w:rsidRDefault="003E76BE">
            <w:pPr>
              <w:pStyle w:val="PBACTabletext"/>
              <w:jc w:val="center"/>
            </w:pPr>
          </w:p>
        </w:tc>
      </w:tr>
      <w:tr w:rsidR="003E76BE" w:rsidRPr="00365D89" w14:paraId="411022C1" w14:textId="77777777">
        <w:tc>
          <w:tcPr>
            <w:tcW w:w="5000" w:type="pct"/>
            <w:gridSpan w:val="9"/>
            <w:vAlign w:val="center"/>
          </w:tcPr>
          <w:p w14:paraId="0A357D2F" w14:textId="77777777" w:rsidR="003E76BE" w:rsidRPr="008F6EF2" w:rsidRDefault="003E76BE">
            <w:pPr>
              <w:pStyle w:val="PBACTabletext"/>
              <w:rPr>
                <w:b/>
                <w:bCs/>
              </w:rPr>
            </w:pPr>
            <w:r>
              <w:rPr>
                <w:b/>
                <w:bCs/>
              </w:rPr>
              <w:t>Overall Survival</w:t>
            </w:r>
          </w:p>
        </w:tc>
      </w:tr>
      <w:tr w:rsidR="003E76BE" w:rsidRPr="00365D89" w14:paraId="0DECDD6E" w14:textId="77777777">
        <w:tc>
          <w:tcPr>
            <w:tcW w:w="497" w:type="pct"/>
            <w:vAlign w:val="center"/>
          </w:tcPr>
          <w:p w14:paraId="2312262C" w14:textId="77777777" w:rsidR="003E76BE" w:rsidRPr="0068154A" w:rsidRDefault="003E76BE">
            <w:pPr>
              <w:pStyle w:val="PBACTabletext"/>
            </w:pPr>
            <w:r w:rsidRPr="0068154A">
              <w:t xml:space="preserve">Five-year </w:t>
            </w:r>
            <w:r>
              <w:t>analysis</w:t>
            </w:r>
            <w:r>
              <w:br/>
            </w:r>
            <w:r w:rsidRPr="004F597E">
              <w:rPr>
                <w:i/>
                <w:iCs/>
              </w:rPr>
              <w:t>(1 March 2024</w:t>
            </w:r>
            <w:r>
              <w:t>)</w:t>
            </w:r>
          </w:p>
        </w:tc>
        <w:tc>
          <w:tcPr>
            <w:tcW w:w="526" w:type="pct"/>
            <w:vAlign w:val="center"/>
          </w:tcPr>
          <w:p w14:paraId="0A4F3A95" w14:textId="77777777" w:rsidR="003E76BE" w:rsidRPr="0068154A" w:rsidRDefault="003E76BE">
            <w:pPr>
              <w:pStyle w:val="PBACTabletext"/>
              <w:jc w:val="center"/>
            </w:pPr>
            <w:r w:rsidRPr="0068154A">
              <w:t xml:space="preserve">62.49 </w:t>
            </w:r>
            <w:r w:rsidRPr="0068154A">
              <w:br/>
              <w:t>(59.47, 64.79)</w:t>
            </w:r>
          </w:p>
        </w:tc>
        <w:tc>
          <w:tcPr>
            <w:tcW w:w="431" w:type="pct"/>
            <w:vAlign w:val="center"/>
          </w:tcPr>
          <w:p w14:paraId="1C871C61" w14:textId="77777777" w:rsidR="003E76BE" w:rsidRPr="0068154A" w:rsidRDefault="003E76BE">
            <w:pPr>
              <w:pStyle w:val="PBACTabletext"/>
              <w:jc w:val="center"/>
            </w:pPr>
            <w:r w:rsidRPr="0068154A">
              <w:t>309 (78.6)</w:t>
            </w:r>
          </w:p>
        </w:tc>
        <w:tc>
          <w:tcPr>
            <w:tcW w:w="490" w:type="pct"/>
            <w:vAlign w:val="center"/>
          </w:tcPr>
          <w:p w14:paraId="06587C33" w14:textId="77777777" w:rsidR="003E76BE" w:rsidRPr="0068154A" w:rsidRDefault="003E76BE">
            <w:pPr>
              <w:pStyle w:val="PBACTabletext"/>
              <w:jc w:val="center"/>
            </w:pPr>
            <w:r w:rsidRPr="0068154A">
              <w:t xml:space="preserve">16.43 </w:t>
            </w:r>
            <w:r w:rsidRPr="0068154A">
              <w:br/>
              <w:t>(14.16, 19.58)</w:t>
            </w:r>
          </w:p>
        </w:tc>
        <w:tc>
          <w:tcPr>
            <w:tcW w:w="560" w:type="pct"/>
            <w:vAlign w:val="center"/>
          </w:tcPr>
          <w:p w14:paraId="0BA16488" w14:textId="77777777" w:rsidR="003E76BE" w:rsidRPr="0068154A" w:rsidRDefault="003E76BE">
            <w:pPr>
              <w:pStyle w:val="PBACTabletext"/>
              <w:jc w:val="center"/>
            </w:pPr>
            <w:r w:rsidRPr="0068154A">
              <w:t xml:space="preserve">59.86 </w:t>
            </w:r>
            <w:r w:rsidRPr="0068154A">
              <w:br/>
              <w:t>(58.32, 61.54)</w:t>
            </w:r>
          </w:p>
        </w:tc>
        <w:tc>
          <w:tcPr>
            <w:tcW w:w="431" w:type="pct"/>
            <w:vAlign w:val="center"/>
          </w:tcPr>
          <w:p w14:paraId="499A6B21" w14:textId="77777777" w:rsidR="003E76BE" w:rsidRPr="0068154A" w:rsidRDefault="003E76BE">
            <w:pPr>
              <w:pStyle w:val="PBACTabletext"/>
              <w:jc w:val="center"/>
            </w:pPr>
            <w:r w:rsidRPr="0068154A">
              <w:t>332 (85.3)</w:t>
            </w:r>
          </w:p>
        </w:tc>
        <w:tc>
          <w:tcPr>
            <w:tcW w:w="731" w:type="pct"/>
            <w:vAlign w:val="center"/>
          </w:tcPr>
          <w:p w14:paraId="440CB3E5" w14:textId="77777777" w:rsidR="003E76BE" w:rsidRPr="0068154A" w:rsidRDefault="003E76BE">
            <w:pPr>
              <w:pStyle w:val="PBACTabletext"/>
              <w:jc w:val="center"/>
            </w:pPr>
            <w:r w:rsidRPr="0068154A">
              <w:t xml:space="preserve">13.77 </w:t>
            </w:r>
            <w:r w:rsidRPr="0068154A">
              <w:br/>
              <w:t>(12.25, 16.13)</w:t>
            </w:r>
          </w:p>
        </w:tc>
        <w:tc>
          <w:tcPr>
            <w:tcW w:w="555" w:type="pct"/>
            <w:vAlign w:val="center"/>
          </w:tcPr>
          <w:p w14:paraId="365E290A" w14:textId="77777777" w:rsidR="003E76BE" w:rsidRPr="0068154A" w:rsidRDefault="003E76BE">
            <w:pPr>
              <w:pStyle w:val="PBACTabletext"/>
              <w:jc w:val="center"/>
            </w:pPr>
            <w:r>
              <w:t xml:space="preserve">2.66 </w:t>
            </w:r>
          </w:p>
        </w:tc>
        <w:tc>
          <w:tcPr>
            <w:tcW w:w="778" w:type="pct"/>
            <w:vAlign w:val="center"/>
          </w:tcPr>
          <w:p w14:paraId="55593E19" w14:textId="77777777" w:rsidR="003E76BE" w:rsidRPr="008F6EF2" w:rsidRDefault="003E76BE">
            <w:pPr>
              <w:pStyle w:val="PBACTabletext"/>
              <w:jc w:val="center"/>
              <w:rPr>
                <w:b/>
                <w:bCs/>
              </w:rPr>
            </w:pPr>
            <w:r w:rsidRPr="008F6EF2">
              <w:rPr>
                <w:b/>
                <w:bCs/>
              </w:rPr>
              <w:t>0.76 (0.65, 0.89)</w:t>
            </w:r>
          </w:p>
          <w:p w14:paraId="5BB01A46" w14:textId="77777777" w:rsidR="003E76BE" w:rsidRPr="008F6EF2" w:rsidRDefault="003E76BE">
            <w:pPr>
              <w:pStyle w:val="PBACTabletext"/>
              <w:jc w:val="center"/>
              <w:rPr>
                <w:b/>
                <w:bCs/>
              </w:rPr>
            </w:pPr>
            <w:r>
              <w:rPr>
                <w:b/>
                <w:bCs/>
              </w:rPr>
              <w:t>p</w:t>
            </w:r>
            <w:r w:rsidRPr="008F6EF2">
              <w:rPr>
                <w:b/>
                <w:bCs/>
              </w:rPr>
              <w:t>=0.0008</w:t>
            </w:r>
          </w:p>
        </w:tc>
      </w:tr>
      <w:tr w:rsidR="003E76BE" w:rsidRPr="00365D89" w14:paraId="78CEC9A3" w14:textId="77777777">
        <w:tc>
          <w:tcPr>
            <w:tcW w:w="5000" w:type="pct"/>
            <w:gridSpan w:val="9"/>
            <w:vAlign w:val="center"/>
          </w:tcPr>
          <w:p w14:paraId="52F76AF3" w14:textId="5555DE93" w:rsidR="003E76BE" w:rsidRPr="008F6EF2" w:rsidRDefault="003E76BE">
            <w:pPr>
              <w:pStyle w:val="PBACTabletext"/>
              <w:rPr>
                <w:b/>
                <w:bCs/>
              </w:rPr>
            </w:pPr>
            <w:r>
              <w:rPr>
                <w:b/>
                <w:bCs/>
              </w:rPr>
              <w:t>Progression-Free Survival</w:t>
            </w:r>
            <w:r w:rsidR="0063742B">
              <w:rPr>
                <w:b/>
                <w:bCs/>
              </w:rPr>
              <w:t xml:space="preserve"> (RECIST 1.1)</w:t>
            </w:r>
          </w:p>
        </w:tc>
      </w:tr>
      <w:tr w:rsidR="003E76BE" w:rsidRPr="00365D89" w14:paraId="355BB3F7" w14:textId="77777777">
        <w:tc>
          <w:tcPr>
            <w:tcW w:w="497" w:type="pct"/>
            <w:vAlign w:val="center"/>
          </w:tcPr>
          <w:p w14:paraId="301A587E" w14:textId="77777777" w:rsidR="003E76BE" w:rsidRPr="0068154A" w:rsidRDefault="003E76BE">
            <w:pPr>
              <w:pStyle w:val="PBACTabletext"/>
            </w:pPr>
            <w:r>
              <w:t>Final</w:t>
            </w:r>
            <w:r w:rsidRPr="0068154A">
              <w:t xml:space="preserve"> analysis</w:t>
            </w:r>
            <w:r>
              <w:br/>
            </w:r>
            <w:r w:rsidRPr="004F597E">
              <w:rPr>
                <w:i/>
                <w:iCs/>
              </w:rPr>
              <w:t>(27 August 2021)</w:t>
            </w:r>
          </w:p>
        </w:tc>
        <w:tc>
          <w:tcPr>
            <w:tcW w:w="526" w:type="pct"/>
            <w:vAlign w:val="center"/>
          </w:tcPr>
          <w:p w14:paraId="7DC1B15C" w14:textId="77777777" w:rsidR="003E76BE" w:rsidRPr="0068154A" w:rsidRDefault="003E76BE">
            <w:pPr>
              <w:pStyle w:val="PBACTabletext"/>
              <w:jc w:val="center"/>
            </w:pPr>
            <w:r w:rsidRPr="0068154A">
              <w:t xml:space="preserve">33.18 </w:t>
            </w:r>
            <w:r>
              <w:br/>
            </w:r>
            <w:r w:rsidRPr="0068154A">
              <w:t>(31.74, 34.53)</w:t>
            </w:r>
          </w:p>
        </w:tc>
        <w:tc>
          <w:tcPr>
            <w:tcW w:w="431" w:type="pct"/>
            <w:vAlign w:val="center"/>
          </w:tcPr>
          <w:p w14:paraId="0ABE2397" w14:textId="76807BFB" w:rsidR="003E76BE" w:rsidRPr="0068154A" w:rsidRDefault="003E76BE">
            <w:pPr>
              <w:pStyle w:val="PBACTabletext"/>
              <w:jc w:val="center"/>
            </w:pPr>
            <w:r>
              <w:t>335 (85.2)</w:t>
            </w:r>
          </w:p>
        </w:tc>
        <w:tc>
          <w:tcPr>
            <w:tcW w:w="490" w:type="pct"/>
            <w:vAlign w:val="center"/>
          </w:tcPr>
          <w:p w14:paraId="3B68136D" w14:textId="77777777" w:rsidR="003E76BE" w:rsidRPr="0068154A" w:rsidRDefault="003E76BE">
            <w:pPr>
              <w:pStyle w:val="PBACTabletext"/>
              <w:jc w:val="center"/>
            </w:pPr>
            <w:r>
              <w:t>3.78 (3.68, 5.32)</w:t>
            </w:r>
          </w:p>
        </w:tc>
        <w:tc>
          <w:tcPr>
            <w:tcW w:w="560" w:type="pct"/>
            <w:vAlign w:val="center"/>
          </w:tcPr>
          <w:p w14:paraId="22BDFF96" w14:textId="77777777" w:rsidR="003E76BE" w:rsidRPr="0068154A" w:rsidRDefault="003E76BE">
            <w:pPr>
              <w:pStyle w:val="PBACTabletext"/>
              <w:jc w:val="center"/>
            </w:pPr>
            <w:r w:rsidRPr="0068154A">
              <w:t>32.23</w:t>
            </w:r>
            <w:r w:rsidRPr="0068154A">
              <w:br/>
              <w:t>(30.42, 33.71)</w:t>
            </w:r>
          </w:p>
        </w:tc>
        <w:tc>
          <w:tcPr>
            <w:tcW w:w="431" w:type="pct"/>
            <w:vAlign w:val="center"/>
          </w:tcPr>
          <w:p w14:paraId="6E02DFCD" w14:textId="3A2150E2" w:rsidR="003E76BE" w:rsidRPr="0068154A" w:rsidRDefault="003E76BE">
            <w:pPr>
              <w:pStyle w:val="PBACTabletext"/>
              <w:jc w:val="center"/>
            </w:pPr>
            <w:r>
              <w:t>327 (84.1)</w:t>
            </w:r>
          </w:p>
        </w:tc>
        <w:tc>
          <w:tcPr>
            <w:tcW w:w="731" w:type="pct"/>
            <w:vAlign w:val="center"/>
          </w:tcPr>
          <w:p w14:paraId="7F50B228" w14:textId="77777777" w:rsidR="003E76BE" w:rsidRPr="0068154A" w:rsidRDefault="003E76BE">
            <w:pPr>
              <w:pStyle w:val="PBACTabletext"/>
              <w:jc w:val="center"/>
            </w:pPr>
            <w:r>
              <w:t>4.07 (3.75, 5.49)</w:t>
            </w:r>
          </w:p>
        </w:tc>
        <w:tc>
          <w:tcPr>
            <w:tcW w:w="555" w:type="pct"/>
            <w:vAlign w:val="center"/>
          </w:tcPr>
          <w:p w14:paraId="55CF9DF1" w14:textId="77777777" w:rsidR="003E76BE" w:rsidRDefault="003E76BE">
            <w:pPr>
              <w:pStyle w:val="PBACTabletext"/>
              <w:jc w:val="center"/>
            </w:pPr>
            <w:r>
              <w:t>-0.29</w:t>
            </w:r>
          </w:p>
        </w:tc>
        <w:tc>
          <w:tcPr>
            <w:tcW w:w="778" w:type="pct"/>
            <w:vAlign w:val="center"/>
          </w:tcPr>
          <w:p w14:paraId="18EB18AB" w14:textId="77777777" w:rsidR="003E76BE" w:rsidRDefault="003E76BE">
            <w:pPr>
              <w:pStyle w:val="PBACTabletext"/>
              <w:jc w:val="center"/>
            </w:pPr>
            <w:r>
              <w:t>0.90 (0.77, 1.05)</w:t>
            </w:r>
          </w:p>
          <w:p w14:paraId="0E1E241A" w14:textId="77777777" w:rsidR="003E76BE" w:rsidRPr="00280CDB" w:rsidRDefault="003E76BE">
            <w:pPr>
              <w:pStyle w:val="PBACTabletext"/>
              <w:jc w:val="center"/>
            </w:pPr>
            <w:r w:rsidRPr="00280CDB">
              <w:t>p=0.1625</w:t>
            </w:r>
          </w:p>
        </w:tc>
      </w:tr>
    </w:tbl>
    <w:p w14:paraId="1A13DF41" w14:textId="77777777" w:rsidR="003E76BE" w:rsidRPr="00CF392B" w:rsidRDefault="003E76BE" w:rsidP="00CF392B">
      <w:pPr>
        <w:pStyle w:val="TableFigureFooter"/>
      </w:pPr>
      <w:r w:rsidRPr="00CF392B">
        <w:t>Source: Table 2-27, p105 of the submission; Table 2-28 p108 of the submission.</w:t>
      </w:r>
    </w:p>
    <w:p w14:paraId="07686FE6" w14:textId="77777777" w:rsidR="003E76BE" w:rsidRPr="00CF392B" w:rsidRDefault="003E76BE" w:rsidP="00CF392B">
      <w:pPr>
        <w:pStyle w:val="TableFigureFooter"/>
      </w:pPr>
      <w:r w:rsidRPr="00CF392B">
        <w:t>CI =confidence interval; DCO = data cut-off; FAS = full analysis set; HR =hazard ratio; N = number.</w:t>
      </w:r>
    </w:p>
    <w:p w14:paraId="4663220F" w14:textId="77777777" w:rsidR="00CF392B" w:rsidRPr="00CF392B" w:rsidRDefault="003E76BE" w:rsidP="00CF392B">
      <w:pPr>
        <w:pStyle w:val="TableFigureFooter"/>
      </w:pPr>
      <w:r w:rsidRPr="00CF392B">
        <w:t>Dates incorrectly reported in the submission, corrected during the evaluation.</w:t>
      </w:r>
    </w:p>
    <w:p w14:paraId="4C996F45" w14:textId="46871472" w:rsidR="003E76BE" w:rsidRPr="00CF392B" w:rsidRDefault="003E76BE" w:rsidP="00CF392B">
      <w:pPr>
        <w:pStyle w:val="TableFigureFooter"/>
        <w:keepNext w:val="0"/>
      </w:pPr>
      <w:r w:rsidRPr="00CF392B">
        <w:rPr>
          <w:b/>
          <w:bCs/>
        </w:rPr>
        <w:t>Bold</w:t>
      </w:r>
      <w:r w:rsidRPr="00CF392B">
        <w:t xml:space="preserve"> indicates statistically significant results</w:t>
      </w:r>
    </w:p>
    <w:p w14:paraId="354E840E" w14:textId="6A56E536" w:rsidR="003E76BE" w:rsidRDefault="003E76BE" w:rsidP="00CF392B">
      <w:pPr>
        <w:pStyle w:val="Caption"/>
        <w:rPr>
          <w:color w:val="0066FF"/>
        </w:rPr>
      </w:pPr>
      <w:bookmarkStart w:id="19" w:name="_Ref191289496"/>
      <w:bookmarkStart w:id="20" w:name="_Ref193102169"/>
      <w:r>
        <w:t xml:space="preserve">Figure </w:t>
      </w:r>
      <w:r w:rsidR="009E6F71">
        <w:fldChar w:fldCharType="begin"/>
      </w:r>
      <w:r w:rsidR="009E6F71">
        <w:instrText xml:space="preserve"> SEQ Figure \* ARABIC </w:instrText>
      </w:r>
      <w:r w:rsidR="009E6F71">
        <w:fldChar w:fldCharType="separate"/>
      </w:r>
      <w:r w:rsidR="00AC295B">
        <w:rPr>
          <w:noProof/>
        </w:rPr>
        <w:t>1</w:t>
      </w:r>
      <w:r w:rsidR="009E6F71">
        <w:rPr>
          <w:noProof/>
        </w:rPr>
        <w:fldChar w:fldCharType="end"/>
      </w:r>
      <w:bookmarkEnd w:id="19"/>
      <w:bookmarkEnd w:id="20"/>
      <w:r>
        <w:t xml:space="preserve">: </w:t>
      </w:r>
      <w:r w:rsidRPr="00AF0588">
        <w:rPr>
          <w:noProof/>
        </w:rPr>
        <w:t>Overall survival, HIMALAYA, FAS, five-year analysis</w:t>
      </w:r>
      <w:r w:rsidR="002F06DF">
        <w:rPr>
          <w:noProof/>
        </w:rPr>
        <w:t xml:space="preserve">, </w:t>
      </w:r>
      <w:r w:rsidRPr="00AF0588">
        <w:rPr>
          <w:noProof/>
        </w:rPr>
        <w:t>March 2024</w:t>
      </w:r>
      <w:r w:rsidR="002F06DF">
        <w:rPr>
          <w:noProof/>
        </w:rPr>
        <w:t xml:space="preserve"> DCO</w:t>
      </w:r>
    </w:p>
    <w:p w14:paraId="202CECB2" w14:textId="77777777" w:rsidR="003E76BE" w:rsidRDefault="003E76BE" w:rsidP="00CF392B">
      <w:pPr>
        <w:keepNext/>
        <w:keepLines/>
      </w:pPr>
      <w:r>
        <w:rPr>
          <w:noProof/>
        </w:rPr>
        <w:drawing>
          <wp:inline distT="0" distB="0" distL="0" distR="0" wp14:anchorId="7B5A7847" wp14:editId="19BF819E">
            <wp:extent cx="5731510" cy="2236470"/>
            <wp:effectExtent l="0" t="0" r="2540" b="0"/>
            <wp:docPr id="674233428" name="Picture 1" descr="Figure 1: Overall survival, HIMALAYA, FAS, five-year analysis, March 2024 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33428" name="Picture 1" descr="Figure 1: Overall survival, HIMALAYA, FAS, five-year analysis, March 2024 DCO"/>
                    <pic:cNvPicPr/>
                  </pic:nvPicPr>
                  <pic:blipFill>
                    <a:blip r:embed="rId11"/>
                    <a:stretch>
                      <a:fillRect/>
                    </a:stretch>
                  </pic:blipFill>
                  <pic:spPr>
                    <a:xfrm>
                      <a:off x="0" y="0"/>
                      <a:ext cx="5731510" cy="2236470"/>
                    </a:xfrm>
                    <a:prstGeom prst="rect">
                      <a:avLst/>
                    </a:prstGeom>
                  </pic:spPr>
                </pic:pic>
              </a:graphicData>
            </a:graphic>
          </wp:inline>
        </w:drawing>
      </w:r>
    </w:p>
    <w:p w14:paraId="5693AF89" w14:textId="77777777" w:rsidR="003E76BE" w:rsidRDefault="003E76BE" w:rsidP="00CF392B">
      <w:pPr>
        <w:pStyle w:val="FooterTableFigure"/>
        <w:keepNext/>
        <w:keepLines/>
      </w:pPr>
      <w:r w:rsidRPr="001B64FA">
        <w:t>Source</w:t>
      </w:r>
      <w:r>
        <w:t>: Figure 2-8, p106 of the submission.</w:t>
      </w:r>
    </w:p>
    <w:p w14:paraId="7AC205FD" w14:textId="77777777" w:rsidR="003E76BE" w:rsidRPr="00BC33AD" w:rsidRDefault="003E76BE" w:rsidP="003E76BE">
      <w:pPr>
        <w:pStyle w:val="FooterTableFigure"/>
      </w:pPr>
      <w:r w:rsidRPr="00542B2B">
        <w:t>CI</w:t>
      </w:r>
      <w:r>
        <w:t xml:space="preserve"> =</w:t>
      </w:r>
      <w:r w:rsidRPr="00542B2B">
        <w:t xml:space="preserve"> confidence interval; DCO</w:t>
      </w:r>
      <w:r>
        <w:t xml:space="preserve"> =</w:t>
      </w:r>
      <w:r w:rsidRPr="00542B2B">
        <w:t xml:space="preserve"> data cut-off; FAS</w:t>
      </w:r>
      <w:r>
        <w:t xml:space="preserve"> =</w:t>
      </w:r>
      <w:r w:rsidRPr="00542B2B">
        <w:t xml:space="preserve"> full analysis set; HR, hazard ratio; OS</w:t>
      </w:r>
      <w:r>
        <w:t xml:space="preserve"> =</w:t>
      </w:r>
      <w:r w:rsidRPr="00542B2B">
        <w:t xml:space="preserve"> overall survival</w:t>
      </w:r>
      <w:r>
        <w:t>.</w:t>
      </w:r>
    </w:p>
    <w:p w14:paraId="1045E58F" w14:textId="506C5BEA" w:rsidR="0063742B" w:rsidRDefault="0063742B" w:rsidP="0063742B">
      <w:pPr>
        <w:pStyle w:val="3-BodyText"/>
        <w:spacing w:before="0"/>
      </w:pPr>
      <w:r w:rsidRPr="004B4A0A">
        <w:t>STRIDE treatment demonstrated a statistically significant</w:t>
      </w:r>
      <w:r>
        <w:t xml:space="preserve"> OS</w:t>
      </w:r>
      <w:r w:rsidRPr="004B4A0A">
        <w:t xml:space="preserve"> benefit </w:t>
      </w:r>
      <w:r>
        <w:t>over</w:t>
      </w:r>
      <w:r w:rsidRPr="004B4A0A">
        <w:t xml:space="preserve"> sorafenib, providing an additional median</w:t>
      </w:r>
      <w:r>
        <w:t xml:space="preserve"> survival</w:t>
      </w:r>
      <w:r w:rsidRPr="004B4A0A">
        <w:t xml:space="preserve"> of 2.66 months.</w:t>
      </w:r>
      <w:r>
        <w:t xml:space="preserve"> There were no statistically significant differences between STRIDE and sorafenib in the KM estimate for median PFS.</w:t>
      </w:r>
    </w:p>
    <w:p w14:paraId="006CB858" w14:textId="5D70E077" w:rsidR="003E76BE" w:rsidRPr="002945F1" w:rsidRDefault="003E76BE" w:rsidP="003E76BE">
      <w:pPr>
        <w:pStyle w:val="3-BodyText"/>
        <w:spacing w:before="0"/>
        <w:rPr>
          <w:color w:val="0066FF"/>
        </w:rPr>
      </w:pPr>
      <w:r>
        <w:t>Updated results from IMBRAVE150 are presented (31 August 2020</w:t>
      </w:r>
      <w:r w:rsidR="007D774F">
        <w:t xml:space="preserve"> DCO</w:t>
      </w:r>
      <w:r>
        <w:t>) in</w:t>
      </w:r>
      <w:r w:rsidR="00784B89">
        <w:t xml:space="preserve"> </w:t>
      </w:r>
      <w:r w:rsidR="00784B89">
        <w:fldChar w:fldCharType="begin"/>
      </w:r>
      <w:r w:rsidR="00784B89">
        <w:instrText xml:space="preserve"> REF _Ref191047087 \h </w:instrText>
      </w:r>
      <w:r w:rsidR="00784B89">
        <w:fldChar w:fldCharType="separate"/>
      </w:r>
      <w:r w:rsidR="00AC295B">
        <w:t xml:space="preserve">Table </w:t>
      </w:r>
      <w:r w:rsidR="00AC295B">
        <w:rPr>
          <w:noProof/>
        </w:rPr>
        <w:t>5</w:t>
      </w:r>
      <w:r w:rsidR="00784B89">
        <w:fldChar w:fldCharType="end"/>
      </w:r>
      <w:r>
        <w:t xml:space="preserve">. There was a statistically significant OS benefit of </w:t>
      </w:r>
      <w:proofErr w:type="spellStart"/>
      <w:r>
        <w:t>atezo</w:t>
      </w:r>
      <w:proofErr w:type="spellEnd"/>
      <w:r>
        <w:t xml:space="preserve"> + b compared with sorafenib</w:t>
      </w:r>
      <w:r w:rsidR="00064219" w:rsidRPr="0088707D">
        <w:t>, with the magnitude of OS benefit being</w:t>
      </w:r>
      <w:r w:rsidRPr="0088707D">
        <w:t xml:space="preserve"> slightly</w:t>
      </w:r>
      <w:r>
        <w:t xml:space="preserve"> diminished compared to the </w:t>
      </w:r>
      <w:r w:rsidR="007A7E54">
        <w:t xml:space="preserve">results from the </w:t>
      </w:r>
      <w:r>
        <w:t xml:space="preserve">primary analysis previously seen by the </w:t>
      </w:r>
      <w:r w:rsidRPr="002945F1">
        <w:t>PBAC (atezolizumab PSD, July 2020 PBAC meeting</w:t>
      </w:r>
      <w:r>
        <w:t>).</w:t>
      </w:r>
    </w:p>
    <w:p w14:paraId="65E8BE24" w14:textId="3FC784E5" w:rsidR="003E76BE" w:rsidRDefault="003E76BE" w:rsidP="003E76BE">
      <w:pPr>
        <w:pStyle w:val="Caption"/>
      </w:pPr>
      <w:bookmarkStart w:id="21" w:name="_Ref191047087"/>
      <w:r>
        <w:lastRenderedPageBreak/>
        <w:t xml:space="preserve">Table </w:t>
      </w:r>
      <w:r w:rsidR="005B443C">
        <w:fldChar w:fldCharType="begin"/>
      </w:r>
      <w:r w:rsidR="005B443C">
        <w:instrText xml:space="preserve"> SEQ Table \* ARABIC </w:instrText>
      </w:r>
      <w:r w:rsidR="005B443C">
        <w:fldChar w:fldCharType="separate"/>
      </w:r>
      <w:r w:rsidR="00AC295B">
        <w:rPr>
          <w:noProof/>
        </w:rPr>
        <w:t>5</w:t>
      </w:r>
      <w:r w:rsidR="005B443C">
        <w:rPr>
          <w:noProof/>
        </w:rPr>
        <w:fldChar w:fldCharType="end"/>
      </w:r>
      <w:bookmarkEnd w:id="21"/>
      <w:r>
        <w:t xml:space="preserve">: </w:t>
      </w:r>
      <w:r w:rsidRPr="00C96A2A">
        <w:t>Summary of IMBRAVE150 OS results (ITT)</w:t>
      </w:r>
    </w:p>
    <w:tbl>
      <w:tblPr>
        <w:tblStyle w:val="TableGrid"/>
        <w:tblW w:w="5000" w:type="pct"/>
        <w:tblLook w:val="04A0" w:firstRow="1" w:lastRow="0" w:firstColumn="1" w:lastColumn="0" w:noHBand="0" w:noVBand="1"/>
      </w:tblPr>
      <w:tblGrid>
        <w:gridCol w:w="1536"/>
        <w:gridCol w:w="1349"/>
        <w:gridCol w:w="768"/>
        <w:gridCol w:w="1181"/>
        <w:gridCol w:w="1015"/>
        <w:gridCol w:w="768"/>
        <w:gridCol w:w="1154"/>
        <w:gridCol w:w="1246"/>
      </w:tblGrid>
      <w:tr w:rsidR="003E76BE" w:rsidRPr="00AF51DC" w14:paraId="1FF28D33" w14:textId="77777777" w:rsidTr="006247BA">
        <w:tc>
          <w:tcPr>
            <w:tcW w:w="851" w:type="pct"/>
            <w:vMerge w:val="restart"/>
            <w:shd w:val="clear" w:color="auto" w:fill="auto"/>
            <w:vAlign w:val="center"/>
          </w:tcPr>
          <w:p w14:paraId="2CD3516F" w14:textId="77777777" w:rsidR="003E76BE" w:rsidRPr="0031636E" w:rsidRDefault="003E76BE">
            <w:pPr>
              <w:pStyle w:val="PBACTabletext"/>
              <w:rPr>
                <w:b/>
              </w:rPr>
            </w:pPr>
            <w:r w:rsidRPr="0031636E">
              <w:rPr>
                <w:b/>
              </w:rPr>
              <w:t>DCO</w:t>
            </w:r>
          </w:p>
        </w:tc>
        <w:tc>
          <w:tcPr>
            <w:tcW w:w="1829" w:type="pct"/>
            <w:gridSpan w:val="3"/>
            <w:shd w:val="clear" w:color="auto" w:fill="auto"/>
            <w:vAlign w:val="center"/>
          </w:tcPr>
          <w:p w14:paraId="41E7D2E9" w14:textId="77777777" w:rsidR="003E76BE" w:rsidRPr="0031636E" w:rsidRDefault="003E76BE">
            <w:pPr>
              <w:pStyle w:val="PBACTabletext"/>
              <w:jc w:val="center"/>
              <w:rPr>
                <w:b/>
              </w:rPr>
            </w:pPr>
            <w:proofErr w:type="spellStart"/>
            <w:r w:rsidRPr="0031636E">
              <w:rPr>
                <w:b/>
              </w:rPr>
              <w:t>Atezo</w:t>
            </w:r>
            <w:proofErr w:type="spellEnd"/>
            <w:r>
              <w:rPr>
                <w:b/>
              </w:rPr>
              <w:t xml:space="preserve"> + </w:t>
            </w:r>
            <w:r w:rsidRPr="0031636E">
              <w:rPr>
                <w:b/>
              </w:rPr>
              <w:t>b (N=336)</w:t>
            </w:r>
          </w:p>
        </w:tc>
        <w:tc>
          <w:tcPr>
            <w:tcW w:w="1628" w:type="pct"/>
            <w:gridSpan w:val="3"/>
            <w:shd w:val="clear" w:color="auto" w:fill="auto"/>
            <w:vAlign w:val="center"/>
          </w:tcPr>
          <w:p w14:paraId="75930856" w14:textId="77777777" w:rsidR="003E76BE" w:rsidRPr="0031636E" w:rsidRDefault="003E76BE">
            <w:pPr>
              <w:pStyle w:val="PBACTabletext"/>
              <w:jc w:val="center"/>
              <w:rPr>
                <w:b/>
              </w:rPr>
            </w:pPr>
            <w:r w:rsidRPr="0031636E">
              <w:rPr>
                <w:b/>
              </w:rPr>
              <w:t>Sorafenib (N=165)</w:t>
            </w:r>
          </w:p>
        </w:tc>
        <w:tc>
          <w:tcPr>
            <w:tcW w:w="693" w:type="pct"/>
            <w:vMerge w:val="restart"/>
            <w:shd w:val="clear" w:color="auto" w:fill="auto"/>
            <w:vAlign w:val="center"/>
          </w:tcPr>
          <w:p w14:paraId="24B3C753" w14:textId="77777777" w:rsidR="003E76BE" w:rsidRPr="0031636E" w:rsidRDefault="003E76BE">
            <w:pPr>
              <w:pStyle w:val="PBACTabletext"/>
              <w:jc w:val="center"/>
              <w:rPr>
                <w:b/>
              </w:rPr>
            </w:pPr>
            <w:r w:rsidRPr="0031636E">
              <w:rPr>
                <w:b/>
              </w:rPr>
              <w:t>HR (95% CI)</w:t>
            </w:r>
          </w:p>
        </w:tc>
      </w:tr>
      <w:tr w:rsidR="003E76BE" w:rsidRPr="00AF51DC" w14:paraId="606D3D25" w14:textId="77777777" w:rsidTr="006247BA">
        <w:tc>
          <w:tcPr>
            <w:tcW w:w="851" w:type="pct"/>
            <w:vMerge/>
            <w:shd w:val="clear" w:color="auto" w:fill="auto"/>
            <w:vAlign w:val="center"/>
          </w:tcPr>
          <w:p w14:paraId="371FB365" w14:textId="77777777" w:rsidR="003E76BE" w:rsidRPr="00BF472A" w:rsidRDefault="003E76BE">
            <w:pPr>
              <w:pStyle w:val="PBACTabletext"/>
            </w:pPr>
          </w:p>
        </w:tc>
        <w:tc>
          <w:tcPr>
            <w:tcW w:w="748" w:type="pct"/>
            <w:shd w:val="clear" w:color="auto" w:fill="auto"/>
            <w:vAlign w:val="center"/>
          </w:tcPr>
          <w:p w14:paraId="563209AC" w14:textId="77777777" w:rsidR="003E76BE" w:rsidRPr="0031636E" w:rsidRDefault="003E76BE">
            <w:pPr>
              <w:pStyle w:val="PBACTabletext"/>
              <w:jc w:val="center"/>
              <w:rPr>
                <w:b/>
              </w:rPr>
            </w:pPr>
            <w:r w:rsidRPr="0031636E">
              <w:rPr>
                <w:b/>
              </w:rPr>
              <w:t xml:space="preserve">Median </w:t>
            </w:r>
            <w:r w:rsidRPr="0031636E">
              <w:rPr>
                <w:b/>
              </w:rPr>
              <w:br/>
              <w:t>follow-up</w:t>
            </w:r>
            <w:r>
              <w:rPr>
                <w:b/>
              </w:rPr>
              <w:t xml:space="preserve"> </w:t>
            </w:r>
            <w:r>
              <w:rPr>
                <w:b/>
                <w:bCs/>
              </w:rPr>
              <w:t>(range)</w:t>
            </w:r>
            <w:r w:rsidRPr="0031636E">
              <w:rPr>
                <w:b/>
              </w:rPr>
              <w:t>, months</w:t>
            </w:r>
          </w:p>
        </w:tc>
        <w:tc>
          <w:tcPr>
            <w:tcW w:w="426" w:type="pct"/>
            <w:shd w:val="clear" w:color="auto" w:fill="auto"/>
            <w:vAlign w:val="center"/>
          </w:tcPr>
          <w:p w14:paraId="58A9FF79" w14:textId="77777777" w:rsidR="003E76BE" w:rsidRPr="0031636E" w:rsidRDefault="003E76BE">
            <w:pPr>
              <w:pStyle w:val="PBACTabletext"/>
              <w:jc w:val="center"/>
              <w:rPr>
                <w:b/>
              </w:rPr>
            </w:pPr>
            <w:r w:rsidRPr="0031636E">
              <w:rPr>
                <w:b/>
              </w:rPr>
              <w:t>Events (%)</w:t>
            </w:r>
          </w:p>
        </w:tc>
        <w:tc>
          <w:tcPr>
            <w:tcW w:w="655" w:type="pct"/>
            <w:shd w:val="clear" w:color="auto" w:fill="auto"/>
            <w:vAlign w:val="center"/>
          </w:tcPr>
          <w:p w14:paraId="0CBAA5B1" w14:textId="77777777" w:rsidR="003E76BE" w:rsidRPr="0031636E" w:rsidRDefault="003E76BE">
            <w:pPr>
              <w:pStyle w:val="PBACTabletext"/>
              <w:jc w:val="center"/>
              <w:rPr>
                <w:b/>
              </w:rPr>
            </w:pPr>
            <w:r w:rsidRPr="0031636E">
              <w:rPr>
                <w:b/>
              </w:rPr>
              <w:t>Median</w:t>
            </w:r>
            <w:r>
              <w:rPr>
                <w:b/>
              </w:rPr>
              <w:t xml:space="preserve"> </w:t>
            </w:r>
            <w:r>
              <w:rPr>
                <w:b/>
                <w:bCs/>
              </w:rPr>
              <w:t>(range)</w:t>
            </w:r>
            <w:r w:rsidRPr="0031636E">
              <w:rPr>
                <w:b/>
              </w:rPr>
              <w:t>, months</w:t>
            </w:r>
            <w:r w:rsidRPr="0031636E">
              <w:rPr>
                <w:b/>
              </w:rPr>
              <w:br/>
              <w:t>(95% CI)</w:t>
            </w:r>
          </w:p>
        </w:tc>
        <w:tc>
          <w:tcPr>
            <w:tcW w:w="563" w:type="pct"/>
            <w:shd w:val="clear" w:color="auto" w:fill="auto"/>
            <w:vAlign w:val="center"/>
          </w:tcPr>
          <w:p w14:paraId="6F733DE1" w14:textId="77777777" w:rsidR="003E76BE" w:rsidRPr="0031636E" w:rsidRDefault="003E76BE">
            <w:pPr>
              <w:pStyle w:val="PBACTabletext"/>
              <w:jc w:val="center"/>
              <w:rPr>
                <w:b/>
              </w:rPr>
            </w:pPr>
            <w:r w:rsidRPr="0031636E">
              <w:rPr>
                <w:b/>
              </w:rPr>
              <w:t xml:space="preserve">Median </w:t>
            </w:r>
            <w:r w:rsidRPr="0031636E">
              <w:rPr>
                <w:b/>
              </w:rPr>
              <w:br/>
              <w:t>follow-up</w:t>
            </w:r>
            <w:r>
              <w:rPr>
                <w:b/>
              </w:rPr>
              <w:t xml:space="preserve"> </w:t>
            </w:r>
            <w:r>
              <w:rPr>
                <w:b/>
                <w:bCs/>
              </w:rPr>
              <w:t>(range)</w:t>
            </w:r>
            <w:r w:rsidRPr="0031636E">
              <w:rPr>
                <w:b/>
              </w:rPr>
              <w:t>, months</w:t>
            </w:r>
          </w:p>
        </w:tc>
        <w:tc>
          <w:tcPr>
            <w:tcW w:w="426" w:type="pct"/>
            <w:shd w:val="clear" w:color="auto" w:fill="auto"/>
            <w:vAlign w:val="center"/>
          </w:tcPr>
          <w:p w14:paraId="3319E4FD" w14:textId="77777777" w:rsidR="003E76BE" w:rsidRPr="0031636E" w:rsidRDefault="003E76BE">
            <w:pPr>
              <w:pStyle w:val="PBACTabletext"/>
              <w:jc w:val="center"/>
              <w:rPr>
                <w:b/>
              </w:rPr>
            </w:pPr>
            <w:r w:rsidRPr="0031636E">
              <w:rPr>
                <w:b/>
              </w:rPr>
              <w:t>Events (%)</w:t>
            </w:r>
          </w:p>
        </w:tc>
        <w:tc>
          <w:tcPr>
            <w:tcW w:w="640" w:type="pct"/>
            <w:shd w:val="clear" w:color="auto" w:fill="auto"/>
            <w:vAlign w:val="center"/>
          </w:tcPr>
          <w:p w14:paraId="03728851" w14:textId="77777777" w:rsidR="003E76BE" w:rsidRPr="0031636E" w:rsidRDefault="003E76BE">
            <w:pPr>
              <w:pStyle w:val="PBACTabletext"/>
              <w:jc w:val="center"/>
              <w:rPr>
                <w:b/>
              </w:rPr>
            </w:pPr>
            <w:r w:rsidRPr="0031636E">
              <w:rPr>
                <w:b/>
              </w:rPr>
              <w:t>Median</w:t>
            </w:r>
            <w:r>
              <w:rPr>
                <w:b/>
              </w:rPr>
              <w:t xml:space="preserve"> </w:t>
            </w:r>
            <w:r>
              <w:rPr>
                <w:b/>
                <w:bCs/>
              </w:rPr>
              <w:t>(range)</w:t>
            </w:r>
            <w:r w:rsidRPr="0031636E">
              <w:rPr>
                <w:b/>
              </w:rPr>
              <w:t>, months</w:t>
            </w:r>
            <w:r w:rsidRPr="0031636E">
              <w:rPr>
                <w:b/>
              </w:rPr>
              <w:br/>
              <w:t>(95% CI)</w:t>
            </w:r>
          </w:p>
        </w:tc>
        <w:tc>
          <w:tcPr>
            <w:tcW w:w="693" w:type="pct"/>
            <w:vMerge/>
            <w:shd w:val="clear" w:color="auto" w:fill="auto"/>
            <w:vAlign w:val="center"/>
          </w:tcPr>
          <w:p w14:paraId="5BE44D10" w14:textId="77777777" w:rsidR="003E76BE" w:rsidRPr="00BF472A" w:rsidRDefault="003E76BE">
            <w:pPr>
              <w:pStyle w:val="PBACTabletext"/>
              <w:jc w:val="center"/>
            </w:pPr>
          </w:p>
        </w:tc>
      </w:tr>
      <w:tr w:rsidR="003E76BE" w:rsidRPr="00AF51DC" w14:paraId="200712BF" w14:textId="77777777" w:rsidTr="006247BA">
        <w:tc>
          <w:tcPr>
            <w:tcW w:w="851" w:type="pct"/>
            <w:shd w:val="clear" w:color="auto" w:fill="C6D9F1" w:themeFill="text2" w:themeFillTint="33"/>
            <w:vAlign w:val="center"/>
          </w:tcPr>
          <w:p w14:paraId="59CFA894" w14:textId="77777777" w:rsidR="003E76BE" w:rsidRPr="00AF51DC" w:rsidRDefault="003E76BE">
            <w:pPr>
              <w:pStyle w:val="PBACTabletext"/>
            </w:pPr>
            <w:r>
              <w:t>Primary analysis</w:t>
            </w:r>
            <w:r>
              <w:br/>
            </w:r>
            <w:r w:rsidRPr="00AF51DC">
              <w:t>(DCO: 29 August 2019)</w:t>
            </w:r>
          </w:p>
        </w:tc>
        <w:tc>
          <w:tcPr>
            <w:tcW w:w="748" w:type="pct"/>
            <w:shd w:val="clear" w:color="auto" w:fill="C6D9F1" w:themeFill="text2" w:themeFillTint="33"/>
            <w:vAlign w:val="center"/>
          </w:tcPr>
          <w:p w14:paraId="0E832470" w14:textId="77777777" w:rsidR="003E76BE" w:rsidRPr="00B0672C" w:rsidRDefault="003E76BE">
            <w:pPr>
              <w:pStyle w:val="PBACTabletext"/>
              <w:jc w:val="center"/>
            </w:pPr>
            <w:r w:rsidRPr="00B0672C">
              <w:t>8.9</w:t>
            </w:r>
          </w:p>
        </w:tc>
        <w:tc>
          <w:tcPr>
            <w:tcW w:w="426" w:type="pct"/>
            <w:shd w:val="clear" w:color="auto" w:fill="C6D9F1" w:themeFill="text2" w:themeFillTint="33"/>
            <w:vAlign w:val="center"/>
          </w:tcPr>
          <w:p w14:paraId="58199B07" w14:textId="77777777" w:rsidR="003E76BE" w:rsidRPr="00B0672C" w:rsidRDefault="003E76BE">
            <w:pPr>
              <w:pStyle w:val="PBACTabletext"/>
              <w:jc w:val="center"/>
            </w:pPr>
            <w:r w:rsidRPr="00B0672C">
              <w:t>96 (28.6)</w:t>
            </w:r>
          </w:p>
        </w:tc>
        <w:tc>
          <w:tcPr>
            <w:tcW w:w="655" w:type="pct"/>
            <w:shd w:val="clear" w:color="auto" w:fill="C6D9F1" w:themeFill="text2" w:themeFillTint="33"/>
            <w:vAlign w:val="center"/>
          </w:tcPr>
          <w:p w14:paraId="695D3A2D" w14:textId="77777777" w:rsidR="003E76BE" w:rsidRPr="00B0672C" w:rsidRDefault="003E76BE">
            <w:pPr>
              <w:pStyle w:val="PBACTabletext"/>
              <w:jc w:val="center"/>
            </w:pPr>
            <w:r w:rsidRPr="00B0672C">
              <w:t>NE</w:t>
            </w:r>
          </w:p>
        </w:tc>
        <w:tc>
          <w:tcPr>
            <w:tcW w:w="563" w:type="pct"/>
            <w:shd w:val="clear" w:color="auto" w:fill="C6D9F1" w:themeFill="text2" w:themeFillTint="33"/>
            <w:vAlign w:val="center"/>
          </w:tcPr>
          <w:p w14:paraId="388DB9FF" w14:textId="77777777" w:rsidR="003E76BE" w:rsidRPr="00B0672C" w:rsidRDefault="003E76BE">
            <w:pPr>
              <w:pStyle w:val="PBACTabletext"/>
              <w:jc w:val="center"/>
            </w:pPr>
            <w:r w:rsidRPr="00B0672C">
              <w:t>8.1</w:t>
            </w:r>
          </w:p>
        </w:tc>
        <w:tc>
          <w:tcPr>
            <w:tcW w:w="426" w:type="pct"/>
            <w:shd w:val="clear" w:color="auto" w:fill="C6D9F1" w:themeFill="text2" w:themeFillTint="33"/>
            <w:vAlign w:val="center"/>
          </w:tcPr>
          <w:p w14:paraId="302549D3" w14:textId="77777777" w:rsidR="003E76BE" w:rsidRPr="00B0672C" w:rsidRDefault="003E76BE">
            <w:pPr>
              <w:pStyle w:val="PBACTabletext"/>
              <w:jc w:val="center"/>
            </w:pPr>
            <w:r w:rsidRPr="00B0672C">
              <w:t>65 (39.4)</w:t>
            </w:r>
          </w:p>
        </w:tc>
        <w:tc>
          <w:tcPr>
            <w:tcW w:w="640" w:type="pct"/>
            <w:shd w:val="clear" w:color="auto" w:fill="C6D9F1" w:themeFill="text2" w:themeFillTint="33"/>
            <w:vAlign w:val="center"/>
          </w:tcPr>
          <w:p w14:paraId="218DE37E" w14:textId="77777777" w:rsidR="003E76BE" w:rsidRPr="00AF51DC" w:rsidRDefault="003E76BE">
            <w:pPr>
              <w:pStyle w:val="PBACTabletext"/>
              <w:jc w:val="center"/>
            </w:pPr>
            <w:r w:rsidRPr="00AF51DC">
              <w:t>13.2</w:t>
            </w:r>
            <w:r w:rsidRPr="00AF51DC">
              <w:br/>
              <w:t>(10.4, NE)</w:t>
            </w:r>
          </w:p>
        </w:tc>
        <w:tc>
          <w:tcPr>
            <w:tcW w:w="693" w:type="pct"/>
            <w:shd w:val="clear" w:color="auto" w:fill="C6D9F1" w:themeFill="text2" w:themeFillTint="33"/>
            <w:vAlign w:val="center"/>
          </w:tcPr>
          <w:p w14:paraId="5B5D2952" w14:textId="77777777" w:rsidR="003E76BE" w:rsidRPr="005141A2" w:rsidRDefault="003E76BE">
            <w:pPr>
              <w:pStyle w:val="PBACTabletext"/>
              <w:jc w:val="center"/>
              <w:rPr>
                <w:b/>
                <w:bCs/>
              </w:rPr>
            </w:pPr>
            <w:r w:rsidRPr="005141A2">
              <w:rPr>
                <w:b/>
                <w:bCs/>
              </w:rPr>
              <w:t xml:space="preserve">0.58 </w:t>
            </w:r>
            <w:r w:rsidRPr="005141A2">
              <w:rPr>
                <w:b/>
                <w:bCs/>
              </w:rPr>
              <w:br/>
              <w:t>(0.42, 0.79)</w:t>
            </w:r>
            <w:r w:rsidRPr="005141A2">
              <w:rPr>
                <w:b/>
                <w:bCs/>
              </w:rPr>
              <w:br/>
              <w:t>p&lt;0.001</w:t>
            </w:r>
          </w:p>
        </w:tc>
      </w:tr>
      <w:tr w:rsidR="003E76BE" w:rsidRPr="00AF51DC" w14:paraId="1840F779" w14:textId="77777777" w:rsidTr="006247BA">
        <w:tc>
          <w:tcPr>
            <w:tcW w:w="851" w:type="pct"/>
            <w:vAlign w:val="center"/>
          </w:tcPr>
          <w:p w14:paraId="4A66E8B3" w14:textId="77777777" w:rsidR="003E76BE" w:rsidRPr="00AF51DC" w:rsidRDefault="003E76BE">
            <w:pPr>
              <w:pStyle w:val="PBACTabletext"/>
            </w:pPr>
            <w:r>
              <w:t>Updated analysis</w:t>
            </w:r>
            <w:r w:rsidRPr="00AF51DC">
              <w:t xml:space="preserve"> </w:t>
            </w:r>
            <w:r>
              <w:br/>
            </w:r>
            <w:r w:rsidRPr="00AF51DC">
              <w:t xml:space="preserve">(DCO: </w:t>
            </w:r>
            <w:r>
              <w:t>31 August 2020</w:t>
            </w:r>
            <w:r w:rsidRPr="00AF51DC">
              <w:t>)</w:t>
            </w:r>
          </w:p>
        </w:tc>
        <w:tc>
          <w:tcPr>
            <w:tcW w:w="748" w:type="pct"/>
            <w:vAlign w:val="center"/>
          </w:tcPr>
          <w:p w14:paraId="68FA0785" w14:textId="77777777" w:rsidR="003E76BE" w:rsidRPr="00267FB2" w:rsidRDefault="003E76BE">
            <w:pPr>
              <w:pStyle w:val="PBACTabletext"/>
              <w:jc w:val="center"/>
            </w:pPr>
            <w:r w:rsidRPr="00267FB2">
              <w:t>17.6</w:t>
            </w:r>
            <w:r w:rsidRPr="00267FB2">
              <w:br/>
              <w:t>(0.1, 28.6)</w:t>
            </w:r>
          </w:p>
        </w:tc>
        <w:tc>
          <w:tcPr>
            <w:tcW w:w="426" w:type="pct"/>
            <w:vAlign w:val="center"/>
          </w:tcPr>
          <w:p w14:paraId="5AFF7A1E" w14:textId="77777777" w:rsidR="003E76BE" w:rsidRPr="00267FB2" w:rsidRDefault="003E76BE">
            <w:pPr>
              <w:pStyle w:val="PBACTabletext"/>
              <w:jc w:val="center"/>
            </w:pPr>
            <w:r w:rsidRPr="00267FB2">
              <w:t>291 (74.0)</w:t>
            </w:r>
          </w:p>
        </w:tc>
        <w:tc>
          <w:tcPr>
            <w:tcW w:w="655" w:type="pct"/>
            <w:vAlign w:val="center"/>
          </w:tcPr>
          <w:p w14:paraId="15FCB3F5" w14:textId="77777777" w:rsidR="003E76BE" w:rsidRPr="00267FB2" w:rsidRDefault="003E76BE">
            <w:pPr>
              <w:pStyle w:val="PBACTabletext"/>
              <w:jc w:val="center"/>
            </w:pPr>
            <w:r w:rsidRPr="00267FB2">
              <w:t xml:space="preserve">19.2 </w:t>
            </w:r>
            <w:r w:rsidRPr="00267FB2">
              <w:br/>
              <w:t>(17.0, 23.7)</w:t>
            </w:r>
          </w:p>
        </w:tc>
        <w:tc>
          <w:tcPr>
            <w:tcW w:w="563" w:type="pct"/>
            <w:vAlign w:val="center"/>
          </w:tcPr>
          <w:p w14:paraId="1A90766D" w14:textId="77777777" w:rsidR="003E76BE" w:rsidRPr="00267FB2" w:rsidRDefault="003E76BE">
            <w:pPr>
              <w:pStyle w:val="PBACTabletext"/>
              <w:jc w:val="center"/>
            </w:pPr>
            <w:r w:rsidRPr="00267FB2">
              <w:t xml:space="preserve">10.4 </w:t>
            </w:r>
            <w:r w:rsidRPr="00267FB2">
              <w:br/>
              <w:t>(0, 27.9)</w:t>
            </w:r>
          </w:p>
        </w:tc>
        <w:tc>
          <w:tcPr>
            <w:tcW w:w="426" w:type="pct"/>
            <w:vAlign w:val="center"/>
          </w:tcPr>
          <w:p w14:paraId="331C04D2" w14:textId="77777777" w:rsidR="003E76BE" w:rsidRPr="00267FB2" w:rsidRDefault="003E76BE">
            <w:pPr>
              <w:pStyle w:val="PBACTabletext"/>
              <w:jc w:val="center"/>
            </w:pPr>
            <w:r>
              <w:t>134</w:t>
            </w:r>
            <w:r w:rsidRPr="00854E7C">
              <w:t xml:space="preserve"> (81.2)</w:t>
            </w:r>
          </w:p>
        </w:tc>
        <w:tc>
          <w:tcPr>
            <w:tcW w:w="640" w:type="pct"/>
            <w:vAlign w:val="center"/>
          </w:tcPr>
          <w:p w14:paraId="54F1C23B" w14:textId="77777777" w:rsidR="003E76BE" w:rsidRPr="00267FB2" w:rsidRDefault="003E76BE">
            <w:pPr>
              <w:pStyle w:val="PBACTabletext"/>
              <w:jc w:val="center"/>
            </w:pPr>
            <w:r w:rsidRPr="00267FB2">
              <w:t xml:space="preserve">13.4 </w:t>
            </w:r>
            <w:r w:rsidRPr="00267FB2">
              <w:br/>
              <w:t>(11.4, 16.9)</w:t>
            </w:r>
          </w:p>
        </w:tc>
        <w:tc>
          <w:tcPr>
            <w:tcW w:w="693" w:type="pct"/>
            <w:vAlign w:val="center"/>
          </w:tcPr>
          <w:p w14:paraId="59B53862" w14:textId="77777777" w:rsidR="003E76BE" w:rsidRPr="005141A2" w:rsidRDefault="003E76BE">
            <w:pPr>
              <w:pStyle w:val="PBACTabletext"/>
              <w:jc w:val="center"/>
              <w:rPr>
                <w:b/>
                <w:bCs/>
              </w:rPr>
            </w:pPr>
            <w:r w:rsidRPr="005141A2">
              <w:rPr>
                <w:b/>
                <w:bCs/>
              </w:rPr>
              <w:t xml:space="preserve">0.66 </w:t>
            </w:r>
            <w:r w:rsidRPr="005141A2">
              <w:rPr>
                <w:b/>
                <w:bCs/>
              </w:rPr>
              <w:br/>
              <w:t>(0.52, 0.85)</w:t>
            </w:r>
            <w:r w:rsidRPr="005141A2">
              <w:rPr>
                <w:b/>
                <w:bCs/>
              </w:rPr>
              <w:br/>
              <w:t>p&lt;0.001</w:t>
            </w:r>
          </w:p>
        </w:tc>
      </w:tr>
    </w:tbl>
    <w:p w14:paraId="0F6297B4" w14:textId="77777777" w:rsidR="003E76BE" w:rsidRPr="00B45857" w:rsidRDefault="003E76BE" w:rsidP="003E76BE">
      <w:pPr>
        <w:pStyle w:val="Sources"/>
        <w:keepNext/>
        <w:tabs>
          <w:tab w:val="left" w:pos="965"/>
        </w:tabs>
        <w:spacing w:before="0" w:after="0"/>
        <w:rPr>
          <w:rFonts w:ascii="Arial Narrow" w:hAnsi="Arial Narrow"/>
          <w:sz w:val="18"/>
          <w:szCs w:val="18"/>
        </w:rPr>
      </w:pPr>
      <w:r w:rsidRPr="00B45857">
        <w:rPr>
          <w:rFonts w:ascii="Arial Narrow" w:hAnsi="Arial Narrow"/>
          <w:sz w:val="18"/>
          <w:szCs w:val="18"/>
        </w:rPr>
        <w:t>Source: Table 2-31, p112 of the submission.</w:t>
      </w:r>
      <w:r w:rsidRPr="00B45857">
        <w:rPr>
          <w:rFonts w:ascii="Arial Narrow" w:hAnsi="Arial Narrow"/>
          <w:sz w:val="18"/>
          <w:szCs w:val="18"/>
        </w:rPr>
        <w:tab/>
      </w:r>
    </w:p>
    <w:p w14:paraId="770FF2E8" w14:textId="77777777" w:rsidR="00401754" w:rsidRDefault="003E76BE" w:rsidP="00401754">
      <w:pPr>
        <w:pStyle w:val="Sources"/>
        <w:keepNext/>
        <w:spacing w:before="0" w:after="0"/>
        <w:rPr>
          <w:rFonts w:ascii="Arial Narrow" w:hAnsi="Arial Narrow"/>
          <w:sz w:val="18"/>
          <w:szCs w:val="18"/>
        </w:rPr>
      </w:pPr>
      <w:proofErr w:type="spellStart"/>
      <w:r>
        <w:rPr>
          <w:rFonts w:ascii="Arial Narrow" w:hAnsi="Arial Narrow"/>
          <w:sz w:val="18"/>
          <w:szCs w:val="18"/>
        </w:rPr>
        <w:t>Atezo</w:t>
      </w:r>
      <w:proofErr w:type="spellEnd"/>
      <w:r>
        <w:rPr>
          <w:rFonts w:ascii="Arial Narrow" w:hAnsi="Arial Narrow"/>
          <w:sz w:val="18"/>
          <w:szCs w:val="18"/>
        </w:rPr>
        <w:t xml:space="preserve"> + b = atezolizumab + bevacizumab; </w:t>
      </w:r>
      <w:r w:rsidRPr="00B45857">
        <w:rPr>
          <w:rFonts w:ascii="Arial Narrow" w:hAnsi="Arial Narrow"/>
          <w:sz w:val="18"/>
          <w:szCs w:val="18"/>
        </w:rPr>
        <w:t>CI = confidence interval; DCO = data cut-off; HR = hazard ratio; ITT = intention to treat; NE = not estimabl</w:t>
      </w:r>
      <w:r>
        <w:rPr>
          <w:rFonts w:ascii="Arial Narrow" w:hAnsi="Arial Narrow"/>
          <w:sz w:val="18"/>
          <w:szCs w:val="18"/>
        </w:rPr>
        <w:t>e; OS = overall survival.</w:t>
      </w:r>
    </w:p>
    <w:p w14:paraId="30299606" w14:textId="77777777" w:rsidR="00401754" w:rsidRPr="00401754" w:rsidRDefault="00B73E52" w:rsidP="00401754">
      <w:pPr>
        <w:pStyle w:val="Sources"/>
        <w:keepNext/>
        <w:spacing w:before="0" w:after="0"/>
        <w:rPr>
          <w:rFonts w:ascii="Arial Narrow" w:hAnsi="Arial Narrow"/>
        </w:rPr>
      </w:pPr>
      <w:r w:rsidRPr="00401754">
        <w:rPr>
          <w:rFonts w:ascii="Arial Narrow" w:hAnsi="Arial Narrow"/>
          <w:b/>
          <w:bCs/>
        </w:rPr>
        <w:t>Bold</w:t>
      </w:r>
      <w:r w:rsidRPr="00401754">
        <w:rPr>
          <w:rFonts w:ascii="Arial Narrow" w:hAnsi="Arial Narrow"/>
        </w:rPr>
        <w:t xml:space="preserve"> indicates a statistically significant difference.</w:t>
      </w:r>
    </w:p>
    <w:p w14:paraId="6559066B" w14:textId="77777777" w:rsidR="003E76BE" w:rsidRPr="00401754" w:rsidRDefault="003E76BE" w:rsidP="00401754">
      <w:pPr>
        <w:pStyle w:val="Sources"/>
        <w:keepNext/>
        <w:spacing w:before="0" w:after="0"/>
        <w:rPr>
          <w:rFonts w:ascii="Arial Narrow" w:hAnsi="Arial Narrow"/>
        </w:rPr>
      </w:pPr>
      <w:r w:rsidRPr="00401754">
        <w:rPr>
          <w:rFonts w:ascii="Arial Narrow" w:hAnsi="Arial Narrow"/>
        </w:rPr>
        <w:t>Blue shading indicates data previously seen by the PBAC.</w:t>
      </w:r>
    </w:p>
    <w:p w14:paraId="016DDEDC" w14:textId="76A4AC13" w:rsidR="000D083B" w:rsidRDefault="00612E40" w:rsidP="003E76BE">
      <w:pPr>
        <w:pStyle w:val="3-BodyText"/>
        <w:rPr>
          <w:rFonts w:ascii="Arial" w:hAnsi="Arial" w:cs="Arial"/>
          <w:sz w:val="22"/>
        </w:rPr>
      </w:pPr>
      <w:r w:rsidRPr="00203D4C">
        <w:t>The submission provided a naïve graphical comparison of the OS curves from the two key trials, presented in</w:t>
      </w:r>
      <w:r w:rsidR="006B0487" w:rsidRPr="00203D4C">
        <w:t xml:space="preserve"> </w:t>
      </w:r>
      <w:r w:rsidR="006B0487" w:rsidRPr="00203D4C">
        <w:fldChar w:fldCharType="begin"/>
      </w:r>
      <w:r w:rsidR="006B0487" w:rsidRPr="00203D4C">
        <w:instrText xml:space="preserve"> REF _Ref193102178 \h </w:instrText>
      </w:r>
      <w:r w:rsidR="00203D4C" w:rsidRPr="00203D4C">
        <w:instrText xml:space="preserve"> \* MERGEFORMAT </w:instrText>
      </w:r>
      <w:r w:rsidR="006B0487" w:rsidRPr="00203D4C">
        <w:fldChar w:fldCharType="separate"/>
      </w:r>
      <w:r w:rsidR="00AC295B">
        <w:t xml:space="preserve">Figure </w:t>
      </w:r>
      <w:r w:rsidR="00AC295B">
        <w:rPr>
          <w:noProof/>
        </w:rPr>
        <w:t>2</w:t>
      </w:r>
      <w:r w:rsidR="006B0487" w:rsidRPr="00203D4C">
        <w:fldChar w:fldCharType="end"/>
      </w:r>
      <w:r w:rsidRPr="00203D4C">
        <w:rPr>
          <w:noProof/>
        </w:rPr>
        <w:t xml:space="preserve">. </w:t>
      </w:r>
      <w:r w:rsidR="003E76BE" w:rsidRPr="00203D4C">
        <w:t xml:space="preserve">This comparison </w:t>
      </w:r>
      <w:r w:rsidR="0072508B" w:rsidRPr="00203D4C">
        <w:t>d</w:t>
      </w:r>
      <w:r w:rsidR="0072508B">
        <w:t>id</w:t>
      </w:r>
      <w:r w:rsidR="0072508B" w:rsidRPr="00203D4C">
        <w:t xml:space="preserve"> </w:t>
      </w:r>
      <w:r w:rsidR="003E76BE" w:rsidRPr="00203D4C">
        <w:t xml:space="preserve">not adjust for substantial differences in follow-up times and censoring between the two trials. The curves show patients treated with </w:t>
      </w:r>
      <w:proofErr w:type="spellStart"/>
      <w:r w:rsidR="003E76BE" w:rsidRPr="00203D4C">
        <w:t>atezo</w:t>
      </w:r>
      <w:proofErr w:type="spellEnd"/>
      <w:r w:rsidR="003E76BE" w:rsidRPr="00203D4C">
        <w:t xml:space="preserve"> + b had numerically better survival than patients treated with STRIDE, until the curves cross at around 110 weeks. </w:t>
      </w:r>
      <w:r w:rsidR="00FC5713" w:rsidRPr="00203D4C">
        <w:t>However, d</w:t>
      </w:r>
      <w:r w:rsidR="003E76BE" w:rsidRPr="00203D4C">
        <w:t xml:space="preserve">ata for </w:t>
      </w:r>
      <w:proofErr w:type="spellStart"/>
      <w:r w:rsidR="003E76BE" w:rsidRPr="00203D4C">
        <w:t>atezo</w:t>
      </w:r>
      <w:proofErr w:type="spellEnd"/>
      <w:r w:rsidR="003E76BE" w:rsidRPr="00203D4C">
        <w:t xml:space="preserve"> + b become</w:t>
      </w:r>
      <w:r w:rsidR="00DF47BB">
        <w:t>s</w:t>
      </w:r>
      <w:r w:rsidR="003E76BE" w:rsidRPr="00203D4C">
        <w:t xml:space="preserve"> uncertain</w:t>
      </w:r>
      <w:r w:rsidR="008B32B5" w:rsidRPr="00203D4C">
        <w:t xml:space="preserve"> and cannot be meaningfully interpreted</w:t>
      </w:r>
      <w:r w:rsidR="003E76BE" w:rsidRPr="00203D4C">
        <w:t xml:space="preserve"> beyond 96 weeks, at which point </w:t>
      </w:r>
      <w:r w:rsidR="005F2507" w:rsidRPr="00203D4C">
        <w:t>120/336 patients had been censored</w:t>
      </w:r>
      <w:r w:rsidR="005F2507" w:rsidRPr="00203D4C" w:rsidDel="005F2507">
        <w:t xml:space="preserve"> </w:t>
      </w:r>
      <w:r w:rsidR="005F2507" w:rsidRPr="00203D4C">
        <w:t xml:space="preserve">and </w:t>
      </w:r>
      <w:r w:rsidR="003E76BE" w:rsidRPr="00203D4C">
        <w:t>only 42/336 patients remained at risk.</w:t>
      </w:r>
    </w:p>
    <w:p w14:paraId="083A7D1D" w14:textId="60B958FE" w:rsidR="003E76BE" w:rsidRDefault="003E76BE" w:rsidP="00CC09BC">
      <w:pPr>
        <w:pStyle w:val="Caption"/>
      </w:pPr>
      <w:bookmarkStart w:id="22" w:name="_Ref191047165"/>
      <w:bookmarkStart w:id="23" w:name="_Ref193102178"/>
      <w:r>
        <w:t xml:space="preserve">Figure </w:t>
      </w:r>
      <w:r w:rsidR="009E6F71">
        <w:fldChar w:fldCharType="begin"/>
      </w:r>
      <w:r w:rsidR="009E6F71">
        <w:instrText xml:space="preserve"> SEQ Figure \* ARABIC </w:instrText>
      </w:r>
      <w:r w:rsidR="009E6F71">
        <w:fldChar w:fldCharType="separate"/>
      </w:r>
      <w:r w:rsidR="00AC295B">
        <w:rPr>
          <w:noProof/>
        </w:rPr>
        <w:t>2</w:t>
      </w:r>
      <w:r w:rsidR="009E6F71">
        <w:rPr>
          <w:noProof/>
        </w:rPr>
        <w:fldChar w:fldCharType="end"/>
      </w:r>
      <w:bookmarkEnd w:id="22"/>
      <w:bookmarkEnd w:id="23"/>
      <w:r>
        <w:t xml:space="preserve">: </w:t>
      </w:r>
      <w:r w:rsidRPr="00AB7B4B">
        <w:t>Comparison of KM curves in the HIMALAYA and IMBRAVE150 trials</w:t>
      </w:r>
    </w:p>
    <w:p w14:paraId="46DE89B1" w14:textId="77777777" w:rsidR="003E76BE" w:rsidRDefault="003E76BE" w:rsidP="00CC09BC">
      <w:pPr>
        <w:pStyle w:val="TableFigureHeading"/>
      </w:pPr>
      <w:r>
        <w:rPr>
          <w:noProof/>
        </w:rPr>
        <w:drawing>
          <wp:inline distT="0" distB="0" distL="0" distR="0" wp14:anchorId="223C7025" wp14:editId="1BBFE59F">
            <wp:extent cx="5630330" cy="2695575"/>
            <wp:effectExtent l="0" t="0" r="8890" b="0"/>
            <wp:docPr id="365969342" name="Picture 2" descr="A graph of different colored lines&#10;&#10;Figure 2: Comparison of KM curves in the HIMALAYA and IMBRAVE150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69342" name="Picture 2" descr="A graph of different colored lines&#10;&#10;Figure 2: Comparison of KM curves in the HIMALAYA and IMBRAVE150 tria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943" cy="2707359"/>
                    </a:xfrm>
                    <a:prstGeom prst="rect">
                      <a:avLst/>
                    </a:prstGeom>
                    <a:noFill/>
                  </pic:spPr>
                </pic:pic>
              </a:graphicData>
            </a:graphic>
          </wp:inline>
        </w:drawing>
      </w:r>
    </w:p>
    <w:p w14:paraId="62552211" w14:textId="77777777" w:rsidR="003E76BE" w:rsidRDefault="003E76BE" w:rsidP="00F0762C">
      <w:pPr>
        <w:pStyle w:val="TableFigureFooter"/>
        <w:rPr>
          <w:lang w:val="da-DK"/>
        </w:rPr>
      </w:pPr>
      <w:r>
        <w:rPr>
          <w:lang w:val="da-DK"/>
        </w:rPr>
        <w:t>Source: Figure2-16, p 135 of the submission.</w:t>
      </w:r>
    </w:p>
    <w:p w14:paraId="1C2E70FA" w14:textId="77777777" w:rsidR="00CC09BC" w:rsidRDefault="003E76BE" w:rsidP="00F0762C">
      <w:pPr>
        <w:pStyle w:val="TableFigureFooter"/>
      </w:pPr>
      <w:proofErr w:type="spellStart"/>
      <w:r>
        <w:t>Atezo+Bev</w:t>
      </w:r>
      <w:proofErr w:type="spellEnd"/>
      <w:r>
        <w:t xml:space="preserve"> = </w:t>
      </w:r>
      <w:r w:rsidRPr="001D1A4A">
        <w:t>atezolizumab plus bevacizumab</w:t>
      </w:r>
      <w:r>
        <w:t>;</w:t>
      </w:r>
      <w:r>
        <w:rPr>
          <w:lang w:val="da-DK"/>
        </w:rPr>
        <w:t xml:space="preserve"> KM = Kaplan-Meier; </w:t>
      </w:r>
      <w:r>
        <w:t>STRIDE = S</w:t>
      </w:r>
      <w:r w:rsidRPr="00C807EB">
        <w:t xml:space="preserve">ingle </w:t>
      </w:r>
      <w:r>
        <w:t>T</w:t>
      </w:r>
      <w:r w:rsidRPr="00C807EB">
        <w:t xml:space="preserve">remelimumab </w:t>
      </w:r>
      <w:r>
        <w:t>R</w:t>
      </w:r>
      <w:r w:rsidRPr="00C807EB">
        <w:t xml:space="preserve">egular </w:t>
      </w:r>
      <w:r>
        <w:t>I</w:t>
      </w:r>
      <w:r w:rsidRPr="00C807EB">
        <w:t xml:space="preserve">nterval </w:t>
      </w:r>
      <w:r>
        <w:t>D</w:t>
      </w:r>
      <w:r w:rsidRPr="00C807EB">
        <w:t>urvalumab</w:t>
      </w:r>
      <w:r>
        <w:t>.</w:t>
      </w:r>
    </w:p>
    <w:p w14:paraId="7708CD0D" w14:textId="107A4D6C" w:rsidR="003E76BE" w:rsidRDefault="003E76BE" w:rsidP="00CC09BC">
      <w:pPr>
        <w:pStyle w:val="TableFigureFooter"/>
        <w:keepNext w:val="0"/>
      </w:pPr>
      <w:r>
        <w:t>Note: Beyond week 96, heavy censoring makes the IMBRAVE150 data uncertain (</w:t>
      </w:r>
      <w:proofErr w:type="spellStart"/>
      <w:r>
        <w:t>atezo</w:t>
      </w:r>
      <w:proofErr w:type="spellEnd"/>
      <w:r>
        <w:t xml:space="preserve"> + </w:t>
      </w:r>
      <w:proofErr w:type="spellStart"/>
      <w:r>
        <w:t>bev</w:t>
      </w:r>
      <w:proofErr w:type="spellEnd"/>
      <w:r>
        <w:t xml:space="preserve"> and red sorafenib lines).</w:t>
      </w:r>
    </w:p>
    <w:p w14:paraId="27AF54A0" w14:textId="77777777" w:rsidR="003E76BE" w:rsidRPr="00EB2F9A" w:rsidRDefault="003E76BE" w:rsidP="003E76BE">
      <w:pPr>
        <w:pStyle w:val="3-BodyText"/>
        <w:numPr>
          <w:ilvl w:val="0"/>
          <w:numId w:val="0"/>
        </w:numPr>
        <w:rPr>
          <w:u w:val="single"/>
        </w:rPr>
      </w:pPr>
      <w:r w:rsidRPr="00EB2F9A">
        <w:rPr>
          <w:u w:val="single"/>
        </w:rPr>
        <w:t xml:space="preserve">Indirect treatment comparison (STRIDE versus </w:t>
      </w:r>
      <w:proofErr w:type="spellStart"/>
      <w:r w:rsidRPr="00EB2F9A">
        <w:rPr>
          <w:u w:val="single"/>
        </w:rPr>
        <w:t>atezo</w:t>
      </w:r>
      <w:proofErr w:type="spellEnd"/>
      <w:r w:rsidRPr="00EB2F9A">
        <w:rPr>
          <w:u w:val="single"/>
        </w:rPr>
        <w:t xml:space="preserve"> + b)</w:t>
      </w:r>
    </w:p>
    <w:p w14:paraId="5AA93D6B" w14:textId="0D07D408" w:rsidR="00F5197A" w:rsidRPr="00D531E2" w:rsidRDefault="00F5197A" w:rsidP="7F0BD753">
      <w:pPr>
        <w:pStyle w:val="3-BodyText"/>
        <w:rPr>
          <w:color w:val="0066FF"/>
        </w:rPr>
      </w:pPr>
      <w:r w:rsidRPr="7F0BD753">
        <w:lastRenderedPageBreak/>
        <w:t>The PSCR</w:t>
      </w:r>
      <w:r w:rsidR="001B12C5" w:rsidRPr="7F0BD753">
        <w:t xml:space="preserve"> </w:t>
      </w:r>
      <w:r w:rsidR="002B6C91" w:rsidRPr="7F0BD753">
        <w:t xml:space="preserve">agreed with the evaluation that </w:t>
      </w:r>
      <w:r w:rsidR="00A6425A" w:rsidRPr="7F0BD753">
        <w:t>the OS curves cannot be meaningfully interpreted beyond 96 weeks, and</w:t>
      </w:r>
      <w:r w:rsidRPr="7F0BD753">
        <w:t xml:space="preserve"> argued that late separation and/or plateau of survival curves in the longer term, as seen in HIMALAYA, are often observed in immuno-oncology (IO) trials.</w:t>
      </w:r>
      <w:r w:rsidR="00BF1029" w:rsidRPr="7F0BD753">
        <w:t xml:space="preserve"> </w:t>
      </w:r>
      <w:r w:rsidR="00064219" w:rsidRPr="7F0BD753">
        <w:t xml:space="preserve">The PSCR </w:t>
      </w:r>
      <w:r w:rsidR="00BF1029" w:rsidRPr="7F0BD753">
        <w:t>further argued</w:t>
      </w:r>
      <w:r w:rsidRPr="7F0BD753">
        <w:t xml:space="preserve"> that when survival curves show delayed separation, the HR changes over time, such that a single HR, as reported in the ITC</w:t>
      </w:r>
      <w:r w:rsidR="00BF1029" w:rsidRPr="7F0BD753">
        <w:t xml:space="preserve"> (see below paragraphs)</w:t>
      </w:r>
      <w:r w:rsidRPr="7F0BD753">
        <w:t xml:space="preserve"> may be insufficient to fully capture survival benefits in the tail of the curve.</w:t>
      </w:r>
      <w:r w:rsidR="00B66CBE" w:rsidRPr="7F0BD753">
        <w:t xml:space="preserve"> </w:t>
      </w:r>
      <w:r w:rsidR="006C662D" w:rsidRPr="7F0BD753">
        <w:t xml:space="preserve">From the overlay of the KM curves, the ESC considered that the two comparator arms for sorafenib were similar while the curves for STRIDE and </w:t>
      </w:r>
      <w:proofErr w:type="spellStart"/>
      <w:r w:rsidR="006C662D" w:rsidRPr="7F0BD753">
        <w:t>atezo</w:t>
      </w:r>
      <w:proofErr w:type="spellEnd"/>
      <w:r w:rsidR="00021953">
        <w:t xml:space="preserve"> </w:t>
      </w:r>
      <w:r w:rsidR="006C662D" w:rsidRPr="7F0BD753">
        <w:t>+</w:t>
      </w:r>
      <w:r w:rsidR="00021953">
        <w:t xml:space="preserve"> </w:t>
      </w:r>
      <w:r w:rsidR="006C662D" w:rsidRPr="7F0BD753">
        <w:t>b appeared to be different. H</w:t>
      </w:r>
      <w:r w:rsidR="00A6425A" w:rsidRPr="7F0BD753">
        <w:t>owever</w:t>
      </w:r>
      <w:r w:rsidR="006C662D" w:rsidRPr="7F0BD753">
        <w:t>, the ESC also</w:t>
      </w:r>
      <w:r w:rsidR="00A6425A" w:rsidRPr="7F0BD753">
        <w:t xml:space="preserve"> acknowledged </w:t>
      </w:r>
      <w:r w:rsidR="00D642ED" w:rsidRPr="7F0BD753">
        <w:t xml:space="preserve">that </w:t>
      </w:r>
      <w:r w:rsidR="00A6425A" w:rsidRPr="7F0BD753">
        <w:t>the lack of longer-term data</w:t>
      </w:r>
      <w:r w:rsidR="009B5B39" w:rsidRPr="7F0BD753">
        <w:t xml:space="preserve"> and unreliability beyond 96 weeks</w:t>
      </w:r>
      <w:r w:rsidR="00A6425A" w:rsidRPr="7F0BD753">
        <w:t xml:space="preserve"> for </w:t>
      </w:r>
      <w:proofErr w:type="spellStart"/>
      <w:r w:rsidR="00A6425A" w:rsidRPr="7F0BD753">
        <w:t>atezo</w:t>
      </w:r>
      <w:proofErr w:type="spellEnd"/>
      <w:r w:rsidR="00A6425A" w:rsidRPr="7F0BD753">
        <w:t xml:space="preserve"> + b</w:t>
      </w:r>
      <w:r w:rsidR="009B5B39" w:rsidRPr="7F0BD753">
        <w:t xml:space="preserve"> </w:t>
      </w:r>
      <w:r w:rsidR="00060D63" w:rsidRPr="7F0BD753">
        <w:t>complicates the ability to draw meaningful conclusions from the KM curves as</w:t>
      </w:r>
      <w:r w:rsidR="00D642ED" w:rsidRPr="7F0BD753">
        <w:t xml:space="preserve"> </w:t>
      </w:r>
      <w:r w:rsidR="00060D63" w:rsidRPr="7F0BD753">
        <w:t xml:space="preserve">presented in </w:t>
      </w:r>
      <w:r w:rsidR="00060D63" w:rsidRPr="7F0BD753">
        <w:fldChar w:fldCharType="begin"/>
      </w:r>
      <w:r w:rsidR="00060D63" w:rsidRPr="7F0BD753">
        <w:instrText xml:space="preserve"> REF _Ref193102178 \h  \* MERGEFORMAT </w:instrText>
      </w:r>
      <w:r w:rsidR="00060D63" w:rsidRPr="7F0BD753">
        <w:fldChar w:fldCharType="separate"/>
      </w:r>
      <w:r w:rsidR="00AC295B">
        <w:t xml:space="preserve">Figure </w:t>
      </w:r>
      <w:r w:rsidR="00AC295B">
        <w:rPr>
          <w:noProof/>
        </w:rPr>
        <w:t>2</w:t>
      </w:r>
      <w:r w:rsidR="00060D63" w:rsidRPr="7F0BD753">
        <w:fldChar w:fldCharType="end"/>
      </w:r>
      <w:r w:rsidR="00060D63" w:rsidRPr="7F0BD753">
        <w:t>.</w:t>
      </w:r>
      <w:r w:rsidR="00213698" w:rsidRPr="7F0BD753">
        <w:t xml:space="preserve"> </w:t>
      </w:r>
      <w:r w:rsidR="00074EF2" w:rsidRPr="7F0BD753">
        <w:t xml:space="preserve">The </w:t>
      </w:r>
      <w:r w:rsidR="00213698" w:rsidRPr="7F0BD753">
        <w:t xml:space="preserve">pre-PBAC response stated that the difference in mode of action between STRIDE (IO+IO) and </w:t>
      </w:r>
      <w:proofErr w:type="spellStart"/>
      <w:r w:rsidR="00213698" w:rsidRPr="7F0BD753">
        <w:t>atezo</w:t>
      </w:r>
      <w:proofErr w:type="spellEnd"/>
      <w:r w:rsidR="00213698" w:rsidRPr="7F0BD753">
        <w:t xml:space="preserve"> + b (IO+VEGF) is a </w:t>
      </w:r>
      <w:r w:rsidR="00E255B8" w:rsidRPr="7F0BD753">
        <w:t>relevant</w:t>
      </w:r>
      <w:r w:rsidR="00213698" w:rsidRPr="7F0BD753">
        <w:t xml:space="preserve"> consideration when comparing across the two trials</w:t>
      </w:r>
      <w:r w:rsidR="002B0E4A" w:rsidRPr="7F0BD753">
        <w:t xml:space="preserve"> because late separation and/or plateau of the survival curves</w:t>
      </w:r>
      <w:r w:rsidR="00BE509A" w:rsidRPr="00BE509A">
        <w:t xml:space="preserve"> </w:t>
      </w:r>
      <w:r w:rsidR="00BE509A" w:rsidRPr="7F0BD753">
        <w:t>are a particular feature of doublet IO therapy, such as STRIDE.</w:t>
      </w:r>
    </w:p>
    <w:p w14:paraId="54FB00BD" w14:textId="77777777" w:rsidR="000D083B" w:rsidRDefault="003E76BE" w:rsidP="003E76BE">
      <w:pPr>
        <w:pStyle w:val="3-BodyText"/>
      </w:pPr>
      <w:r w:rsidRPr="00203D4C">
        <w:t xml:space="preserve">The submission presented an unmatched, unadjusted, anchored Bucher ITC between HIMALAYA and IMBRAVE150, to compare the efficacy (in terms of OS) and safety of STRIDE compared to </w:t>
      </w:r>
      <w:proofErr w:type="spellStart"/>
      <w:r w:rsidRPr="00203D4C">
        <w:t>atezo</w:t>
      </w:r>
      <w:proofErr w:type="spellEnd"/>
      <w:r w:rsidRPr="00203D4C">
        <w:t xml:space="preserve"> + b, using sorafenib as a common comparator.</w:t>
      </w:r>
      <w:r w:rsidR="00533E98">
        <w:t xml:space="preserve"> </w:t>
      </w:r>
      <w:r w:rsidR="00533E98" w:rsidRPr="00D531E2">
        <w:t xml:space="preserve">The PSCR </w:t>
      </w:r>
      <w:r w:rsidR="00AC0DE8" w:rsidRPr="00D531E2">
        <w:t xml:space="preserve">acknowledged the </w:t>
      </w:r>
      <w:r w:rsidR="00827311" w:rsidRPr="00D531E2">
        <w:t>Bucher ITC presented is oversimplistic and complicates interpretation of the clinical claim, however argued this was presented as the</w:t>
      </w:r>
      <w:r w:rsidR="001F440F" w:rsidRPr="00D531E2">
        <w:t xml:space="preserve"> primary analysis as it is preferred in the PBAC Guidelines.</w:t>
      </w:r>
    </w:p>
    <w:p w14:paraId="38E68B93" w14:textId="03EEA03D" w:rsidR="000D083B" w:rsidRDefault="003E76BE" w:rsidP="003E76BE">
      <w:pPr>
        <w:pStyle w:val="3-BodyText"/>
      </w:pPr>
      <w:r w:rsidRPr="00203D4C">
        <w:t>Minor differences in trial characteristics between HIMALAYA and IMBRAVE150 were noted in paragraph</w:t>
      </w:r>
      <w:r w:rsidR="00B73E52" w:rsidRPr="00203D4C">
        <w:t xml:space="preserve"> </w:t>
      </w:r>
      <w:r w:rsidR="00B73E52" w:rsidRPr="00203D4C">
        <w:fldChar w:fldCharType="begin"/>
      </w:r>
      <w:r w:rsidR="00B73E52" w:rsidRPr="00203D4C">
        <w:instrText xml:space="preserve"> REF _Ref191289102 \r \h </w:instrText>
      </w:r>
      <w:r w:rsidR="00203D4C" w:rsidRPr="00203D4C">
        <w:instrText xml:space="preserve"> \* MERGEFORMAT </w:instrText>
      </w:r>
      <w:r w:rsidR="00B73E52" w:rsidRPr="00203D4C">
        <w:fldChar w:fldCharType="separate"/>
      </w:r>
      <w:r w:rsidR="00AC295B">
        <w:t>6.13</w:t>
      </w:r>
      <w:r w:rsidR="00B73E52" w:rsidRPr="00203D4C">
        <w:fldChar w:fldCharType="end"/>
      </w:r>
      <w:r w:rsidR="00B73E52" w:rsidRPr="00203D4C">
        <w:t>.</w:t>
      </w:r>
      <w:r w:rsidRPr="00203D4C">
        <w:t xml:space="preserve"> These differences were unlikely to have </w:t>
      </w:r>
      <w:r w:rsidR="003B4FF2" w:rsidRPr="00203D4C">
        <w:t xml:space="preserve">had </w:t>
      </w:r>
      <w:r w:rsidRPr="00203D4C">
        <w:t>any material impact on the results of the ITC overall. The largest difference between the trials that is likely to have affected the ITC is the disparate follow-up times between HIMALAYA (median follow-up 62.5 months for STRIDE, 59.9 months for sorafenib) and IMBRAVE150 (</w:t>
      </w:r>
      <w:r w:rsidRPr="00D0580B">
        <w:t xml:space="preserve">median follow-up 17.6 months for </w:t>
      </w:r>
      <w:proofErr w:type="spellStart"/>
      <w:r w:rsidRPr="00D0580B">
        <w:t>atezo</w:t>
      </w:r>
      <w:proofErr w:type="spellEnd"/>
      <w:r w:rsidRPr="00203D4C">
        <w:t xml:space="preserve"> + b, 10.4 months for sorafenib). Despite these differences, the comparator (sorafenib) arms of the two trials performed similarly, with similar median OS and safety profiles, as described in</w:t>
      </w:r>
      <w:r w:rsidR="00B73E52" w:rsidRPr="00203D4C">
        <w:t xml:space="preserve"> </w:t>
      </w:r>
      <w:r w:rsidR="00B73E52" w:rsidRPr="00203D4C">
        <w:fldChar w:fldCharType="begin"/>
      </w:r>
      <w:r w:rsidR="00B73E52" w:rsidRPr="00203D4C">
        <w:instrText xml:space="preserve"> REF _Ref191289709 \h </w:instrText>
      </w:r>
      <w:r w:rsidR="00203D4C" w:rsidRPr="00203D4C">
        <w:instrText xml:space="preserve"> \* MERGEFORMAT </w:instrText>
      </w:r>
      <w:r w:rsidR="00B73E52" w:rsidRPr="00203D4C">
        <w:fldChar w:fldCharType="separate"/>
      </w:r>
      <w:r w:rsidR="00AC295B">
        <w:t xml:space="preserve">Table </w:t>
      </w:r>
      <w:r w:rsidR="00AC295B">
        <w:rPr>
          <w:noProof/>
        </w:rPr>
        <w:t>6</w:t>
      </w:r>
      <w:r w:rsidR="00B73E52" w:rsidRPr="00203D4C">
        <w:fldChar w:fldCharType="end"/>
      </w:r>
      <w:r w:rsidR="00B73E52" w:rsidRPr="00203D4C">
        <w:t xml:space="preserve"> and </w:t>
      </w:r>
      <w:r w:rsidR="00B73E52" w:rsidRPr="00203D4C">
        <w:fldChar w:fldCharType="begin"/>
      </w:r>
      <w:r w:rsidR="00B73E52" w:rsidRPr="00203D4C">
        <w:instrText xml:space="preserve"> REF _Ref191289740 \h  \* MERGEFORMAT </w:instrText>
      </w:r>
      <w:r w:rsidR="00B73E52" w:rsidRPr="00203D4C">
        <w:fldChar w:fldCharType="separate"/>
      </w:r>
      <w:r w:rsidR="00AC295B">
        <w:t xml:space="preserve">Table </w:t>
      </w:r>
      <w:r w:rsidR="00AC295B">
        <w:rPr>
          <w:noProof/>
        </w:rPr>
        <w:t>8</w:t>
      </w:r>
      <w:r w:rsidR="00B73E52" w:rsidRPr="00203D4C">
        <w:fldChar w:fldCharType="end"/>
      </w:r>
      <w:r w:rsidR="00B73E52" w:rsidRPr="00203D4C">
        <w:t>.</w:t>
      </w:r>
    </w:p>
    <w:p w14:paraId="4DDDE4E2" w14:textId="3F97A70E" w:rsidR="000D083B" w:rsidRDefault="003E76BE" w:rsidP="003E76BE">
      <w:pPr>
        <w:pStyle w:val="3-BodyText"/>
      </w:pPr>
      <w:r>
        <w:t>The ITC for efficacy is presented in</w:t>
      </w:r>
      <w:r w:rsidR="00B73E52">
        <w:t xml:space="preserve"> </w:t>
      </w:r>
      <w:r w:rsidR="00B73E52">
        <w:fldChar w:fldCharType="begin"/>
      </w:r>
      <w:r w:rsidR="00B73E52">
        <w:instrText xml:space="preserve"> REF _Ref191289709 \h </w:instrText>
      </w:r>
      <w:r w:rsidR="00B73E52">
        <w:fldChar w:fldCharType="separate"/>
      </w:r>
      <w:r w:rsidR="00AC295B">
        <w:t xml:space="preserve">Table </w:t>
      </w:r>
      <w:r w:rsidR="00AC295B">
        <w:rPr>
          <w:noProof/>
        </w:rPr>
        <w:t>6</w:t>
      </w:r>
      <w:r w:rsidR="00B73E52">
        <w:fldChar w:fldCharType="end"/>
      </w:r>
      <w:r w:rsidR="00B73E52">
        <w:t>.</w:t>
      </w:r>
    </w:p>
    <w:p w14:paraId="39B2226E" w14:textId="1E59EF6C" w:rsidR="003E76BE" w:rsidRDefault="003E76BE" w:rsidP="003E76BE">
      <w:pPr>
        <w:pStyle w:val="Caption"/>
        <w:spacing w:before="120"/>
      </w:pPr>
      <w:bookmarkStart w:id="24" w:name="_Ref191289709"/>
      <w:r>
        <w:lastRenderedPageBreak/>
        <w:t xml:space="preserve">Table </w:t>
      </w:r>
      <w:r w:rsidR="005B443C">
        <w:fldChar w:fldCharType="begin"/>
      </w:r>
      <w:r w:rsidR="005B443C">
        <w:instrText xml:space="preserve"> SEQ Table \* ARABIC </w:instrText>
      </w:r>
      <w:r w:rsidR="005B443C">
        <w:fldChar w:fldCharType="separate"/>
      </w:r>
      <w:r w:rsidR="00AC295B">
        <w:rPr>
          <w:noProof/>
        </w:rPr>
        <w:t>6</w:t>
      </w:r>
      <w:r w:rsidR="005B443C">
        <w:rPr>
          <w:noProof/>
        </w:rPr>
        <w:fldChar w:fldCharType="end"/>
      </w:r>
      <w:bookmarkEnd w:id="24"/>
      <w:r>
        <w:t>: ITC of OS for HIMALAYA vs IMBRAVE150</w:t>
      </w:r>
    </w:p>
    <w:tbl>
      <w:tblPr>
        <w:tblStyle w:val="TableGrid"/>
        <w:tblW w:w="5000" w:type="pct"/>
        <w:tblLook w:val="04A0" w:firstRow="1" w:lastRow="0" w:firstColumn="1" w:lastColumn="0" w:noHBand="0" w:noVBand="1"/>
      </w:tblPr>
      <w:tblGrid>
        <w:gridCol w:w="3332"/>
        <w:gridCol w:w="1389"/>
        <w:gridCol w:w="1432"/>
        <w:gridCol w:w="1387"/>
        <w:gridCol w:w="1477"/>
      </w:tblGrid>
      <w:tr w:rsidR="003E76BE" w:rsidRPr="00C05D01" w14:paraId="05F7885B" w14:textId="77777777" w:rsidTr="006247BA">
        <w:trPr>
          <w:trHeight w:val="20"/>
          <w:tblHeader/>
        </w:trPr>
        <w:tc>
          <w:tcPr>
            <w:tcW w:w="1848" w:type="pct"/>
            <w:shd w:val="clear" w:color="auto" w:fill="auto"/>
          </w:tcPr>
          <w:p w14:paraId="01DFA384" w14:textId="77777777" w:rsidR="003E76BE" w:rsidRPr="00C05D01" w:rsidRDefault="003E76BE">
            <w:pPr>
              <w:pStyle w:val="PBACTabletext"/>
              <w:rPr>
                <w:b/>
                <w:bCs/>
              </w:rPr>
            </w:pPr>
            <w:r w:rsidRPr="00C05D01">
              <w:rPr>
                <w:b/>
                <w:bCs/>
              </w:rPr>
              <w:t>Trial</w:t>
            </w:r>
          </w:p>
        </w:tc>
        <w:tc>
          <w:tcPr>
            <w:tcW w:w="1564" w:type="pct"/>
            <w:gridSpan w:val="2"/>
            <w:shd w:val="clear" w:color="auto" w:fill="auto"/>
          </w:tcPr>
          <w:p w14:paraId="7B90B25A" w14:textId="77777777" w:rsidR="003E76BE" w:rsidRPr="00C05D01" w:rsidRDefault="003E76BE">
            <w:pPr>
              <w:pStyle w:val="PBACTabletext"/>
              <w:jc w:val="center"/>
              <w:rPr>
                <w:b/>
                <w:bCs/>
              </w:rPr>
            </w:pPr>
            <w:r w:rsidRPr="00C05D01">
              <w:rPr>
                <w:b/>
                <w:bCs/>
              </w:rPr>
              <w:t>HIMALAYA</w:t>
            </w:r>
          </w:p>
        </w:tc>
        <w:tc>
          <w:tcPr>
            <w:tcW w:w="1588" w:type="pct"/>
            <w:gridSpan w:val="2"/>
            <w:shd w:val="clear" w:color="auto" w:fill="auto"/>
          </w:tcPr>
          <w:p w14:paraId="791717C3" w14:textId="77777777" w:rsidR="003E76BE" w:rsidRPr="00C05D01" w:rsidRDefault="003E76BE">
            <w:pPr>
              <w:pStyle w:val="PBACTabletext"/>
              <w:jc w:val="center"/>
              <w:rPr>
                <w:b/>
                <w:bCs/>
              </w:rPr>
            </w:pPr>
            <w:r w:rsidRPr="00C05D01">
              <w:rPr>
                <w:b/>
                <w:bCs/>
              </w:rPr>
              <w:t>IMBRAVE150</w:t>
            </w:r>
          </w:p>
        </w:tc>
      </w:tr>
      <w:tr w:rsidR="003E76BE" w:rsidRPr="00C05D01" w14:paraId="5EC19821" w14:textId="77777777" w:rsidTr="006247BA">
        <w:trPr>
          <w:trHeight w:val="20"/>
          <w:tblHeader/>
        </w:trPr>
        <w:tc>
          <w:tcPr>
            <w:tcW w:w="1848" w:type="pct"/>
            <w:shd w:val="clear" w:color="auto" w:fill="auto"/>
          </w:tcPr>
          <w:p w14:paraId="0436CFEC" w14:textId="77777777" w:rsidR="003E76BE" w:rsidRPr="00C05D01" w:rsidRDefault="003E76BE">
            <w:pPr>
              <w:pStyle w:val="PBACTabletext"/>
              <w:rPr>
                <w:b/>
                <w:bCs/>
              </w:rPr>
            </w:pPr>
            <w:r w:rsidRPr="00C05D01">
              <w:rPr>
                <w:b/>
                <w:bCs/>
              </w:rPr>
              <w:t>Treatment arm</w:t>
            </w:r>
          </w:p>
        </w:tc>
        <w:tc>
          <w:tcPr>
            <w:tcW w:w="770" w:type="pct"/>
            <w:shd w:val="clear" w:color="auto" w:fill="auto"/>
          </w:tcPr>
          <w:p w14:paraId="45D34170" w14:textId="77777777" w:rsidR="003E76BE" w:rsidRPr="00C05D01" w:rsidRDefault="003E76BE">
            <w:pPr>
              <w:pStyle w:val="PBACTabletext"/>
              <w:jc w:val="center"/>
              <w:rPr>
                <w:b/>
                <w:bCs/>
              </w:rPr>
            </w:pPr>
            <w:r w:rsidRPr="00C05D01">
              <w:rPr>
                <w:b/>
                <w:bCs/>
              </w:rPr>
              <w:t xml:space="preserve">STRIDE </w:t>
            </w:r>
            <w:r w:rsidRPr="00C05D01">
              <w:rPr>
                <w:b/>
                <w:bCs/>
              </w:rPr>
              <w:br/>
              <w:t>(N = 393)</w:t>
            </w:r>
          </w:p>
        </w:tc>
        <w:tc>
          <w:tcPr>
            <w:tcW w:w="794" w:type="pct"/>
            <w:shd w:val="clear" w:color="auto" w:fill="auto"/>
          </w:tcPr>
          <w:p w14:paraId="54824213" w14:textId="77777777" w:rsidR="003E76BE" w:rsidRPr="00C05D01" w:rsidRDefault="003E76BE">
            <w:pPr>
              <w:pStyle w:val="PBACTabletext"/>
              <w:jc w:val="center"/>
              <w:rPr>
                <w:b/>
                <w:bCs/>
              </w:rPr>
            </w:pPr>
            <w:r w:rsidRPr="00C05D01">
              <w:rPr>
                <w:b/>
                <w:bCs/>
              </w:rPr>
              <w:t xml:space="preserve">Sorafenib </w:t>
            </w:r>
            <w:r w:rsidRPr="00C05D01">
              <w:rPr>
                <w:b/>
                <w:bCs/>
              </w:rPr>
              <w:br/>
              <w:t>(N = 389)</w:t>
            </w:r>
          </w:p>
        </w:tc>
        <w:tc>
          <w:tcPr>
            <w:tcW w:w="769" w:type="pct"/>
            <w:shd w:val="clear" w:color="auto" w:fill="auto"/>
          </w:tcPr>
          <w:p w14:paraId="242DAB52" w14:textId="77777777" w:rsidR="003E76BE" w:rsidRPr="00C05D01" w:rsidRDefault="003E76BE">
            <w:pPr>
              <w:pStyle w:val="PBACTabletext"/>
              <w:jc w:val="center"/>
              <w:rPr>
                <w:b/>
                <w:bCs/>
              </w:rPr>
            </w:pPr>
            <w:proofErr w:type="spellStart"/>
            <w:r w:rsidRPr="00C05D01">
              <w:rPr>
                <w:b/>
                <w:bCs/>
              </w:rPr>
              <w:t>Atezo</w:t>
            </w:r>
            <w:proofErr w:type="spellEnd"/>
            <w:r>
              <w:rPr>
                <w:b/>
                <w:bCs/>
              </w:rPr>
              <w:t xml:space="preserve"> </w:t>
            </w:r>
            <w:r w:rsidRPr="00C05D01">
              <w:rPr>
                <w:b/>
                <w:bCs/>
              </w:rPr>
              <w:t>+</w:t>
            </w:r>
            <w:r>
              <w:rPr>
                <w:b/>
                <w:bCs/>
              </w:rPr>
              <w:t xml:space="preserve"> b</w:t>
            </w:r>
            <w:r w:rsidRPr="00C05D01">
              <w:rPr>
                <w:b/>
                <w:bCs/>
              </w:rPr>
              <w:br/>
              <w:t>(N = 336)</w:t>
            </w:r>
          </w:p>
        </w:tc>
        <w:tc>
          <w:tcPr>
            <w:tcW w:w="819" w:type="pct"/>
            <w:shd w:val="clear" w:color="auto" w:fill="auto"/>
          </w:tcPr>
          <w:p w14:paraId="07122928" w14:textId="77777777" w:rsidR="003E76BE" w:rsidRPr="00C05D01" w:rsidRDefault="003E76BE">
            <w:pPr>
              <w:pStyle w:val="PBACTabletext"/>
              <w:jc w:val="center"/>
              <w:rPr>
                <w:b/>
                <w:bCs/>
              </w:rPr>
            </w:pPr>
            <w:r w:rsidRPr="00C05D01">
              <w:rPr>
                <w:b/>
                <w:bCs/>
              </w:rPr>
              <w:t xml:space="preserve">Sorafenib </w:t>
            </w:r>
            <w:r w:rsidRPr="00C05D01">
              <w:rPr>
                <w:b/>
                <w:bCs/>
              </w:rPr>
              <w:br/>
              <w:t>(N = 165)</w:t>
            </w:r>
          </w:p>
        </w:tc>
      </w:tr>
      <w:tr w:rsidR="003E76BE" w:rsidRPr="00C05D01" w14:paraId="79ADA9C1" w14:textId="77777777" w:rsidTr="006247BA">
        <w:trPr>
          <w:trHeight w:val="20"/>
          <w:tblHeader/>
        </w:trPr>
        <w:tc>
          <w:tcPr>
            <w:tcW w:w="1848" w:type="pct"/>
            <w:shd w:val="clear" w:color="auto" w:fill="auto"/>
          </w:tcPr>
          <w:p w14:paraId="43F61775" w14:textId="77777777" w:rsidR="003E76BE" w:rsidRPr="00C05D01" w:rsidRDefault="003E76BE">
            <w:pPr>
              <w:pStyle w:val="PBACTabletext"/>
            </w:pPr>
            <w:r w:rsidRPr="00C05D01">
              <w:t xml:space="preserve">Median follow-up for </w:t>
            </w:r>
            <w:r>
              <w:t>OS</w:t>
            </w:r>
            <w:r w:rsidRPr="00C05D01">
              <w:t>, months</w:t>
            </w:r>
          </w:p>
        </w:tc>
        <w:tc>
          <w:tcPr>
            <w:tcW w:w="770" w:type="pct"/>
            <w:shd w:val="clear" w:color="auto" w:fill="auto"/>
          </w:tcPr>
          <w:p w14:paraId="52EECBCE" w14:textId="77777777" w:rsidR="003E76BE" w:rsidRPr="00C05D01" w:rsidRDefault="003E76BE">
            <w:pPr>
              <w:pStyle w:val="PBACTabletext"/>
              <w:jc w:val="center"/>
            </w:pPr>
            <w:r w:rsidRPr="00C05D01">
              <w:t xml:space="preserve">62.49 </w:t>
            </w:r>
            <w:r>
              <w:br/>
            </w:r>
            <w:r w:rsidRPr="00C05D01">
              <w:t>(59.47, 64.79)</w:t>
            </w:r>
          </w:p>
        </w:tc>
        <w:tc>
          <w:tcPr>
            <w:tcW w:w="794" w:type="pct"/>
            <w:shd w:val="clear" w:color="auto" w:fill="auto"/>
          </w:tcPr>
          <w:p w14:paraId="2E0D71AF" w14:textId="77777777" w:rsidR="003E76BE" w:rsidRPr="00C05D01" w:rsidRDefault="003E76BE">
            <w:pPr>
              <w:pStyle w:val="PBACTabletext"/>
              <w:jc w:val="center"/>
            </w:pPr>
            <w:r w:rsidRPr="00C05D01">
              <w:t xml:space="preserve">59.86 </w:t>
            </w:r>
            <w:r w:rsidRPr="00C05D01">
              <w:br/>
              <w:t>(58.32, 61.54)</w:t>
            </w:r>
          </w:p>
        </w:tc>
        <w:tc>
          <w:tcPr>
            <w:tcW w:w="769" w:type="pct"/>
            <w:shd w:val="clear" w:color="auto" w:fill="auto"/>
          </w:tcPr>
          <w:p w14:paraId="54CF03DD" w14:textId="77777777" w:rsidR="003E76BE" w:rsidRPr="00C05D01" w:rsidRDefault="003E76BE">
            <w:pPr>
              <w:pStyle w:val="PBACTabletext"/>
              <w:jc w:val="center"/>
            </w:pPr>
            <w:r w:rsidRPr="00C05D01">
              <w:t>17.6</w:t>
            </w:r>
            <w:r>
              <w:br/>
            </w:r>
            <w:r w:rsidRPr="00C05D01">
              <w:t>(0.1, 28.6)</w:t>
            </w:r>
          </w:p>
        </w:tc>
        <w:tc>
          <w:tcPr>
            <w:tcW w:w="819" w:type="pct"/>
            <w:shd w:val="clear" w:color="auto" w:fill="auto"/>
          </w:tcPr>
          <w:p w14:paraId="24D42574" w14:textId="77777777" w:rsidR="003E76BE" w:rsidRPr="00C05D01" w:rsidRDefault="003E76BE">
            <w:pPr>
              <w:pStyle w:val="PBACTabletext"/>
              <w:jc w:val="center"/>
            </w:pPr>
            <w:r w:rsidRPr="00C05D01">
              <w:t>10.4</w:t>
            </w:r>
            <w:r>
              <w:t xml:space="preserve"> </w:t>
            </w:r>
            <w:r>
              <w:br/>
            </w:r>
            <w:r w:rsidRPr="00C05D01">
              <w:t>(0, 27.9)</w:t>
            </w:r>
          </w:p>
        </w:tc>
      </w:tr>
      <w:tr w:rsidR="003E76BE" w:rsidRPr="00C05D01" w14:paraId="66E06D7C" w14:textId="77777777" w:rsidTr="006247BA">
        <w:trPr>
          <w:trHeight w:val="20"/>
        </w:trPr>
        <w:tc>
          <w:tcPr>
            <w:tcW w:w="1848" w:type="pct"/>
          </w:tcPr>
          <w:p w14:paraId="1656506B" w14:textId="77777777" w:rsidR="003E76BE" w:rsidRPr="00C05D01" w:rsidRDefault="003E76BE">
            <w:pPr>
              <w:pStyle w:val="PBACTabletext"/>
            </w:pPr>
            <w:r w:rsidRPr="00C05D01">
              <w:t>Events, n (%)</w:t>
            </w:r>
          </w:p>
        </w:tc>
        <w:tc>
          <w:tcPr>
            <w:tcW w:w="770" w:type="pct"/>
          </w:tcPr>
          <w:p w14:paraId="0857E3BA" w14:textId="77777777" w:rsidR="003E76BE" w:rsidRPr="00C05D01" w:rsidRDefault="003E76BE">
            <w:pPr>
              <w:pStyle w:val="PBACTabletext"/>
              <w:jc w:val="center"/>
            </w:pPr>
            <w:r w:rsidRPr="00C05D01">
              <w:t>309 (78.6)</w:t>
            </w:r>
          </w:p>
        </w:tc>
        <w:tc>
          <w:tcPr>
            <w:tcW w:w="794" w:type="pct"/>
          </w:tcPr>
          <w:p w14:paraId="2EC81BA8" w14:textId="77777777" w:rsidR="003E76BE" w:rsidRPr="00C05D01" w:rsidRDefault="003E76BE">
            <w:pPr>
              <w:pStyle w:val="PBACTabletext"/>
              <w:jc w:val="center"/>
            </w:pPr>
            <w:r w:rsidRPr="00C05D01">
              <w:t>332 (85.3)</w:t>
            </w:r>
          </w:p>
        </w:tc>
        <w:tc>
          <w:tcPr>
            <w:tcW w:w="769" w:type="pct"/>
          </w:tcPr>
          <w:p w14:paraId="4DD9C1A4" w14:textId="77777777" w:rsidR="003E76BE" w:rsidRPr="00C05D01" w:rsidRDefault="003E76BE">
            <w:pPr>
              <w:pStyle w:val="PBACTabletext"/>
              <w:jc w:val="center"/>
            </w:pPr>
            <w:r w:rsidRPr="00C05D01">
              <w:t>291 (74.0)</w:t>
            </w:r>
          </w:p>
        </w:tc>
        <w:tc>
          <w:tcPr>
            <w:tcW w:w="819" w:type="pct"/>
          </w:tcPr>
          <w:p w14:paraId="35E6809A" w14:textId="77777777" w:rsidR="003E76BE" w:rsidRPr="00C05D01" w:rsidRDefault="003E76BE">
            <w:pPr>
              <w:pStyle w:val="PBACTabletext"/>
              <w:jc w:val="center"/>
            </w:pPr>
            <w:r w:rsidRPr="00C05D01">
              <w:t>134 (81.2)</w:t>
            </w:r>
          </w:p>
        </w:tc>
      </w:tr>
      <w:tr w:rsidR="003E76BE" w:rsidRPr="00C05D01" w14:paraId="5A0B1041" w14:textId="77777777" w:rsidTr="006247BA">
        <w:trPr>
          <w:trHeight w:val="20"/>
        </w:trPr>
        <w:tc>
          <w:tcPr>
            <w:tcW w:w="1848" w:type="pct"/>
          </w:tcPr>
          <w:p w14:paraId="4AD50A35" w14:textId="77777777" w:rsidR="003E76BE" w:rsidRPr="00C05D01" w:rsidRDefault="003E76BE">
            <w:pPr>
              <w:pStyle w:val="PBACTabletext"/>
            </w:pPr>
            <w:r w:rsidRPr="00C05D01">
              <w:t>Median OS, months (95% CI)</w:t>
            </w:r>
          </w:p>
        </w:tc>
        <w:tc>
          <w:tcPr>
            <w:tcW w:w="770" w:type="pct"/>
          </w:tcPr>
          <w:p w14:paraId="69F57D20" w14:textId="77777777" w:rsidR="003E76BE" w:rsidRPr="00C05D01" w:rsidRDefault="003E76BE">
            <w:pPr>
              <w:pStyle w:val="PBACTabletext"/>
              <w:jc w:val="center"/>
            </w:pPr>
            <w:r w:rsidRPr="00C05D01">
              <w:t xml:space="preserve">16.43 </w:t>
            </w:r>
            <w:r w:rsidRPr="00C05D01">
              <w:br/>
              <w:t>(14.16, 19.58)</w:t>
            </w:r>
          </w:p>
        </w:tc>
        <w:tc>
          <w:tcPr>
            <w:tcW w:w="794" w:type="pct"/>
          </w:tcPr>
          <w:p w14:paraId="09CE27B8" w14:textId="77777777" w:rsidR="003E76BE" w:rsidRPr="00C05D01" w:rsidRDefault="003E76BE">
            <w:pPr>
              <w:pStyle w:val="PBACTabletext"/>
              <w:jc w:val="center"/>
            </w:pPr>
            <w:r w:rsidRPr="00C05D01">
              <w:t xml:space="preserve">13.77 </w:t>
            </w:r>
            <w:r w:rsidRPr="00C05D01">
              <w:br/>
              <w:t>(12.25, 16.13)</w:t>
            </w:r>
          </w:p>
        </w:tc>
        <w:tc>
          <w:tcPr>
            <w:tcW w:w="769" w:type="pct"/>
          </w:tcPr>
          <w:p w14:paraId="44D67152" w14:textId="77777777" w:rsidR="003E76BE" w:rsidRPr="00C05D01" w:rsidRDefault="003E76BE">
            <w:pPr>
              <w:pStyle w:val="PBACTabletext"/>
              <w:jc w:val="center"/>
            </w:pPr>
            <w:r w:rsidRPr="00C05D01">
              <w:t xml:space="preserve">19.2 </w:t>
            </w:r>
            <w:r w:rsidRPr="00C05D01">
              <w:br/>
              <w:t>(17.0, 23.7)</w:t>
            </w:r>
          </w:p>
        </w:tc>
        <w:tc>
          <w:tcPr>
            <w:tcW w:w="819" w:type="pct"/>
          </w:tcPr>
          <w:p w14:paraId="71C62875" w14:textId="77777777" w:rsidR="003E76BE" w:rsidRPr="00C05D01" w:rsidRDefault="003E76BE">
            <w:pPr>
              <w:pStyle w:val="PBACTabletext"/>
              <w:jc w:val="center"/>
            </w:pPr>
            <w:r w:rsidRPr="00C05D01">
              <w:t xml:space="preserve">13.4 </w:t>
            </w:r>
            <w:r w:rsidRPr="00C05D01">
              <w:br/>
              <w:t>(11.4, 16.9)</w:t>
            </w:r>
          </w:p>
        </w:tc>
      </w:tr>
      <w:tr w:rsidR="003E76BE" w:rsidRPr="00C05D01" w14:paraId="5BBD0974" w14:textId="77777777" w:rsidTr="006247BA">
        <w:trPr>
          <w:trHeight w:val="20"/>
        </w:trPr>
        <w:tc>
          <w:tcPr>
            <w:tcW w:w="1848" w:type="pct"/>
            <w:tcBorders>
              <w:bottom w:val="single" w:sz="4" w:space="0" w:color="auto"/>
            </w:tcBorders>
          </w:tcPr>
          <w:p w14:paraId="757B8246" w14:textId="77777777" w:rsidR="003E76BE" w:rsidRPr="00C05D01" w:rsidRDefault="003E76BE">
            <w:pPr>
              <w:pStyle w:val="PBACTabletext"/>
            </w:pPr>
            <w:r w:rsidRPr="00C05D01">
              <w:t>HR (95% CI)</w:t>
            </w:r>
          </w:p>
        </w:tc>
        <w:tc>
          <w:tcPr>
            <w:tcW w:w="1564" w:type="pct"/>
            <w:gridSpan w:val="2"/>
            <w:tcBorders>
              <w:bottom w:val="single" w:sz="4" w:space="0" w:color="auto"/>
            </w:tcBorders>
          </w:tcPr>
          <w:p w14:paraId="1E41B084" w14:textId="77777777" w:rsidR="003E76BE" w:rsidRPr="00C05D01" w:rsidRDefault="003E76BE">
            <w:pPr>
              <w:pStyle w:val="PBACTabletext"/>
              <w:jc w:val="center"/>
            </w:pPr>
            <w:r w:rsidRPr="00C05D01">
              <w:t>0.76 (0.65, 0.89)</w:t>
            </w:r>
            <w:r>
              <w:t xml:space="preserve"> </w:t>
            </w:r>
            <w:r w:rsidRPr="008B3699">
              <w:rPr>
                <w:vertAlign w:val="superscript"/>
              </w:rPr>
              <w:t>a</w:t>
            </w:r>
          </w:p>
        </w:tc>
        <w:tc>
          <w:tcPr>
            <w:tcW w:w="1588" w:type="pct"/>
            <w:gridSpan w:val="2"/>
            <w:tcBorders>
              <w:bottom w:val="single" w:sz="4" w:space="0" w:color="auto"/>
            </w:tcBorders>
          </w:tcPr>
          <w:p w14:paraId="591D7FCF" w14:textId="77777777" w:rsidR="003E76BE" w:rsidRPr="00C05D01" w:rsidRDefault="003E76BE">
            <w:pPr>
              <w:pStyle w:val="PBACTabletext"/>
              <w:jc w:val="center"/>
            </w:pPr>
            <w:r w:rsidRPr="00C05D01">
              <w:t>0.66 (0.52, 0.85)</w:t>
            </w:r>
            <w:r>
              <w:t xml:space="preserve"> </w:t>
            </w:r>
            <w:r w:rsidRPr="008B3699">
              <w:rPr>
                <w:vertAlign w:val="superscript"/>
              </w:rPr>
              <w:t>a</w:t>
            </w:r>
          </w:p>
        </w:tc>
      </w:tr>
      <w:tr w:rsidR="003E76BE" w:rsidRPr="00C05D01" w14:paraId="373719DF" w14:textId="77777777" w:rsidTr="006247BA">
        <w:trPr>
          <w:trHeight w:val="20"/>
        </w:trPr>
        <w:tc>
          <w:tcPr>
            <w:tcW w:w="1848" w:type="pct"/>
            <w:tcBorders>
              <w:bottom w:val="single" w:sz="4" w:space="0" w:color="auto"/>
            </w:tcBorders>
            <w:shd w:val="clear" w:color="auto" w:fill="auto"/>
          </w:tcPr>
          <w:p w14:paraId="7E209E7F" w14:textId="77777777" w:rsidR="003E76BE" w:rsidRPr="00C05D01" w:rsidRDefault="003E76BE">
            <w:pPr>
              <w:pStyle w:val="PBACTabletext"/>
              <w:rPr>
                <w:b/>
                <w:bCs/>
              </w:rPr>
            </w:pPr>
            <w:r w:rsidRPr="00C05D01">
              <w:rPr>
                <w:b/>
                <w:bCs/>
              </w:rPr>
              <w:t xml:space="preserve">ITC: STRIDE vs </w:t>
            </w:r>
            <w:proofErr w:type="spellStart"/>
            <w:r>
              <w:rPr>
                <w:b/>
                <w:bCs/>
              </w:rPr>
              <w:t>a</w:t>
            </w:r>
            <w:r w:rsidRPr="00C05D01">
              <w:rPr>
                <w:b/>
                <w:bCs/>
              </w:rPr>
              <w:t>tezo</w:t>
            </w:r>
            <w:proofErr w:type="spellEnd"/>
            <w:r>
              <w:rPr>
                <w:b/>
                <w:bCs/>
              </w:rPr>
              <w:t xml:space="preserve"> </w:t>
            </w:r>
            <w:r w:rsidRPr="00C05D01">
              <w:rPr>
                <w:b/>
                <w:bCs/>
              </w:rPr>
              <w:t>+</w:t>
            </w:r>
            <w:r>
              <w:rPr>
                <w:b/>
                <w:bCs/>
              </w:rPr>
              <w:t xml:space="preserve"> b</w:t>
            </w:r>
            <w:r w:rsidRPr="00C05D01">
              <w:rPr>
                <w:b/>
                <w:bCs/>
              </w:rPr>
              <w:t xml:space="preserve">, </w:t>
            </w:r>
            <w:r>
              <w:rPr>
                <w:b/>
                <w:bCs/>
              </w:rPr>
              <w:br/>
            </w:r>
            <w:r w:rsidRPr="00C05D01">
              <w:rPr>
                <w:b/>
                <w:bCs/>
              </w:rPr>
              <w:t>HR (95% CI), p-value</w:t>
            </w:r>
          </w:p>
        </w:tc>
        <w:tc>
          <w:tcPr>
            <w:tcW w:w="3152" w:type="pct"/>
            <w:gridSpan w:val="4"/>
            <w:tcBorders>
              <w:bottom w:val="single" w:sz="4" w:space="0" w:color="auto"/>
            </w:tcBorders>
            <w:shd w:val="clear" w:color="auto" w:fill="auto"/>
          </w:tcPr>
          <w:p w14:paraId="446D7BE7" w14:textId="77777777" w:rsidR="003E76BE" w:rsidRPr="00102720" w:rsidRDefault="003E76BE">
            <w:pPr>
              <w:pStyle w:val="PBACTabletext"/>
              <w:jc w:val="center"/>
            </w:pPr>
            <w:r w:rsidRPr="00102720">
              <w:t>1.152 (0.86, 1.541), p=0.3431</w:t>
            </w:r>
          </w:p>
        </w:tc>
      </w:tr>
    </w:tbl>
    <w:p w14:paraId="57E84864" w14:textId="77777777" w:rsidR="003E76BE" w:rsidRDefault="003E76BE" w:rsidP="00F0762C">
      <w:pPr>
        <w:pStyle w:val="TableFigureFooter"/>
      </w:pPr>
      <w:r>
        <w:t>Source: Table 2-45, p 134 of the submission.</w:t>
      </w:r>
    </w:p>
    <w:p w14:paraId="052E1001" w14:textId="77777777" w:rsidR="003E76BE" w:rsidRDefault="003E76BE" w:rsidP="00F0762C">
      <w:pPr>
        <w:pStyle w:val="TableFigureFooter"/>
      </w:pPr>
      <w:proofErr w:type="spellStart"/>
      <w:r>
        <w:t>atezo</w:t>
      </w:r>
      <w:proofErr w:type="spellEnd"/>
      <w:r>
        <w:t xml:space="preserve"> + b = </w:t>
      </w:r>
      <w:r w:rsidRPr="001D1A4A">
        <w:t>atezolizumab plus bevacizumab</w:t>
      </w:r>
      <w:r>
        <w:t xml:space="preserve">; CI = confidence interval; HR = hazard ratio; ITC = indirect treatment comparison; N = number; OS = overall survival; STRIDE = </w:t>
      </w:r>
      <w:r w:rsidRPr="00C807EB">
        <w:t>Single Tremelimumab Regular Interval Durvalumab</w:t>
      </w:r>
      <w:r>
        <w:t>.</w:t>
      </w:r>
    </w:p>
    <w:p w14:paraId="70C6CAF9" w14:textId="77777777" w:rsidR="00401754" w:rsidRDefault="003E76BE" w:rsidP="00F0762C">
      <w:pPr>
        <w:pStyle w:val="TableFigureFooter"/>
      </w:pPr>
      <w:r w:rsidRPr="008B3699">
        <w:rPr>
          <w:vertAlign w:val="superscript"/>
        </w:rPr>
        <w:t>a</w:t>
      </w:r>
      <w:r>
        <w:rPr>
          <w:vertAlign w:val="superscript"/>
        </w:rPr>
        <w:t xml:space="preserve"> </w:t>
      </w:r>
      <w:r w:rsidRPr="008B3699">
        <w:t>p&lt;0.00</w:t>
      </w:r>
      <w:r>
        <w:t>1</w:t>
      </w:r>
    </w:p>
    <w:p w14:paraId="5328AA83" w14:textId="20BF9513" w:rsidR="003E76BE" w:rsidRDefault="003E76BE" w:rsidP="00F0762C">
      <w:pPr>
        <w:pStyle w:val="TableFigureFooter"/>
      </w:pPr>
      <w:r>
        <w:t xml:space="preserve">Note: HR values &gt;1 indicate a greater risk of death associated with STRIDE treatment compared to </w:t>
      </w:r>
      <w:proofErr w:type="spellStart"/>
      <w:r>
        <w:t>atezo</w:t>
      </w:r>
      <w:proofErr w:type="spellEnd"/>
      <w:r>
        <w:t xml:space="preserve"> + b.</w:t>
      </w:r>
    </w:p>
    <w:p w14:paraId="45B9C927" w14:textId="77777777" w:rsidR="000D083B" w:rsidRDefault="003E76BE" w:rsidP="003E76BE">
      <w:pPr>
        <w:pStyle w:val="3-BodyText"/>
        <w:rPr>
          <w:rFonts w:cstheme="minorHAnsi"/>
          <w:szCs w:val="24"/>
        </w:rPr>
      </w:pPr>
      <w:r w:rsidRPr="00203D4C">
        <w:t xml:space="preserve">The submission argued that because the comparison failed to demonstrate a statistically significant difference, the </w:t>
      </w:r>
      <w:r w:rsidR="00D7392D" w:rsidRPr="00203D4C">
        <w:t xml:space="preserve">efficacy of the </w:t>
      </w:r>
      <w:r w:rsidRPr="00203D4C">
        <w:t xml:space="preserve">two treatments may be considered similar. This is not a reasonable interpretation; the submission did not provide </w:t>
      </w:r>
      <w:r w:rsidR="00247ACC" w:rsidRPr="00203D4C">
        <w:t xml:space="preserve">power </w:t>
      </w:r>
      <w:r w:rsidRPr="00203D4C">
        <w:t xml:space="preserve">calculations </w:t>
      </w:r>
      <w:r w:rsidR="00247ACC" w:rsidRPr="00203D4C">
        <w:t xml:space="preserve">for </w:t>
      </w:r>
      <w:r w:rsidRPr="00203D4C">
        <w:t xml:space="preserve">the ITC. Further, </w:t>
      </w:r>
      <w:r w:rsidR="00DE3DD4">
        <w:t>the</w:t>
      </w:r>
      <w:r w:rsidRPr="00203D4C">
        <w:t xml:space="preserve"> </w:t>
      </w:r>
      <w:r w:rsidR="00146A36" w:rsidRPr="00203D4C">
        <w:t>upper limit of the 95% CI</w:t>
      </w:r>
      <w:r w:rsidR="00B14B08" w:rsidRPr="00203D4C">
        <w:t xml:space="preserve"> </w:t>
      </w:r>
      <w:r w:rsidRPr="00203D4C">
        <w:t>suggest</w:t>
      </w:r>
      <w:r w:rsidR="000971EC" w:rsidRPr="00203D4C">
        <w:t>ed</w:t>
      </w:r>
      <w:r w:rsidRPr="00203D4C">
        <w:t xml:space="preserve"> </w:t>
      </w:r>
      <w:r w:rsidR="000971EC" w:rsidRPr="00203D4C">
        <w:t xml:space="preserve">that </w:t>
      </w:r>
      <w:r w:rsidRPr="00203D4C">
        <w:t xml:space="preserve">patients treated with STRIDE may have up to 54% increased hazard of death compared to patients treated with </w:t>
      </w:r>
      <w:proofErr w:type="spellStart"/>
      <w:r w:rsidRPr="00203D4C">
        <w:t>atezo</w:t>
      </w:r>
      <w:proofErr w:type="spellEnd"/>
      <w:r w:rsidRPr="00203D4C">
        <w:t xml:space="preserve"> + b. Considering these results, the possibility that</w:t>
      </w:r>
      <w:r w:rsidR="007A1760">
        <w:t xml:space="preserve"> </w:t>
      </w:r>
      <w:r w:rsidR="007A1760" w:rsidRPr="0088707D">
        <w:t>the effectiveness of</w:t>
      </w:r>
      <w:r w:rsidRPr="00203D4C">
        <w:t xml:space="preserve"> STRIDE</w:t>
      </w:r>
      <w:r w:rsidR="007A1760">
        <w:t xml:space="preserve"> </w:t>
      </w:r>
      <w:r w:rsidRPr="00203D4C">
        <w:t xml:space="preserve">treatment is worse than </w:t>
      </w:r>
      <w:proofErr w:type="spellStart"/>
      <w:r w:rsidRPr="00203D4C">
        <w:t>atezo</w:t>
      </w:r>
      <w:proofErr w:type="spellEnd"/>
      <w:r w:rsidRPr="00203D4C">
        <w:t xml:space="preserve"> + b, cannot be ruled</w:t>
      </w:r>
      <w:r w:rsidR="005858ED" w:rsidRPr="00203D4C">
        <w:t xml:space="preserve"> out</w:t>
      </w:r>
      <w:r w:rsidRPr="00D531E2">
        <w:t>, noting that the ITC lack</w:t>
      </w:r>
      <w:r w:rsidR="00BD2309" w:rsidRPr="00D531E2">
        <w:t>ed</w:t>
      </w:r>
      <w:r w:rsidRPr="00D531E2">
        <w:t xml:space="preserve"> sufficient power to demonstrate statistical significance.</w:t>
      </w:r>
      <w:r w:rsidR="00E607D3" w:rsidRPr="00D531E2">
        <w:t xml:space="preserve"> </w:t>
      </w:r>
      <w:r w:rsidR="00E607D3" w:rsidRPr="00D531E2">
        <w:rPr>
          <w:rFonts w:cstheme="minorHAnsi"/>
          <w:szCs w:val="24"/>
        </w:rPr>
        <w:t>The PSCR argued that wide CIs are more likely caused by heterogeneity between the trials as discussed above and are not reflective of the treatment effect.</w:t>
      </w:r>
      <w:r w:rsidR="00FC28C4" w:rsidRPr="00A7027C">
        <w:rPr>
          <w:rFonts w:cstheme="minorHAnsi"/>
          <w:i/>
          <w:iCs/>
          <w:szCs w:val="24"/>
        </w:rPr>
        <w:t xml:space="preserve"> </w:t>
      </w:r>
      <w:r w:rsidR="00B361F2" w:rsidRPr="00B361F2">
        <w:rPr>
          <w:rFonts w:cstheme="minorHAnsi"/>
          <w:szCs w:val="24"/>
        </w:rPr>
        <w:t>The</w:t>
      </w:r>
      <w:r w:rsidR="00B361F2">
        <w:rPr>
          <w:rFonts w:cstheme="minorHAnsi"/>
          <w:i/>
          <w:iCs/>
          <w:szCs w:val="24"/>
        </w:rPr>
        <w:t xml:space="preserve"> </w:t>
      </w:r>
      <w:r w:rsidR="00B361F2">
        <w:rPr>
          <w:rFonts w:cstheme="minorHAnsi"/>
          <w:szCs w:val="24"/>
        </w:rPr>
        <w:t xml:space="preserve">pre-PBAC response </w:t>
      </w:r>
      <w:r w:rsidR="00F52A2D">
        <w:rPr>
          <w:rFonts w:cstheme="minorHAnsi"/>
          <w:szCs w:val="24"/>
        </w:rPr>
        <w:t>argued</w:t>
      </w:r>
      <w:r w:rsidR="009D2987">
        <w:rPr>
          <w:rFonts w:cstheme="minorHAnsi"/>
          <w:szCs w:val="24"/>
        </w:rPr>
        <w:t xml:space="preserve"> that it was </w:t>
      </w:r>
      <w:r w:rsidR="00F52A2D">
        <w:rPr>
          <w:rFonts w:cstheme="minorHAnsi"/>
          <w:szCs w:val="24"/>
        </w:rPr>
        <w:t>relevant</w:t>
      </w:r>
      <w:r w:rsidR="009D2987">
        <w:rPr>
          <w:rFonts w:cstheme="minorHAnsi"/>
          <w:szCs w:val="24"/>
        </w:rPr>
        <w:t xml:space="preserve"> to consider that the STRIDE regimen </w:t>
      </w:r>
      <w:r w:rsidR="00566E9A">
        <w:rPr>
          <w:rFonts w:cstheme="minorHAnsi"/>
          <w:szCs w:val="24"/>
        </w:rPr>
        <w:t xml:space="preserve">is the only therapy to have </w:t>
      </w:r>
      <w:r w:rsidR="00566E9A" w:rsidRPr="00566E9A">
        <w:rPr>
          <w:rFonts w:cstheme="minorHAnsi"/>
          <w:szCs w:val="24"/>
        </w:rPr>
        <w:t>demonstrated a sustained survival benefit over the long term</w:t>
      </w:r>
      <w:r w:rsidR="000F570A">
        <w:rPr>
          <w:rFonts w:cstheme="minorHAnsi"/>
          <w:szCs w:val="24"/>
        </w:rPr>
        <w:t xml:space="preserve">, </w:t>
      </w:r>
      <w:r w:rsidR="0043459C">
        <w:rPr>
          <w:rFonts w:cstheme="minorHAnsi"/>
          <w:szCs w:val="24"/>
        </w:rPr>
        <w:t xml:space="preserve">that it </w:t>
      </w:r>
      <w:r w:rsidR="00C81CA4" w:rsidRPr="00C81CA4">
        <w:rPr>
          <w:rFonts w:cstheme="minorHAnsi"/>
          <w:szCs w:val="24"/>
        </w:rPr>
        <w:t>eliminates the need for endoscopy and offers a less frequent and more convenient dosing schedule</w:t>
      </w:r>
      <w:r w:rsidR="000F570A">
        <w:rPr>
          <w:rFonts w:cstheme="minorHAnsi"/>
          <w:szCs w:val="24"/>
        </w:rPr>
        <w:t>.</w:t>
      </w:r>
    </w:p>
    <w:p w14:paraId="1128DA8E" w14:textId="253D8F93" w:rsidR="009977E0" w:rsidRPr="00D531E2" w:rsidRDefault="00F75006" w:rsidP="005B443C">
      <w:pPr>
        <w:pStyle w:val="3-BodyText"/>
      </w:pPr>
      <w:r w:rsidRPr="00D531E2">
        <w:rPr>
          <w:rFonts w:cs="Arial"/>
          <w:snapToGrid w:val="0"/>
        </w:rPr>
        <w:t>The PSCR reiterated the results of a matching-adjusted indirect comparison (MAIC) with a Cox proportional hazards model and piecewise analyses</w:t>
      </w:r>
      <w:r w:rsidR="00B648EA" w:rsidRPr="00D531E2">
        <w:rPr>
          <w:rFonts w:cs="Arial"/>
          <w:snapToGrid w:val="0"/>
        </w:rPr>
        <w:t xml:space="preserve"> presented in the submission</w:t>
      </w:r>
      <w:r w:rsidR="009977E0" w:rsidRPr="00D531E2">
        <w:rPr>
          <w:rFonts w:cs="Arial"/>
          <w:snapToGrid w:val="0"/>
        </w:rPr>
        <w:t>. The results are presented in the table below.</w:t>
      </w:r>
    </w:p>
    <w:p w14:paraId="740A9DE2" w14:textId="2F6D4091" w:rsidR="005B443C" w:rsidRPr="00EE350A" w:rsidRDefault="005B443C" w:rsidP="005B443C">
      <w:pPr>
        <w:pStyle w:val="Caption"/>
      </w:pPr>
      <w:r w:rsidRPr="00EE350A">
        <w:t xml:space="preserve">Table </w:t>
      </w:r>
      <w:r w:rsidRPr="00EE350A">
        <w:fldChar w:fldCharType="begin"/>
      </w:r>
      <w:r w:rsidRPr="00EE350A">
        <w:instrText xml:space="preserve"> SEQ Table \* ARABIC </w:instrText>
      </w:r>
      <w:r w:rsidRPr="00EE350A">
        <w:fldChar w:fldCharType="separate"/>
      </w:r>
      <w:r w:rsidR="00AC295B">
        <w:rPr>
          <w:noProof/>
        </w:rPr>
        <w:t>7</w:t>
      </w:r>
      <w:r w:rsidRPr="00EE350A">
        <w:fldChar w:fldCharType="end"/>
      </w:r>
      <w:r w:rsidRPr="00EE350A">
        <w:t xml:space="preserve">: OS results from Cox model and piecewise analyses for the MAIC between STRIDE and </w:t>
      </w:r>
      <w:proofErr w:type="spellStart"/>
      <w:r w:rsidRPr="00EE350A">
        <w:t>atezo</w:t>
      </w:r>
      <w:proofErr w:type="spellEnd"/>
      <w:r w:rsidRPr="00EE350A">
        <w:t xml:space="preserve"> + b</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9"/>
        <w:gridCol w:w="2229"/>
        <w:gridCol w:w="1728"/>
        <w:gridCol w:w="1939"/>
        <w:gridCol w:w="1936"/>
      </w:tblGrid>
      <w:tr w:rsidR="005B443C" w:rsidRPr="00EE350A" w14:paraId="1345B58C" w14:textId="77777777" w:rsidTr="005B443C">
        <w:trPr>
          <w:trHeight w:val="282"/>
        </w:trPr>
        <w:tc>
          <w:tcPr>
            <w:tcW w:w="654" w:type="pct"/>
            <w:vMerge w:val="restart"/>
            <w:tcBorders>
              <w:top w:val="single" w:sz="6" w:space="0" w:color="auto"/>
              <w:left w:val="single" w:sz="6" w:space="0" w:color="auto"/>
              <w:bottom w:val="single" w:sz="6" w:space="0" w:color="auto"/>
              <w:right w:val="single" w:sz="4" w:space="0" w:color="auto"/>
            </w:tcBorders>
            <w:shd w:val="clear" w:color="auto" w:fill="auto"/>
            <w:hideMark/>
          </w:tcPr>
          <w:p w14:paraId="27D4945C" w14:textId="77777777" w:rsidR="005B443C" w:rsidRPr="00EE350A" w:rsidRDefault="005B443C" w:rsidP="00FD5BF2">
            <w:pPr>
              <w:rPr>
                <w:rFonts w:ascii="Arial Narrow" w:hAnsi="Arial Narrow" w:cs="Arial"/>
                <w:b/>
                <w:bCs/>
                <w:sz w:val="20"/>
                <w:szCs w:val="20"/>
              </w:rPr>
            </w:pPr>
            <w:r w:rsidRPr="00EE350A">
              <w:rPr>
                <w:rFonts w:ascii="Arial Narrow" w:hAnsi="Arial Narrow" w:cs="Arial"/>
                <w:b/>
                <w:bCs/>
                <w:sz w:val="20"/>
                <w:szCs w:val="20"/>
              </w:rPr>
              <w:t> Study </w:t>
            </w:r>
          </w:p>
        </w:tc>
        <w:tc>
          <w:tcPr>
            <w:tcW w:w="1237" w:type="pct"/>
            <w:vMerge w:val="restart"/>
            <w:tcBorders>
              <w:top w:val="single" w:sz="6" w:space="0" w:color="auto"/>
              <w:left w:val="single" w:sz="4" w:space="0" w:color="auto"/>
              <w:bottom w:val="single" w:sz="6" w:space="0" w:color="auto"/>
              <w:right w:val="single" w:sz="4" w:space="0" w:color="auto"/>
            </w:tcBorders>
            <w:shd w:val="clear" w:color="auto" w:fill="auto"/>
            <w:hideMark/>
          </w:tcPr>
          <w:p w14:paraId="214C5F2C" w14:textId="77777777" w:rsidR="005B443C" w:rsidRPr="00EE350A" w:rsidRDefault="005B443C" w:rsidP="00FD5BF2">
            <w:pPr>
              <w:rPr>
                <w:rFonts w:ascii="Arial Narrow" w:hAnsi="Arial Narrow" w:cs="Arial"/>
                <w:b/>
                <w:bCs/>
                <w:sz w:val="20"/>
                <w:szCs w:val="20"/>
              </w:rPr>
            </w:pPr>
            <w:r w:rsidRPr="00EE350A">
              <w:rPr>
                <w:rFonts w:ascii="Arial Narrow" w:hAnsi="Arial Narrow" w:cs="Arial"/>
                <w:b/>
                <w:bCs/>
                <w:sz w:val="20"/>
                <w:szCs w:val="20"/>
              </w:rPr>
              <w:t>Comparison </w:t>
            </w:r>
          </w:p>
        </w:tc>
        <w:tc>
          <w:tcPr>
            <w:tcW w:w="959" w:type="pct"/>
            <w:vMerge w:val="restart"/>
            <w:tcBorders>
              <w:top w:val="single" w:sz="6" w:space="0" w:color="auto"/>
              <w:left w:val="single" w:sz="4" w:space="0" w:color="auto"/>
              <w:bottom w:val="single" w:sz="6" w:space="0" w:color="auto"/>
              <w:right w:val="single" w:sz="6" w:space="0" w:color="auto"/>
            </w:tcBorders>
            <w:shd w:val="clear" w:color="auto" w:fill="auto"/>
            <w:hideMark/>
          </w:tcPr>
          <w:p w14:paraId="09EBD4FC" w14:textId="77777777" w:rsidR="005B443C" w:rsidRPr="00EE350A" w:rsidRDefault="005B443C" w:rsidP="00FD5BF2">
            <w:pPr>
              <w:jc w:val="center"/>
              <w:rPr>
                <w:rFonts w:ascii="Arial Narrow" w:hAnsi="Arial Narrow" w:cs="Arial"/>
                <w:b/>
                <w:bCs/>
                <w:sz w:val="20"/>
                <w:szCs w:val="20"/>
              </w:rPr>
            </w:pPr>
            <w:r w:rsidRPr="00EE350A">
              <w:rPr>
                <w:rFonts w:ascii="Arial Narrow" w:hAnsi="Arial Narrow" w:cs="Arial"/>
                <w:b/>
                <w:bCs/>
                <w:sz w:val="20"/>
                <w:szCs w:val="20"/>
              </w:rPr>
              <w:t>All period</w:t>
            </w:r>
          </w:p>
          <w:p w14:paraId="37566B4A" w14:textId="77777777" w:rsidR="005B443C" w:rsidRPr="00EE350A" w:rsidRDefault="005B443C" w:rsidP="00FD5BF2">
            <w:pPr>
              <w:jc w:val="center"/>
              <w:rPr>
                <w:rFonts w:ascii="Arial Narrow" w:hAnsi="Arial Narrow" w:cs="Arial"/>
                <w:b/>
                <w:bCs/>
                <w:sz w:val="20"/>
                <w:szCs w:val="20"/>
              </w:rPr>
            </w:pPr>
            <w:r w:rsidRPr="00EE350A">
              <w:rPr>
                <w:rFonts w:ascii="Arial Narrow" w:hAnsi="Arial Narrow" w:cs="Arial"/>
                <w:b/>
                <w:bCs/>
                <w:sz w:val="20"/>
                <w:szCs w:val="20"/>
              </w:rPr>
              <w:t>HR [95% CI]</w:t>
            </w:r>
          </w:p>
        </w:tc>
        <w:tc>
          <w:tcPr>
            <w:tcW w:w="2151" w:type="pct"/>
            <w:gridSpan w:val="2"/>
            <w:tcBorders>
              <w:top w:val="single" w:sz="6" w:space="0" w:color="auto"/>
              <w:left w:val="single" w:sz="6" w:space="0" w:color="auto"/>
              <w:bottom w:val="single" w:sz="6" w:space="0" w:color="auto"/>
              <w:right w:val="single" w:sz="6" w:space="0" w:color="auto"/>
            </w:tcBorders>
            <w:shd w:val="clear" w:color="auto" w:fill="auto"/>
            <w:hideMark/>
          </w:tcPr>
          <w:p w14:paraId="095EC203" w14:textId="77777777" w:rsidR="005B443C" w:rsidRPr="00EE350A" w:rsidRDefault="005B443C" w:rsidP="00FD5BF2">
            <w:pPr>
              <w:jc w:val="center"/>
              <w:rPr>
                <w:rFonts w:ascii="Arial Narrow" w:hAnsi="Arial Narrow" w:cs="Arial"/>
                <w:b/>
                <w:bCs/>
                <w:sz w:val="20"/>
                <w:szCs w:val="20"/>
              </w:rPr>
            </w:pPr>
            <w:r w:rsidRPr="00EE350A">
              <w:rPr>
                <w:rFonts w:ascii="Arial Narrow" w:hAnsi="Arial Narrow" w:cs="Arial"/>
                <w:b/>
                <w:bCs/>
                <w:sz w:val="20"/>
                <w:szCs w:val="20"/>
              </w:rPr>
              <w:t>Piecewise, HR [95% CI]</w:t>
            </w:r>
          </w:p>
        </w:tc>
      </w:tr>
      <w:tr w:rsidR="005B443C" w:rsidRPr="00EE350A" w14:paraId="396901DB" w14:textId="77777777" w:rsidTr="005B443C">
        <w:trPr>
          <w:trHeight w:val="45"/>
        </w:trPr>
        <w:tc>
          <w:tcPr>
            <w:tcW w:w="654" w:type="pct"/>
            <w:vMerge/>
            <w:tcBorders>
              <w:right w:val="single" w:sz="4" w:space="0" w:color="auto"/>
            </w:tcBorders>
            <w:shd w:val="clear" w:color="auto" w:fill="auto"/>
            <w:vAlign w:val="center"/>
            <w:hideMark/>
          </w:tcPr>
          <w:p w14:paraId="74528822" w14:textId="77777777" w:rsidR="005B443C" w:rsidRPr="00EE350A" w:rsidRDefault="005B443C" w:rsidP="00FD5BF2">
            <w:pPr>
              <w:rPr>
                <w:rFonts w:ascii="Arial Narrow" w:hAnsi="Arial Narrow" w:cs="Arial"/>
                <w:b/>
                <w:bCs/>
                <w:sz w:val="20"/>
                <w:szCs w:val="20"/>
              </w:rPr>
            </w:pPr>
          </w:p>
        </w:tc>
        <w:tc>
          <w:tcPr>
            <w:tcW w:w="1237" w:type="pct"/>
            <w:vMerge/>
            <w:tcBorders>
              <w:left w:val="single" w:sz="4" w:space="0" w:color="auto"/>
              <w:right w:val="single" w:sz="4" w:space="0" w:color="auto"/>
            </w:tcBorders>
            <w:shd w:val="clear" w:color="auto" w:fill="auto"/>
            <w:vAlign w:val="center"/>
            <w:hideMark/>
          </w:tcPr>
          <w:p w14:paraId="1D3D7D1C" w14:textId="77777777" w:rsidR="005B443C" w:rsidRPr="00EE350A" w:rsidRDefault="005B443C" w:rsidP="00FD5BF2">
            <w:pPr>
              <w:rPr>
                <w:rFonts w:ascii="Arial Narrow" w:hAnsi="Arial Narrow" w:cs="Arial"/>
                <w:b/>
                <w:bCs/>
                <w:sz w:val="20"/>
                <w:szCs w:val="20"/>
              </w:rPr>
            </w:pPr>
          </w:p>
        </w:tc>
        <w:tc>
          <w:tcPr>
            <w:tcW w:w="959" w:type="pct"/>
            <w:vMerge/>
            <w:tcBorders>
              <w:left w:val="single" w:sz="4" w:space="0" w:color="auto"/>
            </w:tcBorders>
            <w:shd w:val="clear" w:color="auto" w:fill="auto"/>
            <w:vAlign w:val="center"/>
            <w:hideMark/>
          </w:tcPr>
          <w:p w14:paraId="5AF55F48" w14:textId="77777777" w:rsidR="005B443C" w:rsidRPr="00EE350A" w:rsidRDefault="005B443C" w:rsidP="00FD5BF2">
            <w:pPr>
              <w:jc w:val="center"/>
              <w:rPr>
                <w:rFonts w:ascii="Arial Narrow" w:hAnsi="Arial Narrow" w:cs="Arial"/>
                <w:b/>
                <w:bCs/>
                <w:sz w:val="20"/>
                <w:szCs w:val="20"/>
              </w:rPr>
            </w:pPr>
          </w:p>
        </w:tc>
        <w:tc>
          <w:tcPr>
            <w:tcW w:w="1076" w:type="pct"/>
            <w:tcBorders>
              <w:top w:val="single" w:sz="6" w:space="0" w:color="auto"/>
              <w:left w:val="single" w:sz="6" w:space="0" w:color="auto"/>
              <w:bottom w:val="single" w:sz="6" w:space="0" w:color="auto"/>
              <w:right w:val="single" w:sz="6" w:space="0" w:color="auto"/>
            </w:tcBorders>
            <w:shd w:val="clear" w:color="auto" w:fill="auto"/>
            <w:hideMark/>
          </w:tcPr>
          <w:p w14:paraId="12552B45" w14:textId="77777777" w:rsidR="005B443C" w:rsidRPr="00EE350A" w:rsidRDefault="005B443C" w:rsidP="00FD5BF2">
            <w:pPr>
              <w:jc w:val="center"/>
              <w:rPr>
                <w:rFonts w:ascii="Arial Narrow" w:hAnsi="Arial Narrow" w:cs="Arial"/>
                <w:b/>
                <w:bCs/>
                <w:sz w:val="20"/>
                <w:szCs w:val="20"/>
              </w:rPr>
            </w:pPr>
            <w:r w:rsidRPr="00EE350A">
              <w:rPr>
                <w:rFonts w:ascii="Arial Narrow" w:hAnsi="Arial Narrow" w:cs="Arial"/>
                <w:b/>
                <w:bCs/>
                <w:sz w:val="20"/>
                <w:szCs w:val="20"/>
              </w:rPr>
              <w:t>&lt; 9 months</w:t>
            </w:r>
          </w:p>
        </w:tc>
        <w:tc>
          <w:tcPr>
            <w:tcW w:w="1075" w:type="pct"/>
            <w:tcBorders>
              <w:top w:val="single" w:sz="6" w:space="0" w:color="auto"/>
              <w:left w:val="single" w:sz="6" w:space="0" w:color="auto"/>
              <w:bottom w:val="single" w:sz="6" w:space="0" w:color="auto"/>
              <w:right w:val="single" w:sz="6" w:space="0" w:color="auto"/>
            </w:tcBorders>
            <w:shd w:val="clear" w:color="auto" w:fill="auto"/>
            <w:hideMark/>
          </w:tcPr>
          <w:p w14:paraId="6869AEEF" w14:textId="77777777" w:rsidR="005B443C" w:rsidRPr="00EE350A" w:rsidRDefault="005B443C" w:rsidP="00FD5BF2">
            <w:pPr>
              <w:jc w:val="center"/>
              <w:rPr>
                <w:rFonts w:ascii="Arial Narrow" w:hAnsi="Arial Narrow" w:cs="Arial"/>
                <w:b/>
                <w:bCs/>
                <w:sz w:val="20"/>
                <w:szCs w:val="20"/>
              </w:rPr>
            </w:pPr>
            <w:r w:rsidRPr="00EE350A">
              <w:rPr>
                <w:rFonts w:ascii="Arial Narrow" w:hAnsi="Arial Narrow" w:cs="Arial"/>
                <w:b/>
                <w:bCs/>
                <w:sz w:val="20"/>
                <w:szCs w:val="20"/>
              </w:rPr>
              <w:t>9 to 26.9 months</w:t>
            </w:r>
          </w:p>
        </w:tc>
      </w:tr>
      <w:tr w:rsidR="005B443C" w:rsidRPr="00EE350A" w14:paraId="2AD59D46" w14:textId="77777777" w:rsidTr="005B443C">
        <w:trPr>
          <w:trHeight w:val="174"/>
        </w:trPr>
        <w:tc>
          <w:tcPr>
            <w:tcW w:w="654" w:type="pct"/>
            <w:tcBorders>
              <w:top w:val="single" w:sz="6" w:space="0" w:color="auto"/>
              <w:left w:val="single" w:sz="6" w:space="0" w:color="auto"/>
              <w:bottom w:val="single" w:sz="6" w:space="0" w:color="auto"/>
              <w:right w:val="single" w:sz="6" w:space="0" w:color="auto"/>
            </w:tcBorders>
            <w:shd w:val="clear" w:color="auto" w:fill="auto"/>
            <w:hideMark/>
          </w:tcPr>
          <w:p w14:paraId="0C791224" w14:textId="4C29EE12" w:rsidR="005B443C" w:rsidRPr="00EE350A" w:rsidRDefault="005B443C" w:rsidP="00FD5BF2">
            <w:pPr>
              <w:rPr>
                <w:rFonts w:ascii="Arial Narrow" w:hAnsi="Arial Narrow" w:cs="Arial"/>
                <w:sz w:val="20"/>
                <w:szCs w:val="20"/>
              </w:rPr>
            </w:pPr>
            <w:r w:rsidRPr="00EE350A">
              <w:rPr>
                <w:rFonts w:ascii="Arial Narrow" w:hAnsi="Arial Narrow" w:cs="Arial"/>
                <w:sz w:val="20"/>
                <w:szCs w:val="20"/>
              </w:rPr>
              <w:t>HIMALAYA*</w:t>
            </w:r>
            <w:r w:rsidR="000D083B">
              <w:rPr>
                <w:rFonts w:ascii="Arial Narrow" w:hAnsi="Arial Narrow" w:cs="Arial"/>
                <w:sz w:val="20"/>
                <w:szCs w:val="20"/>
              </w:rPr>
              <w:t xml:space="preserve"> </w:t>
            </w:r>
          </w:p>
        </w:tc>
        <w:tc>
          <w:tcPr>
            <w:tcW w:w="1237" w:type="pct"/>
            <w:tcBorders>
              <w:top w:val="single" w:sz="6" w:space="0" w:color="auto"/>
              <w:left w:val="single" w:sz="6" w:space="0" w:color="auto"/>
              <w:bottom w:val="single" w:sz="6" w:space="0" w:color="auto"/>
              <w:right w:val="single" w:sz="6" w:space="0" w:color="auto"/>
            </w:tcBorders>
            <w:shd w:val="clear" w:color="auto" w:fill="auto"/>
            <w:hideMark/>
          </w:tcPr>
          <w:p w14:paraId="1BB9B1EB" w14:textId="77777777" w:rsidR="005B443C" w:rsidRPr="00EE350A" w:rsidRDefault="005B443C" w:rsidP="00FD5BF2">
            <w:pPr>
              <w:rPr>
                <w:rFonts w:ascii="Arial Narrow" w:hAnsi="Arial Narrow" w:cs="Arial"/>
                <w:sz w:val="20"/>
                <w:szCs w:val="20"/>
              </w:rPr>
            </w:pPr>
            <w:r w:rsidRPr="00EE350A">
              <w:rPr>
                <w:rFonts w:ascii="Arial Narrow" w:hAnsi="Arial Narrow" w:cs="Arial"/>
                <w:sz w:val="20"/>
                <w:szCs w:val="20"/>
              </w:rPr>
              <w:t>STRIDE vs. sorafenib </w:t>
            </w:r>
          </w:p>
        </w:tc>
        <w:tc>
          <w:tcPr>
            <w:tcW w:w="959" w:type="pct"/>
            <w:tcBorders>
              <w:top w:val="single" w:sz="6" w:space="0" w:color="auto"/>
              <w:left w:val="single" w:sz="6" w:space="0" w:color="auto"/>
              <w:bottom w:val="single" w:sz="6" w:space="0" w:color="auto"/>
              <w:right w:val="single" w:sz="6" w:space="0" w:color="auto"/>
            </w:tcBorders>
            <w:shd w:val="clear" w:color="auto" w:fill="auto"/>
            <w:hideMark/>
          </w:tcPr>
          <w:p w14:paraId="3DEB38BF"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0.72 [0.60, 0.87]</w:t>
            </w:r>
          </w:p>
        </w:tc>
        <w:tc>
          <w:tcPr>
            <w:tcW w:w="1076" w:type="pct"/>
            <w:tcBorders>
              <w:top w:val="single" w:sz="6" w:space="0" w:color="auto"/>
              <w:left w:val="single" w:sz="6" w:space="0" w:color="auto"/>
              <w:bottom w:val="single" w:sz="6" w:space="0" w:color="auto"/>
              <w:right w:val="single" w:sz="6" w:space="0" w:color="auto"/>
            </w:tcBorders>
            <w:shd w:val="clear" w:color="auto" w:fill="auto"/>
            <w:hideMark/>
          </w:tcPr>
          <w:p w14:paraId="03ECCFF5"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0.74 [0.55, 1.00]</w:t>
            </w:r>
          </w:p>
        </w:tc>
        <w:tc>
          <w:tcPr>
            <w:tcW w:w="1075" w:type="pct"/>
            <w:tcBorders>
              <w:top w:val="single" w:sz="6" w:space="0" w:color="auto"/>
              <w:left w:val="single" w:sz="6" w:space="0" w:color="auto"/>
              <w:bottom w:val="single" w:sz="6" w:space="0" w:color="auto"/>
              <w:right w:val="single" w:sz="6" w:space="0" w:color="auto"/>
            </w:tcBorders>
            <w:shd w:val="clear" w:color="auto" w:fill="auto"/>
            <w:hideMark/>
          </w:tcPr>
          <w:p w14:paraId="2EF291F1"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0.69 [0.52, 0.92]</w:t>
            </w:r>
          </w:p>
        </w:tc>
      </w:tr>
      <w:tr w:rsidR="005B443C" w:rsidRPr="00EE350A" w14:paraId="5B820756" w14:textId="77777777" w:rsidTr="005B443C">
        <w:trPr>
          <w:trHeight w:val="138"/>
        </w:trPr>
        <w:tc>
          <w:tcPr>
            <w:tcW w:w="654" w:type="pct"/>
            <w:tcBorders>
              <w:top w:val="single" w:sz="6" w:space="0" w:color="auto"/>
              <w:left w:val="single" w:sz="6" w:space="0" w:color="auto"/>
              <w:bottom w:val="single" w:sz="6" w:space="0" w:color="auto"/>
              <w:right w:val="single" w:sz="6" w:space="0" w:color="auto"/>
            </w:tcBorders>
            <w:shd w:val="clear" w:color="auto" w:fill="auto"/>
            <w:hideMark/>
          </w:tcPr>
          <w:p w14:paraId="5FFF4E49" w14:textId="77777777" w:rsidR="005B443C" w:rsidRPr="00EE350A" w:rsidRDefault="005B443C" w:rsidP="00FD5BF2">
            <w:pPr>
              <w:rPr>
                <w:rFonts w:ascii="Arial Narrow" w:hAnsi="Arial Narrow" w:cs="Arial"/>
                <w:sz w:val="20"/>
                <w:szCs w:val="20"/>
              </w:rPr>
            </w:pPr>
            <w:r w:rsidRPr="00EE350A">
              <w:rPr>
                <w:rFonts w:ascii="Arial Narrow" w:hAnsi="Arial Narrow" w:cs="Arial"/>
                <w:sz w:val="20"/>
                <w:szCs w:val="20"/>
              </w:rPr>
              <w:t>IMbrave150 </w:t>
            </w:r>
          </w:p>
        </w:tc>
        <w:tc>
          <w:tcPr>
            <w:tcW w:w="1237" w:type="pct"/>
            <w:tcBorders>
              <w:top w:val="single" w:sz="6" w:space="0" w:color="auto"/>
              <w:left w:val="single" w:sz="6" w:space="0" w:color="auto"/>
              <w:bottom w:val="single" w:sz="6" w:space="0" w:color="auto"/>
              <w:right w:val="single" w:sz="6" w:space="0" w:color="auto"/>
            </w:tcBorders>
            <w:shd w:val="clear" w:color="auto" w:fill="auto"/>
            <w:hideMark/>
          </w:tcPr>
          <w:p w14:paraId="606B27C6" w14:textId="77777777" w:rsidR="005B443C" w:rsidRPr="00EE350A" w:rsidRDefault="005B443C" w:rsidP="00FD5BF2">
            <w:pPr>
              <w:rPr>
                <w:rFonts w:ascii="Arial Narrow" w:hAnsi="Arial Narrow" w:cs="Arial"/>
                <w:sz w:val="20"/>
                <w:szCs w:val="20"/>
              </w:rPr>
            </w:pPr>
            <w:proofErr w:type="spellStart"/>
            <w:r w:rsidRPr="00EE350A">
              <w:rPr>
                <w:rFonts w:ascii="Arial Narrow" w:hAnsi="Arial Narrow" w:cs="Arial"/>
                <w:sz w:val="20"/>
                <w:szCs w:val="20"/>
              </w:rPr>
              <w:t>Atezo+Bev</w:t>
            </w:r>
            <w:proofErr w:type="spellEnd"/>
            <w:r w:rsidRPr="00EE350A">
              <w:rPr>
                <w:rFonts w:ascii="Arial Narrow" w:hAnsi="Arial Narrow" w:cs="Arial"/>
                <w:sz w:val="20"/>
                <w:szCs w:val="20"/>
              </w:rPr>
              <w:t xml:space="preserve"> vs. sorafenib </w:t>
            </w:r>
          </w:p>
        </w:tc>
        <w:tc>
          <w:tcPr>
            <w:tcW w:w="959" w:type="pct"/>
            <w:tcBorders>
              <w:top w:val="single" w:sz="6" w:space="0" w:color="auto"/>
              <w:left w:val="single" w:sz="6" w:space="0" w:color="auto"/>
              <w:bottom w:val="single" w:sz="6" w:space="0" w:color="auto"/>
              <w:right w:val="single" w:sz="6" w:space="0" w:color="auto"/>
            </w:tcBorders>
            <w:shd w:val="clear" w:color="auto" w:fill="auto"/>
            <w:hideMark/>
          </w:tcPr>
          <w:p w14:paraId="09E1CE4B"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0.66 [0.52, 0.85]</w:t>
            </w:r>
          </w:p>
        </w:tc>
        <w:tc>
          <w:tcPr>
            <w:tcW w:w="1076" w:type="pct"/>
            <w:tcBorders>
              <w:top w:val="single" w:sz="6" w:space="0" w:color="auto"/>
              <w:left w:val="single" w:sz="6" w:space="0" w:color="auto"/>
              <w:bottom w:val="single" w:sz="6" w:space="0" w:color="auto"/>
              <w:right w:val="single" w:sz="6" w:space="0" w:color="auto"/>
            </w:tcBorders>
            <w:shd w:val="clear" w:color="auto" w:fill="auto"/>
            <w:hideMark/>
          </w:tcPr>
          <w:p w14:paraId="36B3D449"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0.62 [0.44, 0.87]</w:t>
            </w:r>
          </w:p>
        </w:tc>
        <w:tc>
          <w:tcPr>
            <w:tcW w:w="1075" w:type="pct"/>
            <w:tcBorders>
              <w:top w:val="single" w:sz="6" w:space="0" w:color="auto"/>
              <w:left w:val="single" w:sz="6" w:space="0" w:color="auto"/>
              <w:bottom w:val="single" w:sz="6" w:space="0" w:color="auto"/>
              <w:right w:val="single" w:sz="6" w:space="0" w:color="auto"/>
            </w:tcBorders>
            <w:shd w:val="clear" w:color="auto" w:fill="auto"/>
            <w:hideMark/>
          </w:tcPr>
          <w:p w14:paraId="2BE3C179"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0.72 [0.51, 1.03]</w:t>
            </w:r>
          </w:p>
        </w:tc>
      </w:tr>
      <w:tr w:rsidR="005B443C" w:rsidRPr="00EE350A" w14:paraId="3BC6502E" w14:textId="77777777" w:rsidTr="005B443C">
        <w:trPr>
          <w:trHeight w:val="59"/>
        </w:trPr>
        <w:tc>
          <w:tcPr>
            <w:tcW w:w="654" w:type="pct"/>
            <w:tcBorders>
              <w:top w:val="single" w:sz="6" w:space="0" w:color="auto"/>
              <w:left w:val="single" w:sz="6" w:space="0" w:color="auto"/>
              <w:bottom w:val="single" w:sz="6" w:space="0" w:color="auto"/>
              <w:right w:val="single" w:sz="6" w:space="0" w:color="auto"/>
            </w:tcBorders>
            <w:shd w:val="clear" w:color="auto" w:fill="auto"/>
            <w:hideMark/>
          </w:tcPr>
          <w:p w14:paraId="266059EB" w14:textId="11C67971" w:rsidR="005B443C" w:rsidRPr="00EE350A" w:rsidRDefault="005B443C" w:rsidP="00FD5BF2">
            <w:pPr>
              <w:rPr>
                <w:rFonts w:ascii="Arial Narrow" w:hAnsi="Arial Narrow" w:cs="Arial"/>
                <w:sz w:val="20"/>
                <w:szCs w:val="20"/>
              </w:rPr>
            </w:pPr>
            <w:r w:rsidRPr="00EE350A">
              <w:rPr>
                <w:rFonts w:ascii="Arial Narrow" w:hAnsi="Arial Narrow" w:cs="Arial"/>
                <w:sz w:val="20"/>
                <w:szCs w:val="20"/>
              </w:rPr>
              <w:t>MAIC</w:t>
            </w:r>
            <w:r w:rsidR="000D083B">
              <w:rPr>
                <w:rFonts w:ascii="Arial Narrow" w:hAnsi="Arial Narrow" w:cs="Arial"/>
                <w:sz w:val="20"/>
                <w:szCs w:val="20"/>
              </w:rPr>
              <w:t xml:space="preserve"> </w:t>
            </w:r>
          </w:p>
        </w:tc>
        <w:tc>
          <w:tcPr>
            <w:tcW w:w="1237" w:type="pct"/>
            <w:tcBorders>
              <w:top w:val="single" w:sz="6" w:space="0" w:color="auto"/>
              <w:left w:val="single" w:sz="6" w:space="0" w:color="auto"/>
              <w:bottom w:val="single" w:sz="6" w:space="0" w:color="auto"/>
              <w:right w:val="single" w:sz="6" w:space="0" w:color="auto"/>
            </w:tcBorders>
            <w:shd w:val="clear" w:color="auto" w:fill="auto"/>
            <w:hideMark/>
          </w:tcPr>
          <w:p w14:paraId="59664085" w14:textId="77777777" w:rsidR="005B443C" w:rsidRPr="00EE350A" w:rsidRDefault="005B443C" w:rsidP="00FD5BF2">
            <w:pPr>
              <w:rPr>
                <w:rFonts w:ascii="Arial Narrow" w:hAnsi="Arial Narrow" w:cs="Arial"/>
                <w:sz w:val="20"/>
                <w:szCs w:val="20"/>
              </w:rPr>
            </w:pPr>
            <w:r w:rsidRPr="00EE350A">
              <w:rPr>
                <w:rFonts w:ascii="Arial Narrow" w:hAnsi="Arial Narrow" w:cs="Arial"/>
                <w:sz w:val="20"/>
                <w:szCs w:val="20"/>
              </w:rPr>
              <w:t xml:space="preserve">STRIDE vs. </w:t>
            </w:r>
            <w:proofErr w:type="spellStart"/>
            <w:r w:rsidRPr="00EE350A">
              <w:rPr>
                <w:rFonts w:ascii="Arial Narrow" w:hAnsi="Arial Narrow" w:cs="Arial"/>
                <w:sz w:val="20"/>
                <w:szCs w:val="20"/>
              </w:rPr>
              <w:t>Atezo+Bev</w:t>
            </w:r>
            <w:proofErr w:type="spellEnd"/>
            <w:r w:rsidRPr="00EE350A">
              <w:rPr>
                <w:rFonts w:ascii="Arial Narrow" w:hAnsi="Arial Narrow" w:cs="Arial"/>
                <w:sz w:val="20"/>
                <w:szCs w:val="20"/>
              </w:rPr>
              <w:t> </w:t>
            </w:r>
          </w:p>
        </w:tc>
        <w:tc>
          <w:tcPr>
            <w:tcW w:w="959" w:type="pct"/>
            <w:tcBorders>
              <w:top w:val="single" w:sz="6" w:space="0" w:color="auto"/>
              <w:left w:val="single" w:sz="6" w:space="0" w:color="auto"/>
              <w:bottom w:val="single" w:sz="6" w:space="0" w:color="auto"/>
              <w:right w:val="single" w:sz="6" w:space="0" w:color="auto"/>
            </w:tcBorders>
            <w:shd w:val="clear" w:color="auto" w:fill="auto"/>
            <w:hideMark/>
          </w:tcPr>
          <w:p w14:paraId="42C61857"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1.09 [0.80,1.48]</w:t>
            </w:r>
          </w:p>
        </w:tc>
        <w:tc>
          <w:tcPr>
            <w:tcW w:w="1076" w:type="pct"/>
            <w:tcBorders>
              <w:top w:val="single" w:sz="6" w:space="0" w:color="auto"/>
              <w:left w:val="single" w:sz="6" w:space="0" w:color="auto"/>
              <w:bottom w:val="single" w:sz="6" w:space="0" w:color="auto"/>
              <w:right w:val="single" w:sz="6" w:space="0" w:color="auto"/>
            </w:tcBorders>
            <w:shd w:val="clear" w:color="auto" w:fill="auto"/>
            <w:hideMark/>
          </w:tcPr>
          <w:p w14:paraId="44A09C45"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1.19 [0.76, 1.87]</w:t>
            </w:r>
          </w:p>
        </w:tc>
        <w:tc>
          <w:tcPr>
            <w:tcW w:w="1075" w:type="pct"/>
            <w:tcBorders>
              <w:top w:val="single" w:sz="6" w:space="0" w:color="auto"/>
              <w:left w:val="single" w:sz="6" w:space="0" w:color="auto"/>
              <w:bottom w:val="single" w:sz="6" w:space="0" w:color="auto"/>
              <w:right w:val="single" w:sz="6" w:space="0" w:color="auto"/>
            </w:tcBorders>
            <w:shd w:val="clear" w:color="auto" w:fill="auto"/>
            <w:hideMark/>
          </w:tcPr>
          <w:p w14:paraId="6097D4A9" w14:textId="77777777" w:rsidR="005B443C" w:rsidRPr="00EE350A" w:rsidRDefault="005B443C" w:rsidP="00FD5BF2">
            <w:pPr>
              <w:jc w:val="center"/>
              <w:rPr>
                <w:rFonts w:ascii="Arial Narrow" w:hAnsi="Arial Narrow" w:cs="Arial"/>
                <w:sz w:val="20"/>
                <w:szCs w:val="20"/>
              </w:rPr>
            </w:pPr>
            <w:r w:rsidRPr="00EE350A">
              <w:rPr>
                <w:rFonts w:ascii="Arial Narrow" w:hAnsi="Arial Narrow" w:cs="Arial"/>
                <w:sz w:val="20"/>
                <w:szCs w:val="20"/>
              </w:rPr>
              <w:t>0.96 [0.61, 1.51]</w:t>
            </w:r>
          </w:p>
        </w:tc>
      </w:tr>
    </w:tbl>
    <w:p w14:paraId="733304B3" w14:textId="77777777" w:rsidR="000D083B" w:rsidRDefault="005B443C" w:rsidP="005B443C">
      <w:pPr>
        <w:rPr>
          <w:rFonts w:ascii="Arial Narrow" w:hAnsi="Arial Narrow"/>
          <w:sz w:val="18"/>
          <w:szCs w:val="18"/>
        </w:rPr>
      </w:pPr>
      <w:r w:rsidRPr="00EE350A">
        <w:rPr>
          <w:rFonts w:ascii="Arial Narrow" w:hAnsi="Arial Narrow"/>
          <w:sz w:val="18"/>
          <w:szCs w:val="18"/>
        </w:rPr>
        <w:t>Abbreviations: CI: Confidence interval, HR: Hazard ratio, MAIC: Matching-adjusted indirect comparison, OS: Overall survival.</w:t>
      </w:r>
    </w:p>
    <w:p w14:paraId="662755D3" w14:textId="4F9A72CD" w:rsidR="005B443C" w:rsidRPr="00EE350A" w:rsidRDefault="005B443C" w:rsidP="005B443C">
      <w:pPr>
        <w:rPr>
          <w:rFonts w:ascii="Arial Narrow" w:hAnsi="Arial Narrow"/>
          <w:sz w:val="18"/>
          <w:szCs w:val="18"/>
        </w:rPr>
      </w:pPr>
      <w:r w:rsidRPr="00EE350A">
        <w:rPr>
          <w:rFonts w:ascii="Arial Narrow" w:hAnsi="Arial Narrow"/>
          <w:sz w:val="18"/>
          <w:szCs w:val="18"/>
        </w:rPr>
        <w:t>*Reweighted</w:t>
      </w:r>
    </w:p>
    <w:p w14:paraId="0E147585" w14:textId="4876B25F" w:rsidR="005B443C" w:rsidRPr="00EE350A" w:rsidRDefault="005B443C" w:rsidP="005B443C">
      <w:pPr>
        <w:rPr>
          <w:rFonts w:ascii="Arial Narrow" w:hAnsi="Arial Narrow"/>
          <w:sz w:val="18"/>
          <w:szCs w:val="18"/>
        </w:rPr>
      </w:pPr>
      <w:r w:rsidRPr="00EE350A">
        <w:rPr>
          <w:rFonts w:ascii="Arial Narrow" w:hAnsi="Arial Narrow"/>
          <w:sz w:val="18"/>
          <w:szCs w:val="18"/>
        </w:rPr>
        <w:t>Source: Qin et al. (2023), Table 2-49, p147 of the submission.</w:t>
      </w:r>
    </w:p>
    <w:p w14:paraId="69C8D250" w14:textId="48220AA6" w:rsidR="005B443C" w:rsidRPr="00D6026C" w:rsidRDefault="005B443C" w:rsidP="005B443C">
      <w:pPr>
        <w:pStyle w:val="3-BodyText"/>
      </w:pPr>
      <w:r w:rsidRPr="00D6026C">
        <w:rPr>
          <w:rFonts w:cstheme="minorHAnsi"/>
          <w:szCs w:val="24"/>
        </w:rPr>
        <w:t xml:space="preserve">The PSCR noted that the results of the MAIC with piecewise HRs highlighted numeric differences between 0-9 months and 9-26.9 months that suggested an improved HR </w:t>
      </w:r>
      <w:r w:rsidRPr="00D6026C">
        <w:rPr>
          <w:rFonts w:cstheme="minorHAnsi"/>
          <w:szCs w:val="24"/>
        </w:rPr>
        <w:lastRenderedPageBreak/>
        <w:t xml:space="preserve">in HIMALAYA and a sustained effect of STRIDE versus </w:t>
      </w:r>
      <w:proofErr w:type="spellStart"/>
      <w:r w:rsidRPr="00D6026C">
        <w:rPr>
          <w:rFonts w:cstheme="minorHAnsi"/>
          <w:szCs w:val="24"/>
        </w:rPr>
        <w:t>atezo</w:t>
      </w:r>
      <w:proofErr w:type="spellEnd"/>
      <w:r w:rsidR="00E16245" w:rsidRPr="00D6026C">
        <w:rPr>
          <w:rFonts w:cstheme="minorHAnsi"/>
          <w:szCs w:val="24"/>
        </w:rPr>
        <w:t xml:space="preserve"> + </w:t>
      </w:r>
      <w:r w:rsidRPr="00D6026C">
        <w:rPr>
          <w:rFonts w:cstheme="minorHAnsi"/>
          <w:szCs w:val="24"/>
        </w:rPr>
        <w:t>b in the long term. Over the common follow-up period of approximately 2 years, the HR point estimate was 1.09 (95% CI: 0.80, 1.48).</w:t>
      </w:r>
    </w:p>
    <w:p w14:paraId="69771E60" w14:textId="41FB5B3A" w:rsidR="00B97729" w:rsidRPr="00D6026C" w:rsidRDefault="00B648EA" w:rsidP="00734DAA">
      <w:pPr>
        <w:pStyle w:val="3-BodyText"/>
      </w:pPr>
      <w:r w:rsidRPr="00D6026C">
        <w:rPr>
          <w:rFonts w:cs="Arial"/>
          <w:snapToGrid w:val="0"/>
        </w:rPr>
        <w:t>The ESC</w:t>
      </w:r>
      <w:r w:rsidR="00F75006" w:rsidRPr="00D6026C">
        <w:rPr>
          <w:rFonts w:cs="Arial"/>
          <w:snapToGrid w:val="0"/>
        </w:rPr>
        <w:t xml:space="preserve"> considered the results</w:t>
      </w:r>
      <w:r w:rsidRPr="00D6026C">
        <w:rPr>
          <w:rFonts w:cs="Arial"/>
          <w:snapToGrid w:val="0"/>
        </w:rPr>
        <w:t xml:space="preserve"> of the MAIC</w:t>
      </w:r>
      <w:r w:rsidR="00F75006" w:rsidRPr="00D6026C">
        <w:rPr>
          <w:rFonts w:cs="Arial"/>
          <w:snapToGrid w:val="0"/>
        </w:rPr>
        <w:t xml:space="preserve"> appeared to be similar to the unadjusted ITC and provide some limited additional support for the claim of non-inferior comparative effectiveness, but that </w:t>
      </w:r>
      <w:r w:rsidR="00734DAA" w:rsidRPr="00D6026C">
        <w:rPr>
          <w:rFonts w:cs="Arial"/>
          <w:snapToGrid w:val="0"/>
        </w:rPr>
        <w:t>overall the evidence remained uncertain.</w:t>
      </w:r>
    </w:p>
    <w:p w14:paraId="14C2712B" w14:textId="77777777" w:rsidR="003E76BE" w:rsidRPr="00203D4C" w:rsidRDefault="003E76BE" w:rsidP="003E76BE">
      <w:pPr>
        <w:pStyle w:val="4-SubsectionHeading"/>
        <w:rPr>
          <w:i w:val="0"/>
        </w:rPr>
      </w:pPr>
      <w:bookmarkStart w:id="25" w:name="_Toc193103688"/>
      <w:r w:rsidRPr="00203D4C">
        <w:rPr>
          <w:i w:val="0"/>
        </w:rPr>
        <w:t>Comparative harms</w:t>
      </w:r>
      <w:bookmarkEnd w:id="25"/>
    </w:p>
    <w:p w14:paraId="25638945" w14:textId="19ACA372" w:rsidR="000D083B" w:rsidRDefault="003E76BE" w:rsidP="00431D9F">
      <w:pPr>
        <w:pStyle w:val="3-BodyText"/>
        <w:ind w:left="709"/>
      </w:pPr>
      <w:r w:rsidRPr="00203D4C">
        <w:t xml:space="preserve">Both trials collected </w:t>
      </w:r>
      <w:r w:rsidR="00B73E52" w:rsidRPr="00203D4C">
        <w:t>adverse event (</w:t>
      </w:r>
      <w:r w:rsidRPr="00203D4C">
        <w:t>AE</w:t>
      </w:r>
      <w:r w:rsidR="00B73E52" w:rsidRPr="00203D4C">
        <w:t>)</w:t>
      </w:r>
      <w:r w:rsidRPr="00203D4C">
        <w:t xml:space="preserve"> data, however the longer follow-up in HIMALAYA compared to IMBRAVE150 may </w:t>
      </w:r>
      <w:r w:rsidR="00C82A6E" w:rsidRPr="00203D4C">
        <w:t xml:space="preserve">have </w:t>
      </w:r>
      <w:r w:rsidRPr="00203D4C">
        <w:t>bias</w:t>
      </w:r>
      <w:r w:rsidR="00C82A6E" w:rsidRPr="00203D4C">
        <w:t>ed</w:t>
      </w:r>
      <w:r w:rsidRPr="00203D4C">
        <w:t xml:space="preserve"> the safety comparison in favour of </w:t>
      </w:r>
      <w:proofErr w:type="spellStart"/>
      <w:r w:rsidRPr="00203D4C">
        <w:t>atezo</w:t>
      </w:r>
      <w:proofErr w:type="spellEnd"/>
      <w:r w:rsidRPr="00203D4C">
        <w:t xml:space="preserve"> + b. The submission compared </w:t>
      </w:r>
      <w:r w:rsidR="008A69BF" w:rsidRPr="00203D4C">
        <w:t xml:space="preserve">only </w:t>
      </w:r>
      <w:r w:rsidRPr="00203D4C">
        <w:t>overall rates of AEs, which showed no substantial differences as described in</w:t>
      </w:r>
      <w:r w:rsidR="006B0487" w:rsidRPr="00203D4C">
        <w:t xml:space="preserve"> </w:t>
      </w:r>
      <w:r w:rsidR="006B0487" w:rsidRPr="00203D4C">
        <w:fldChar w:fldCharType="begin"/>
      </w:r>
      <w:r w:rsidR="006B0487" w:rsidRPr="00203D4C">
        <w:instrText xml:space="preserve"> REF _Ref191289740 \h </w:instrText>
      </w:r>
      <w:r w:rsidR="00203D4C">
        <w:instrText xml:space="preserve"> \* MERGEFORMAT </w:instrText>
      </w:r>
      <w:r w:rsidR="006B0487" w:rsidRPr="00203D4C">
        <w:fldChar w:fldCharType="separate"/>
      </w:r>
      <w:r w:rsidR="00AC295B">
        <w:t xml:space="preserve">Table </w:t>
      </w:r>
      <w:r w:rsidR="00AC295B">
        <w:rPr>
          <w:noProof/>
        </w:rPr>
        <w:t>8</w:t>
      </w:r>
      <w:r w:rsidR="006B0487" w:rsidRPr="00203D4C">
        <w:fldChar w:fldCharType="end"/>
      </w:r>
      <w:r w:rsidRPr="00203D4C">
        <w:t>. Considering these data, the claim of non-inferior safety appears reasonable.</w:t>
      </w:r>
    </w:p>
    <w:p w14:paraId="6D72E070" w14:textId="12A37F9E" w:rsidR="00BD2F64" w:rsidRPr="00D6026C" w:rsidRDefault="00BD2F64" w:rsidP="00431D9F">
      <w:pPr>
        <w:pStyle w:val="3-BodyText"/>
        <w:ind w:left="709"/>
      </w:pPr>
      <w:r w:rsidRPr="00D6026C">
        <w:t>The PSCR</w:t>
      </w:r>
      <w:r w:rsidR="00254F48">
        <w:t xml:space="preserve"> </w:t>
      </w:r>
      <w:r w:rsidRPr="00D6026C">
        <w:t xml:space="preserve">noted that </w:t>
      </w:r>
      <w:r w:rsidR="00BE5909" w:rsidRPr="00D6026C">
        <w:t xml:space="preserve">unlike for patients undergoing treatment with STRIDE, </w:t>
      </w:r>
      <w:r w:rsidRPr="00D6026C">
        <w:t xml:space="preserve">patients undergoing treatment with </w:t>
      </w:r>
      <w:proofErr w:type="spellStart"/>
      <w:r w:rsidRPr="00D6026C">
        <w:t>atezo</w:t>
      </w:r>
      <w:proofErr w:type="spellEnd"/>
      <w:r w:rsidRPr="00D6026C">
        <w:t xml:space="preserve"> + b may require an endoscopic assessment and </w:t>
      </w:r>
      <w:r w:rsidR="007008DE" w:rsidRPr="00D6026C">
        <w:t>oesophageal</w:t>
      </w:r>
      <w:r w:rsidRPr="00D6026C">
        <w:t xml:space="preserve"> banding procedures, if varices are present, to minimise the risk of adverse events</w:t>
      </w:r>
      <w:r w:rsidR="000363C0" w:rsidRPr="00D6026C">
        <w:t xml:space="preserve">. </w:t>
      </w:r>
      <w:r w:rsidR="00DC0125" w:rsidRPr="00D6026C">
        <w:t>The PSCR</w:t>
      </w:r>
      <w:r w:rsidR="00511098" w:rsidRPr="00D6026C">
        <w:t xml:space="preserve"> also</w:t>
      </w:r>
      <w:r w:rsidR="00DC0125" w:rsidRPr="00D6026C">
        <w:t xml:space="preserve"> acknowledged that t</w:t>
      </w:r>
      <w:r w:rsidR="000363C0" w:rsidRPr="00D6026C">
        <w:t>hese procedures</w:t>
      </w:r>
      <w:r w:rsidR="005066DC" w:rsidRPr="00D6026C">
        <w:t xml:space="preserve"> are considered safe but</w:t>
      </w:r>
      <w:r w:rsidR="00DC0125" w:rsidRPr="00D6026C">
        <w:t xml:space="preserve"> noted</w:t>
      </w:r>
      <w:r w:rsidR="002B2847" w:rsidRPr="00D6026C">
        <w:t xml:space="preserve"> they can be more challenging in patients with </w:t>
      </w:r>
      <w:proofErr w:type="spellStart"/>
      <w:r w:rsidR="002B2847" w:rsidRPr="00D6026C">
        <w:t>aHCC</w:t>
      </w:r>
      <w:proofErr w:type="spellEnd"/>
      <w:r w:rsidR="007008DE" w:rsidRPr="00D6026C">
        <w:t>,</w:t>
      </w:r>
      <w:r w:rsidR="005066DC" w:rsidRPr="00D6026C">
        <w:t xml:space="preserve"> increase the risk of </w:t>
      </w:r>
      <w:r w:rsidR="007008DE" w:rsidRPr="00D6026C">
        <w:t>complication and can delay initiation of treatment.</w:t>
      </w:r>
    </w:p>
    <w:p w14:paraId="703C0A87" w14:textId="3DE923E9" w:rsidR="003E76BE" w:rsidRDefault="00511098" w:rsidP="003E76BE">
      <w:pPr>
        <w:pStyle w:val="Caption"/>
      </w:pPr>
      <w:bookmarkStart w:id="26" w:name="_Ref191289740"/>
      <w:r>
        <w:lastRenderedPageBreak/>
        <w:t>T</w:t>
      </w:r>
      <w:r w:rsidR="003E76BE">
        <w:t xml:space="preserve">able </w:t>
      </w:r>
      <w:r w:rsidR="005B443C">
        <w:fldChar w:fldCharType="begin"/>
      </w:r>
      <w:r w:rsidR="005B443C">
        <w:instrText xml:space="preserve"> SEQ Table \* ARABIC </w:instrText>
      </w:r>
      <w:r w:rsidR="005B443C">
        <w:fldChar w:fldCharType="separate"/>
      </w:r>
      <w:r w:rsidR="00AC295B">
        <w:rPr>
          <w:noProof/>
        </w:rPr>
        <w:t>8</w:t>
      </w:r>
      <w:r w:rsidR="005B443C">
        <w:rPr>
          <w:noProof/>
        </w:rPr>
        <w:fldChar w:fldCharType="end"/>
      </w:r>
      <w:bookmarkEnd w:id="26"/>
      <w:r w:rsidR="003E76BE">
        <w:t xml:space="preserve">: </w:t>
      </w:r>
      <w:r w:rsidR="003E76BE" w:rsidRPr="0076315A">
        <w:t>Overview of AEs in HIMALAYA and IMBRAVE150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4" w:type="dxa"/>
          <w:left w:w="110" w:type="dxa"/>
          <w:bottom w:w="40" w:type="dxa"/>
          <w:right w:w="69" w:type="dxa"/>
        </w:tblCellMar>
        <w:tblLook w:val="04A0" w:firstRow="1" w:lastRow="0" w:firstColumn="1" w:lastColumn="0" w:noHBand="0" w:noVBand="1"/>
      </w:tblPr>
      <w:tblGrid>
        <w:gridCol w:w="1838"/>
        <w:gridCol w:w="1276"/>
        <w:gridCol w:w="1134"/>
        <w:gridCol w:w="1134"/>
        <w:gridCol w:w="1209"/>
        <w:gridCol w:w="1201"/>
        <w:gridCol w:w="1275"/>
      </w:tblGrid>
      <w:tr w:rsidR="003E76BE" w:rsidRPr="00837134" w14:paraId="1C7FDE20" w14:textId="77777777">
        <w:trPr>
          <w:trHeight w:val="92"/>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6CE0D8" w14:textId="77777777" w:rsidR="003E76BE" w:rsidRPr="0076315A" w:rsidRDefault="003E76BE">
            <w:pPr>
              <w:pStyle w:val="PBACTabletext"/>
              <w:spacing w:after="0"/>
              <w:jc w:val="center"/>
              <w:rPr>
                <w:b/>
                <w:bCs/>
              </w:rPr>
            </w:pPr>
            <w:r w:rsidRPr="0076315A">
              <w:rPr>
                <w:b/>
                <w:bCs/>
              </w:rPr>
              <w:t>AE category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A9C5A" w14:textId="77777777" w:rsidR="003E76BE" w:rsidRPr="0076315A" w:rsidRDefault="003E76BE">
            <w:pPr>
              <w:pStyle w:val="PBACTabletext"/>
              <w:spacing w:after="0"/>
              <w:jc w:val="center"/>
              <w:rPr>
                <w:b/>
                <w:bCs/>
              </w:rPr>
            </w:pPr>
            <w:r w:rsidRPr="0076315A">
              <w:rPr>
                <w:b/>
                <w:bCs/>
              </w:rPr>
              <w:t>HIMALAYA</w:t>
            </w:r>
          </w:p>
        </w:tc>
        <w:tc>
          <w:tcPr>
            <w:tcW w:w="23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D1964" w14:textId="77777777" w:rsidR="003E76BE" w:rsidRPr="0076315A" w:rsidRDefault="003E76BE">
            <w:pPr>
              <w:pStyle w:val="PBACTabletext"/>
              <w:spacing w:after="0"/>
              <w:jc w:val="center"/>
              <w:rPr>
                <w:b/>
                <w:bCs/>
              </w:rPr>
            </w:pPr>
            <w:r w:rsidRPr="0076315A">
              <w:rPr>
                <w:b/>
                <w:bCs/>
              </w:rPr>
              <w:t>IMBRAVE150</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D3CC00" w14:textId="77777777" w:rsidR="003E76BE" w:rsidRPr="0076315A" w:rsidRDefault="003E76BE">
            <w:pPr>
              <w:pStyle w:val="PBACTabletext"/>
              <w:spacing w:after="0"/>
              <w:jc w:val="center"/>
              <w:rPr>
                <w:b/>
                <w:bCs/>
              </w:rPr>
            </w:pPr>
            <w:r w:rsidRPr="0076315A">
              <w:rPr>
                <w:b/>
                <w:bCs/>
              </w:rPr>
              <w:t>RR (95% CI)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45D818" w14:textId="77777777" w:rsidR="003E76BE" w:rsidRPr="0076315A" w:rsidRDefault="003E76BE">
            <w:pPr>
              <w:pStyle w:val="PBACTabletext"/>
              <w:spacing w:after="0"/>
              <w:jc w:val="center"/>
              <w:rPr>
                <w:b/>
                <w:bCs/>
              </w:rPr>
            </w:pPr>
            <w:r w:rsidRPr="0076315A">
              <w:rPr>
                <w:b/>
                <w:bCs/>
              </w:rPr>
              <w:t>RD (95% CI)</w:t>
            </w:r>
          </w:p>
        </w:tc>
      </w:tr>
      <w:tr w:rsidR="003E76BE" w:rsidRPr="00837134" w14:paraId="1E4F5C1A" w14:textId="77777777">
        <w:trPr>
          <w:trHeight w:val="108"/>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792E17" w14:textId="77777777" w:rsidR="003E76BE" w:rsidRPr="0076315A" w:rsidRDefault="003E76BE">
            <w:pPr>
              <w:pStyle w:val="PBACTabletext"/>
              <w:spacing w:after="0"/>
              <w:jc w:val="cente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EA1898" w14:textId="77777777" w:rsidR="003E76BE" w:rsidRPr="0076315A" w:rsidRDefault="003E76BE">
            <w:pPr>
              <w:pStyle w:val="PBACTabletext"/>
              <w:spacing w:after="0"/>
              <w:jc w:val="center"/>
              <w:rPr>
                <w:b/>
                <w:bCs/>
              </w:rPr>
            </w:pPr>
            <w:r w:rsidRPr="0076315A">
              <w:rPr>
                <w:b/>
                <w:bCs/>
              </w:rPr>
              <w:t>STRIDE (N=388)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E8350" w14:textId="77777777" w:rsidR="003E76BE" w:rsidRPr="0076315A" w:rsidRDefault="003E76BE">
            <w:pPr>
              <w:pStyle w:val="PBACTabletext"/>
              <w:spacing w:after="0"/>
              <w:jc w:val="center"/>
              <w:rPr>
                <w:b/>
                <w:bCs/>
              </w:rPr>
            </w:pPr>
            <w:r w:rsidRPr="0076315A">
              <w:rPr>
                <w:b/>
                <w:bCs/>
              </w:rPr>
              <w:t>Sorafenib (N=374)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C09D43" w14:textId="77777777" w:rsidR="003E76BE" w:rsidRPr="0076315A" w:rsidRDefault="003E76BE">
            <w:pPr>
              <w:pStyle w:val="PBACTabletext"/>
              <w:spacing w:after="0"/>
              <w:jc w:val="center"/>
              <w:rPr>
                <w:b/>
                <w:bCs/>
              </w:rPr>
            </w:pPr>
            <w:proofErr w:type="spellStart"/>
            <w:r w:rsidRPr="0076315A">
              <w:rPr>
                <w:b/>
                <w:bCs/>
              </w:rPr>
              <w:t>Atezo</w:t>
            </w:r>
            <w:proofErr w:type="spellEnd"/>
            <w:r>
              <w:rPr>
                <w:b/>
                <w:bCs/>
              </w:rPr>
              <w:t xml:space="preserve"> + b</w:t>
            </w:r>
            <w:r w:rsidRPr="0076315A">
              <w:rPr>
                <w:b/>
                <w:bCs/>
              </w:rPr>
              <w:t xml:space="preserve"> (N=329)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95DB6EE" w14:textId="77777777" w:rsidR="003E76BE" w:rsidRPr="0076315A" w:rsidRDefault="003E76BE">
            <w:pPr>
              <w:pStyle w:val="PBACTabletext"/>
              <w:spacing w:after="0"/>
              <w:jc w:val="center"/>
              <w:rPr>
                <w:b/>
                <w:bCs/>
              </w:rPr>
            </w:pPr>
            <w:r w:rsidRPr="0076315A">
              <w:rPr>
                <w:b/>
                <w:bCs/>
              </w:rPr>
              <w:t>Sorafenib</w:t>
            </w:r>
          </w:p>
          <w:p w14:paraId="2B3FAD04" w14:textId="77777777" w:rsidR="003E76BE" w:rsidRPr="0076315A" w:rsidRDefault="003E76BE">
            <w:pPr>
              <w:pStyle w:val="PBACTabletext"/>
              <w:spacing w:after="0"/>
              <w:jc w:val="center"/>
              <w:rPr>
                <w:b/>
                <w:bCs/>
              </w:rPr>
            </w:pPr>
            <w:r w:rsidRPr="0076315A">
              <w:rPr>
                <w:b/>
                <w:bCs/>
              </w:rPr>
              <w:t>(N=156)</w:t>
            </w:r>
          </w:p>
        </w:tc>
        <w:tc>
          <w:tcPr>
            <w:tcW w:w="1201" w:type="dxa"/>
            <w:vMerge/>
            <w:tcBorders>
              <w:top w:val="single" w:sz="4" w:space="0" w:color="auto"/>
              <w:left w:val="single" w:sz="4" w:space="0" w:color="auto"/>
              <w:bottom w:val="single" w:sz="4" w:space="0" w:color="auto"/>
              <w:right w:val="single" w:sz="4" w:space="0" w:color="auto"/>
            </w:tcBorders>
            <w:shd w:val="clear" w:color="auto" w:fill="auto"/>
          </w:tcPr>
          <w:p w14:paraId="44DD4327" w14:textId="77777777" w:rsidR="003E76BE" w:rsidRPr="0076315A" w:rsidRDefault="003E76BE">
            <w:pPr>
              <w:pStyle w:val="PBACTabletext"/>
              <w:spacing w:after="0"/>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7765FAB1" w14:textId="77777777" w:rsidR="003E76BE" w:rsidRPr="0076315A" w:rsidRDefault="003E76BE">
            <w:pPr>
              <w:pStyle w:val="PBACTabletext"/>
              <w:spacing w:after="0"/>
            </w:pPr>
          </w:p>
        </w:tc>
      </w:tr>
      <w:tr w:rsidR="003E76BE" w:rsidRPr="00837134" w14:paraId="29259A3C" w14:textId="77777777">
        <w:trPr>
          <w:trHeight w:val="21"/>
        </w:trPr>
        <w:tc>
          <w:tcPr>
            <w:tcW w:w="1838" w:type="dxa"/>
            <w:tcBorders>
              <w:top w:val="single" w:sz="4" w:space="0" w:color="auto"/>
            </w:tcBorders>
            <w:vAlign w:val="center"/>
          </w:tcPr>
          <w:p w14:paraId="658D1867" w14:textId="77777777" w:rsidR="003E76BE" w:rsidRPr="0076315A" w:rsidRDefault="003E76BE">
            <w:pPr>
              <w:pStyle w:val="PBACTabletext"/>
              <w:spacing w:after="0"/>
            </w:pPr>
            <w:r w:rsidRPr="0076315A">
              <w:t>Median duration of treatment</w:t>
            </w:r>
            <w:r>
              <w:t xml:space="preserve"> (months)</w:t>
            </w:r>
          </w:p>
        </w:tc>
        <w:tc>
          <w:tcPr>
            <w:tcW w:w="1276" w:type="dxa"/>
            <w:tcBorders>
              <w:top w:val="single" w:sz="4" w:space="0" w:color="auto"/>
            </w:tcBorders>
            <w:vAlign w:val="center"/>
          </w:tcPr>
          <w:p w14:paraId="70EE01C7" w14:textId="77777777" w:rsidR="003E76BE" w:rsidRPr="0076315A" w:rsidRDefault="003E76BE">
            <w:pPr>
              <w:pStyle w:val="PBACTabletext"/>
              <w:spacing w:after="0"/>
              <w:jc w:val="center"/>
            </w:pPr>
            <w:r w:rsidRPr="0076315A">
              <w:t>5.5</w:t>
            </w:r>
          </w:p>
        </w:tc>
        <w:tc>
          <w:tcPr>
            <w:tcW w:w="1134" w:type="dxa"/>
            <w:tcBorders>
              <w:top w:val="single" w:sz="4" w:space="0" w:color="auto"/>
            </w:tcBorders>
            <w:vAlign w:val="center"/>
          </w:tcPr>
          <w:p w14:paraId="75C731BD" w14:textId="77777777" w:rsidR="003E76BE" w:rsidRPr="0076315A" w:rsidRDefault="003E76BE">
            <w:pPr>
              <w:pStyle w:val="PBACTabletext"/>
              <w:spacing w:after="0"/>
              <w:jc w:val="center"/>
            </w:pPr>
            <w:r w:rsidRPr="0076315A">
              <w:t>4.1</w:t>
            </w:r>
          </w:p>
        </w:tc>
        <w:tc>
          <w:tcPr>
            <w:tcW w:w="1134" w:type="dxa"/>
            <w:tcBorders>
              <w:top w:val="single" w:sz="4" w:space="0" w:color="auto"/>
            </w:tcBorders>
            <w:vAlign w:val="center"/>
          </w:tcPr>
          <w:p w14:paraId="75CC2900" w14:textId="77777777" w:rsidR="003E76BE" w:rsidRPr="0076315A" w:rsidRDefault="003E76BE">
            <w:pPr>
              <w:pStyle w:val="PBACTabletext"/>
              <w:spacing w:after="0"/>
              <w:jc w:val="center"/>
            </w:pPr>
            <w:r w:rsidRPr="0076315A">
              <w:t>8.4/7</w:t>
            </w:r>
          </w:p>
        </w:tc>
        <w:tc>
          <w:tcPr>
            <w:tcW w:w="1209" w:type="dxa"/>
            <w:tcBorders>
              <w:top w:val="single" w:sz="4" w:space="0" w:color="auto"/>
            </w:tcBorders>
            <w:vAlign w:val="center"/>
          </w:tcPr>
          <w:p w14:paraId="344DE341" w14:textId="77777777" w:rsidR="003E76BE" w:rsidRPr="0076315A" w:rsidRDefault="003E76BE">
            <w:pPr>
              <w:pStyle w:val="PBACTabletext"/>
              <w:spacing w:after="0"/>
              <w:jc w:val="center"/>
            </w:pPr>
            <w:r w:rsidRPr="0076315A">
              <w:t>4</w:t>
            </w:r>
          </w:p>
        </w:tc>
        <w:tc>
          <w:tcPr>
            <w:tcW w:w="1201" w:type="dxa"/>
            <w:tcBorders>
              <w:top w:val="single" w:sz="4" w:space="0" w:color="auto"/>
            </w:tcBorders>
            <w:vAlign w:val="center"/>
          </w:tcPr>
          <w:p w14:paraId="2B141100" w14:textId="77777777" w:rsidR="003E76BE" w:rsidRPr="0076315A" w:rsidRDefault="003E76BE">
            <w:pPr>
              <w:pStyle w:val="PBACTabletext"/>
              <w:spacing w:after="0"/>
              <w:jc w:val="center"/>
            </w:pPr>
          </w:p>
        </w:tc>
        <w:tc>
          <w:tcPr>
            <w:tcW w:w="1275" w:type="dxa"/>
            <w:tcBorders>
              <w:top w:val="single" w:sz="4" w:space="0" w:color="auto"/>
            </w:tcBorders>
            <w:vAlign w:val="center"/>
          </w:tcPr>
          <w:p w14:paraId="3BDD056A" w14:textId="77777777" w:rsidR="003E76BE" w:rsidRPr="0076315A" w:rsidRDefault="003E76BE">
            <w:pPr>
              <w:pStyle w:val="PBACTabletext"/>
              <w:spacing w:after="0"/>
              <w:jc w:val="center"/>
            </w:pPr>
          </w:p>
        </w:tc>
      </w:tr>
      <w:tr w:rsidR="003E76BE" w:rsidRPr="00837134" w14:paraId="23D3FA68" w14:textId="77777777">
        <w:trPr>
          <w:trHeight w:val="103"/>
        </w:trPr>
        <w:tc>
          <w:tcPr>
            <w:tcW w:w="1838" w:type="dxa"/>
            <w:vAlign w:val="center"/>
          </w:tcPr>
          <w:p w14:paraId="229ACAC3" w14:textId="77777777" w:rsidR="003E76BE" w:rsidRPr="0076315A" w:rsidRDefault="003E76BE">
            <w:pPr>
              <w:pStyle w:val="PBACTabletext"/>
              <w:spacing w:after="0"/>
            </w:pPr>
            <w:r w:rsidRPr="0076315A">
              <w:t>Median duration of follow-up</w:t>
            </w:r>
            <w:r>
              <w:t xml:space="preserve"> (months)</w:t>
            </w:r>
          </w:p>
        </w:tc>
        <w:tc>
          <w:tcPr>
            <w:tcW w:w="1276" w:type="dxa"/>
            <w:vAlign w:val="center"/>
          </w:tcPr>
          <w:p w14:paraId="276161F3" w14:textId="77777777" w:rsidR="003E76BE" w:rsidRPr="0076315A" w:rsidRDefault="003E76BE">
            <w:pPr>
              <w:pStyle w:val="PBACTabletext"/>
              <w:spacing w:after="0"/>
              <w:jc w:val="center"/>
            </w:pPr>
            <w:r w:rsidRPr="0076315A">
              <w:t>33.18</w:t>
            </w:r>
          </w:p>
        </w:tc>
        <w:tc>
          <w:tcPr>
            <w:tcW w:w="1134" w:type="dxa"/>
            <w:vAlign w:val="center"/>
          </w:tcPr>
          <w:p w14:paraId="5DF76936" w14:textId="77777777" w:rsidR="003E76BE" w:rsidRPr="0076315A" w:rsidRDefault="003E76BE">
            <w:pPr>
              <w:pStyle w:val="PBACTabletext"/>
              <w:spacing w:after="0"/>
              <w:jc w:val="center"/>
            </w:pPr>
            <w:r w:rsidRPr="0076315A">
              <w:t>32.23</w:t>
            </w:r>
          </w:p>
        </w:tc>
        <w:tc>
          <w:tcPr>
            <w:tcW w:w="1134" w:type="dxa"/>
            <w:vAlign w:val="center"/>
          </w:tcPr>
          <w:p w14:paraId="778C36D2" w14:textId="77777777" w:rsidR="003E76BE" w:rsidRPr="0076315A" w:rsidRDefault="003E76BE">
            <w:pPr>
              <w:pStyle w:val="PBACTabletext"/>
              <w:spacing w:after="0"/>
              <w:jc w:val="center"/>
            </w:pPr>
            <w:r w:rsidRPr="0076315A">
              <w:t>17.6</w:t>
            </w:r>
          </w:p>
        </w:tc>
        <w:tc>
          <w:tcPr>
            <w:tcW w:w="1209" w:type="dxa"/>
            <w:vAlign w:val="center"/>
          </w:tcPr>
          <w:p w14:paraId="5920204E" w14:textId="77777777" w:rsidR="003E76BE" w:rsidRPr="0076315A" w:rsidRDefault="003E76BE">
            <w:pPr>
              <w:pStyle w:val="PBACTabletext"/>
              <w:spacing w:after="0"/>
              <w:jc w:val="center"/>
            </w:pPr>
            <w:r w:rsidRPr="0076315A">
              <w:t>10.4</w:t>
            </w:r>
          </w:p>
        </w:tc>
        <w:tc>
          <w:tcPr>
            <w:tcW w:w="1201" w:type="dxa"/>
            <w:vAlign w:val="center"/>
          </w:tcPr>
          <w:p w14:paraId="408440A7" w14:textId="77777777" w:rsidR="003E76BE" w:rsidRPr="0076315A" w:rsidRDefault="003E76BE">
            <w:pPr>
              <w:pStyle w:val="PBACTabletext"/>
              <w:spacing w:after="0"/>
              <w:jc w:val="center"/>
            </w:pPr>
          </w:p>
        </w:tc>
        <w:tc>
          <w:tcPr>
            <w:tcW w:w="1275" w:type="dxa"/>
            <w:vAlign w:val="center"/>
          </w:tcPr>
          <w:p w14:paraId="2CB12B39" w14:textId="77777777" w:rsidR="003E76BE" w:rsidRPr="0076315A" w:rsidRDefault="003E76BE">
            <w:pPr>
              <w:pStyle w:val="PBACTabletext"/>
              <w:spacing w:after="0"/>
              <w:jc w:val="center"/>
            </w:pPr>
          </w:p>
        </w:tc>
      </w:tr>
      <w:tr w:rsidR="003E76BE" w:rsidRPr="00837134" w14:paraId="4E9E3882" w14:textId="77777777">
        <w:trPr>
          <w:trHeight w:val="103"/>
        </w:trPr>
        <w:tc>
          <w:tcPr>
            <w:tcW w:w="1838" w:type="dxa"/>
            <w:vAlign w:val="center"/>
          </w:tcPr>
          <w:p w14:paraId="163A3350" w14:textId="77777777" w:rsidR="003E76BE" w:rsidRPr="0076315A" w:rsidRDefault="003E76BE">
            <w:pPr>
              <w:pStyle w:val="PBACTabletext"/>
              <w:spacing w:after="0"/>
            </w:pPr>
            <w:r w:rsidRPr="0076315A">
              <w:t>Any AE, n (%)</w:t>
            </w:r>
          </w:p>
        </w:tc>
        <w:tc>
          <w:tcPr>
            <w:tcW w:w="1276" w:type="dxa"/>
            <w:vAlign w:val="center"/>
          </w:tcPr>
          <w:p w14:paraId="51CF3B22" w14:textId="77777777" w:rsidR="003E76BE" w:rsidRPr="0076315A" w:rsidRDefault="003E76BE">
            <w:pPr>
              <w:pStyle w:val="PBACTabletext"/>
              <w:spacing w:after="0"/>
              <w:jc w:val="center"/>
            </w:pPr>
            <w:r w:rsidRPr="0076315A">
              <w:t>378 (97.4)</w:t>
            </w:r>
          </w:p>
        </w:tc>
        <w:tc>
          <w:tcPr>
            <w:tcW w:w="1134" w:type="dxa"/>
            <w:vAlign w:val="center"/>
          </w:tcPr>
          <w:p w14:paraId="161C749A" w14:textId="77777777" w:rsidR="003E76BE" w:rsidRPr="0076315A" w:rsidRDefault="003E76BE">
            <w:pPr>
              <w:pStyle w:val="PBACTabletext"/>
              <w:spacing w:after="0"/>
              <w:jc w:val="center"/>
            </w:pPr>
            <w:r w:rsidRPr="0076315A">
              <w:t>357 (95.5)</w:t>
            </w:r>
          </w:p>
        </w:tc>
        <w:tc>
          <w:tcPr>
            <w:tcW w:w="1134" w:type="dxa"/>
            <w:vAlign w:val="center"/>
          </w:tcPr>
          <w:p w14:paraId="5CB1E4FA" w14:textId="77777777" w:rsidR="003E76BE" w:rsidRPr="0076315A" w:rsidRDefault="003E76BE">
            <w:pPr>
              <w:pStyle w:val="PBACTabletext"/>
              <w:spacing w:after="0"/>
              <w:jc w:val="center"/>
            </w:pPr>
            <w:r w:rsidRPr="0076315A">
              <w:t>322 (98)</w:t>
            </w:r>
          </w:p>
        </w:tc>
        <w:tc>
          <w:tcPr>
            <w:tcW w:w="1209" w:type="dxa"/>
            <w:vAlign w:val="center"/>
          </w:tcPr>
          <w:p w14:paraId="2FAA2B08" w14:textId="77777777" w:rsidR="003E76BE" w:rsidRPr="0076315A" w:rsidRDefault="003E76BE">
            <w:pPr>
              <w:pStyle w:val="PBACTabletext"/>
              <w:spacing w:after="0"/>
              <w:jc w:val="center"/>
            </w:pPr>
            <w:r w:rsidRPr="0076315A">
              <w:t>154 (99)</w:t>
            </w:r>
          </w:p>
        </w:tc>
        <w:tc>
          <w:tcPr>
            <w:tcW w:w="1201" w:type="dxa"/>
            <w:vAlign w:val="center"/>
          </w:tcPr>
          <w:p w14:paraId="2E418E13" w14:textId="77777777" w:rsidR="003E76BE" w:rsidRPr="0076315A" w:rsidRDefault="003E76BE">
            <w:pPr>
              <w:pStyle w:val="PBACTabletext"/>
              <w:spacing w:after="0"/>
              <w:jc w:val="center"/>
            </w:pPr>
            <w:r w:rsidRPr="0076315A">
              <w:t>1.001</w:t>
            </w:r>
          </w:p>
          <w:p w14:paraId="23F44346" w14:textId="77777777" w:rsidR="003E76BE" w:rsidRPr="0076315A" w:rsidRDefault="003E76BE">
            <w:pPr>
              <w:pStyle w:val="PBACTabletext"/>
              <w:spacing w:after="0"/>
              <w:jc w:val="center"/>
            </w:pPr>
            <w:r w:rsidRPr="0076315A">
              <w:t>(0.961, 1.043)</w:t>
            </w:r>
          </w:p>
        </w:tc>
        <w:tc>
          <w:tcPr>
            <w:tcW w:w="1275" w:type="dxa"/>
            <w:vAlign w:val="center"/>
          </w:tcPr>
          <w:p w14:paraId="6CC59C22" w14:textId="77777777" w:rsidR="003E76BE" w:rsidRPr="0076315A" w:rsidRDefault="003E76BE">
            <w:pPr>
              <w:pStyle w:val="PBACTabletext"/>
              <w:spacing w:after="0"/>
              <w:jc w:val="center"/>
            </w:pPr>
            <w:r w:rsidRPr="0076315A">
              <w:t>0.001</w:t>
            </w:r>
          </w:p>
          <w:p w14:paraId="7403BE08" w14:textId="77777777" w:rsidR="003E76BE" w:rsidRPr="0076315A" w:rsidRDefault="003E76BE">
            <w:pPr>
              <w:pStyle w:val="PBACTabletext"/>
              <w:spacing w:after="0"/>
              <w:jc w:val="center"/>
            </w:pPr>
            <w:r w:rsidRPr="0076315A">
              <w:t>(-0.039, 0.04)</w:t>
            </w:r>
          </w:p>
        </w:tc>
      </w:tr>
      <w:tr w:rsidR="003E76BE" w:rsidRPr="00837134" w14:paraId="229F4FC0" w14:textId="77777777">
        <w:trPr>
          <w:trHeight w:val="103"/>
        </w:trPr>
        <w:tc>
          <w:tcPr>
            <w:tcW w:w="1838" w:type="dxa"/>
            <w:vAlign w:val="center"/>
          </w:tcPr>
          <w:p w14:paraId="26EAB9F5" w14:textId="77777777" w:rsidR="003E76BE" w:rsidRPr="0076315A" w:rsidRDefault="003E76BE">
            <w:pPr>
              <w:pStyle w:val="PBACTabletext"/>
              <w:spacing w:after="0"/>
            </w:pPr>
            <w:r w:rsidRPr="0076315A">
              <w:t>Treatment-related AEs, n (%)</w:t>
            </w:r>
          </w:p>
        </w:tc>
        <w:tc>
          <w:tcPr>
            <w:tcW w:w="1276" w:type="dxa"/>
            <w:vAlign w:val="center"/>
          </w:tcPr>
          <w:p w14:paraId="15ECA09B" w14:textId="77777777" w:rsidR="003E76BE" w:rsidRPr="0076315A" w:rsidRDefault="003E76BE">
            <w:pPr>
              <w:pStyle w:val="PBACTabletext"/>
              <w:spacing w:after="0"/>
              <w:jc w:val="center"/>
            </w:pPr>
            <w:r w:rsidRPr="0076315A">
              <w:t>294 (75.8)</w:t>
            </w:r>
          </w:p>
        </w:tc>
        <w:tc>
          <w:tcPr>
            <w:tcW w:w="1134" w:type="dxa"/>
            <w:vAlign w:val="center"/>
          </w:tcPr>
          <w:p w14:paraId="31DA216B" w14:textId="77777777" w:rsidR="003E76BE" w:rsidRPr="0076315A" w:rsidRDefault="003E76BE">
            <w:pPr>
              <w:pStyle w:val="PBACTabletext"/>
              <w:spacing w:after="0"/>
              <w:jc w:val="center"/>
            </w:pPr>
            <w:r w:rsidRPr="0076315A">
              <w:t>317 (84.8)</w:t>
            </w:r>
          </w:p>
        </w:tc>
        <w:tc>
          <w:tcPr>
            <w:tcW w:w="1134" w:type="dxa"/>
            <w:vAlign w:val="center"/>
          </w:tcPr>
          <w:p w14:paraId="1840C7D0" w14:textId="77777777" w:rsidR="003E76BE" w:rsidRPr="0076315A" w:rsidRDefault="003E76BE">
            <w:pPr>
              <w:pStyle w:val="PBACTabletext"/>
              <w:spacing w:after="0"/>
              <w:jc w:val="center"/>
            </w:pPr>
            <w:r w:rsidRPr="0076315A">
              <w:t>284 (86)</w:t>
            </w:r>
          </w:p>
        </w:tc>
        <w:tc>
          <w:tcPr>
            <w:tcW w:w="1209" w:type="dxa"/>
            <w:vAlign w:val="center"/>
          </w:tcPr>
          <w:p w14:paraId="083E240C" w14:textId="77777777" w:rsidR="003E76BE" w:rsidRPr="0076315A" w:rsidRDefault="003E76BE">
            <w:pPr>
              <w:pStyle w:val="PBACTabletext"/>
              <w:spacing w:after="0"/>
              <w:jc w:val="center"/>
            </w:pPr>
            <w:r w:rsidRPr="0076315A">
              <w:t>148 (95)</w:t>
            </w:r>
          </w:p>
        </w:tc>
        <w:tc>
          <w:tcPr>
            <w:tcW w:w="1201" w:type="dxa"/>
            <w:vAlign w:val="center"/>
          </w:tcPr>
          <w:p w14:paraId="52F99DA6" w14:textId="77777777" w:rsidR="003E76BE" w:rsidRPr="0076315A" w:rsidRDefault="003E76BE">
            <w:pPr>
              <w:pStyle w:val="PBACTabletext"/>
              <w:spacing w:after="0"/>
              <w:jc w:val="center"/>
            </w:pPr>
            <w:r w:rsidRPr="0076315A">
              <w:t>0.955</w:t>
            </w:r>
          </w:p>
          <w:p w14:paraId="4D21D979" w14:textId="77777777" w:rsidR="003E76BE" w:rsidRPr="0076315A" w:rsidRDefault="003E76BE">
            <w:pPr>
              <w:pStyle w:val="PBACTabletext"/>
              <w:spacing w:after="0"/>
              <w:jc w:val="center"/>
            </w:pPr>
            <w:r w:rsidRPr="0076315A">
              <w:t>(0.871, 1.048)</w:t>
            </w:r>
          </w:p>
        </w:tc>
        <w:tc>
          <w:tcPr>
            <w:tcW w:w="1275" w:type="dxa"/>
            <w:vAlign w:val="center"/>
          </w:tcPr>
          <w:p w14:paraId="26A0CD93" w14:textId="77777777" w:rsidR="003E76BE" w:rsidRPr="0076315A" w:rsidRDefault="003E76BE">
            <w:pPr>
              <w:pStyle w:val="PBACTabletext"/>
              <w:spacing w:after="0"/>
              <w:jc w:val="center"/>
            </w:pPr>
            <w:r w:rsidRPr="0076315A">
              <w:t>-0.03</w:t>
            </w:r>
          </w:p>
          <w:p w14:paraId="01FB5959" w14:textId="77777777" w:rsidR="003E76BE" w:rsidRPr="0076315A" w:rsidRDefault="003E76BE">
            <w:pPr>
              <w:pStyle w:val="PBACTabletext"/>
              <w:spacing w:after="0"/>
              <w:jc w:val="center"/>
            </w:pPr>
            <w:r w:rsidRPr="0076315A">
              <w:t>(-0.108, 0.047)</w:t>
            </w:r>
          </w:p>
        </w:tc>
      </w:tr>
      <w:tr w:rsidR="003E76BE" w:rsidRPr="00837134" w14:paraId="0AFE5C71" w14:textId="77777777">
        <w:trPr>
          <w:trHeight w:val="105"/>
        </w:trPr>
        <w:tc>
          <w:tcPr>
            <w:tcW w:w="1838" w:type="dxa"/>
            <w:vAlign w:val="center"/>
          </w:tcPr>
          <w:p w14:paraId="54C336DE" w14:textId="77777777" w:rsidR="003E76BE" w:rsidRPr="0076315A" w:rsidRDefault="003E76BE">
            <w:pPr>
              <w:pStyle w:val="PBACTabletext"/>
              <w:spacing w:after="0"/>
            </w:pPr>
            <w:r w:rsidRPr="0076315A">
              <w:t>Any grade ≥ 3, n (%)</w:t>
            </w:r>
          </w:p>
        </w:tc>
        <w:tc>
          <w:tcPr>
            <w:tcW w:w="1276" w:type="dxa"/>
            <w:vAlign w:val="center"/>
          </w:tcPr>
          <w:p w14:paraId="601CC361" w14:textId="77777777" w:rsidR="003E76BE" w:rsidRPr="0076315A" w:rsidRDefault="003E76BE">
            <w:pPr>
              <w:pStyle w:val="PBACTabletext"/>
              <w:spacing w:after="0"/>
              <w:jc w:val="center"/>
            </w:pPr>
            <w:r w:rsidRPr="0076315A">
              <w:t>196 (50.5)</w:t>
            </w:r>
          </w:p>
        </w:tc>
        <w:tc>
          <w:tcPr>
            <w:tcW w:w="1134" w:type="dxa"/>
            <w:vAlign w:val="center"/>
          </w:tcPr>
          <w:p w14:paraId="4A804D2F" w14:textId="77777777" w:rsidR="003E76BE" w:rsidRPr="0076315A" w:rsidRDefault="003E76BE">
            <w:pPr>
              <w:pStyle w:val="PBACTabletext"/>
              <w:spacing w:after="0"/>
              <w:jc w:val="center"/>
            </w:pPr>
            <w:r w:rsidRPr="0076315A">
              <w:t>196 (52.4)</w:t>
            </w:r>
          </w:p>
        </w:tc>
        <w:tc>
          <w:tcPr>
            <w:tcW w:w="1134" w:type="dxa"/>
            <w:vAlign w:val="center"/>
          </w:tcPr>
          <w:p w14:paraId="371DE1F6" w14:textId="77777777" w:rsidR="003E76BE" w:rsidRPr="0076315A" w:rsidRDefault="003E76BE">
            <w:pPr>
              <w:pStyle w:val="PBACTabletext"/>
              <w:spacing w:after="0"/>
              <w:jc w:val="center"/>
            </w:pPr>
            <w:r w:rsidRPr="0076315A">
              <w:t>207 (63)</w:t>
            </w:r>
          </w:p>
        </w:tc>
        <w:tc>
          <w:tcPr>
            <w:tcW w:w="1209" w:type="dxa"/>
            <w:vAlign w:val="center"/>
          </w:tcPr>
          <w:p w14:paraId="107264B3" w14:textId="77777777" w:rsidR="003E76BE" w:rsidRPr="0076315A" w:rsidRDefault="003E76BE">
            <w:pPr>
              <w:pStyle w:val="PBACTabletext"/>
              <w:spacing w:after="0"/>
              <w:jc w:val="center"/>
            </w:pPr>
            <w:r w:rsidRPr="0076315A">
              <w:t>89 (57)</w:t>
            </w:r>
          </w:p>
        </w:tc>
        <w:tc>
          <w:tcPr>
            <w:tcW w:w="1201" w:type="dxa"/>
            <w:vAlign w:val="center"/>
          </w:tcPr>
          <w:p w14:paraId="0F8DE1B3" w14:textId="77777777" w:rsidR="003E76BE" w:rsidRPr="0076315A" w:rsidRDefault="003E76BE">
            <w:pPr>
              <w:pStyle w:val="PBACTabletext"/>
              <w:spacing w:after="0"/>
              <w:jc w:val="center"/>
            </w:pPr>
            <w:r w:rsidRPr="0076315A">
              <w:t>0.85</w:t>
            </w:r>
          </w:p>
          <w:p w14:paraId="51184C1E" w14:textId="77777777" w:rsidR="003E76BE" w:rsidRPr="0076315A" w:rsidRDefault="003E76BE">
            <w:pPr>
              <w:pStyle w:val="PBACTabletext"/>
              <w:spacing w:after="0"/>
              <w:jc w:val="center"/>
            </w:pPr>
            <w:r w:rsidRPr="0076315A">
              <w:t>(0.688, 1.05)</w:t>
            </w:r>
          </w:p>
        </w:tc>
        <w:tc>
          <w:tcPr>
            <w:tcW w:w="1275" w:type="dxa"/>
            <w:vAlign w:val="center"/>
          </w:tcPr>
          <w:p w14:paraId="2C2D0EAA" w14:textId="77777777" w:rsidR="003E76BE" w:rsidRPr="0076315A" w:rsidRDefault="003E76BE">
            <w:pPr>
              <w:pStyle w:val="PBACTabletext"/>
              <w:spacing w:after="0"/>
              <w:jc w:val="center"/>
            </w:pPr>
            <w:r w:rsidRPr="0076315A">
              <w:t>-0.094</w:t>
            </w:r>
          </w:p>
          <w:p w14:paraId="57985B96" w14:textId="77777777" w:rsidR="003E76BE" w:rsidRPr="0076315A" w:rsidRDefault="003E76BE">
            <w:pPr>
              <w:pStyle w:val="PBACTabletext"/>
              <w:spacing w:after="0"/>
              <w:jc w:val="center"/>
            </w:pPr>
            <w:r w:rsidRPr="0076315A">
              <w:t>(-0.211, 0.023)</w:t>
            </w:r>
          </w:p>
        </w:tc>
      </w:tr>
      <w:tr w:rsidR="003E76BE" w:rsidRPr="00837134" w14:paraId="4D4C5E30" w14:textId="77777777">
        <w:trPr>
          <w:trHeight w:val="105"/>
        </w:trPr>
        <w:tc>
          <w:tcPr>
            <w:tcW w:w="1838" w:type="dxa"/>
            <w:vAlign w:val="center"/>
          </w:tcPr>
          <w:p w14:paraId="5B2D1173" w14:textId="77777777" w:rsidR="003E76BE" w:rsidRPr="0076315A" w:rsidRDefault="003E76BE">
            <w:pPr>
              <w:pStyle w:val="PBACTabletext"/>
              <w:spacing w:after="0"/>
            </w:pPr>
            <w:r w:rsidRPr="0076315A">
              <w:t>Any grade ≥ 3 related to study drug, n (%)</w:t>
            </w:r>
          </w:p>
        </w:tc>
        <w:tc>
          <w:tcPr>
            <w:tcW w:w="1276" w:type="dxa"/>
            <w:vAlign w:val="center"/>
          </w:tcPr>
          <w:p w14:paraId="6B033DAB" w14:textId="77777777" w:rsidR="003E76BE" w:rsidRPr="0076315A" w:rsidRDefault="003E76BE">
            <w:pPr>
              <w:pStyle w:val="PBACTabletext"/>
              <w:spacing w:after="0"/>
              <w:jc w:val="center"/>
            </w:pPr>
            <w:r w:rsidRPr="0076315A">
              <w:t>100 (25.8)</w:t>
            </w:r>
          </w:p>
        </w:tc>
        <w:tc>
          <w:tcPr>
            <w:tcW w:w="1134" w:type="dxa"/>
            <w:vAlign w:val="center"/>
          </w:tcPr>
          <w:p w14:paraId="7661C19A" w14:textId="77777777" w:rsidR="003E76BE" w:rsidRPr="0076315A" w:rsidRDefault="003E76BE">
            <w:pPr>
              <w:pStyle w:val="PBACTabletext"/>
              <w:spacing w:after="0"/>
              <w:jc w:val="center"/>
            </w:pPr>
            <w:r w:rsidRPr="0076315A">
              <w:t>138 (36.9)</w:t>
            </w:r>
          </w:p>
        </w:tc>
        <w:tc>
          <w:tcPr>
            <w:tcW w:w="1134" w:type="dxa"/>
            <w:vAlign w:val="center"/>
          </w:tcPr>
          <w:p w14:paraId="1F4D3426" w14:textId="77777777" w:rsidR="003E76BE" w:rsidRPr="0076315A" w:rsidRDefault="003E76BE">
            <w:pPr>
              <w:pStyle w:val="PBACTabletext"/>
              <w:spacing w:after="0"/>
              <w:jc w:val="center"/>
            </w:pPr>
            <w:r w:rsidRPr="0076315A">
              <w:t>143 (43)</w:t>
            </w:r>
          </w:p>
        </w:tc>
        <w:tc>
          <w:tcPr>
            <w:tcW w:w="1209" w:type="dxa"/>
            <w:vAlign w:val="center"/>
          </w:tcPr>
          <w:p w14:paraId="6FD64B60" w14:textId="77777777" w:rsidR="003E76BE" w:rsidRPr="0076315A" w:rsidRDefault="003E76BE">
            <w:pPr>
              <w:pStyle w:val="PBACTabletext"/>
              <w:spacing w:after="0"/>
              <w:jc w:val="center"/>
            </w:pPr>
            <w:r w:rsidRPr="0076315A">
              <w:t>72 (46)</w:t>
            </w:r>
          </w:p>
        </w:tc>
        <w:tc>
          <w:tcPr>
            <w:tcW w:w="1201" w:type="dxa"/>
            <w:vAlign w:val="center"/>
          </w:tcPr>
          <w:p w14:paraId="0B169D36" w14:textId="77777777" w:rsidR="003E76BE" w:rsidRPr="00333965" w:rsidRDefault="003E76BE">
            <w:pPr>
              <w:pStyle w:val="PBACTabletext"/>
              <w:spacing w:after="0"/>
              <w:jc w:val="center"/>
              <w:rPr>
                <w:b/>
                <w:bCs/>
              </w:rPr>
            </w:pPr>
            <w:r w:rsidRPr="00333965">
              <w:rPr>
                <w:b/>
                <w:bCs/>
              </w:rPr>
              <w:t>0.721</w:t>
            </w:r>
          </w:p>
          <w:p w14:paraId="7D99D37D" w14:textId="77777777" w:rsidR="003E76BE" w:rsidRPr="0076315A" w:rsidRDefault="003E76BE">
            <w:pPr>
              <w:pStyle w:val="PBACTabletext"/>
              <w:spacing w:after="0"/>
              <w:jc w:val="center"/>
            </w:pPr>
            <w:r w:rsidRPr="00333965">
              <w:rPr>
                <w:b/>
                <w:bCs/>
              </w:rPr>
              <w:t>(0.534, 0.974)</w:t>
            </w:r>
          </w:p>
        </w:tc>
        <w:tc>
          <w:tcPr>
            <w:tcW w:w="1275" w:type="dxa"/>
            <w:vAlign w:val="center"/>
          </w:tcPr>
          <w:p w14:paraId="11536F6E" w14:textId="77777777" w:rsidR="003E76BE" w:rsidRPr="0076315A" w:rsidRDefault="003E76BE">
            <w:pPr>
              <w:pStyle w:val="PBACTabletext"/>
              <w:spacing w:after="0"/>
              <w:jc w:val="center"/>
            </w:pPr>
            <w:r w:rsidRPr="0076315A">
              <w:t>-0.097</w:t>
            </w:r>
          </w:p>
          <w:p w14:paraId="48E67CBE" w14:textId="77777777" w:rsidR="003E76BE" w:rsidRPr="0076315A" w:rsidRDefault="003E76BE">
            <w:pPr>
              <w:pStyle w:val="PBACTabletext"/>
              <w:spacing w:after="0"/>
              <w:jc w:val="center"/>
            </w:pPr>
            <w:r w:rsidRPr="0076315A">
              <w:t>(-0.212, 0.018)</w:t>
            </w:r>
          </w:p>
        </w:tc>
      </w:tr>
      <w:tr w:rsidR="003E76BE" w:rsidRPr="00837134" w14:paraId="0D385F3E" w14:textId="77777777">
        <w:trPr>
          <w:trHeight w:val="105"/>
        </w:trPr>
        <w:tc>
          <w:tcPr>
            <w:tcW w:w="1838" w:type="dxa"/>
            <w:vAlign w:val="center"/>
          </w:tcPr>
          <w:p w14:paraId="05C63720" w14:textId="77777777" w:rsidR="003E76BE" w:rsidRPr="0076315A" w:rsidRDefault="003E76BE">
            <w:pPr>
              <w:pStyle w:val="PBACTabletext"/>
              <w:spacing w:after="0"/>
            </w:pPr>
            <w:r w:rsidRPr="0076315A">
              <w:t>SAE, n (%)</w:t>
            </w:r>
          </w:p>
        </w:tc>
        <w:tc>
          <w:tcPr>
            <w:tcW w:w="1276" w:type="dxa"/>
            <w:vAlign w:val="center"/>
          </w:tcPr>
          <w:p w14:paraId="203D7861" w14:textId="77777777" w:rsidR="003E76BE" w:rsidRPr="0076315A" w:rsidRDefault="003E76BE">
            <w:pPr>
              <w:pStyle w:val="PBACTabletext"/>
              <w:spacing w:after="0"/>
              <w:jc w:val="center"/>
            </w:pPr>
            <w:r w:rsidRPr="0076315A">
              <w:t>160 (41.2)</w:t>
            </w:r>
          </w:p>
        </w:tc>
        <w:tc>
          <w:tcPr>
            <w:tcW w:w="1134" w:type="dxa"/>
            <w:vAlign w:val="center"/>
          </w:tcPr>
          <w:p w14:paraId="713FEC17" w14:textId="77777777" w:rsidR="003E76BE" w:rsidRPr="0076315A" w:rsidRDefault="003E76BE">
            <w:pPr>
              <w:pStyle w:val="PBACTabletext"/>
              <w:spacing w:after="0"/>
              <w:jc w:val="center"/>
            </w:pPr>
            <w:r w:rsidRPr="0076315A">
              <w:t>111 (29.7)</w:t>
            </w:r>
          </w:p>
        </w:tc>
        <w:tc>
          <w:tcPr>
            <w:tcW w:w="1134" w:type="dxa"/>
            <w:vAlign w:val="center"/>
          </w:tcPr>
          <w:p w14:paraId="3C5119CE" w14:textId="77777777" w:rsidR="003E76BE" w:rsidRPr="0076315A" w:rsidRDefault="003E76BE">
            <w:pPr>
              <w:pStyle w:val="PBACTabletext"/>
              <w:spacing w:after="0"/>
              <w:jc w:val="center"/>
            </w:pPr>
            <w:r w:rsidRPr="0076315A">
              <w:t>160 (49)</w:t>
            </w:r>
          </w:p>
        </w:tc>
        <w:tc>
          <w:tcPr>
            <w:tcW w:w="1209" w:type="dxa"/>
            <w:vAlign w:val="center"/>
          </w:tcPr>
          <w:p w14:paraId="0E57B999" w14:textId="77777777" w:rsidR="003E76BE" w:rsidRPr="0076315A" w:rsidRDefault="003E76BE">
            <w:pPr>
              <w:pStyle w:val="PBACTabletext"/>
              <w:spacing w:after="0"/>
              <w:jc w:val="center"/>
            </w:pPr>
            <w:r w:rsidRPr="0076315A">
              <w:t>51 (33)</w:t>
            </w:r>
          </w:p>
        </w:tc>
        <w:tc>
          <w:tcPr>
            <w:tcW w:w="1201" w:type="dxa"/>
            <w:vAlign w:val="center"/>
          </w:tcPr>
          <w:p w14:paraId="5677DA2E" w14:textId="77777777" w:rsidR="003E76BE" w:rsidRPr="0076315A" w:rsidRDefault="003E76BE">
            <w:pPr>
              <w:pStyle w:val="PBACTabletext"/>
              <w:spacing w:after="0"/>
              <w:jc w:val="center"/>
            </w:pPr>
            <w:r w:rsidRPr="0076315A">
              <w:t>0.908</w:t>
            </w:r>
          </w:p>
          <w:p w14:paraId="4EF9E802" w14:textId="77777777" w:rsidR="003E76BE" w:rsidRPr="0076315A" w:rsidRDefault="003E76BE">
            <w:pPr>
              <w:pStyle w:val="PBACTabletext"/>
              <w:spacing w:after="0"/>
              <w:jc w:val="center"/>
            </w:pPr>
            <w:r w:rsidRPr="0076315A">
              <w:t>(0.66, 1.249)</w:t>
            </w:r>
          </w:p>
        </w:tc>
        <w:tc>
          <w:tcPr>
            <w:tcW w:w="1275" w:type="dxa"/>
            <w:vAlign w:val="center"/>
          </w:tcPr>
          <w:p w14:paraId="644671A3" w14:textId="77777777" w:rsidR="003E76BE" w:rsidRPr="0076315A" w:rsidRDefault="003E76BE">
            <w:pPr>
              <w:pStyle w:val="PBACTabletext"/>
              <w:spacing w:after="0"/>
              <w:jc w:val="center"/>
            </w:pPr>
            <w:r w:rsidRPr="0076315A">
              <w:t>-0.054</w:t>
            </w:r>
          </w:p>
          <w:p w14:paraId="7D825D0B" w14:textId="77777777" w:rsidR="003E76BE" w:rsidRPr="0076315A" w:rsidRDefault="003E76BE">
            <w:pPr>
              <w:pStyle w:val="PBACTabletext"/>
              <w:spacing w:after="0"/>
              <w:jc w:val="center"/>
            </w:pPr>
            <w:r w:rsidRPr="0076315A">
              <w:t>(-0.167, 0.059)</w:t>
            </w:r>
          </w:p>
        </w:tc>
      </w:tr>
      <w:tr w:rsidR="003E76BE" w:rsidRPr="00837134" w14:paraId="063DB1C5" w14:textId="77777777">
        <w:trPr>
          <w:trHeight w:val="103"/>
        </w:trPr>
        <w:tc>
          <w:tcPr>
            <w:tcW w:w="1838" w:type="dxa"/>
            <w:vAlign w:val="center"/>
          </w:tcPr>
          <w:p w14:paraId="46AA84E5" w14:textId="77777777" w:rsidR="003E76BE" w:rsidRPr="0076315A" w:rsidRDefault="003E76BE">
            <w:pPr>
              <w:pStyle w:val="PBACTabletext"/>
              <w:spacing w:after="0"/>
            </w:pPr>
            <w:r w:rsidRPr="0076315A">
              <w:t>Serious TRAE, n (%)</w:t>
            </w:r>
          </w:p>
        </w:tc>
        <w:tc>
          <w:tcPr>
            <w:tcW w:w="1276" w:type="dxa"/>
            <w:vAlign w:val="center"/>
          </w:tcPr>
          <w:p w14:paraId="16B927F3" w14:textId="77777777" w:rsidR="003E76BE" w:rsidRPr="0076315A" w:rsidRDefault="003E76BE">
            <w:pPr>
              <w:pStyle w:val="PBACTabletext"/>
              <w:spacing w:after="0"/>
              <w:jc w:val="center"/>
            </w:pPr>
            <w:r w:rsidRPr="0076315A">
              <w:t>68 (17.5)</w:t>
            </w:r>
          </w:p>
        </w:tc>
        <w:tc>
          <w:tcPr>
            <w:tcW w:w="1134" w:type="dxa"/>
            <w:vAlign w:val="center"/>
          </w:tcPr>
          <w:p w14:paraId="583E5830" w14:textId="77777777" w:rsidR="003E76BE" w:rsidRPr="0076315A" w:rsidRDefault="003E76BE">
            <w:pPr>
              <w:pStyle w:val="PBACTabletext"/>
              <w:spacing w:after="0"/>
              <w:jc w:val="center"/>
            </w:pPr>
            <w:r w:rsidRPr="0076315A">
              <w:t>36 (9.6)</w:t>
            </w:r>
          </w:p>
        </w:tc>
        <w:tc>
          <w:tcPr>
            <w:tcW w:w="1134" w:type="dxa"/>
            <w:vAlign w:val="center"/>
          </w:tcPr>
          <w:p w14:paraId="6ACA0B24" w14:textId="77777777" w:rsidR="003E76BE" w:rsidRPr="0076315A" w:rsidRDefault="003E76BE">
            <w:pPr>
              <w:pStyle w:val="PBACTabletext"/>
              <w:spacing w:after="0"/>
              <w:jc w:val="center"/>
            </w:pPr>
            <w:r w:rsidRPr="0076315A">
              <w:t>76 (23)</w:t>
            </w:r>
          </w:p>
        </w:tc>
        <w:tc>
          <w:tcPr>
            <w:tcW w:w="1209" w:type="dxa"/>
            <w:vAlign w:val="center"/>
          </w:tcPr>
          <w:p w14:paraId="641A5EE2" w14:textId="77777777" w:rsidR="003E76BE" w:rsidRPr="0076315A" w:rsidRDefault="003E76BE">
            <w:pPr>
              <w:pStyle w:val="PBACTabletext"/>
              <w:spacing w:after="0"/>
              <w:jc w:val="center"/>
            </w:pPr>
            <w:r w:rsidRPr="0076315A">
              <w:t>25 (16)</w:t>
            </w:r>
          </w:p>
        </w:tc>
        <w:tc>
          <w:tcPr>
            <w:tcW w:w="1201" w:type="dxa"/>
            <w:vAlign w:val="center"/>
          </w:tcPr>
          <w:p w14:paraId="62B6F936" w14:textId="77777777" w:rsidR="003E76BE" w:rsidRPr="0076315A" w:rsidRDefault="003E76BE">
            <w:pPr>
              <w:pStyle w:val="PBACTabletext"/>
              <w:spacing w:after="0"/>
              <w:jc w:val="center"/>
            </w:pPr>
            <w:r w:rsidRPr="0076315A">
              <w:t>1.228</w:t>
            </w:r>
          </w:p>
          <w:p w14:paraId="20838926" w14:textId="77777777" w:rsidR="003E76BE" w:rsidRPr="0076315A" w:rsidRDefault="003E76BE">
            <w:pPr>
              <w:pStyle w:val="PBACTabletext"/>
              <w:spacing w:after="0"/>
              <w:jc w:val="center"/>
            </w:pPr>
            <w:r w:rsidRPr="0076315A">
              <w:t>(0.703, 2.145)</w:t>
            </w:r>
          </w:p>
        </w:tc>
        <w:tc>
          <w:tcPr>
            <w:tcW w:w="1275" w:type="dxa"/>
            <w:vAlign w:val="center"/>
          </w:tcPr>
          <w:p w14:paraId="71314C4C" w14:textId="77777777" w:rsidR="003E76BE" w:rsidRPr="0076315A" w:rsidRDefault="003E76BE">
            <w:pPr>
              <w:pStyle w:val="PBACTabletext"/>
              <w:spacing w:after="0"/>
              <w:jc w:val="center"/>
            </w:pPr>
            <w:r w:rsidRPr="0076315A">
              <w:t>0.003</w:t>
            </w:r>
          </w:p>
          <w:p w14:paraId="0B48E31E" w14:textId="77777777" w:rsidR="003E76BE" w:rsidRPr="0076315A" w:rsidRDefault="003E76BE">
            <w:pPr>
              <w:pStyle w:val="PBACTabletext"/>
              <w:spacing w:after="0"/>
              <w:jc w:val="center"/>
            </w:pPr>
            <w:r w:rsidRPr="0076315A">
              <w:t>(-0.084, 0.09)</w:t>
            </w:r>
          </w:p>
        </w:tc>
      </w:tr>
      <w:tr w:rsidR="003E76BE" w:rsidRPr="00837134" w14:paraId="4B2AD3E6" w14:textId="77777777">
        <w:trPr>
          <w:trHeight w:val="103"/>
        </w:trPr>
        <w:tc>
          <w:tcPr>
            <w:tcW w:w="1838" w:type="dxa"/>
            <w:vAlign w:val="center"/>
          </w:tcPr>
          <w:p w14:paraId="07D98B11" w14:textId="77777777" w:rsidR="003E76BE" w:rsidRPr="0076315A" w:rsidRDefault="003E76BE">
            <w:pPr>
              <w:pStyle w:val="PBACTabletext"/>
              <w:spacing w:after="0"/>
            </w:pPr>
            <w:r w:rsidRPr="0076315A">
              <w:t>Deaths due to an AE, n (%)</w:t>
            </w:r>
          </w:p>
        </w:tc>
        <w:tc>
          <w:tcPr>
            <w:tcW w:w="1276" w:type="dxa"/>
            <w:vAlign w:val="center"/>
          </w:tcPr>
          <w:p w14:paraId="3FB8BD01" w14:textId="77777777" w:rsidR="003E76BE" w:rsidRPr="0076315A" w:rsidRDefault="003E76BE">
            <w:pPr>
              <w:pStyle w:val="PBACTabletext"/>
              <w:spacing w:after="0"/>
              <w:jc w:val="center"/>
            </w:pPr>
            <w:r w:rsidRPr="0076315A">
              <w:t>30 (7.7)</w:t>
            </w:r>
          </w:p>
        </w:tc>
        <w:tc>
          <w:tcPr>
            <w:tcW w:w="1134" w:type="dxa"/>
            <w:vAlign w:val="center"/>
          </w:tcPr>
          <w:p w14:paraId="2D37A130" w14:textId="77777777" w:rsidR="003E76BE" w:rsidRPr="0076315A" w:rsidRDefault="003E76BE">
            <w:pPr>
              <w:pStyle w:val="PBACTabletext"/>
              <w:spacing w:after="0"/>
              <w:jc w:val="center"/>
            </w:pPr>
            <w:r w:rsidRPr="0076315A">
              <w:t>27 (7.2)</w:t>
            </w:r>
          </w:p>
        </w:tc>
        <w:tc>
          <w:tcPr>
            <w:tcW w:w="1134" w:type="dxa"/>
            <w:vAlign w:val="center"/>
          </w:tcPr>
          <w:p w14:paraId="4A2F6F66" w14:textId="77777777" w:rsidR="003E76BE" w:rsidRPr="0076315A" w:rsidRDefault="003E76BE">
            <w:pPr>
              <w:pStyle w:val="PBACTabletext"/>
              <w:spacing w:after="0"/>
              <w:jc w:val="center"/>
            </w:pPr>
            <w:r w:rsidRPr="0076315A">
              <w:t>23 (7)</w:t>
            </w:r>
          </w:p>
        </w:tc>
        <w:tc>
          <w:tcPr>
            <w:tcW w:w="1209" w:type="dxa"/>
            <w:vAlign w:val="center"/>
          </w:tcPr>
          <w:p w14:paraId="18D18867" w14:textId="77777777" w:rsidR="003E76BE" w:rsidRPr="0076315A" w:rsidRDefault="003E76BE">
            <w:pPr>
              <w:pStyle w:val="PBACTabletext"/>
              <w:spacing w:after="0"/>
              <w:jc w:val="center"/>
            </w:pPr>
            <w:r w:rsidRPr="0076315A">
              <w:t>9 (6)</w:t>
            </w:r>
          </w:p>
        </w:tc>
        <w:tc>
          <w:tcPr>
            <w:tcW w:w="1201" w:type="dxa"/>
            <w:vAlign w:val="center"/>
          </w:tcPr>
          <w:p w14:paraId="396AA3EC" w14:textId="77777777" w:rsidR="003E76BE" w:rsidRPr="0076315A" w:rsidRDefault="003E76BE">
            <w:pPr>
              <w:pStyle w:val="PBACTabletext"/>
              <w:spacing w:after="0"/>
              <w:jc w:val="center"/>
            </w:pPr>
            <w:r w:rsidRPr="0076315A">
              <w:t>0.859</w:t>
            </w:r>
          </w:p>
          <w:p w14:paraId="4B1F59AB" w14:textId="77777777" w:rsidR="003E76BE" w:rsidRPr="0076315A" w:rsidRDefault="003E76BE">
            <w:pPr>
              <w:pStyle w:val="PBACTabletext"/>
              <w:spacing w:after="0"/>
              <w:jc w:val="center"/>
            </w:pPr>
            <w:r w:rsidRPr="0076315A">
              <w:t>(0.35, 2.111)</w:t>
            </w:r>
          </w:p>
        </w:tc>
        <w:tc>
          <w:tcPr>
            <w:tcW w:w="1275" w:type="dxa"/>
            <w:vAlign w:val="center"/>
          </w:tcPr>
          <w:p w14:paraId="0CBFD329" w14:textId="77777777" w:rsidR="003E76BE" w:rsidRPr="0076315A" w:rsidRDefault="003E76BE">
            <w:pPr>
              <w:pStyle w:val="PBACTabletext"/>
              <w:spacing w:after="0"/>
              <w:jc w:val="center"/>
            </w:pPr>
            <w:r w:rsidRPr="0076315A">
              <w:t>-0.009</w:t>
            </w:r>
          </w:p>
          <w:p w14:paraId="36147DCC" w14:textId="77777777" w:rsidR="003E76BE" w:rsidRPr="0076315A" w:rsidRDefault="003E76BE">
            <w:pPr>
              <w:pStyle w:val="PBACTabletext"/>
              <w:spacing w:after="0"/>
              <w:jc w:val="center"/>
            </w:pPr>
            <w:r w:rsidRPr="0076315A">
              <w:t>(-0.068, 0.05)</w:t>
            </w:r>
          </w:p>
        </w:tc>
      </w:tr>
    </w:tbl>
    <w:p w14:paraId="7FDF9909" w14:textId="77777777" w:rsidR="00840388" w:rsidRDefault="003E76BE" w:rsidP="00F0762C">
      <w:pPr>
        <w:pStyle w:val="TableFigureFooter"/>
      </w:pPr>
      <w:r>
        <w:t>Source: Table 2-46, p 136 of the submission.</w:t>
      </w:r>
    </w:p>
    <w:p w14:paraId="52F6CC0F" w14:textId="7FBE17F0" w:rsidR="00840388" w:rsidRDefault="003E76BE" w:rsidP="00F0762C">
      <w:pPr>
        <w:pStyle w:val="TableFigureFooter"/>
        <w:rPr>
          <w:b/>
          <w:bCs/>
        </w:rPr>
      </w:pPr>
      <w:r>
        <w:t xml:space="preserve">AE = adverse event; </w:t>
      </w:r>
      <w:proofErr w:type="spellStart"/>
      <w:r>
        <w:t>atezo</w:t>
      </w:r>
      <w:proofErr w:type="spellEnd"/>
      <w:r>
        <w:t xml:space="preserve"> + b = atezolizumab plus bevacizumab; CI = confidence interval; RD = risk difference; RR = relative risk; SAE = serious adverse event; STRIDE = </w:t>
      </w:r>
      <w:r w:rsidRPr="00C807EB">
        <w:t>Single Tremelimumab Regular Interval Durvalumab</w:t>
      </w:r>
      <w:r>
        <w:t>; TRAE = treatment-related adverse event.</w:t>
      </w:r>
    </w:p>
    <w:p w14:paraId="451001C2" w14:textId="06A715AA" w:rsidR="003E76BE" w:rsidRPr="00333965" w:rsidRDefault="003E76BE" w:rsidP="00F0762C">
      <w:pPr>
        <w:pStyle w:val="TableFigureFooter"/>
        <w:rPr>
          <w:color w:val="0066FF"/>
        </w:rPr>
      </w:pPr>
      <w:r w:rsidRPr="00333965">
        <w:rPr>
          <w:b/>
          <w:bCs/>
        </w:rPr>
        <w:t>Bold</w:t>
      </w:r>
      <w:r w:rsidRPr="00333965">
        <w:t xml:space="preserve"> indicates</w:t>
      </w:r>
      <w:r>
        <w:t xml:space="preserve"> a</w:t>
      </w:r>
      <w:r w:rsidRPr="00333965">
        <w:t xml:space="preserve"> statistically significant difference</w:t>
      </w:r>
      <w:r>
        <w:t>.</w:t>
      </w:r>
    </w:p>
    <w:p w14:paraId="12205C33" w14:textId="77777777" w:rsidR="003E76BE" w:rsidRPr="0098262F" w:rsidRDefault="003E76BE" w:rsidP="003E76BE">
      <w:pPr>
        <w:pStyle w:val="4-SubsectionHeading"/>
      </w:pPr>
      <w:bookmarkStart w:id="27" w:name="_Toc193103689"/>
      <w:r w:rsidRPr="0098262F">
        <w:t>Benefits/harms</w:t>
      </w:r>
      <w:bookmarkEnd w:id="27"/>
    </w:p>
    <w:p w14:paraId="79E18B15" w14:textId="77777777" w:rsidR="000D083B" w:rsidRDefault="003E76BE" w:rsidP="003E76BE">
      <w:pPr>
        <w:pStyle w:val="3-BodyText"/>
      </w:pPr>
      <w:r w:rsidRPr="0098262F">
        <w:t xml:space="preserve">A benefits and harms table </w:t>
      </w:r>
      <w:r w:rsidR="00574FC0">
        <w:t>wa</w:t>
      </w:r>
      <w:r w:rsidR="00574FC0" w:rsidRPr="0098262F">
        <w:t xml:space="preserve">s </w:t>
      </w:r>
      <w:r w:rsidRPr="0098262F">
        <w:t>not presented as the submission made a claim of non-inferiority.</w:t>
      </w:r>
    </w:p>
    <w:p w14:paraId="3D0E26EB" w14:textId="6F3C5DA6" w:rsidR="003E76BE" w:rsidRPr="0098262F" w:rsidRDefault="003E76BE" w:rsidP="003E76BE">
      <w:pPr>
        <w:pStyle w:val="4-SubsectionHeading"/>
      </w:pPr>
      <w:bookmarkStart w:id="28" w:name="_Toc193103690"/>
      <w:r w:rsidRPr="0098262F">
        <w:t>Clinical claim</w:t>
      </w:r>
      <w:bookmarkEnd w:id="28"/>
    </w:p>
    <w:p w14:paraId="7C802A1C" w14:textId="77777777" w:rsidR="000D083B" w:rsidRDefault="003E76BE" w:rsidP="003E76BE">
      <w:pPr>
        <w:pStyle w:val="3-BodyText"/>
      </w:pPr>
      <w:r w:rsidRPr="00CB153A">
        <w:t xml:space="preserve">The submission described STRIDE as non-inferior in terms of effectiveness compared with </w:t>
      </w:r>
      <w:proofErr w:type="spellStart"/>
      <w:r w:rsidRPr="00CB153A">
        <w:t>atezo</w:t>
      </w:r>
      <w:proofErr w:type="spellEnd"/>
      <w:r w:rsidRPr="00CB153A">
        <w:t xml:space="preserve"> + b and non-inferior in terms of safety compared to </w:t>
      </w:r>
      <w:proofErr w:type="spellStart"/>
      <w:r w:rsidRPr="00CB153A">
        <w:t>atezo</w:t>
      </w:r>
      <w:proofErr w:type="spellEnd"/>
      <w:r w:rsidRPr="00CB153A">
        <w:t xml:space="preserve"> + b.</w:t>
      </w:r>
    </w:p>
    <w:p w14:paraId="5B26A1AF" w14:textId="056B3295" w:rsidR="003E76BE" w:rsidRPr="00CC06B6" w:rsidRDefault="003E76BE" w:rsidP="003E76BE">
      <w:pPr>
        <w:pStyle w:val="3-BodyText"/>
      </w:pPr>
      <w:r>
        <w:t xml:space="preserve">The therapeutic conclusion of non-inferior effectiveness </w:t>
      </w:r>
      <w:r w:rsidR="00202897" w:rsidRPr="00DF3328">
        <w:t xml:space="preserve">may </w:t>
      </w:r>
      <w:r w:rsidRPr="00DF3328">
        <w:t xml:space="preserve">not </w:t>
      </w:r>
      <w:r w:rsidR="00EA7C7A" w:rsidRPr="00DF3328">
        <w:t>be</w:t>
      </w:r>
      <w:r w:rsidR="00EA7C7A" w:rsidRPr="00C83A9D">
        <w:rPr>
          <w:i/>
          <w:iCs/>
        </w:rPr>
        <w:t xml:space="preserve"> </w:t>
      </w:r>
      <w:r>
        <w:t>supported by the evidence. Whilst results from the key HIMALAYA trial suggest</w:t>
      </w:r>
      <w:r w:rsidR="00F926C9">
        <w:t>ed</w:t>
      </w:r>
      <w:r>
        <w:t xml:space="preserve"> that STRIDE treatment </w:t>
      </w:r>
      <w:r w:rsidR="00FE7E43">
        <w:t xml:space="preserve">led </w:t>
      </w:r>
      <w:r>
        <w:t>to a significant benefit in terms of OS compared to sorafenib</w:t>
      </w:r>
      <w:r w:rsidR="005447C4">
        <w:t xml:space="preserve"> (despite not demonstrating a PFS benefit)</w:t>
      </w:r>
      <w:r>
        <w:t>, the submission’s anchored</w:t>
      </w:r>
      <w:r w:rsidR="00FD51BC" w:rsidRPr="00C83A9D">
        <w:rPr>
          <w:i/>
          <w:iCs/>
        </w:rPr>
        <w:t xml:space="preserve">, </w:t>
      </w:r>
      <w:r w:rsidR="00FD51BC" w:rsidRPr="00DF3328">
        <w:t>unmatched and unadjusted</w:t>
      </w:r>
      <w:r>
        <w:t xml:space="preserve"> ITC did not demonstrate non-inferiority of STRIDE compared to </w:t>
      </w:r>
      <w:proofErr w:type="spellStart"/>
      <w:r>
        <w:t>atezo</w:t>
      </w:r>
      <w:proofErr w:type="spellEnd"/>
      <w:r>
        <w:t xml:space="preserve"> + b. </w:t>
      </w:r>
      <w:r w:rsidR="00AE4E27">
        <w:t xml:space="preserve">A </w:t>
      </w:r>
      <w:r>
        <w:t xml:space="preserve">principal </w:t>
      </w:r>
      <w:r w:rsidR="00945535">
        <w:t>issue for consideration</w:t>
      </w:r>
      <w:r w:rsidR="001342C0">
        <w:t xml:space="preserve"> was</w:t>
      </w:r>
      <w:r w:rsidR="001079B5">
        <w:t xml:space="preserve"> that</w:t>
      </w:r>
      <w:r>
        <w:t xml:space="preserve"> the point estimate for the HR was &gt; 1</w:t>
      </w:r>
      <w:r w:rsidR="00E55793">
        <w:t xml:space="preserve"> with a wide 95% CI </w:t>
      </w:r>
      <w:r w:rsidR="008F13F8">
        <w:t>and upper bound of 1.541</w:t>
      </w:r>
      <w:r>
        <w:t xml:space="preserve">, suggesting that STRIDE treatment may confer an increased risk of death compared to </w:t>
      </w:r>
      <w:proofErr w:type="spellStart"/>
      <w:r>
        <w:t>atezo</w:t>
      </w:r>
      <w:proofErr w:type="spellEnd"/>
      <w:r>
        <w:t xml:space="preserve"> + b, noting that the ITC lacked the power to demonstrate statistical significance.</w:t>
      </w:r>
      <w:r w:rsidRPr="036C43F0">
        <w:rPr>
          <w:i/>
          <w:iCs/>
        </w:rPr>
        <w:t xml:space="preserve"> </w:t>
      </w:r>
      <w:r>
        <w:t>The submission did not nominate a non-</w:t>
      </w:r>
      <w:r>
        <w:lastRenderedPageBreak/>
        <w:t>inferiority margin, and the upper limit of the 95% CI suggested patients could be at 5</w:t>
      </w:r>
      <w:r w:rsidR="008117AF">
        <w:t>4</w:t>
      </w:r>
      <w:r>
        <w:t xml:space="preserve">% increased risk of death with STRIDE treatment compared to </w:t>
      </w:r>
      <w:proofErr w:type="spellStart"/>
      <w:r>
        <w:t>atezo</w:t>
      </w:r>
      <w:proofErr w:type="spellEnd"/>
      <w:r>
        <w:t xml:space="preserve"> + b.</w:t>
      </w:r>
    </w:p>
    <w:p w14:paraId="278ADE20" w14:textId="77777777" w:rsidR="000D083B" w:rsidRDefault="003E76BE" w:rsidP="000C74A6">
      <w:pPr>
        <w:pStyle w:val="3-BodyText"/>
        <w:numPr>
          <w:ilvl w:val="0"/>
          <w:numId w:val="0"/>
        </w:numPr>
        <w:ind w:left="720"/>
      </w:pPr>
      <w:r w:rsidRPr="00CC06B6">
        <w:t xml:space="preserve">The submission’s claim of non-inferior safety of STRIDE compared to </w:t>
      </w:r>
      <w:proofErr w:type="spellStart"/>
      <w:r w:rsidRPr="00CC06B6">
        <w:t>atezo</w:t>
      </w:r>
      <w:proofErr w:type="spellEnd"/>
      <w:r w:rsidRPr="00CC06B6">
        <w:t xml:space="preserve"> + b was supported by the evidence in the ITC, which showed numerically similar adverse event rates between the HIMALAYA and IMBRAVE150 trials. There was a general trend for numerically fewer AEs associated with STRIDE compared to </w:t>
      </w:r>
      <w:proofErr w:type="spellStart"/>
      <w:r w:rsidRPr="00CC06B6">
        <w:t>atezo</w:t>
      </w:r>
      <w:proofErr w:type="spellEnd"/>
      <w:r w:rsidRPr="00CC06B6">
        <w:t xml:space="preserve"> + b (apart from serious </w:t>
      </w:r>
      <w:r w:rsidR="009722CF" w:rsidRPr="00CC06B6">
        <w:t>treatment related adverse events</w:t>
      </w:r>
      <w:r w:rsidRPr="00CC06B6">
        <w:t xml:space="preserve">), which </w:t>
      </w:r>
      <w:r w:rsidR="00F8142C" w:rsidRPr="00CC06B6">
        <w:t xml:space="preserve">was </w:t>
      </w:r>
      <w:r w:rsidRPr="00CC06B6">
        <w:t xml:space="preserve">consistent with the </w:t>
      </w:r>
      <w:r w:rsidR="00E93516" w:rsidRPr="00CC06B6">
        <w:t xml:space="preserve">differences in </w:t>
      </w:r>
      <w:r w:rsidRPr="00CC06B6">
        <w:t xml:space="preserve">treatment </w:t>
      </w:r>
      <w:r w:rsidR="00E93516" w:rsidRPr="00CC06B6">
        <w:t>protocols</w:t>
      </w:r>
      <w:r w:rsidR="00BE5E5A" w:rsidRPr="00CC06B6">
        <w:t>:</w:t>
      </w:r>
      <w:r w:rsidRPr="00CC06B6">
        <w:t xml:space="preserve"> after the first 4 weeks, the only active treatment in STRIDE </w:t>
      </w:r>
      <w:r w:rsidR="00BE5E5A" w:rsidRPr="00CC06B6">
        <w:t xml:space="preserve">was </w:t>
      </w:r>
      <w:r w:rsidRPr="00CC06B6">
        <w:t>a PD-L1 inhibitor (durvalumab) monotherapy compared to ongoing regular doses of both a PD-L1 inhibitor (atezolizumab)</w:t>
      </w:r>
      <w:r w:rsidR="00920955" w:rsidRPr="00CC06B6">
        <w:t xml:space="preserve"> c</w:t>
      </w:r>
      <w:r w:rsidRPr="00CC06B6">
        <w:t>ombined with a VEGF inhibitor (bevacizumab).</w:t>
      </w:r>
      <w:bookmarkStart w:id="29" w:name="_Toc107902078"/>
      <w:bookmarkStart w:id="30" w:name="_Toc22897645"/>
      <w:bookmarkEnd w:id="0"/>
      <w:bookmarkEnd w:id="1"/>
      <w:bookmarkEnd w:id="2"/>
      <w:bookmarkEnd w:id="3"/>
      <w:bookmarkEnd w:id="4"/>
      <w:bookmarkEnd w:id="29"/>
    </w:p>
    <w:p w14:paraId="27D1B41C" w14:textId="4866B718" w:rsidR="00DB0C95" w:rsidRPr="000C74A6" w:rsidRDefault="004E259C" w:rsidP="00177D10">
      <w:pPr>
        <w:widowControl w:val="0"/>
        <w:numPr>
          <w:ilvl w:val="1"/>
          <w:numId w:val="1"/>
        </w:numPr>
        <w:spacing w:after="120"/>
        <w:rPr>
          <w:rFonts w:asciiTheme="minorHAnsi" w:hAnsiTheme="minorHAnsi" w:cs="Arial"/>
          <w:snapToGrid w:val="0"/>
        </w:rPr>
      </w:pPr>
      <w:r w:rsidRPr="7F0BD753">
        <w:rPr>
          <w:rFonts w:asciiTheme="minorHAnsi" w:hAnsiTheme="minorHAnsi" w:cs="Arial"/>
          <w:snapToGrid w:val="0"/>
        </w:rPr>
        <w:t xml:space="preserve">The PBAC considered that the claim of non-inferior comparative effectiveness </w:t>
      </w:r>
      <w:r w:rsidR="00DD0046" w:rsidRPr="7F0BD753">
        <w:rPr>
          <w:rFonts w:asciiTheme="minorHAnsi" w:hAnsiTheme="minorHAnsi" w:cs="Arial"/>
          <w:snapToGrid w:val="0"/>
        </w:rPr>
        <w:t xml:space="preserve">based on the </w:t>
      </w:r>
      <w:r w:rsidR="000C74A6" w:rsidRPr="7F0BD753">
        <w:rPr>
          <w:rFonts w:asciiTheme="minorHAnsi" w:hAnsiTheme="minorHAnsi" w:cs="Arial"/>
          <w:snapToGrid w:val="0"/>
        </w:rPr>
        <w:t>compa</w:t>
      </w:r>
      <w:r w:rsidR="007C7751" w:rsidRPr="7F0BD753">
        <w:rPr>
          <w:rFonts w:asciiTheme="minorHAnsi" w:hAnsiTheme="minorHAnsi" w:cs="Arial"/>
          <w:snapToGrid w:val="0"/>
        </w:rPr>
        <w:t>risons presented in the submission were uncertain</w:t>
      </w:r>
      <w:r w:rsidR="3CB9F87A" w:rsidRPr="7F0BD753">
        <w:rPr>
          <w:rFonts w:asciiTheme="minorHAnsi" w:hAnsiTheme="minorHAnsi" w:cs="Arial"/>
          <w:snapToGrid w:val="0"/>
        </w:rPr>
        <w:t>;</w:t>
      </w:r>
      <w:r w:rsidR="00DD0046" w:rsidRPr="7F0BD753">
        <w:rPr>
          <w:rFonts w:asciiTheme="minorHAnsi" w:hAnsiTheme="minorHAnsi" w:cs="Arial"/>
          <w:snapToGrid w:val="0"/>
        </w:rPr>
        <w:t xml:space="preserve"> however</w:t>
      </w:r>
      <w:r w:rsidR="69FE7D54" w:rsidRPr="7F0BD753">
        <w:rPr>
          <w:rFonts w:asciiTheme="minorHAnsi" w:hAnsiTheme="minorHAnsi" w:cs="Arial"/>
          <w:snapToGrid w:val="0"/>
        </w:rPr>
        <w:t>,</w:t>
      </w:r>
      <w:r w:rsidR="00DD0046" w:rsidRPr="7F0BD753">
        <w:rPr>
          <w:rFonts w:asciiTheme="minorHAnsi" w:hAnsiTheme="minorHAnsi" w:cs="Arial"/>
          <w:snapToGrid w:val="0"/>
        </w:rPr>
        <w:t xml:space="preserve"> </w:t>
      </w:r>
      <w:proofErr w:type="gramStart"/>
      <w:r w:rsidR="00DD0046" w:rsidRPr="7F0BD753">
        <w:rPr>
          <w:rFonts w:asciiTheme="minorHAnsi" w:hAnsiTheme="minorHAnsi" w:cs="Arial"/>
          <w:snapToGrid w:val="0"/>
        </w:rPr>
        <w:t>taking into account</w:t>
      </w:r>
      <w:proofErr w:type="gramEnd"/>
      <w:r w:rsidR="00DD0046" w:rsidRPr="7F0BD753">
        <w:rPr>
          <w:rFonts w:asciiTheme="minorHAnsi" w:hAnsiTheme="minorHAnsi" w:cs="Arial"/>
          <w:snapToGrid w:val="0"/>
        </w:rPr>
        <w:t xml:space="preserve"> the matching-adjusted </w:t>
      </w:r>
      <w:r w:rsidR="000C74A6" w:rsidRPr="7F0BD753">
        <w:rPr>
          <w:rFonts w:asciiTheme="minorHAnsi" w:hAnsiTheme="minorHAnsi" w:cs="Arial"/>
          <w:snapToGrid w:val="0"/>
        </w:rPr>
        <w:t xml:space="preserve">comparison presented in the PSCR and totality of the available evidence, </w:t>
      </w:r>
      <w:r w:rsidR="4053B2E5" w:rsidRPr="7F0BD753">
        <w:rPr>
          <w:rFonts w:asciiTheme="minorHAnsi" w:hAnsiTheme="minorHAnsi" w:cs="Arial"/>
          <w:snapToGrid w:val="0"/>
        </w:rPr>
        <w:t xml:space="preserve">the PBAC </w:t>
      </w:r>
      <w:r w:rsidR="000C74A6" w:rsidRPr="7F0BD753">
        <w:rPr>
          <w:rFonts w:asciiTheme="minorHAnsi" w:hAnsiTheme="minorHAnsi" w:cs="Arial"/>
          <w:snapToGrid w:val="0"/>
        </w:rPr>
        <w:t>considered the claim was, on balance, likely to be reasonable.</w:t>
      </w:r>
    </w:p>
    <w:p w14:paraId="55CC6D20" w14:textId="64CD82D3" w:rsidR="007C509A" w:rsidRPr="00307D5B" w:rsidRDefault="007C509A" w:rsidP="00307D5B">
      <w:pPr>
        <w:widowControl w:val="0"/>
        <w:numPr>
          <w:ilvl w:val="1"/>
          <w:numId w:val="1"/>
        </w:numPr>
        <w:spacing w:after="120"/>
        <w:rPr>
          <w:rFonts w:asciiTheme="minorHAnsi" w:hAnsiTheme="minorHAnsi" w:cs="Arial"/>
          <w:snapToGrid w:val="0"/>
          <w:szCs w:val="20"/>
        </w:rPr>
      </w:pPr>
      <w:r w:rsidRPr="00CE42B4">
        <w:rPr>
          <w:rFonts w:asciiTheme="minorHAnsi" w:hAnsiTheme="minorHAnsi" w:cs="Arial"/>
          <w:snapToGrid w:val="0"/>
          <w:szCs w:val="20"/>
        </w:rPr>
        <w:t>The PBAC considered that the claim of non-inferior comparative safety was reasonable</w:t>
      </w:r>
      <w:r w:rsidR="007F6C87">
        <w:rPr>
          <w:rFonts w:asciiTheme="minorHAnsi" w:hAnsiTheme="minorHAnsi" w:cs="Arial"/>
          <w:snapToGrid w:val="0"/>
          <w:szCs w:val="20"/>
        </w:rPr>
        <w:t xml:space="preserve"> and</w:t>
      </w:r>
      <w:r w:rsidRPr="00CE42B4">
        <w:rPr>
          <w:rFonts w:asciiTheme="minorHAnsi" w:hAnsiTheme="minorHAnsi" w:cs="Arial"/>
          <w:snapToGrid w:val="0"/>
          <w:szCs w:val="20"/>
        </w:rPr>
        <w:t xml:space="preserve"> adequately supported by the data.</w:t>
      </w:r>
    </w:p>
    <w:p w14:paraId="5A477B6E" w14:textId="77777777" w:rsidR="000D083B" w:rsidRDefault="001E76A3" w:rsidP="001E76A3">
      <w:pPr>
        <w:pStyle w:val="4-SubsectionHeading"/>
      </w:pPr>
      <w:bookmarkStart w:id="31" w:name="_Toc193103691"/>
      <w:bookmarkEnd w:id="30"/>
      <w:r w:rsidRPr="00615D25">
        <w:t>Economic analysis</w:t>
      </w:r>
      <w:bookmarkEnd w:id="31"/>
    </w:p>
    <w:p w14:paraId="551D3935" w14:textId="77777777" w:rsidR="000D083B" w:rsidRDefault="001E76A3" w:rsidP="001E76A3">
      <w:pPr>
        <w:pStyle w:val="3-BodyText"/>
        <w:ind w:left="709"/>
      </w:pPr>
      <w:r>
        <w:t xml:space="preserve">The submission presented a CMA comparing STRIDE to </w:t>
      </w:r>
      <w:proofErr w:type="spellStart"/>
      <w:r w:rsidR="00635D19">
        <w:t>atezo</w:t>
      </w:r>
      <w:proofErr w:type="spellEnd"/>
      <w:r>
        <w:t xml:space="preserve"> + b based on the HIMALAYA and IMBRAVE150 trials. The reasonableness of this approach is contingent on the assumption that STRIDE is at least as effective and safe as </w:t>
      </w:r>
      <w:proofErr w:type="spellStart"/>
      <w:r>
        <w:t>atezo</w:t>
      </w:r>
      <w:proofErr w:type="spellEnd"/>
      <w:r>
        <w:t xml:space="preserve"> + b</w:t>
      </w:r>
      <w:r w:rsidR="00DF38F5">
        <w:t>.</w:t>
      </w:r>
    </w:p>
    <w:p w14:paraId="04FF7413" w14:textId="34331743" w:rsidR="000D083B" w:rsidRDefault="001E76A3" w:rsidP="001E76A3">
      <w:pPr>
        <w:pStyle w:val="3-BodyText"/>
        <w:ind w:left="709"/>
        <w:rPr>
          <w:color w:val="0066FF"/>
        </w:rPr>
      </w:pPr>
      <w:r w:rsidRPr="00615D25">
        <w:rPr>
          <w:rFonts w:cstheme="minorHAnsi"/>
        </w:rPr>
        <w:t>The components and assumptions for the CMA are summarised in</w:t>
      </w:r>
      <w:r w:rsidR="002C12C3">
        <w:rPr>
          <w:rFonts w:cstheme="minorHAnsi"/>
        </w:rPr>
        <w:t xml:space="preserve"> </w:t>
      </w:r>
      <w:r w:rsidR="002C12C3">
        <w:rPr>
          <w:rFonts w:cstheme="minorHAnsi"/>
        </w:rPr>
        <w:fldChar w:fldCharType="begin"/>
      </w:r>
      <w:r w:rsidR="002C12C3">
        <w:rPr>
          <w:rFonts w:cstheme="minorHAnsi"/>
        </w:rPr>
        <w:instrText xml:space="preserve"> REF _Ref190976380 \h </w:instrText>
      </w:r>
      <w:r w:rsidR="002C12C3">
        <w:rPr>
          <w:rFonts w:cstheme="minorHAnsi"/>
        </w:rPr>
      </w:r>
      <w:r w:rsidR="002C12C3">
        <w:rPr>
          <w:rFonts w:cstheme="minorHAnsi"/>
        </w:rPr>
        <w:fldChar w:fldCharType="separate"/>
      </w:r>
      <w:r w:rsidR="00AC295B" w:rsidRPr="00615D25">
        <w:t xml:space="preserve">Table </w:t>
      </w:r>
      <w:r w:rsidR="00AC295B">
        <w:rPr>
          <w:noProof/>
        </w:rPr>
        <w:t>9</w:t>
      </w:r>
      <w:r w:rsidR="002C12C3">
        <w:rPr>
          <w:rFonts w:cstheme="minorHAnsi"/>
        </w:rPr>
        <w:fldChar w:fldCharType="end"/>
      </w:r>
      <w:r w:rsidR="006A6EC3">
        <w:rPr>
          <w:rFonts w:cstheme="minorHAnsi"/>
        </w:rPr>
        <w:t>.</w:t>
      </w:r>
    </w:p>
    <w:p w14:paraId="013F245C" w14:textId="1CD9DD23" w:rsidR="001E76A3" w:rsidRPr="00615D25" w:rsidRDefault="001E76A3" w:rsidP="001E76A3">
      <w:pPr>
        <w:pStyle w:val="Caption"/>
        <w:jc w:val="left"/>
        <w:rPr>
          <w:rStyle w:val="CommentReference"/>
          <w:b/>
          <w:szCs w:val="24"/>
        </w:rPr>
      </w:pPr>
      <w:bookmarkStart w:id="32" w:name="_Ref190976380"/>
      <w:r w:rsidRPr="00615D25">
        <w:lastRenderedPageBreak/>
        <w:t xml:space="preserve">Table </w:t>
      </w:r>
      <w:r w:rsidR="005B443C">
        <w:fldChar w:fldCharType="begin"/>
      </w:r>
      <w:r w:rsidR="005B443C">
        <w:instrText xml:space="preserve"> SEQ Table \* ARABIC </w:instrText>
      </w:r>
      <w:r w:rsidR="005B443C">
        <w:fldChar w:fldCharType="separate"/>
      </w:r>
      <w:r w:rsidR="00AC295B">
        <w:rPr>
          <w:noProof/>
        </w:rPr>
        <w:t>9</w:t>
      </w:r>
      <w:r w:rsidR="005B443C">
        <w:rPr>
          <w:noProof/>
        </w:rPr>
        <w:fldChar w:fldCharType="end"/>
      </w:r>
      <w:bookmarkEnd w:id="32"/>
      <w:r w:rsidRPr="00615D25">
        <w:t>:</w:t>
      </w:r>
      <w:r w:rsidRPr="00615D25">
        <w:rPr>
          <w:rStyle w:val="CommentReference"/>
          <w:b/>
          <w:szCs w:val="24"/>
        </w:rPr>
        <w:t xml:space="preserve"> Key components and assumptions of the cost-minimisation approach</w:t>
      </w:r>
    </w:p>
    <w:tbl>
      <w:tblPr>
        <w:tblStyle w:val="AZTable"/>
        <w:tblW w:w="5000" w:type="pct"/>
        <w:tblLayout w:type="fixed"/>
        <w:tblLook w:val="04A0" w:firstRow="1" w:lastRow="0" w:firstColumn="1" w:lastColumn="0" w:noHBand="0" w:noVBand="1"/>
      </w:tblPr>
      <w:tblGrid>
        <w:gridCol w:w="1838"/>
        <w:gridCol w:w="7179"/>
      </w:tblGrid>
      <w:tr w:rsidR="001E76A3" w:rsidRPr="00A503F6" w14:paraId="03203A0A" w14:textId="77777777">
        <w:trPr>
          <w:cnfStyle w:val="100000000000" w:firstRow="1" w:lastRow="0" w:firstColumn="0" w:lastColumn="0" w:oddVBand="0" w:evenVBand="0" w:oddHBand="0" w:evenHBand="0" w:firstRowFirstColumn="0" w:firstRowLastColumn="0" w:lastRowFirstColumn="0" w:lastRowLastColumn="0"/>
          <w:tblHead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6E62959E" w14:textId="77777777" w:rsidR="001E76A3" w:rsidRPr="00A503F6" w:rsidRDefault="001E76A3">
            <w:pPr>
              <w:pStyle w:val="TableHeading0"/>
              <w:rPr>
                <w:sz w:val="20"/>
              </w:rPr>
            </w:pPr>
            <w:r w:rsidRPr="00A503F6">
              <w:rPr>
                <w:sz w:val="20"/>
              </w:rPr>
              <w:t>Component</w:t>
            </w:r>
          </w:p>
        </w:tc>
        <w:tc>
          <w:tcPr>
            <w:tcW w:w="7179" w:type="dxa"/>
            <w:tcBorders>
              <w:top w:val="single" w:sz="4" w:space="0" w:color="auto"/>
              <w:left w:val="single" w:sz="4" w:space="0" w:color="auto"/>
              <w:bottom w:val="single" w:sz="4" w:space="0" w:color="auto"/>
              <w:right w:val="single" w:sz="4" w:space="0" w:color="auto"/>
            </w:tcBorders>
            <w:shd w:val="clear" w:color="auto" w:fill="auto"/>
            <w:hideMark/>
          </w:tcPr>
          <w:p w14:paraId="5712B114" w14:textId="77777777" w:rsidR="001E76A3" w:rsidRPr="00A503F6" w:rsidRDefault="001E76A3">
            <w:pPr>
              <w:pStyle w:val="TableHeading0"/>
              <w:rPr>
                <w:sz w:val="20"/>
              </w:rPr>
            </w:pPr>
            <w:r w:rsidRPr="00A503F6">
              <w:rPr>
                <w:sz w:val="20"/>
              </w:rPr>
              <w:t>Claim or assumption</w:t>
            </w:r>
          </w:p>
        </w:tc>
      </w:tr>
      <w:tr w:rsidR="001E76A3" w:rsidRPr="00A503F6" w14:paraId="1D1F7F10" w14:textId="77777777">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065F4915" w14:textId="77777777" w:rsidR="001E76A3" w:rsidRPr="00A506BB" w:rsidRDefault="001E76A3">
            <w:pPr>
              <w:pStyle w:val="TableText0"/>
              <w:rPr>
                <w:sz w:val="20"/>
                <w:szCs w:val="20"/>
              </w:rPr>
            </w:pPr>
            <w:r w:rsidRPr="00A506BB">
              <w:rPr>
                <w:sz w:val="20"/>
                <w:szCs w:val="20"/>
              </w:rPr>
              <w:t>Therapeutic claim: effectiveness</w:t>
            </w:r>
          </w:p>
        </w:tc>
        <w:tc>
          <w:tcPr>
            <w:tcW w:w="7179" w:type="dxa"/>
            <w:tcBorders>
              <w:top w:val="single" w:sz="4" w:space="0" w:color="auto"/>
              <w:left w:val="single" w:sz="4" w:space="0" w:color="auto"/>
              <w:bottom w:val="single" w:sz="4" w:space="0" w:color="auto"/>
              <w:right w:val="single" w:sz="4" w:space="0" w:color="auto"/>
            </w:tcBorders>
            <w:shd w:val="clear" w:color="auto" w:fill="auto"/>
            <w:hideMark/>
          </w:tcPr>
          <w:p w14:paraId="10836DFF" w14:textId="58CFECDE" w:rsidR="001E76A3" w:rsidRPr="00A506BB" w:rsidRDefault="001E76A3">
            <w:pPr>
              <w:pStyle w:val="TableText0"/>
              <w:rPr>
                <w:sz w:val="20"/>
                <w:szCs w:val="20"/>
              </w:rPr>
            </w:pPr>
            <w:r w:rsidRPr="00A506BB">
              <w:rPr>
                <w:sz w:val="20"/>
                <w:szCs w:val="20"/>
              </w:rPr>
              <w:t>Based on evidence presented</w:t>
            </w:r>
            <w:r w:rsidR="00A506BB" w:rsidRPr="00A506BB">
              <w:rPr>
                <w:sz w:val="20"/>
                <w:szCs w:val="20"/>
              </w:rPr>
              <w:t xml:space="preserve">, </w:t>
            </w:r>
            <w:r w:rsidRPr="00A506BB">
              <w:rPr>
                <w:sz w:val="20"/>
                <w:szCs w:val="20"/>
              </w:rPr>
              <w:t>effectiveness is assumed to be non</w:t>
            </w:r>
            <w:r w:rsidRPr="00A506BB">
              <w:rPr>
                <w:sz w:val="20"/>
                <w:szCs w:val="20"/>
              </w:rPr>
              <w:noBreakHyphen/>
              <w:t>inferior.</w:t>
            </w:r>
          </w:p>
        </w:tc>
      </w:tr>
      <w:tr w:rsidR="001E76A3" w:rsidRPr="00A503F6" w14:paraId="5FB7E1D4" w14:textId="77777777">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5C5A5A34" w14:textId="77777777" w:rsidR="001E76A3" w:rsidRPr="00A506BB" w:rsidRDefault="001E76A3">
            <w:pPr>
              <w:pStyle w:val="TableText0"/>
              <w:rPr>
                <w:sz w:val="20"/>
                <w:szCs w:val="20"/>
              </w:rPr>
            </w:pPr>
            <w:r w:rsidRPr="00A506BB">
              <w:rPr>
                <w:sz w:val="20"/>
                <w:szCs w:val="20"/>
              </w:rPr>
              <w:t>Therapeutic claim: safety</w:t>
            </w:r>
          </w:p>
        </w:tc>
        <w:tc>
          <w:tcPr>
            <w:tcW w:w="7179" w:type="dxa"/>
            <w:tcBorders>
              <w:top w:val="single" w:sz="4" w:space="0" w:color="auto"/>
              <w:left w:val="single" w:sz="4" w:space="0" w:color="auto"/>
              <w:bottom w:val="single" w:sz="4" w:space="0" w:color="auto"/>
              <w:right w:val="single" w:sz="4" w:space="0" w:color="auto"/>
            </w:tcBorders>
            <w:shd w:val="clear" w:color="auto" w:fill="auto"/>
            <w:hideMark/>
          </w:tcPr>
          <w:p w14:paraId="114358F1" w14:textId="4892F056" w:rsidR="001E76A3" w:rsidRPr="00A506BB" w:rsidRDefault="001E76A3">
            <w:pPr>
              <w:pStyle w:val="TableText0"/>
              <w:rPr>
                <w:sz w:val="20"/>
                <w:szCs w:val="20"/>
              </w:rPr>
            </w:pPr>
            <w:r w:rsidRPr="00A506BB">
              <w:rPr>
                <w:sz w:val="20"/>
                <w:szCs w:val="20"/>
              </w:rPr>
              <w:t>Based on evidence presented</w:t>
            </w:r>
            <w:r w:rsidR="00A506BB" w:rsidRPr="00A506BB">
              <w:rPr>
                <w:sz w:val="20"/>
                <w:szCs w:val="20"/>
              </w:rPr>
              <w:t>,</w:t>
            </w:r>
            <w:r w:rsidRPr="00A506BB">
              <w:rPr>
                <w:sz w:val="20"/>
                <w:szCs w:val="20"/>
              </w:rPr>
              <w:t xml:space="preserve"> safety is assumed to be non-inferior. </w:t>
            </w:r>
          </w:p>
        </w:tc>
      </w:tr>
      <w:tr w:rsidR="001E76A3" w:rsidRPr="00A503F6" w14:paraId="124253DB" w14:textId="77777777">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2C5F5869" w14:textId="77777777" w:rsidR="001E76A3" w:rsidRPr="00A503F6" w:rsidRDefault="001E76A3">
            <w:pPr>
              <w:pStyle w:val="TableText0"/>
              <w:rPr>
                <w:sz w:val="20"/>
                <w:szCs w:val="20"/>
              </w:rPr>
            </w:pPr>
            <w:r w:rsidRPr="00A503F6">
              <w:rPr>
                <w:sz w:val="20"/>
                <w:szCs w:val="20"/>
              </w:rPr>
              <w:t>Evidence base</w:t>
            </w:r>
          </w:p>
        </w:tc>
        <w:tc>
          <w:tcPr>
            <w:tcW w:w="7179" w:type="dxa"/>
            <w:tcBorders>
              <w:top w:val="single" w:sz="4" w:space="0" w:color="auto"/>
              <w:left w:val="single" w:sz="4" w:space="0" w:color="auto"/>
              <w:bottom w:val="single" w:sz="4" w:space="0" w:color="auto"/>
              <w:right w:val="single" w:sz="4" w:space="0" w:color="auto"/>
            </w:tcBorders>
            <w:shd w:val="clear" w:color="auto" w:fill="auto"/>
            <w:hideMark/>
          </w:tcPr>
          <w:p w14:paraId="60CF782E" w14:textId="77777777" w:rsidR="001E76A3" w:rsidRPr="00A503F6" w:rsidRDefault="001E76A3">
            <w:pPr>
              <w:pStyle w:val="TableText0"/>
              <w:rPr>
                <w:sz w:val="20"/>
                <w:szCs w:val="20"/>
              </w:rPr>
            </w:pPr>
            <w:r w:rsidRPr="00A503F6">
              <w:rPr>
                <w:sz w:val="20"/>
                <w:szCs w:val="20"/>
              </w:rPr>
              <w:t xml:space="preserve">Indirect comparison of randomised trials. The indirect comparison is based on the HIMALAYA trial, which compared tremelimumab in combination with durvalumab (STRIDE) to sorafenib, and the IMBRAVE150 trial, which compared </w:t>
            </w:r>
            <w:proofErr w:type="spellStart"/>
            <w:r w:rsidRPr="00A503F6">
              <w:rPr>
                <w:sz w:val="20"/>
                <w:szCs w:val="20"/>
              </w:rPr>
              <w:t>atezo</w:t>
            </w:r>
            <w:proofErr w:type="spellEnd"/>
            <w:r>
              <w:rPr>
                <w:sz w:val="20"/>
                <w:szCs w:val="20"/>
              </w:rPr>
              <w:t xml:space="preserve"> </w:t>
            </w:r>
            <w:r w:rsidRPr="00A503F6">
              <w:rPr>
                <w:sz w:val="20"/>
                <w:szCs w:val="20"/>
              </w:rPr>
              <w:t>+</w:t>
            </w:r>
            <w:r>
              <w:rPr>
                <w:sz w:val="20"/>
                <w:szCs w:val="20"/>
              </w:rPr>
              <w:t xml:space="preserve"> </w:t>
            </w:r>
            <w:r w:rsidRPr="00A503F6">
              <w:rPr>
                <w:sz w:val="20"/>
                <w:szCs w:val="20"/>
              </w:rPr>
              <w:t>b</w:t>
            </w:r>
            <w:r w:rsidRPr="00A503F6" w:rsidDel="00EB3CD0">
              <w:rPr>
                <w:sz w:val="20"/>
                <w:szCs w:val="20"/>
              </w:rPr>
              <w:t xml:space="preserve"> </w:t>
            </w:r>
            <w:r w:rsidRPr="00A503F6">
              <w:rPr>
                <w:sz w:val="20"/>
                <w:szCs w:val="20"/>
              </w:rPr>
              <w:t>to sorafenib.</w:t>
            </w:r>
          </w:p>
        </w:tc>
      </w:tr>
      <w:tr w:rsidR="001E76A3" w:rsidRPr="00A503F6" w14:paraId="6ECA38E8"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597B58E" w14:textId="77777777" w:rsidR="001E76A3" w:rsidRPr="00A503F6" w:rsidRDefault="001E76A3">
            <w:pPr>
              <w:pStyle w:val="TableText0"/>
              <w:rPr>
                <w:sz w:val="20"/>
                <w:szCs w:val="20"/>
              </w:rPr>
            </w:pPr>
            <w:r w:rsidRPr="00A503F6">
              <w:rPr>
                <w:sz w:val="20"/>
                <w:szCs w:val="20"/>
              </w:rPr>
              <w:t xml:space="preserve">Equi-effective doses </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81CB684" w14:textId="77777777" w:rsidR="001E76A3" w:rsidRPr="00A503F6" w:rsidRDefault="001E76A3">
            <w:pPr>
              <w:pStyle w:val="TableText0"/>
              <w:rPr>
                <w:sz w:val="20"/>
                <w:szCs w:val="20"/>
              </w:rPr>
            </w:pPr>
            <w:r w:rsidRPr="00A503F6">
              <w:rPr>
                <w:sz w:val="20"/>
                <w:szCs w:val="20"/>
              </w:rPr>
              <w:t>Single dose tremelimumab (300 mg) with durvalumab (1,500 mg) at Cycle 1, Day 1 and durvalumab (1,500 mg) every 4 weeks for a total of 5.5 months (STRIDE) is equi</w:t>
            </w:r>
            <w:r w:rsidRPr="00A503F6">
              <w:rPr>
                <w:sz w:val="20"/>
                <w:szCs w:val="20"/>
              </w:rPr>
              <w:noBreakHyphen/>
              <w:t>effective to atezolizumab (1,200 mg) every 3 weeks for a total of 8.4 months with bevacizumab 15 mg/kg every 3 weeks for a total of 7.0 months.</w:t>
            </w:r>
          </w:p>
          <w:p w14:paraId="0092CD0F" w14:textId="77777777" w:rsidR="001E76A3" w:rsidRPr="00A503F6" w:rsidRDefault="001E76A3">
            <w:pPr>
              <w:pStyle w:val="TableText0"/>
              <w:rPr>
                <w:sz w:val="20"/>
                <w:szCs w:val="20"/>
              </w:rPr>
            </w:pPr>
          </w:p>
          <w:p w14:paraId="1AD16988" w14:textId="77777777" w:rsidR="001E76A3" w:rsidRPr="00A503F6" w:rsidRDefault="001E76A3">
            <w:pPr>
              <w:pStyle w:val="TableText0"/>
              <w:rPr>
                <w:sz w:val="20"/>
                <w:szCs w:val="20"/>
              </w:rPr>
            </w:pPr>
            <w:r w:rsidRPr="00A503F6">
              <w:rPr>
                <w:sz w:val="20"/>
                <w:szCs w:val="20"/>
              </w:rPr>
              <w:t>8,938 mg durvalumab + 300 mg tremelimumab = 14,560 mg atezolizumab + 10,880 mg bevacizumab</w:t>
            </w:r>
          </w:p>
        </w:tc>
      </w:tr>
      <w:tr w:rsidR="001E76A3" w:rsidRPr="00A503F6" w14:paraId="3EF5E8A9" w14:textId="77777777">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5EF611F4" w14:textId="77777777" w:rsidR="001E76A3" w:rsidRPr="00A503F6" w:rsidRDefault="001E76A3">
            <w:pPr>
              <w:pStyle w:val="TableText0"/>
              <w:rPr>
                <w:sz w:val="20"/>
                <w:szCs w:val="20"/>
              </w:rPr>
            </w:pPr>
            <w:r w:rsidRPr="00A503F6">
              <w:rPr>
                <w:sz w:val="20"/>
                <w:szCs w:val="20"/>
              </w:rPr>
              <w:t>Direct medicine costs</w:t>
            </w:r>
          </w:p>
        </w:tc>
        <w:tc>
          <w:tcPr>
            <w:tcW w:w="7179" w:type="dxa"/>
            <w:tcBorders>
              <w:top w:val="single" w:sz="4" w:space="0" w:color="auto"/>
              <w:left w:val="single" w:sz="4" w:space="0" w:color="auto"/>
              <w:bottom w:val="single" w:sz="4" w:space="0" w:color="auto"/>
              <w:right w:val="single" w:sz="4" w:space="0" w:color="auto"/>
            </w:tcBorders>
            <w:shd w:val="clear" w:color="auto" w:fill="auto"/>
            <w:hideMark/>
          </w:tcPr>
          <w:p w14:paraId="211BB4DB" w14:textId="574680CA" w:rsidR="001E76A3" w:rsidRPr="00A503F6" w:rsidRDefault="001E76A3">
            <w:pPr>
              <w:pStyle w:val="TableText0"/>
              <w:rPr>
                <w:sz w:val="20"/>
                <w:szCs w:val="20"/>
              </w:rPr>
            </w:pPr>
            <w:r w:rsidRPr="00A503F6">
              <w:rPr>
                <w:sz w:val="20"/>
                <w:szCs w:val="20"/>
              </w:rPr>
              <w:t>The cost of STRIDE per treatment course was $</w:t>
            </w:r>
            <w:r w:rsidR="00DF294A" w:rsidRPr="009576EF">
              <w:rPr>
                <w:color w:val="000000"/>
                <w:spacing w:val="55"/>
                <w:w w:val="96"/>
                <w:sz w:val="20"/>
                <w:szCs w:val="20"/>
                <w:shd w:val="solid" w:color="000000" w:fill="000000"/>
                <w:fitText w:val="330" w:id="-664012030"/>
                <w14:textFill>
                  <w14:solidFill>
                    <w14:srgbClr w14:val="000000">
                      <w14:alpha w14:val="100000"/>
                    </w14:srgbClr>
                  </w14:solidFill>
                </w14:textFill>
              </w:rPr>
              <w:t>|||</w:t>
            </w:r>
            <w:r w:rsidR="00DF294A" w:rsidRPr="009576EF">
              <w:rPr>
                <w:color w:val="000000"/>
                <w:spacing w:val="2"/>
                <w:w w:val="96"/>
                <w:sz w:val="20"/>
                <w:szCs w:val="20"/>
                <w:shd w:val="solid" w:color="000000" w:fill="000000"/>
                <w:fitText w:val="330" w:id="-664012030"/>
                <w14:textFill>
                  <w14:solidFill>
                    <w14:srgbClr w14:val="000000">
                      <w14:alpha w14:val="100000"/>
                    </w14:srgbClr>
                  </w14:solidFill>
                </w14:textFill>
              </w:rPr>
              <w:t>|</w:t>
            </w:r>
            <w:r w:rsidRPr="00A503F6">
              <w:rPr>
                <w:sz w:val="20"/>
                <w:szCs w:val="20"/>
              </w:rPr>
              <w:t>, $</w:t>
            </w:r>
            <w:r w:rsidR="00DF294A" w:rsidRPr="009576EF">
              <w:rPr>
                <w:color w:val="000000"/>
                <w:spacing w:val="55"/>
                <w:w w:val="96"/>
                <w:sz w:val="20"/>
                <w:szCs w:val="20"/>
                <w:shd w:val="solid" w:color="000000" w:fill="000000"/>
                <w:fitText w:val="330" w:id="-664012029"/>
                <w14:textFill>
                  <w14:solidFill>
                    <w14:srgbClr w14:val="000000">
                      <w14:alpha w14:val="100000"/>
                    </w14:srgbClr>
                  </w14:solidFill>
                </w14:textFill>
              </w:rPr>
              <w:t>|||</w:t>
            </w:r>
            <w:r w:rsidR="00DF294A" w:rsidRPr="009576EF">
              <w:rPr>
                <w:color w:val="000000"/>
                <w:spacing w:val="2"/>
                <w:w w:val="96"/>
                <w:sz w:val="20"/>
                <w:szCs w:val="20"/>
                <w:shd w:val="solid" w:color="000000" w:fill="000000"/>
                <w:fitText w:val="330" w:id="-664012029"/>
                <w14:textFill>
                  <w14:solidFill>
                    <w14:srgbClr w14:val="000000">
                      <w14:alpha w14:val="100000"/>
                    </w14:srgbClr>
                  </w14:solidFill>
                </w14:textFill>
              </w:rPr>
              <w:t>|</w:t>
            </w:r>
            <w:r w:rsidRPr="00A503F6">
              <w:rPr>
                <w:sz w:val="20"/>
                <w:szCs w:val="20"/>
              </w:rPr>
              <w:t xml:space="preserve">, higher than the cost of </w:t>
            </w:r>
            <w:proofErr w:type="spellStart"/>
            <w:r w:rsidRPr="00A503F6">
              <w:rPr>
                <w:sz w:val="20"/>
                <w:szCs w:val="20"/>
              </w:rPr>
              <w:t>atezo</w:t>
            </w:r>
            <w:proofErr w:type="spellEnd"/>
            <w:r w:rsidRPr="00A503F6">
              <w:rPr>
                <w:sz w:val="20"/>
                <w:szCs w:val="20"/>
              </w:rPr>
              <w:t xml:space="preserve"> +</w:t>
            </w:r>
            <w:r>
              <w:rPr>
                <w:sz w:val="20"/>
                <w:szCs w:val="20"/>
              </w:rPr>
              <w:t xml:space="preserve"> </w:t>
            </w:r>
            <w:r w:rsidRPr="00A503F6">
              <w:rPr>
                <w:sz w:val="20"/>
                <w:szCs w:val="20"/>
              </w:rPr>
              <w:t>b per treatment course which was $</w:t>
            </w:r>
            <w:r w:rsidR="00DF294A" w:rsidRPr="009576EF">
              <w:rPr>
                <w:color w:val="000000"/>
                <w:spacing w:val="55"/>
                <w:w w:val="96"/>
                <w:sz w:val="20"/>
                <w:szCs w:val="20"/>
                <w:shd w:val="solid" w:color="000000" w:fill="000000"/>
                <w:fitText w:val="330" w:id="-664012028"/>
                <w14:textFill>
                  <w14:solidFill>
                    <w14:srgbClr w14:val="000000">
                      <w14:alpha w14:val="100000"/>
                    </w14:srgbClr>
                  </w14:solidFill>
                </w14:textFill>
              </w:rPr>
              <w:t>|||</w:t>
            </w:r>
            <w:r w:rsidR="00DF294A" w:rsidRPr="009576EF">
              <w:rPr>
                <w:color w:val="000000"/>
                <w:spacing w:val="2"/>
                <w:w w:val="96"/>
                <w:sz w:val="20"/>
                <w:szCs w:val="20"/>
                <w:shd w:val="solid" w:color="000000" w:fill="000000"/>
                <w:fitText w:val="330" w:id="-664012028"/>
                <w14:textFill>
                  <w14:solidFill>
                    <w14:srgbClr w14:val="000000">
                      <w14:alpha w14:val="100000"/>
                    </w14:srgbClr>
                  </w14:solidFill>
                </w14:textFill>
              </w:rPr>
              <w:t>|</w:t>
            </w:r>
            <w:r w:rsidRPr="00A503F6">
              <w:rPr>
                <w:sz w:val="20"/>
                <w:szCs w:val="20"/>
              </w:rPr>
              <w:t xml:space="preserve"> (based on the assumed effective prices of </w:t>
            </w:r>
            <w:proofErr w:type="spellStart"/>
            <w:r w:rsidRPr="00A503F6">
              <w:rPr>
                <w:sz w:val="20"/>
                <w:szCs w:val="20"/>
              </w:rPr>
              <w:t>atezo</w:t>
            </w:r>
            <w:proofErr w:type="spellEnd"/>
            <w:r>
              <w:rPr>
                <w:sz w:val="20"/>
                <w:szCs w:val="20"/>
              </w:rPr>
              <w:t xml:space="preserve"> </w:t>
            </w:r>
            <w:r w:rsidRPr="00A503F6">
              <w:rPr>
                <w:sz w:val="20"/>
                <w:szCs w:val="20"/>
              </w:rPr>
              <w:t>+</w:t>
            </w:r>
            <w:r>
              <w:rPr>
                <w:sz w:val="20"/>
                <w:szCs w:val="20"/>
              </w:rPr>
              <w:t xml:space="preserve"> </w:t>
            </w:r>
            <w:r w:rsidRPr="00A503F6">
              <w:rPr>
                <w:sz w:val="20"/>
                <w:szCs w:val="20"/>
              </w:rPr>
              <w:t>b)</w:t>
            </w:r>
          </w:p>
        </w:tc>
      </w:tr>
      <w:tr w:rsidR="001E76A3" w:rsidRPr="00A503F6" w14:paraId="1CF73FC4" w14:textId="77777777">
        <w:tc>
          <w:tcPr>
            <w:tcW w:w="1838" w:type="dxa"/>
          </w:tcPr>
          <w:p w14:paraId="7AEB7096" w14:textId="77777777" w:rsidR="001E76A3" w:rsidRPr="00A503F6" w:rsidRDefault="001E76A3">
            <w:pPr>
              <w:pStyle w:val="TableText0"/>
              <w:rPr>
                <w:sz w:val="20"/>
                <w:szCs w:val="20"/>
              </w:rPr>
            </w:pPr>
            <w:r w:rsidRPr="00A503F6">
              <w:rPr>
                <w:sz w:val="20"/>
                <w:szCs w:val="20"/>
              </w:rPr>
              <w:t>Other costs or cost offsets</w:t>
            </w:r>
          </w:p>
        </w:tc>
        <w:tc>
          <w:tcPr>
            <w:tcW w:w="7179" w:type="dxa"/>
          </w:tcPr>
          <w:p w14:paraId="354B187D" w14:textId="77777777" w:rsidR="001E76A3" w:rsidRPr="00A503F6" w:rsidRDefault="001E76A3">
            <w:pPr>
              <w:pStyle w:val="TableText0"/>
              <w:rPr>
                <w:sz w:val="20"/>
                <w:szCs w:val="20"/>
              </w:rPr>
            </w:pPr>
            <w:r w:rsidRPr="00A503F6">
              <w:rPr>
                <w:sz w:val="20"/>
                <w:szCs w:val="20"/>
              </w:rPr>
              <w:t xml:space="preserve">MBS cost, item 13950 for the administration of the intravenous infusion ($123.05), applied to both STRIDE and </w:t>
            </w:r>
            <w:proofErr w:type="spellStart"/>
            <w:r w:rsidRPr="00A503F6">
              <w:rPr>
                <w:sz w:val="20"/>
                <w:szCs w:val="20"/>
              </w:rPr>
              <w:t>atezo</w:t>
            </w:r>
            <w:proofErr w:type="spellEnd"/>
            <w:r>
              <w:rPr>
                <w:sz w:val="20"/>
                <w:szCs w:val="20"/>
              </w:rPr>
              <w:t xml:space="preserve"> </w:t>
            </w:r>
            <w:r w:rsidRPr="00A503F6">
              <w:rPr>
                <w:sz w:val="20"/>
                <w:szCs w:val="20"/>
              </w:rPr>
              <w:t>+</w:t>
            </w:r>
            <w:r>
              <w:rPr>
                <w:sz w:val="20"/>
                <w:szCs w:val="20"/>
              </w:rPr>
              <w:t xml:space="preserve"> </w:t>
            </w:r>
            <w:r w:rsidRPr="00A503F6">
              <w:rPr>
                <w:sz w:val="20"/>
                <w:szCs w:val="20"/>
              </w:rPr>
              <w:t>b.</w:t>
            </w:r>
          </w:p>
        </w:tc>
      </w:tr>
    </w:tbl>
    <w:p w14:paraId="0145FFCF" w14:textId="27441102" w:rsidR="001E76A3" w:rsidRPr="00615D25" w:rsidRDefault="001E76A3" w:rsidP="00F54E36">
      <w:pPr>
        <w:pStyle w:val="FooterTableFigure"/>
        <w:jc w:val="left"/>
        <w:rPr>
          <w:sz w:val="20"/>
        </w:rPr>
      </w:pPr>
      <w:r w:rsidRPr="00615D25">
        <w:t>Source: Table 3-1 p 151 of the submission</w:t>
      </w:r>
      <w:r>
        <w:t>.</w:t>
      </w:r>
      <w:r w:rsidR="00F54E36">
        <w:br/>
      </w:r>
      <w:proofErr w:type="spellStart"/>
      <w:r>
        <w:t>a</w:t>
      </w:r>
      <w:r w:rsidRPr="00615D25">
        <w:t>tezo</w:t>
      </w:r>
      <w:proofErr w:type="spellEnd"/>
      <w:r>
        <w:t xml:space="preserve"> </w:t>
      </w:r>
      <w:r w:rsidRPr="00615D25">
        <w:t>+</w:t>
      </w:r>
      <w:r>
        <w:t xml:space="preserve"> </w:t>
      </w:r>
      <w:r w:rsidRPr="00615D25">
        <w:t xml:space="preserve">b = atezolizumab plus bevacizumab; MBS = Medicare Benefits </w:t>
      </w:r>
      <w:r w:rsidR="007D774F">
        <w:t>Schedule</w:t>
      </w:r>
      <w:r w:rsidRPr="00615D25">
        <w:t>; mg = milligram; STRIDE = Single Tremelimumab Regular Interval Durvalumab</w:t>
      </w:r>
      <w:r>
        <w:t>.</w:t>
      </w:r>
    </w:p>
    <w:p w14:paraId="45EE3530" w14:textId="77777777" w:rsidR="000D083B" w:rsidRDefault="001E76A3" w:rsidP="001E76A3">
      <w:pPr>
        <w:pStyle w:val="3-BodyText"/>
        <w:ind w:left="709"/>
        <w:rPr>
          <w:rFonts w:cstheme="minorHAnsi"/>
        </w:rPr>
      </w:pPr>
      <w:r w:rsidRPr="00615D25">
        <w:rPr>
          <w:rFonts w:cstheme="minorHAnsi"/>
        </w:rPr>
        <w:t>The estimation of equi-effective doses was based on</w:t>
      </w:r>
      <w:r>
        <w:rPr>
          <w:rFonts w:cstheme="minorHAnsi"/>
        </w:rPr>
        <w:t xml:space="preserve"> the dosage regimens in HIMALAYA and IMBRAVE150</w:t>
      </w:r>
      <w:r w:rsidRPr="00615D25">
        <w:rPr>
          <w:rFonts w:cstheme="minorHAnsi"/>
        </w:rPr>
        <w:t xml:space="preserve">. </w:t>
      </w:r>
      <w:r>
        <w:rPr>
          <w:rFonts w:cstheme="minorHAnsi"/>
        </w:rPr>
        <w:t>T</w:t>
      </w:r>
      <w:r w:rsidRPr="00615D25">
        <w:rPr>
          <w:rFonts w:cstheme="minorHAnsi"/>
        </w:rPr>
        <w:t xml:space="preserve">he submission sourced the dose per infusion </w:t>
      </w:r>
      <w:r>
        <w:rPr>
          <w:rFonts w:cstheme="minorHAnsi"/>
        </w:rPr>
        <w:t xml:space="preserve">of </w:t>
      </w:r>
      <w:r w:rsidRPr="00CC06B6">
        <w:rPr>
          <w:rFonts w:cstheme="minorHAnsi"/>
        </w:rPr>
        <w:t xml:space="preserve">bevacizumab from the atezolizumab </w:t>
      </w:r>
      <w:r w:rsidR="001A6D60">
        <w:rPr>
          <w:rFonts w:cstheme="minorHAnsi"/>
        </w:rPr>
        <w:t>PSD</w:t>
      </w:r>
      <w:r w:rsidRPr="00CC06B6">
        <w:rPr>
          <w:rFonts w:cstheme="minorHAnsi"/>
        </w:rPr>
        <w:t>, which applied a mean dose per infusion of 1,</w:t>
      </w:r>
      <w:r w:rsidR="001A6D60" w:rsidRPr="00CC06B6">
        <w:rPr>
          <w:rFonts w:cstheme="minorHAnsi"/>
        </w:rPr>
        <w:t>076</w:t>
      </w:r>
      <w:r w:rsidR="001A6D60">
        <w:rPr>
          <w:rFonts w:cstheme="minorHAnsi"/>
        </w:rPr>
        <w:t> </w:t>
      </w:r>
      <w:r w:rsidRPr="00CC06B6">
        <w:rPr>
          <w:rFonts w:cstheme="minorHAnsi"/>
        </w:rPr>
        <w:t xml:space="preserve">mg in the economic model (para 6.46, atezolizumab PSD, July 2020 PBAC Meeting). This was reasonable. The dosage regimens used in the trials were consistent with each medicine’s TGA approved PI. The equi-effective dose assumed 100% dose intensity. The relative dose intensity (RDI) in HIMALAYA was 100% for tremelimumab and 97.6% for durvalumab. The results of the CMA applying the RDI for STRIDE in HIMALAYA and </w:t>
      </w:r>
      <w:proofErr w:type="spellStart"/>
      <w:r w:rsidRPr="00CC06B6">
        <w:rPr>
          <w:rFonts w:cstheme="minorHAnsi"/>
        </w:rPr>
        <w:t>atezo</w:t>
      </w:r>
      <w:proofErr w:type="spellEnd"/>
      <w:r w:rsidRPr="00CC06B6">
        <w:rPr>
          <w:rFonts w:cstheme="minorHAnsi"/>
        </w:rPr>
        <w:t xml:space="preserve"> + b in IMBRAVE150 are presented in the CIC section of the Commentary.</w:t>
      </w:r>
    </w:p>
    <w:p w14:paraId="0A9D8EED" w14:textId="77777777" w:rsidR="000D083B" w:rsidRDefault="001E76A3" w:rsidP="001E76A3">
      <w:pPr>
        <w:pStyle w:val="3-BodyText"/>
        <w:ind w:left="709"/>
        <w:rPr>
          <w:rFonts w:cstheme="minorHAnsi"/>
        </w:rPr>
      </w:pPr>
      <w:r w:rsidRPr="00615D25">
        <w:rPr>
          <w:rFonts w:cstheme="minorHAnsi"/>
        </w:rPr>
        <w:t>The submission acknowledged that an alternative dosing regimen for atezolizumab was available on the PBS to allow patients to continue to receive atezolizumab where bevacizumab is discontinued. This alternative dose was 1,680 mg (given as two 840</w:t>
      </w:r>
      <w:r w:rsidR="001A6D60">
        <w:rPr>
          <w:rFonts w:cstheme="minorHAnsi"/>
        </w:rPr>
        <w:t> </w:t>
      </w:r>
      <w:r w:rsidRPr="00615D25">
        <w:rPr>
          <w:rFonts w:cstheme="minorHAnsi"/>
        </w:rPr>
        <w:t>mg vials) every 4 weeks.</w:t>
      </w:r>
      <w:r w:rsidRPr="00615D25" w:rsidDel="007669BD">
        <w:rPr>
          <w:rFonts w:cstheme="minorHAnsi"/>
        </w:rPr>
        <w:t xml:space="preserve"> </w:t>
      </w:r>
      <w:r w:rsidRPr="00615D25">
        <w:rPr>
          <w:rFonts w:cstheme="minorHAnsi"/>
        </w:rPr>
        <w:t xml:space="preserve">The four weekly regimen was not included in the CMA presented </w:t>
      </w:r>
      <w:r w:rsidRPr="00CC06B6">
        <w:rPr>
          <w:rFonts w:cstheme="minorHAnsi"/>
        </w:rPr>
        <w:t xml:space="preserve">by the submission because of low utilisation of the atezolizumab monotherapy continuing regimen (2.1% of the total atezolizumab HCC utilisation based on PBS Statistics, November 2020 to July 2024). This was reasonable given that patients in IMBRAVE150 received </w:t>
      </w:r>
      <w:proofErr w:type="spellStart"/>
      <w:r w:rsidRPr="00CC06B6">
        <w:rPr>
          <w:rFonts w:cstheme="minorHAnsi"/>
        </w:rPr>
        <w:t>atezo</w:t>
      </w:r>
      <w:proofErr w:type="spellEnd"/>
      <w:r w:rsidRPr="00CC06B6">
        <w:rPr>
          <w:rFonts w:cstheme="minorHAnsi"/>
        </w:rPr>
        <w:t xml:space="preserve"> + b</w:t>
      </w:r>
      <w:r w:rsidRPr="00CC06B6" w:rsidDel="009E5051">
        <w:rPr>
          <w:rFonts w:cstheme="minorHAnsi"/>
        </w:rPr>
        <w:t xml:space="preserve"> </w:t>
      </w:r>
      <w:r w:rsidRPr="00CC06B6">
        <w:rPr>
          <w:rFonts w:cstheme="minorHAnsi"/>
        </w:rPr>
        <w:t>every 3 weeks only.</w:t>
      </w:r>
    </w:p>
    <w:p w14:paraId="66CDDD26" w14:textId="77777777" w:rsidR="000D083B" w:rsidRDefault="001E76A3" w:rsidP="7F0BD753">
      <w:pPr>
        <w:pStyle w:val="3-BodyText"/>
        <w:ind w:left="709"/>
      </w:pPr>
      <w:r w:rsidRPr="7F0BD753">
        <w:t xml:space="preserve">The equi-effective doses for STRIDE and atezolizumab were based on the median treatment duration reported in HIMALAYA and IMBRAVE150. The median duration of follow-up in IMBRAVE150 </w:t>
      </w:r>
      <w:r w:rsidR="00D85266" w:rsidRPr="7F0BD753">
        <w:t xml:space="preserve">(August </w:t>
      </w:r>
      <w:r w:rsidRPr="7F0BD753">
        <w:t>2020 DCO) was 15.6 months, and the median duration of treatment was 8.4 months with atezolizumab and 7.0 months with bevacizumab. The median duration of treatment with durvalumab was 5.</w:t>
      </w:r>
      <w:r w:rsidR="001A6D60" w:rsidRPr="7F0BD753">
        <w:t>5</w:t>
      </w:r>
      <w:r w:rsidR="001A6D60">
        <w:t> </w:t>
      </w:r>
      <w:r w:rsidRPr="7F0BD753">
        <w:t xml:space="preserve">months and 1 month with tremelimumab based on the four-year HIMALAYA analysis </w:t>
      </w:r>
      <w:r w:rsidRPr="7F0BD753">
        <w:lastRenderedPageBreak/>
        <w:t>(January</w:t>
      </w:r>
      <w:r w:rsidR="001A6D60">
        <w:t> </w:t>
      </w:r>
      <w:r w:rsidRPr="7F0BD753">
        <w:t xml:space="preserve">2023 DCO) with a median follow-up of 49.1 months. The submission argued that given the difference in duration of follow-up between the two trials, using the median treatment duration reported in HIMALAYA and IMBRAVE150 was appropriate. </w:t>
      </w:r>
      <w:r w:rsidR="00603BC7" w:rsidRPr="7F0BD753">
        <w:t>The pre</w:t>
      </w:r>
      <w:r w:rsidR="00FB45C8" w:rsidRPr="7F0BD753">
        <w:t>-PBAC response stated that applying mean duration of treatment as reported for both primary analyses in the CMA is inappropriate</w:t>
      </w:r>
      <w:r w:rsidR="00FF0E02" w:rsidRPr="7F0BD753">
        <w:t xml:space="preserve"> and disproportionately biases the results against durvalumab due to the trial's longer-term follow-up.</w:t>
      </w:r>
    </w:p>
    <w:p w14:paraId="399964C0" w14:textId="77777777" w:rsidR="000D083B" w:rsidRDefault="001E76A3" w:rsidP="001E76A3">
      <w:pPr>
        <w:pStyle w:val="3-BodyText"/>
        <w:ind w:left="709"/>
        <w:rPr>
          <w:rFonts w:cstheme="minorHAnsi"/>
        </w:rPr>
      </w:pPr>
      <w:r w:rsidRPr="00615D25">
        <w:t xml:space="preserve">The submission concluded that </w:t>
      </w:r>
      <w:r w:rsidRPr="00615D25">
        <w:rPr>
          <w:rFonts w:cstheme="minorHAnsi"/>
        </w:rPr>
        <w:t xml:space="preserve">8,938 mg durvalumab Q4W + 300 mg tremelimumab single dose </w:t>
      </w:r>
      <w:r>
        <w:rPr>
          <w:rFonts w:cstheme="minorHAnsi"/>
        </w:rPr>
        <w:t>was equi-effective to</w:t>
      </w:r>
      <w:r w:rsidRPr="00615D25">
        <w:rPr>
          <w:rFonts w:cstheme="minorHAnsi"/>
        </w:rPr>
        <w:t xml:space="preserve"> 14,560 mg atezolizumab Q3W+ 10,</w:t>
      </w:r>
      <w:r w:rsidR="001A6D60" w:rsidRPr="00615D25">
        <w:rPr>
          <w:rFonts w:cstheme="minorHAnsi"/>
        </w:rPr>
        <w:t>880</w:t>
      </w:r>
      <w:r w:rsidR="001A6D60">
        <w:rPr>
          <w:rFonts w:cstheme="minorHAnsi"/>
        </w:rPr>
        <w:t> </w:t>
      </w:r>
      <w:r w:rsidRPr="00615D25">
        <w:rPr>
          <w:rFonts w:cstheme="minorHAnsi"/>
        </w:rPr>
        <w:t>mg bevacizumab QW3</w:t>
      </w:r>
      <w:r>
        <w:rPr>
          <w:rFonts w:cstheme="minorHAnsi"/>
        </w:rPr>
        <w:t>.</w:t>
      </w:r>
    </w:p>
    <w:p w14:paraId="0C1FF6C6" w14:textId="7B850839" w:rsidR="001E76A3" w:rsidRPr="00615D25" w:rsidRDefault="001E76A3" w:rsidP="001E76A3">
      <w:pPr>
        <w:pStyle w:val="3-BodyText"/>
        <w:ind w:left="709"/>
        <w:rPr>
          <w:color w:val="0066FF"/>
        </w:rPr>
      </w:pPr>
      <w:r w:rsidRPr="00615D25">
        <w:rPr>
          <w:rFonts w:cstheme="minorHAnsi"/>
        </w:rPr>
        <w:t xml:space="preserve">The submission included cost offsets associated with differences in the frequency of administering STRIDE and </w:t>
      </w:r>
      <w:proofErr w:type="spellStart"/>
      <w:r w:rsidRPr="00615D25">
        <w:rPr>
          <w:rFonts w:cstheme="minorHAnsi"/>
        </w:rPr>
        <w:t>atezo</w:t>
      </w:r>
      <w:proofErr w:type="spellEnd"/>
      <w:r>
        <w:rPr>
          <w:rFonts w:cstheme="minorHAnsi"/>
        </w:rPr>
        <w:t xml:space="preserve"> + b</w:t>
      </w:r>
      <w:r w:rsidRPr="00615D25">
        <w:rPr>
          <w:rFonts w:cstheme="minorHAnsi"/>
        </w:rPr>
        <w:t xml:space="preserve"> in the CMA. There were fewer infusions with STRIDE than with </w:t>
      </w:r>
      <w:proofErr w:type="spellStart"/>
      <w:r w:rsidRPr="00615D25">
        <w:rPr>
          <w:rFonts w:cstheme="minorHAnsi"/>
        </w:rPr>
        <w:t>atezo</w:t>
      </w:r>
      <w:proofErr w:type="spellEnd"/>
      <w:r>
        <w:rPr>
          <w:rFonts w:cstheme="minorHAnsi"/>
        </w:rPr>
        <w:t xml:space="preserve"> + b</w:t>
      </w:r>
      <w:r w:rsidRPr="00615D25">
        <w:rPr>
          <w:rFonts w:cstheme="minorHAnsi"/>
        </w:rPr>
        <w:t xml:space="preserve"> </w:t>
      </w:r>
      <w:r w:rsidR="006A6765">
        <w:rPr>
          <w:rFonts w:cstheme="minorHAnsi"/>
        </w:rPr>
        <w:t>due</w:t>
      </w:r>
      <w:r w:rsidR="006A6765" w:rsidRPr="00615D25">
        <w:rPr>
          <w:rFonts w:cstheme="minorHAnsi"/>
        </w:rPr>
        <w:t xml:space="preserve"> </w:t>
      </w:r>
      <w:r w:rsidRPr="00615D25">
        <w:rPr>
          <w:rFonts w:cstheme="minorHAnsi"/>
        </w:rPr>
        <w:t>to the differences in frequency of administration (4</w:t>
      </w:r>
      <w:r w:rsidR="006A0ACD">
        <w:rPr>
          <w:rFonts w:cstheme="minorHAnsi"/>
        </w:rPr>
        <w:noBreakHyphen/>
      </w:r>
      <w:r w:rsidRPr="00615D25">
        <w:rPr>
          <w:rFonts w:cstheme="minorHAnsi"/>
        </w:rPr>
        <w:t xml:space="preserve">weekly versus 3-weekly, respectively) and </w:t>
      </w:r>
      <w:r w:rsidR="00BB6B02">
        <w:rPr>
          <w:rFonts w:cstheme="minorHAnsi"/>
        </w:rPr>
        <w:t>in</w:t>
      </w:r>
      <w:r w:rsidR="00BB6B02" w:rsidRPr="00615D25">
        <w:rPr>
          <w:rFonts w:cstheme="minorHAnsi"/>
        </w:rPr>
        <w:t xml:space="preserve"> </w:t>
      </w:r>
      <w:r w:rsidRPr="00615D25">
        <w:rPr>
          <w:rFonts w:cstheme="minorHAnsi"/>
        </w:rPr>
        <w:t>treatment durations (5.</w:t>
      </w:r>
      <w:r w:rsidR="006A0ACD" w:rsidRPr="00615D25">
        <w:rPr>
          <w:rFonts w:cstheme="minorHAnsi"/>
        </w:rPr>
        <w:t>5</w:t>
      </w:r>
      <w:r w:rsidR="006A0ACD">
        <w:rPr>
          <w:rFonts w:cstheme="minorHAnsi"/>
        </w:rPr>
        <w:t> </w:t>
      </w:r>
      <w:r w:rsidRPr="00615D25">
        <w:rPr>
          <w:rFonts w:cstheme="minorHAnsi"/>
        </w:rPr>
        <w:t xml:space="preserve">months for </w:t>
      </w:r>
      <w:r>
        <w:rPr>
          <w:rFonts w:cstheme="minorHAnsi"/>
        </w:rPr>
        <w:t>durvalumab</w:t>
      </w:r>
      <w:r w:rsidRPr="00615D25">
        <w:rPr>
          <w:rFonts w:cstheme="minorHAnsi"/>
        </w:rPr>
        <w:t xml:space="preserve">, 8.4 months for atezolizumab and 7.0 months for bevacizumab). The submission estimated that this reduction in infusions was expected to reduce the cost to </w:t>
      </w:r>
      <w:r>
        <w:rPr>
          <w:rFonts w:cstheme="minorHAnsi"/>
        </w:rPr>
        <w:t>the MBS</w:t>
      </w:r>
      <w:r w:rsidRPr="00615D25">
        <w:rPr>
          <w:rFonts w:cstheme="minorHAnsi"/>
        </w:rPr>
        <w:t xml:space="preserve"> by $759.83 per patient treated</w:t>
      </w:r>
      <w:r>
        <w:rPr>
          <w:rFonts w:cstheme="minorHAnsi"/>
        </w:rPr>
        <w:t>.</w:t>
      </w:r>
    </w:p>
    <w:p w14:paraId="2F507D96" w14:textId="2C18734A" w:rsidR="000D083B" w:rsidRDefault="001E76A3" w:rsidP="001E76A3">
      <w:pPr>
        <w:pStyle w:val="3-BodyText"/>
        <w:ind w:left="709"/>
        <w:rPr>
          <w:rFonts w:cstheme="minorHAnsi"/>
        </w:rPr>
      </w:pPr>
      <w:r w:rsidRPr="00615D25">
        <w:t xml:space="preserve">The results of the CMA based on the </w:t>
      </w:r>
      <w:r>
        <w:t>assumed</w:t>
      </w:r>
      <w:r w:rsidRPr="00615D25">
        <w:t xml:space="preserve"> effective prices are presented in </w:t>
      </w:r>
      <w:r>
        <w:fldChar w:fldCharType="begin"/>
      </w:r>
      <w:r>
        <w:instrText xml:space="preserve"> REF _Ref190511176 \h </w:instrText>
      </w:r>
      <w:r>
        <w:fldChar w:fldCharType="separate"/>
      </w:r>
      <w:r w:rsidR="00AC295B" w:rsidRPr="00615D25">
        <w:t xml:space="preserve">Table </w:t>
      </w:r>
      <w:r w:rsidR="00AC295B">
        <w:rPr>
          <w:noProof/>
        </w:rPr>
        <w:t>10</w:t>
      </w:r>
      <w:r>
        <w:fldChar w:fldCharType="end"/>
      </w:r>
      <w:r w:rsidRPr="00615D25">
        <w:t xml:space="preserve">. </w:t>
      </w:r>
      <w:r w:rsidRPr="00615D25">
        <w:rPr>
          <w:rFonts w:cstheme="minorHAnsi"/>
        </w:rPr>
        <w:t>The submission applied an assumed effective ex-manufacturer price for atezolizumab ($</w:t>
      </w:r>
      <w:r w:rsidR="00DF294A" w:rsidRPr="00AC295B">
        <w:rPr>
          <w:rFonts w:cstheme="minorHAnsi"/>
          <w:color w:val="000000"/>
          <w:w w:val="15"/>
          <w:shd w:val="solid" w:color="000000" w:fill="000000"/>
          <w:fitText w:val="-20" w:id="-664012027"/>
          <w14:textFill>
            <w14:solidFill>
              <w14:srgbClr w14:val="000000">
                <w14:alpha w14:val="100000"/>
              </w14:srgbClr>
            </w14:solidFill>
          </w14:textFill>
        </w:rPr>
        <w:t xml:space="preserve">|  </w:t>
      </w:r>
      <w:r w:rsidR="00DF294A" w:rsidRPr="00AC295B">
        <w:rPr>
          <w:rFonts w:cstheme="minorHAnsi"/>
          <w:color w:val="000000"/>
          <w:spacing w:val="-69"/>
          <w:w w:val="15"/>
          <w:shd w:val="solid" w:color="000000" w:fill="000000"/>
          <w:fitText w:val="-20" w:id="-664012027"/>
          <w14:textFill>
            <w14:solidFill>
              <w14:srgbClr w14:val="000000">
                <w14:alpha w14:val="100000"/>
              </w14:srgbClr>
            </w14:solidFill>
          </w14:textFill>
        </w:rPr>
        <w:t>|</w:t>
      </w:r>
      <w:r w:rsidRPr="00615D25">
        <w:rPr>
          <w:rFonts w:cstheme="minorHAnsi"/>
        </w:rPr>
        <w:t xml:space="preserve">) based on an assumed </w:t>
      </w:r>
      <w:r w:rsidR="00DF294A" w:rsidRPr="00AC295B">
        <w:rPr>
          <w:rFonts w:cstheme="minorHAnsi"/>
          <w:color w:val="000000"/>
          <w:w w:val="15"/>
          <w:shd w:val="solid" w:color="000000" w:fill="000000"/>
          <w:fitText w:val="-20" w:id="-664012026"/>
          <w14:textFill>
            <w14:solidFill>
              <w14:srgbClr w14:val="000000">
                <w14:alpha w14:val="100000"/>
              </w14:srgbClr>
            </w14:solidFill>
          </w14:textFill>
        </w:rPr>
        <w:t xml:space="preserve">|  </w:t>
      </w:r>
      <w:r w:rsidR="00DF294A" w:rsidRPr="00AC295B">
        <w:rPr>
          <w:rFonts w:cstheme="minorHAnsi"/>
          <w:color w:val="000000"/>
          <w:spacing w:val="-69"/>
          <w:w w:val="15"/>
          <w:shd w:val="solid" w:color="000000" w:fill="000000"/>
          <w:fitText w:val="-20" w:id="-664012026"/>
          <w14:textFill>
            <w14:solidFill>
              <w14:srgbClr w14:val="000000">
                <w14:alpha w14:val="100000"/>
              </w14:srgbClr>
            </w14:solidFill>
          </w14:textFill>
        </w:rPr>
        <w:t>|</w:t>
      </w:r>
      <w:r w:rsidRPr="00615D25">
        <w:rPr>
          <w:rFonts w:cstheme="minorHAnsi"/>
        </w:rPr>
        <w:t>% rebate to the published ex-manufacturer price.</w:t>
      </w:r>
    </w:p>
    <w:p w14:paraId="6A11FECE" w14:textId="2B31C5EC" w:rsidR="001E76A3" w:rsidRPr="00615D25" w:rsidRDefault="001E76A3" w:rsidP="001E76A3">
      <w:pPr>
        <w:pStyle w:val="TableFigureHeading"/>
      </w:pPr>
      <w:bookmarkStart w:id="33" w:name="_Ref190511176"/>
      <w:r w:rsidRPr="00615D25">
        <w:t xml:space="preserve">Table </w:t>
      </w:r>
      <w:r w:rsidR="005B443C">
        <w:fldChar w:fldCharType="begin"/>
      </w:r>
      <w:r w:rsidR="005B443C">
        <w:instrText xml:space="preserve"> SEQ Table \* ARABIC </w:instrText>
      </w:r>
      <w:r w:rsidR="005B443C">
        <w:fldChar w:fldCharType="separate"/>
      </w:r>
      <w:r w:rsidR="00AC295B">
        <w:rPr>
          <w:noProof/>
        </w:rPr>
        <w:t>10</w:t>
      </w:r>
      <w:r w:rsidR="005B443C">
        <w:rPr>
          <w:noProof/>
        </w:rPr>
        <w:fldChar w:fldCharType="end"/>
      </w:r>
      <w:bookmarkEnd w:id="33"/>
      <w:r w:rsidRPr="00615D25">
        <w:rPr>
          <w:rStyle w:val="CommentReference"/>
          <w:b/>
          <w:szCs w:val="24"/>
        </w:rPr>
        <w:t>: Results of the cost-minimisation approach based on assumed effective prices</w:t>
      </w:r>
      <w:r>
        <w:rPr>
          <w:rStyle w:val="CommentReference"/>
          <w:b/>
          <w:szCs w:val="24"/>
        </w:rPr>
        <w:t xml:space="preserve"> of atezolizumab</w:t>
      </w:r>
    </w:p>
    <w:tbl>
      <w:tblPr>
        <w:tblStyle w:val="TableGrid"/>
        <w:tblW w:w="9014" w:type="dxa"/>
        <w:tblLook w:val="04A0" w:firstRow="1" w:lastRow="0" w:firstColumn="1" w:lastColumn="0" w:noHBand="0" w:noVBand="1"/>
      </w:tblPr>
      <w:tblGrid>
        <w:gridCol w:w="2236"/>
        <w:gridCol w:w="1414"/>
        <w:gridCol w:w="1414"/>
        <w:gridCol w:w="1735"/>
        <w:gridCol w:w="2215"/>
      </w:tblGrid>
      <w:tr w:rsidR="001E76A3" w:rsidRPr="00615D25" w14:paraId="15B8D47A" w14:textId="77777777" w:rsidTr="00C0439A">
        <w:trPr>
          <w:trHeight w:val="20"/>
        </w:trPr>
        <w:tc>
          <w:tcPr>
            <w:tcW w:w="2236" w:type="dxa"/>
            <w:shd w:val="clear" w:color="auto" w:fill="auto"/>
            <w:noWrap/>
            <w:hideMark/>
          </w:tcPr>
          <w:p w14:paraId="4F6921AA" w14:textId="77777777" w:rsidR="001E76A3" w:rsidRPr="00615D25" w:rsidRDefault="001E76A3">
            <w:pPr>
              <w:keepNext/>
              <w:keepLines/>
              <w:rPr>
                <w:rFonts w:ascii="Arial Narrow" w:hAnsi="Arial Narrow" w:cs="Calibri"/>
                <w:color w:val="000000"/>
                <w:sz w:val="20"/>
                <w:szCs w:val="20"/>
              </w:rPr>
            </w:pPr>
            <w:r w:rsidRPr="00615D25">
              <w:rPr>
                <w:rFonts w:ascii="Arial Narrow" w:hAnsi="Arial Narrow" w:cs="Calibri"/>
                <w:color w:val="000000"/>
                <w:sz w:val="20"/>
                <w:szCs w:val="20"/>
              </w:rPr>
              <w:t> </w:t>
            </w:r>
          </w:p>
        </w:tc>
        <w:tc>
          <w:tcPr>
            <w:tcW w:w="1414" w:type="dxa"/>
            <w:shd w:val="clear" w:color="auto" w:fill="auto"/>
            <w:noWrap/>
            <w:vAlign w:val="center"/>
            <w:hideMark/>
          </w:tcPr>
          <w:p w14:paraId="0F3D6821" w14:textId="77777777" w:rsidR="001E76A3" w:rsidRPr="00B314CF" w:rsidRDefault="001E76A3" w:rsidP="00872EFB">
            <w:pPr>
              <w:keepNext/>
              <w:keepLines/>
              <w:jc w:val="center"/>
              <w:rPr>
                <w:rFonts w:ascii="Arial Narrow" w:hAnsi="Arial Narrow" w:cs="Calibri"/>
                <w:b/>
                <w:bCs/>
                <w:color w:val="000000"/>
                <w:sz w:val="20"/>
                <w:szCs w:val="20"/>
              </w:rPr>
            </w:pPr>
            <w:r w:rsidRPr="00B314CF">
              <w:rPr>
                <w:rFonts w:ascii="Arial Narrow" w:hAnsi="Arial Narrow" w:cs="Calibri"/>
                <w:b/>
                <w:bCs/>
                <w:color w:val="000000"/>
                <w:sz w:val="20"/>
                <w:szCs w:val="20"/>
              </w:rPr>
              <w:t>Atezolizumab</w:t>
            </w:r>
          </w:p>
        </w:tc>
        <w:tc>
          <w:tcPr>
            <w:tcW w:w="1414" w:type="dxa"/>
            <w:shd w:val="clear" w:color="auto" w:fill="auto"/>
            <w:noWrap/>
            <w:vAlign w:val="center"/>
            <w:hideMark/>
          </w:tcPr>
          <w:p w14:paraId="41D066A5" w14:textId="77777777" w:rsidR="001E76A3" w:rsidRPr="00B314CF" w:rsidRDefault="001E76A3" w:rsidP="00872EFB">
            <w:pPr>
              <w:keepNext/>
              <w:keepLines/>
              <w:jc w:val="center"/>
              <w:rPr>
                <w:rFonts w:ascii="Arial Narrow" w:hAnsi="Arial Narrow" w:cs="Calibri"/>
                <w:b/>
                <w:bCs/>
                <w:color w:val="000000"/>
                <w:sz w:val="20"/>
                <w:szCs w:val="20"/>
              </w:rPr>
            </w:pPr>
            <w:r w:rsidRPr="00B314CF">
              <w:rPr>
                <w:rFonts w:ascii="Arial Narrow" w:hAnsi="Arial Narrow" w:cs="Calibri"/>
                <w:b/>
                <w:bCs/>
                <w:color w:val="000000"/>
                <w:sz w:val="20"/>
                <w:szCs w:val="20"/>
              </w:rPr>
              <w:t>Bevacizumab</w:t>
            </w:r>
          </w:p>
        </w:tc>
        <w:tc>
          <w:tcPr>
            <w:tcW w:w="1735" w:type="dxa"/>
            <w:shd w:val="clear" w:color="auto" w:fill="auto"/>
            <w:vAlign w:val="center"/>
            <w:hideMark/>
          </w:tcPr>
          <w:p w14:paraId="72FEABAB" w14:textId="77777777" w:rsidR="001E76A3" w:rsidRPr="00B314CF" w:rsidRDefault="001E76A3" w:rsidP="00872EFB">
            <w:pPr>
              <w:keepNext/>
              <w:keepLines/>
              <w:jc w:val="center"/>
              <w:rPr>
                <w:rFonts w:ascii="Arial Narrow" w:hAnsi="Arial Narrow" w:cs="Calibri"/>
                <w:b/>
                <w:bCs/>
                <w:color w:val="000000"/>
                <w:sz w:val="20"/>
                <w:szCs w:val="20"/>
              </w:rPr>
            </w:pPr>
            <w:r w:rsidRPr="00B314CF">
              <w:rPr>
                <w:rFonts w:ascii="Arial Narrow" w:hAnsi="Arial Narrow" w:cs="Calibri"/>
                <w:b/>
                <w:bCs/>
                <w:color w:val="000000"/>
                <w:sz w:val="20"/>
                <w:szCs w:val="20"/>
              </w:rPr>
              <w:t>Tremelimumab</w:t>
            </w:r>
          </w:p>
        </w:tc>
        <w:tc>
          <w:tcPr>
            <w:tcW w:w="2215" w:type="dxa"/>
            <w:shd w:val="clear" w:color="auto" w:fill="auto"/>
            <w:vAlign w:val="center"/>
            <w:hideMark/>
          </w:tcPr>
          <w:p w14:paraId="2F0CB642" w14:textId="77777777" w:rsidR="001E76A3" w:rsidRPr="00B314CF" w:rsidRDefault="001E76A3" w:rsidP="00872EFB">
            <w:pPr>
              <w:keepNext/>
              <w:keepLines/>
              <w:jc w:val="center"/>
              <w:rPr>
                <w:rFonts w:ascii="Arial Narrow" w:hAnsi="Arial Narrow" w:cs="Calibri"/>
                <w:b/>
                <w:bCs/>
                <w:color w:val="000000"/>
                <w:sz w:val="20"/>
                <w:szCs w:val="20"/>
              </w:rPr>
            </w:pPr>
            <w:r w:rsidRPr="00B314CF">
              <w:rPr>
                <w:rFonts w:ascii="Arial Narrow" w:hAnsi="Arial Narrow" w:cs="Calibri"/>
                <w:b/>
                <w:bCs/>
                <w:color w:val="000000"/>
                <w:sz w:val="20"/>
                <w:szCs w:val="20"/>
              </w:rPr>
              <w:t>Durvalumab</w:t>
            </w:r>
          </w:p>
        </w:tc>
      </w:tr>
      <w:tr w:rsidR="001E76A3" w:rsidRPr="00615D25" w14:paraId="226A10B9" w14:textId="77777777" w:rsidTr="00C0439A">
        <w:trPr>
          <w:trHeight w:val="20"/>
        </w:trPr>
        <w:tc>
          <w:tcPr>
            <w:tcW w:w="2236" w:type="dxa"/>
            <w:shd w:val="clear" w:color="auto" w:fill="auto"/>
            <w:noWrap/>
            <w:vAlign w:val="center"/>
            <w:hideMark/>
          </w:tcPr>
          <w:p w14:paraId="6EBBFF45" w14:textId="77777777" w:rsidR="001E76A3" w:rsidRPr="00615D25" w:rsidRDefault="001E76A3" w:rsidP="00872EFB">
            <w:pPr>
              <w:keepNext/>
              <w:jc w:val="left"/>
              <w:rPr>
                <w:rFonts w:ascii="Arial Narrow" w:hAnsi="Arial Narrow" w:cs="Calibri"/>
                <w:color w:val="000000"/>
                <w:sz w:val="20"/>
                <w:szCs w:val="20"/>
              </w:rPr>
            </w:pPr>
            <w:r w:rsidRPr="00615D25">
              <w:rPr>
                <w:rFonts w:ascii="Arial Narrow" w:hAnsi="Arial Narrow" w:cs="Calibri"/>
                <w:color w:val="000000"/>
                <w:sz w:val="20"/>
                <w:szCs w:val="20"/>
              </w:rPr>
              <w:t>Vial strength (mg)</w:t>
            </w:r>
          </w:p>
        </w:tc>
        <w:tc>
          <w:tcPr>
            <w:tcW w:w="1414" w:type="dxa"/>
            <w:shd w:val="clear" w:color="auto" w:fill="auto"/>
            <w:noWrap/>
            <w:vAlign w:val="center"/>
            <w:hideMark/>
          </w:tcPr>
          <w:p w14:paraId="3D3CE7B0" w14:textId="7777777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1,200</w:t>
            </w:r>
          </w:p>
        </w:tc>
        <w:tc>
          <w:tcPr>
            <w:tcW w:w="1414" w:type="dxa"/>
            <w:shd w:val="clear" w:color="auto" w:fill="auto"/>
            <w:noWrap/>
            <w:vAlign w:val="center"/>
            <w:hideMark/>
          </w:tcPr>
          <w:p w14:paraId="64911AE2" w14:textId="7777777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100</w:t>
            </w:r>
          </w:p>
        </w:tc>
        <w:tc>
          <w:tcPr>
            <w:tcW w:w="1735" w:type="dxa"/>
            <w:shd w:val="clear" w:color="auto" w:fill="auto"/>
            <w:vAlign w:val="center"/>
            <w:hideMark/>
          </w:tcPr>
          <w:p w14:paraId="2DC1490A" w14:textId="7777777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300</w:t>
            </w:r>
          </w:p>
        </w:tc>
        <w:tc>
          <w:tcPr>
            <w:tcW w:w="2215" w:type="dxa"/>
            <w:shd w:val="clear" w:color="auto" w:fill="auto"/>
            <w:vAlign w:val="center"/>
            <w:hideMark/>
          </w:tcPr>
          <w:p w14:paraId="6B1BBE8D" w14:textId="7777777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500</w:t>
            </w:r>
          </w:p>
        </w:tc>
      </w:tr>
      <w:tr w:rsidR="001E76A3" w:rsidRPr="00615D25" w14:paraId="724B0329" w14:textId="77777777" w:rsidTr="00C0439A">
        <w:trPr>
          <w:trHeight w:val="20"/>
        </w:trPr>
        <w:tc>
          <w:tcPr>
            <w:tcW w:w="2236" w:type="dxa"/>
            <w:shd w:val="clear" w:color="auto" w:fill="auto"/>
            <w:noWrap/>
            <w:vAlign w:val="center"/>
            <w:hideMark/>
          </w:tcPr>
          <w:p w14:paraId="5A105974" w14:textId="4DD73D43" w:rsidR="001E76A3" w:rsidRPr="00615D25" w:rsidRDefault="001E76A3" w:rsidP="00872EFB">
            <w:pPr>
              <w:keepNext/>
              <w:jc w:val="left"/>
              <w:rPr>
                <w:rFonts w:ascii="Arial Narrow" w:hAnsi="Arial Narrow" w:cs="Calibri"/>
                <w:color w:val="000000"/>
                <w:sz w:val="20"/>
                <w:szCs w:val="20"/>
              </w:rPr>
            </w:pPr>
            <w:r w:rsidRPr="00615D25">
              <w:rPr>
                <w:rFonts w:ascii="Arial Narrow" w:hAnsi="Arial Narrow" w:cs="Calibri"/>
                <w:color w:val="000000"/>
                <w:sz w:val="20"/>
                <w:szCs w:val="20"/>
              </w:rPr>
              <w:t xml:space="preserve">AEMP per vial </w:t>
            </w:r>
          </w:p>
        </w:tc>
        <w:tc>
          <w:tcPr>
            <w:tcW w:w="1414" w:type="dxa"/>
            <w:shd w:val="clear" w:color="auto" w:fill="auto"/>
            <w:noWrap/>
            <w:vAlign w:val="center"/>
            <w:hideMark/>
          </w:tcPr>
          <w:p w14:paraId="4044A596" w14:textId="32595F27" w:rsidR="001E76A3" w:rsidRPr="00615D25" w:rsidRDefault="001E76A3" w:rsidP="00872EFB">
            <w:pPr>
              <w:pStyle w:val="PBACTabletext"/>
              <w:jc w:val="center"/>
              <w:rPr>
                <w:rFonts w:cs="Calibri"/>
                <w:color w:val="000000"/>
                <w:szCs w:val="20"/>
              </w:rPr>
            </w:pPr>
            <w:r w:rsidRPr="00615D25">
              <w:rPr>
                <w:szCs w:val="20"/>
              </w:rPr>
              <w:t>$</w:t>
            </w:r>
            <w:r w:rsidR="00DF294A" w:rsidRPr="00DF294A">
              <w:rPr>
                <w:rFonts w:hint="eastAsia"/>
                <w:color w:val="000000"/>
                <w:w w:val="15"/>
                <w:szCs w:val="20"/>
                <w:shd w:val="solid" w:color="000000" w:fill="000000"/>
                <w:fitText w:val="50" w:id="-664012025"/>
                <w14:textFill>
                  <w14:solidFill>
                    <w14:srgbClr w14:val="000000">
                      <w14:alpha w14:val="100000"/>
                    </w14:srgbClr>
                  </w14:solidFill>
                </w14:textFill>
              </w:rPr>
              <w:t xml:space="preserve">　</w:t>
            </w:r>
            <w:r w:rsidR="00DF294A" w:rsidRPr="00DF294A">
              <w:rPr>
                <w:color w:val="000000"/>
                <w:w w:val="15"/>
                <w:szCs w:val="20"/>
                <w:shd w:val="solid" w:color="000000" w:fill="000000"/>
                <w:fitText w:val="50" w:id="-664012025"/>
                <w14:textFill>
                  <w14:solidFill>
                    <w14:srgbClr w14:val="000000">
                      <w14:alpha w14:val="100000"/>
                    </w14:srgbClr>
                  </w14:solidFill>
                </w14:textFill>
              </w:rPr>
              <w:t>|</w:t>
            </w:r>
            <w:r w:rsidR="00DF294A" w:rsidRPr="00DF294A">
              <w:rPr>
                <w:rFonts w:hint="eastAsia"/>
                <w:color w:val="000000"/>
                <w:spacing w:val="-15"/>
                <w:w w:val="15"/>
                <w:szCs w:val="20"/>
                <w:shd w:val="solid" w:color="000000" w:fill="000000"/>
                <w:fitText w:val="50" w:id="-664012025"/>
                <w14:textFill>
                  <w14:solidFill>
                    <w14:srgbClr w14:val="000000">
                      <w14:alpha w14:val="100000"/>
                    </w14:srgbClr>
                  </w14:solidFill>
                </w14:textFill>
              </w:rPr>
              <w:t xml:space="preserve">　</w:t>
            </w:r>
            <w:r w:rsidRPr="004E7EF2">
              <w:rPr>
                <w:szCs w:val="20"/>
              </w:rPr>
              <w:t xml:space="preserve"> </w:t>
            </w:r>
            <w:r w:rsidRPr="004E7EF2">
              <w:rPr>
                <w:szCs w:val="20"/>
                <w:vertAlign w:val="superscript"/>
              </w:rPr>
              <w:t>a</w:t>
            </w:r>
          </w:p>
        </w:tc>
        <w:tc>
          <w:tcPr>
            <w:tcW w:w="1414" w:type="dxa"/>
            <w:shd w:val="clear" w:color="auto" w:fill="auto"/>
            <w:noWrap/>
            <w:vAlign w:val="center"/>
            <w:hideMark/>
          </w:tcPr>
          <w:p w14:paraId="24913B4B" w14:textId="0C1823CE"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w:t>
            </w:r>
            <w:r w:rsidRPr="004E7EF2">
              <w:rPr>
                <w:rFonts w:ascii="Arial Narrow" w:hAnsi="Arial Narrow" w:cs="Calibri"/>
                <w:color w:val="000000"/>
                <w:sz w:val="20"/>
                <w:szCs w:val="20"/>
              </w:rPr>
              <w:t>61.77</w:t>
            </w:r>
          </w:p>
        </w:tc>
        <w:tc>
          <w:tcPr>
            <w:tcW w:w="1735" w:type="dxa"/>
            <w:shd w:val="clear" w:color="auto" w:fill="auto"/>
            <w:noWrap/>
            <w:vAlign w:val="center"/>
            <w:hideMark/>
          </w:tcPr>
          <w:p w14:paraId="729C70E1" w14:textId="6DFDDD8F"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w:t>
            </w:r>
            <w:r w:rsidR="00DF294A" w:rsidRPr="00DF294A">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2215" w:type="dxa"/>
            <w:shd w:val="clear" w:color="auto" w:fill="auto"/>
            <w:noWrap/>
            <w:vAlign w:val="center"/>
            <w:hideMark/>
          </w:tcPr>
          <w:p w14:paraId="76A35043" w14:textId="6EB02F3F" w:rsidR="001E76A3" w:rsidRPr="00A76F31" w:rsidRDefault="001E76A3" w:rsidP="00872EFB">
            <w:pPr>
              <w:keepNext/>
              <w:jc w:val="center"/>
              <w:rPr>
                <w:rFonts w:ascii="Arial Narrow" w:hAnsi="Arial Narrow" w:cs="Calibri"/>
                <w:i/>
                <w:iCs/>
                <w:color w:val="000000"/>
                <w:sz w:val="20"/>
                <w:szCs w:val="20"/>
              </w:rPr>
            </w:pPr>
            <w:r w:rsidRPr="00A76F31">
              <w:rPr>
                <w:rFonts w:ascii="Arial Narrow" w:hAnsi="Arial Narrow" w:cs="Calibri"/>
                <w:i/>
                <w:iCs/>
                <w:color w:val="000000"/>
                <w:sz w:val="20"/>
                <w:szCs w:val="20"/>
              </w:rPr>
              <w:t>$</w:t>
            </w:r>
            <w:r w:rsidR="00DF294A" w:rsidRPr="00DF294A">
              <w:rPr>
                <w:rFonts w:ascii="Arial Narrow" w:hAnsi="Arial Narrow" w:cs="Calibri"/>
                <w:color w:val="000000"/>
                <w:sz w:val="20"/>
                <w:szCs w:val="20"/>
                <w:shd w:val="solid" w:color="000000" w:fill="000000"/>
                <w14:textFill>
                  <w14:solidFill>
                    <w14:srgbClr w14:val="000000">
                      <w14:alpha w14:val="100000"/>
                    </w14:srgbClr>
                  </w14:solidFill>
                </w14:textFill>
              </w:rPr>
              <w:t>|</w:t>
            </w:r>
          </w:p>
        </w:tc>
      </w:tr>
      <w:tr w:rsidR="001E76A3" w:rsidRPr="00615D25" w14:paraId="36AD79E8" w14:textId="77777777" w:rsidTr="00C0439A">
        <w:trPr>
          <w:trHeight w:val="20"/>
        </w:trPr>
        <w:tc>
          <w:tcPr>
            <w:tcW w:w="2236" w:type="dxa"/>
            <w:shd w:val="clear" w:color="auto" w:fill="auto"/>
            <w:noWrap/>
            <w:vAlign w:val="center"/>
            <w:hideMark/>
          </w:tcPr>
          <w:p w14:paraId="42C54098" w14:textId="77777777" w:rsidR="001E76A3" w:rsidRPr="00615D25" w:rsidRDefault="001E76A3" w:rsidP="00872EFB">
            <w:pPr>
              <w:keepNext/>
              <w:jc w:val="left"/>
              <w:rPr>
                <w:rFonts w:ascii="Arial Narrow" w:hAnsi="Arial Narrow" w:cs="Calibri"/>
                <w:color w:val="000000"/>
                <w:sz w:val="20"/>
                <w:szCs w:val="20"/>
              </w:rPr>
            </w:pPr>
            <w:r w:rsidRPr="00615D25">
              <w:rPr>
                <w:rFonts w:ascii="Arial Narrow" w:hAnsi="Arial Narrow" w:cs="Calibri"/>
                <w:color w:val="000000"/>
                <w:sz w:val="20"/>
                <w:szCs w:val="20"/>
              </w:rPr>
              <w:t>AEMP per mg</w:t>
            </w:r>
          </w:p>
        </w:tc>
        <w:tc>
          <w:tcPr>
            <w:tcW w:w="1414" w:type="dxa"/>
            <w:shd w:val="clear" w:color="auto" w:fill="auto"/>
            <w:noWrap/>
            <w:vAlign w:val="center"/>
            <w:hideMark/>
          </w:tcPr>
          <w:p w14:paraId="244BD512" w14:textId="39BC29E6" w:rsidR="001E76A3" w:rsidRPr="00615D25" w:rsidRDefault="001E76A3" w:rsidP="00872EFB">
            <w:pPr>
              <w:pStyle w:val="PBACTabletext"/>
              <w:jc w:val="center"/>
              <w:rPr>
                <w:rFonts w:cs="Calibri"/>
                <w:color w:val="000000"/>
                <w:szCs w:val="20"/>
              </w:rPr>
            </w:pPr>
            <w:r w:rsidRPr="00615D25">
              <w:rPr>
                <w:szCs w:val="20"/>
              </w:rPr>
              <w:t>$</w:t>
            </w:r>
            <w:r w:rsidR="00DF294A" w:rsidRPr="00DF294A">
              <w:rPr>
                <w:rFonts w:cs="Calibri"/>
                <w:color w:val="000000"/>
                <w:szCs w:val="20"/>
                <w:shd w:val="solid" w:color="000000" w:fill="000000"/>
                <w:lang w:eastAsia="en-AU"/>
                <w14:textFill>
                  <w14:solidFill>
                    <w14:srgbClr w14:val="000000">
                      <w14:alpha w14:val="100000"/>
                    </w14:srgbClr>
                  </w14:solidFill>
                </w14:textFill>
              </w:rPr>
              <w:t>|</w:t>
            </w:r>
          </w:p>
        </w:tc>
        <w:tc>
          <w:tcPr>
            <w:tcW w:w="1414" w:type="dxa"/>
            <w:shd w:val="clear" w:color="auto" w:fill="auto"/>
            <w:noWrap/>
            <w:vAlign w:val="center"/>
            <w:hideMark/>
          </w:tcPr>
          <w:p w14:paraId="0C39E2D1" w14:textId="3D013A1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w:t>
            </w:r>
            <w:r w:rsidRPr="004E7EF2">
              <w:rPr>
                <w:rFonts w:ascii="Arial Narrow" w:hAnsi="Arial Narrow" w:cs="Calibri"/>
                <w:color w:val="000000"/>
                <w:sz w:val="20"/>
                <w:szCs w:val="20"/>
              </w:rPr>
              <w:t>0.62</w:t>
            </w:r>
          </w:p>
        </w:tc>
        <w:tc>
          <w:tcPr>
            <w:tcW w:w="1735" w:type="dxa"/>
            <w:shd w:val="clear" w:color="auto" w:fill="auto"/>
            <w:noWrap/>
            <w:vAlign w:val="center"/>
            <w:hideMark/>
          </w:tcPr>
          <w:p w14:paraId="23BF2626" w14:textId="662F2A8A"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w:t>
            </w:r>
            <w:r w:rsidR="00DF294A" w:rsidRPr="00DF294A">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2215" w:type="dxa"/>
            <w:shd w:val="clear" w:color="auto" w:fill="auto"/>
            <w:noWrap/>
            <w:vAlign w:val="center"/>
            <w:hideMark/>
          </w:tcPr>
          <w:p w14:paraId="77273873" w14:textId="19F416D0" w:rsidR="001E76A3" w:rsidRPr="00A76F31" w:rsidRDefault="001E76A3" w:rsidP="00872EFB">
            <w:pPr>
              <w:keepNext/>
              <w:jc w:val="center"/>
              <w:rPr>
                <w:rFonts w:ascii="Arial Narrow" w:hAnsi="Arial Narrow" w:cs="Calibri"/>
                <w:i/>
                <w:iCs/>
                <w:color w:val="000000"/>
                <w:sz w:val="20"/>
                <w:szCs w:val="20"/>
              </w:rPr>
            </w:pPr>
            <w:r w:rsidRPr="00A76F31">
              <w:rPr>
                <w:rFonts w:ascii="Arial Narrow" w:hAnsi="Arial Narrow" w:cs="Calibri"/>
                <w:i/>
                <w:iCs/>
                <w:color w:val="000000"/>
                <w:sz w:val="20"/>
                <w:szCs w:val="20"/>
              </w:rPr>
              <w:t>$</w:t>
            </w:r>
            <w:r w:rsidR="00DF294A" w:rsidRPr="00DF294A">
              <w:rPr>
                <w:rFonts w:ascii="Arial Narrow" w:hAnsi="Arial Narrow" w:cs="Calibri"/>
                <w:color w:val="000000"/>
                <w:sz w:val="20"/>
                <w:szCs w:val="20"/>
                <w:shd w:val="solid" w:color="000000" w:fill="000000"/>
                <w14:textFill>
                  <w14:solidFill>
                    <w14:srgbClr w14:val="000000">
                      <w14:alpha w14:val="100000"/>
                    </w14:srgbClr>
                  </w14:solidFill>
                </w14:textFill>
              </w:rPr>
              <w:t>|</w:t>
            </w:r>
          </w:p>
        </w:tc>
      </w:tr>
      <w:tr w:rsidR="001E76A3" w:rsidRPr="00615D25" w14:paraId="689A78E9" w14:textId="77777777" w:rsidTr="00C0439A">
        <w:trPr>
          <w:trHeight w:val="20"/>
        </w:trPr>
        <w:tc>
          <w:tcPr>
            <w:tcW w:w="2236" w:type="dxa"/>
            <w:shd w:val="clear" w:color="auto" w:fill="auto"/>
            <w:noWrap/>
            <w:vAlign w:val="center"/>
          </w:tcPr>
          <w:p w14:paraId="382A82F0" w14:textId="77777777" w:rsidR="001E76A3" w:rsidRPr="00615D25" w:rsidRDefault="001E76A3" w:rsidP="00872EFB">
            <w:pPr>
              <w:keepNext/>
              <w:jc w:val="left"/>
              <w:rPr>
                <w:rFonts w:ascii="Arial Narrow" w:hAnsi="Arial Narrow" w:cs="Calibri"/>
                <w:color w:val="000000"/>
                <w:sz w:val="20"/>
                <w:szCs w:val="20"/>
              </w:rPr>
            </w:pPr>
            <w:r w:rsidRPr="00615D25">
              <w:rPr>
                <w:rFonts w:ascii="Arial Narrow" w:hAnsi="Arial Narrow" w:cs="Calibri"/>
                <w:color w:val="000000"/>
                <w:sz w:val="20"/>
                <w:szCs w:val="20"/>
              </w:rPr>
              <w:t>Cumulative mg per treatment course</w:t>
            </w:r>
          </w:p>
        </w:tc>
        <w:tc>
          <w:tcPr>
            <w:tcW w:w="1414" w:type="dxa"/>
            <w:shd w:val="clear" w:color="auto" w:fill="auto"/>
            <w:noWrap/>
            <w:vAlign w:val="center"/>
          </w:tcPr>
          <w:p w14:paraId="51EDF9DE" w14:textId="7777777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14,560</w:t>
            </w:r>
          </w:p>
        </w:tc>
        <w:tc>
          <w:tcPr>
            <w:tcW w:w="1414" w:type="dxa"/>
            <w:shd w:val="clear" w:color="auto" w:fill="auto"/>
            <w:noWrap/>
            <w:vAlign w:val="center"/>
          </w:tcPr>
          <w:p w14:paraId="31979AD5" w14:textId="7777777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10,880</w:t>
            </w:r>
          </w:p>
        </w:tc>
        <w:tc>
          <w:tcPr>
            <w:tcW w:w="1735" w:type="dxa"/>
            <w:shd w:val="clear" w:color="auto" w:fill="auto"/>
            <w:noWrap/>
            <w:vAlign w:val="center"/>
          </w:tcPr>
          <w:p w14:paraId="201BA769" w14:textId="7777777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300</w:t>
            </w:r>
          </w:p>
        </w:tc>
        <w:tc>
          <w:tcPr>
            <w:tcW w:w="2215" w:type="dxa"/>
            <w:shd w:val="clear" w:color="auto" w:fill="auto"/>
            <w:noWrap/>
            <w:vAlign w:val="center"/>
          </w:tcPr>
          <w:p w14:paraId="5FF22C4D" w14:textId="77777777" w:rsidR="001E76A3" w:rsidRPr="00615D25" w:rsidRDefault="001E76A3" w:rsidP="00872EFB">
            <w:pPr>
              <w:keepNext/>
              <w:jc w:val="center"/>
              <w:rPr>
                <w:rFonts w:ascii="Arial Narrow" w:hAnsi="Arial Narrow" w:cs="Calibri"/>
                <w:color w:val="000000"/>
                <w:sz w:val="20"/>
                <w:szCs w:val="20"/>
              </w:rPr>
            </w:pPr>
            <w:r w:rsidRPr="00615D25">
              <w:rPr>
                <w:rFonts w:ascii="Arial Narrow" w:hAnsi="Arial Narrow" w:cs="Calibri"/>
                <w:color w:val="000000"/>
                <w:sz w:val="20"/>
                <w:szCs w:val="20"/>
              </w:rPr>
              <w:t>8,938</w:t>
            </w:r>
          </w:p>
        </w:tc>
      </w:tr>
      <w:tr w:rsidR="001E76A3" w:rsidRPr="00615D25" w14:paraId="67F6D74D" w14:textId="77777777" w:rsidTr="00C0439A">
        <w:trPr>
          <w:trHeight w:val="20"/>
        </w:trPr>
        <w:tc>
          <w:tcPr>
            <w:tcW w:w="2236" w:type="dxa"/>
            <w:shd w:val="clear" w:color="auto" w:fill="auto"/>
            <w:noWrap/>
            <w:vAlign w:val="center"/>
            <w:hideMark/>
          </w:tcPr>
          <w:p w14:paraId="091D74EA" w14:textId="77777777" w:rsidR="001E76A3" w:rsidRPr="00615D25" w:rsidRDefault="001E76A3" w:rsidP="00872EFB">
            <w:pPr>
              <w:keepNext/>
              <w:jc w:val="left"/>
              <w:rPr>
                <w:rFonts w:ascii="Arial Narrow" w:hAnsi="Arial Narrow" w:cs="Calibri"/>
                <w:color w:val="000000"/>
                <w:sz w:val="20"/>
                <w:szCs w:val="20"/>
              </w:rPr>
            </w:pPr>
            <w:r w:rsidRPr="00615D25">
              <w:rPr>
                <w:rFonts w:ascii="Arial Narrow" w:hAnsi="Arial Narrow" w:cs="Calibri"/>
                <w:color w:val="000000"/>
                <w:sz w:val="20"/>
                <w:szCs w:val="20"/>
              </w:rPr>
              <w:t>Total treatment costs per patient per course by drug</w:t>
            </w:r>
          </w:p>
        </w:tc>
        <w:tc>
          <w:tcPr>
            <w:tcW w:w="1414" w:type="dxa"/>
            <w:shd w:val="clear" w:color="auto" w:fill="auto"/>
            <w:noWrap/>
            <w:vAlign w:val="center"/>
            <w:hideMark/>
          </w:tcPr>
          <w:p w14:paraId="4A1AE88F" w14:textId="0823B8E9" w:rsidR="001E76A3" w:rsidRPr="00615D25" w:rsidRDefault="001E76A3" w:rsidP="00872EFB">
            <w:pPr>
              <w:pStyle w:val="PBACTabletext"/>
              <w:jc w:val="center"/>
              <w:rPr>
                <w:rFonts w:cs="Calibri"/>
                <w:color w:val="000000"/>
                <w:szCs w:val="20"/>
              </w:rPr>
            </w:pPr>
            <w:r w:rsidRPr="00615D25">
              <w:rPr>
                <w:szCs w:val="20"/>
              </w:rPr>
              <w:t>$</w:t>
            </w:r>
            <w:r w:rsidR="00DF294A" w:rsidRPr="00DF294A">
              <w:rPr>
                <w:rFonts w:cs="Calibri"/>
                <w:color w:val="000000"/>
                <w:szCs w:val="20"/>
                <w:shd w:val="solid" w:color="000000" w:fill="000000"/>
                <w:lang w:eastAsia="en-AU"/>
                <w14:textFill>
                  <w14:solidFill>
                    <w14:srgbClr w14:val="000000">
                      <w14:alpha w14:val="100000"/>
                    </w14:srgbClr>
                  </w14:solidFill>
                </w14:textFill>
              </w:rPr>
              <w:t>|</w:t>
            </w:r>
          </w:p>
        </w:tc>
        <w:tc>
          <w:tcPr>
            <w:tcW w:w="1414" w:type="dxa"/>
            <w:shd w:val="clear" w:color="auto" w:fill="auto"/>
            <w:noWrap/>
            <w:vAlign w:val="center"/>
            <w:hideMark/>
          </w:tcPr>
          <w:p w14:paraId="05588E98" w14:textId="59CA48F7" w:rsidR="001E76A3" w:rsidRPr="00615D25" w:rsidRDefault="001E76A3" w:rsidP="00872EFB">
            <w:pPr>
              <w:pStyle w:val="PBACTabletext"/>
              <w:jc w:val="center"/>
              <w:rPr>
                <w:rFonts w:cs="Calibri"/>
                <w:color w:val="000000"/>
                <w:szCs w:val="20"/>
              </w:rPr>
            </w:pPr>
            <w:r w:rsidRPr="00615D25">
              <w:rPr>
                <w:szCs w:val="20"/>
              </w:rPr>
              <w:t>$</w:t>
            </w:r>
            <w:r w:rsidRPr="004E7EF2">
              <w:rPr>
                <w:rFonts w:cs="Calibri"/>
                <w:color w:val="000000"/>
                <w:szCs w:val="20"/>
                <w:lang w:eastAsia="en-AU"/>
              </w:rPr>
              <w:t>6,720</w:t>
            </w:r>
          </w:p>
        </w:tc>
        <w:tc>
          <w:tcPr>
            <w:tcW w:w="1735" w:type="dxa"/>
            <w:shd w:val="clear" w:color="auto" w:fill="auto"/>
            <w:noWrap/>
            <w:vAlign w:val="center"/>
            <w:hideMark/>
          </w:tcPr>
          <w:p w14:paraId="31630C20" w14:textId="318E707A" w:rsidR="001E76A3" w:rsidRPr="00615D25" w:rsidRDefault="001E76A3" w:rsidP="00872EFB">
            <w:pPr>
              <w:pStyle w:val="PBACTabletext"/>
              <w:jc w:val="center"/>
              <w:rPr>
                <w:rFonts w:cs="Calibri"/>
                <w:color w:val="000000"/>
                <w:szCs w:val="20"/>
              </w:rPr>
            </w:pPr>
            <w:r w:rsidRPr="00615D25">
              <w:rPr>
                <w:szCs w:val="20"/>
              </w:rPr>
              <w:t>$</w:t>
            </w:r>
            <w:r w:rsidR="00DF294A" w:rsidRPr="00DF294A">
              <w:rPr>
                <w:rFonts w:cs="Calibri"/>
                <w:color w:val="000000"/>
                <w:szCs w:val="20"/>
                <w:shd w:val="solid" w:color="000000" w:fill="000000"/>
                <w:lang w:eastAsia="en-AU"/>
                <w14:textFill>
                  <w14:solidFill>
                    <w14:srgbClr w14:val="000000">
                      <w14:alpha w14:val="100000"/>
                    </w14:srgbClr>
                  </w14:solidFill>
                </w14:textFill>
              </w:rPr>
              <w:t>|</w:t>
            </w:r>
          </w:p>
        </w:tc>
        <w:tc>
          <w:tcPr>
            <w:tcW w:w="2215" w:type="dxa"/>
            <w:shd w:val="clear" w:color="auto" w:fill="auto"/>
            <w:noWrap/>
            <w:vAlign w:val="center"/>
            <w:hideMark/>
          </w:tcPr>
          <w:p w14:paraId="3FD4F63A" w14:textId="71DB20A4" w:rsidR="001E76A3" w:rsidRPr="00615D25" w:rsidRDefault="001E76A3" w:rsidP="00872EFB">
            <w:pPr>
              <w:pStyle w:val="PBACTabletext"/>
              <w:jc w:val="center"/>
              <w:rPr>
                <w:rFonts w:cs="Calibri"/>
                <w:color w:val="000000"/>
                <w:szCs w:val="20"/>
              </w:rPr>
            </w:pPr>
            <w:r w:rsidRPr="00615D25">
              <w:rPr>
                <w:szCs w:val="20"/>
              </w:rPr>
              <w:t>$</w:t>
            </w:r>
            <w:r w:rsidR="00DF294A" w:rsidRPr="00DF294A">
              <w:rPr>
                <w:rFonts w:cs="Calibri"/>
                <w:color w:val="000000"/>
                <w:szCs w:val="20"/>
                <w:shd w:val="solid" w:color="000000" w:fill="000000"/>
                <w:lang w:eastAsia="en-AU"/>
                <w14:textFill>
                  <w14:solidFill>
                    <w14:srgbClr w14:val="000000">
                      <w14:alpha w14:val="100000"/>
                    </w14:srgbClr>
                  </w14:solidFill>
                </w14:textFill>
              </w:rPr>
              <w:t>|</w:t>
            </w:r>
          </w:p>
        </w:tc>
      </w:tr>
      <w:tr w:rsidR="001E76A3" w:rsidRPr="00615D25" w14:paraId="2C988035" w14:textId="77777777" w:rsidTr="00872EFB">
        <w:trPr>
          <w:trHeight w:val="20"/>
        </w:trPr>
        <w:tc>
          <w:tcPr>
            <w:tcW w:w="2236" w:type="dxa"/>
            <w:shd w:val="clear" w:color="auto" w:fill="auto"/>
            <w:noWrap/>
            <w:vAlign w:val="center"/>
            <w:hideMark/>
          </w:tcPr>
          <w:p w14:paraId="03AE82B6" w14:textId="77777777" w:rsidR="001E76A3" w:rsidRPr="00615D25" w:rsidRDefault="001E76A3" w:rsidP="00872EFB">
            <w:pPr>
              <w:keepNext/>
              <w:jc w:val="left"/>
              <w:rPr>
                <w:rFonts w:ascii="Arial Narrow" w:hAnsi="Arial Narrow" w:cs="Calibri"/>
                <w:color w:val="000000"/>
                <w:sz w:val="20"/>
                <w:szCs w:val="20"/>
              </w:rPr>
            </w:pPr>
            <w:r w:rsidRPr="00615D25">
              <w:rPr>
                <w:rFonts w:ascii="Arial Narrow" w:hAnsi="Arial Narrow" w:cs="Calibri"/>
                <w:color w:val="000000"/>
                <w:sz w:val="20"/>
                <w:szCs w:val="20"/>
              </w:rPr>
              <w:t>Total treatment costs per patient per course</w:t>
            </w:r>
          </w:p>
        </w:tc>
        <w:tc>
          <w:tcPr>
            <w:tcW w:w="2828" w:type="dxa"/>
            <w:gridSpan w:val="2"/>
            <w:shd w:val="clear" w:color="auto" w:fill="auto"/>
            <w:noWrap/>
            <w:vAlign w:val="center"/>
            <w:hideMark/>
          </w:tcPr>
          <w:p w14:paraId="58D93C82" w14:textId="5CB9ACAC" w:rsidR="001E76A3" w:rsidRPr="00615D25" w:rsidRDefault="001E76A3" w:rsidP="00872EFB">
            <w:pPr>
              <w:pStyle w:val="PBACTabletext"/>
              <w:jc w:val="center"/>
              <w:rPr>
                <w:rFonts w:cs="Calibri"/>
                <w:color w:val="000000"/>
                <w:szCs w:val="20"/>
              </w:rPr>
            </w:pPr>
            <w:r w:rsidRPr="00615D25">
              <w:rPr>
                <w:szCs w:val="20"/>
              </w:rPr>
              <w:t>$</w:t>
            </w:r>
            <w:r w:rsidR="00DF294A" w:rsidRPr="00DF294A">
              <w:rPr>
                <w:rFonts w:cs="Calibri"/>
                <w:color w:val="000000"/>
                <w:szCs w:val="20"/>
                <w:shd w:val="solid" w:color="000000" w:fill="000000"/>
                <w:lang w:eastAsia="en-AU"/>
                <w14:textFill>
                  <w14:solidFill>
                    <w14:srgbClr w14:val="000000">
                      <w14:alpha w14:val="100000"/>
                    </w14:srgbClr>
                  </w14:solidFill>
                </w14:textFill>
              </w:rPr>
              <w:t>|</w:t>
            </w:r>
          </w:p>
        </w:tc>
        <w:tc>
          <w:tcPr>
            <w:tcW w:w="3950" w:type="dxa"/>
            <w:gridSpan w:val="2"/>
            <w:shd w:val="clear" w:color="auto" w:fill="auto"/>
            <w:noWrap/>
            <w:vAlign w:val="center"/>
            <w:hideMark/>
          </w:tcPr>
          <w:p w14:paraId="20F33081" w14:textId="2E0DB39C" w:rsidR="001E76A3" w:rsidRPr="00615D25" w:rsidRDefault="001E76A3" w:rsidP="00872EFB">
            <w:pPr>
              <w:pStyle w:val="PBACTabletext"/>
              <w:jc w:val="center"/>
              <w:rPr>
                <w:rFonts w:cs="Calibri"/>
                <w:color w:val="000000"/>
                <w:szCs w:val="20"/>
              </w:rPr>
            </w:pPr>
            <w:r w:rsidRPr="00615D25">
              <w:rPr>
                <w:szCs w:val="20"/>
              </w:rPr>
              <w:t>$</w:t>
            </w:r>
            <w:r w:rsidR="00DF294A" w:rsidRPr="00DF294A">
              <w:rPr>
                <w:rFonts w:cs="Calibri"/>
                <w:color w:val="000000"/>
                <w:szCs w:val="20"/>
                <w:shd w:val="solid" w:color="000000" w:fill="000000"/>
                <w:lang w:eastAsia="en-AU"/>
                <w14:textFill>
                  <w14:solidFill>
                    <w14:srgbClr w14:val="000000">
                      <w14:alpha w14:val="100000"/>
                    </w14:srgbClr>
                  </w14:solidFill>
                </w14:textFill>
              </w:rPr>
              <w:t>|</w:t>
            </w:r>
          </w:p>
        </w:tc>
      </w:tr>
      <w:tr w:rsidR="001E76A3" w:rsidRPr="00615D25" w14:paraId="7791E477" w14:textId="77777777" w:rsidTr="00872EFB">
        <w:trPr>
          <w:trHeight w:val="20"/>
        </w:trPr>
        <w:tc>
          <w:tcPr>
            <w:tcW w:w="2236" w:type="dxa"/>
            <w:shd w:val="clear" w:color="auto" w:fill="auto"/>
            <w:noWrap/>
            <w:vAlign w:val="center"/>
            <w:hideMark/>
          </w:tcPr>
          <w:p w14:paraId="717B45B2" w14:textId="77777777" w:rsidR="001E76A3" w:rsidRPr="00615D25" w:rsidRDefault="001E76A3" w:rsidP="00872EFB">
            <w:pPr>
              <w:keepNext/>
              <w:jc w:val="left"/>
              <w:rPr>
                <w:rFonts w:ascii="Arial Narrow" w:hAnsi="Arial Narrow" w:cs="Calibri"/>
                <w:color w:val="000000"/>
                <w:sz w:val="20"/>
                <w:szCs w:val="20"/>
              </w:rPr>
            </w:pPr>
            <w:r w:rsidRPr="00615D25">
              <w:rPr>
                <w:rFonts w:ascii="Arial Narrow" w:hAnsi="Arial Narrow" w:cs="Calibri"/>
                <w:color w:val="000000"/>
                <w:sz w:val="20"/>
                <w:szCs w:val="20"/>
              </w:rPr>
              <w:t>MBS costs administration of the intravenous infusion</w:t>
            </w:r>
          </w:p>
        </w:tc>
        <w:tc>
          <w:tcPr>
            <w:tcW w:w="2828" w:type="dxa"/>
            <w:gridSpan w:val="2"/>
            <w:shd w:val="clear" w:color="auto" w:fill="auto"/>
            <w:noWrap/>
            <w:vAlign w:val="center"/>
            <w:hideMark/>
          </w:tcPr>
          <w:p w14:paraId="212DB2B4" w14:textId="5714E6B3" w:rsidR="001E76A3" w:rsidRPr="006A0ACD" w:rsidRDefault="001E76A3" w:rsidP="00872EFB">
            <w:pPr>
              <w:pStyle w:val="PBACTabletext"/>
              <w:jc w:val="center"/>
              <w:rPr>
                <w:rFonts w:cs="Calibri"/>
                <w:color w:val="000000"/>
                <w:szCs w:val="20"/>
              </w:rPr>
            </w:pPr>
            <w:r w:rsidRPr="006A0ACD">
              <w:rPr>
                <w:szCs w:val="20"/>
              </w:rPr>
              <w:t>$</w:t>
            </w:r>
            <w:r w:rsidRPr="006A0ACD">
              <w:rPr>
                <w:rFonts w:cs="Calibri"/>
                <w:color w:val="000000"/>
                <w:szCs w:val="20"/>
                <w:lang w:eastAsia="en-AU"/>
              </w:rPr>
              <w:t>1,493.01</w:t>
            </w:r>
          </w:p>
        </w:tc>
        <w:tc>
          <w:tcPr>
            <w:tcW w:w="3950" w:type="dxa"/>
            <w:gridSpan w:val="2"/>
            <w:shd w:val="clear" w:color="auto" w:fill="auto"/>
            <w:noWrap/>
            <w:vAlign w:val="center"/>
            <w:hideMark/>
          </w:tcPr>
          <w:p w14:paraId="712D7296" w14:textId="2FAE2ED2" w:rsidR="001E76A3" w:rsidRPr="006A0ACD" w:rsidRDefault="001E76A3" w:rsidP="00872EFB">
            <w:pPr>
              <w:pStyle w:val="PBACTabletext"/>
              <w:jc w:val="center"/>
              <w:rPr>
                <w:rFonts w:cs="Calibri"/>
                <w:color w:val="000000"/>
                <w:szCs w:val="20"/>
              </w:rPr>
            </w:pPr>
            <w:r w:rsidRPr="006A0ACD">
              <w:rPr>
                <w:szCs w:val="20"/>
              </w:rPr>
              <w:t>$</w:t>
            </w:r>
            <w:r w:rsidRPr="006A0ACD">
              <w:rPr>
                <w:rFonts w:cs="Calibri"/>
                <w:color w:val="000000"/>
                <w:szCs w:val="20"/>
                <w:lang w:eastAsia="en-AU"/>
              </w:rPr>
              <w:t>733.17</w:t>
            </w:r>
          </w:p>
        </w:tc>
      </w:tr>
      <w:tr w:rsidR="001E76A3" w:rsidRPr="00615D25" w14:paraId="7385B256" w14:textId="77777777" w:rsidTr="00872EFB">
        <w:trPr>
          <w:trHeight w:val="20"/>
        </w:trPr>
        <w:tc>
          <w:tcPr>
            <w:tcW w:w="2236" w:type="dxa"/>
            <w:shd w:val="clear" w:color="auto" w:fill="auto"/>
            <w:noWrap/>
            <w:vAlign w:val="center"/>
            <w:hideMark/>
          </w:tcPr>
          <w:p w14:paraId="32F6B2BA" w14:textId="77777777" w:rsidR="001E76A3" w:rsidRPr="00615D25" w:rsidRDefault="001E76A3" w:rsidP="00872EFB">
            <w:pPr>
              <w:keepNext/>
              <w:jc w:val="left"/>
              <w:rPr>
                <w:rFonts w:ascii="Arial Narrow" w:hAnsi="Arial Narrow" w:cs="Calibri"/>
                <w:color w:val="000000"/>
                <w:sz w:val="20"/>
                <w:szCs w:val="20"/>
              </w:rPr>
            </w:pPr>
            <w:r w:rsidRPr="00615D25">
              <w:rPr>
                <w:rFonts w:ascii="Arial Narrow" w:hAnsi="Arial Narrow" w:cs="Calibri"/>
                <w:color w:val="000000"/>
                <w:sz w:val="20"/>
                <w:szCs w:val="20"/>
              </w:rPr>
              <w:t>Total treatment costs including administration</w:t>
            </w:r>
          </w:p>
        </w:tc>
        <w:tc>
          <w:tcPr>
            <w:tcW w:w="6778" w:type="dxa"/>
            <w:gridSpan w:val="4"/>
            <w:shd w:val="clear" w:color="auto" w:fill="auto"/>
            <w:noWrap/>
            <w:vAlign w:val="center"/>
            <w:hideMark/>
          </w:tcPr>
          <w:p w14:paraId="3D334909" w14:textId="1781924F" w:rsidR="001E76A3" w:rsidRPr="00615D25" w:rsidRDefault="001E76A3" w:rsidP="00872EFB">
            <w:pPr>
              <w:pStyle w:val="PBACTabletext"/>
              <w:jc w:val="center"/>
              <w:rPr>
                <w:rFonts w:cs="Calibri"/>
                <w:color w:val="000000"/>
                <w:szCs w:val="20"/>
              </w:rPr>
            </w:pPr>
            <w:r w:rsidRPr="00615D25">
              <w:rPr>
                <w:szCs w:val="20"/>
              </w:rPr>
              <w:t>$</w:t>
            </w:r>
            <w:r w:rsidR="00DF294A" w:rsidRPr="00DF294A">
              <w:rPr>
                <w:rFonts w:cs="Calibri"/>
                <w:color w:val="000000"/>
                <w:szCs w:val="20"/>
                <w:shd w:val="solid" w:color="000000" w:fill="000000"/>
                <w:lang w:eastAsia="en-AU"/>
                <w14:textFill>
                  <w14:solidFill>
                    <w14:srgbClr w14:val="000000">
                      <w14:alpha w14:val="100000"/>
                    </w14:srgbClr>
                  </w14:solidFill>
                </w14:textFill>
              </w:rPr>
              <w:t>|</w:t>
            </w:r>
          </w:p>
        </w:tc>
      </w:tr>
    </w:tbl>
    <w:p w14:paraId="640B5304" w14:textId="77777777" w:rsidR="000D083B" w:rsidRDefault="001E76A3" w:rsidP="001E76A3">
      <w:pPr>
        <w:pStyle w:val="FooterTableFigure"/>
        <w:spacing w:after="0"/>
      </w:pPr>
      <w:r w:rsidRPr="00615D25">
        <w:t>Source: Table 3-6 p157 of the submission</w:t>
      </w:r>
    </w:p>
    <w:p w14:paraId="0074ED5B" w14:textId="3F13575D" w:rsidR="001E76A3" w:rsidRPr="00615D25" w:rsidRDefault="001E76A3" w:rsidP="001E76A3">
      <w:pPr>
        <w:pStyle w:val="FooterTableFigure"/>
        <w:spacing w:after="0"/>
      </w:pPr>
      <w:r w:rsidRPr="00615D25">
        <w:t>AEMP = approved ex-manufacturer price; MBS = Medicare Benefits Schedule</w:t>
      </w:r>
      <w:r>
        <w:t>.</w:t>
      </w:r>
    </w:p>
    <w:p w14:paraId="20C2747B" w14:textId="2DFDAE8D" w:rsidR="001E76A3" w:rsidRDefault="001E76A3" w:rsidP="001E76A3">
      <w:pPr>
        <w:pStyle w:val="FooterTableFigure"/>
        <w:spacing w:after="0"/>
      </w:pPr>
      <w:r w:rsidRPr="00A76F31">
        <w:rPr>
          <w:vertAlign w:val="superscript"/>
        </w:rPr>
        <w:t>a</w:t>
      </w:r>
      <w:r>
        <w:t xml:space="preserve"> a</w:t>
      </w:r>
      <w:r w:rsidRPr="00615D25">
        <w:t>ssume</w:t>
      </w:r>
      <w:r>
        <w:t>d</w:t>
      </w:r>
      <w:r w:rsidRPr="00615D25">
        <w:t xml:space="preserve"> a </w:t>
      </w:r>
      <w:r w:rsidR="00DF294A" w:rsidRPr="00DF294A">
        <w:rPr>
          <w:color w:val="000000"/>
          <w:spacing w:val="37"/>
          <w:shd w:val="solid" w:color="000000" w:fill="000000"/>
          <w:fitText w:val="270" w:id="-664010752"/>
          <w14:textFill>
            <w14:solidFill>
              <w14:srgbClr w14:val="000000">
                <w14:alpha w14:val="100000"/>
              </w14:srgbClr>
            </w14:solidFill>
          </w14:textFill>
        </w:rPr>
        <w:t xml:space="preserve">|  </w:t>
      </w:r>
      <w:r w:rsidR="00DF294A" w:rsidRPr="00DF294A">
        <w:rPr>
          <w:color w:val="000000"/>
          <w:spacing w:val="1"/>
          <w:shd w:val="solid" w:color="000000" w:fill="000000"/>
          <w:fitText w:val="270" w:id="-664010752"/>
          <w14:textFill>
            <w14:solidFill>
              <w14:srgbClr w14:val="000000">
                <w14:alpha w14:val="100000"/>
              </w14:srgbClr>
            </w14:solidFill>
          </w14:textFill>
        </w:rPr>
        <w:t>|</w:t>
      </w:r>
      <w:r w:rsidRPr="00615D25">
        <w:t>% rebate on the published AEMP</w:t>
      </w:r>
    </w:p>
    <w:p w14:paraId="5EFB63E8" w14:textId="13441DA3" w:rsidR="001E76A3" w:rsidRDefault="001E76A3" w:rsidP="00E32D2F">
      <w:pPr>
        <w:pStyle w:val="FooterTableFigure"/>
        <w:rPr>
          <w:i/>
        </w:rPr>
      </w:pPr>
      <w:r w:rsidRPr="008930D6">
        <w:rPr>
          <w:i/>
          <w:iCs/>
        </w:rPr>
        <w:t>Italicised were incorrectly reported in the submission</w:t>
      </w:r>
      <w:r w:rsidR="007371DA">
        <w:rPr>
          <w:i/>
          <w:iCs/>
        </w:rPr>
        <w:t xml:space="preserve"> (</w:t>
      </w:r>
      <w:r w:rsidR="007946C0">
        <w:rPr>
          <w:i/>
          <w:iCs/>
        </w:rPr>
        <w:t>AEMP per vial of durvalumab: $</w:t>
      </w:r>
      <w:r w:rsidR="00DF294A" w:rsidRPr="00DF294A">
        <w:rPr>
          <w:i/>
          <w:iCs/>
          <w:color w:val="000000"/>
          <w:spacing w:val="37"/>
          <w:shd w:val="solid" w:color="000000" w:fill="000000"/>
          <w:fitText w:val="270" w:id="-664010751"/>
          <w14:textFill>
            <w14:solidFill>
              <w14:srgbClr w14:val="000000">
                <w14:alpha w14:val="100000"/>
              </w14:srgbClr>
            </w14:solidFill>
          </w14:textFill>
        </w:rPr>
        <w:t xml:space="preserve">|  </w:t>
      </w:r>
      <w:r w:rsidR="00DF294A" w:rsidRPr="00DF294A">
        <w:rPr>
          <w:i/>
          <w:iCs/>
          <w:color w:val="000000"/>
          <w:spacing w:val="1"/>
          <w:shd w:val="solid" w:color="000000" w:fill="000000"/>
          <w:fitText w:val="270" w:id="-664010751"/>
          <w14:textFill>
            <w14:solidFill>
              <w14:srgbClr w14:val="000000">
                <w14:alpha w14:val="100000"/>
              </w14:srgbClr>
            </w14:solidFill>
          </w14:textFill>
        </w:rPr>
        <w:t>|</w:t>
      </w:r>
      <w:r w:rsidR="00CF1D1F">
        <w:rPr>
          <w:i/>
          <w:iCs/>
        </w:rPr>
        <w:t>, AEMP per mg: $</w:t>
      </w:r>
      <w:r w:rsidR="00DF294A" w:rsidRPr="00DF294A">
        <w:rPr>
          <w:i/>
          <w:iCs/>
          <w:color w:val="000000"/>
          <w:spacing w:val="40"/>
          <w:shd w:val="solid" w:color="000000" w:fill="000000"/>
          <w:fitText w:val="280" w:id="-664010750"/>
          <w14:textFill>
            <w14:solidFill>
              <w14:srgbClr w14:val="000000">
                <w14:alpha w14:val="100000"/>
              </w14:srgbClr>
            </w14:solidFill>
          </w14:textFill>
        </w:rPr>
        <w:t xml:space="preserve">|  </w:t>
      </w:r>
      <w:r w:rsidR="00DF294A" w:rsidRPr="00DF294A">
        <w:rPr>
          <w:i/>
          <w:iCs/>
          <w:color w:val="000000"/>
          <w:spacing w:val="2"/>
          <w:shd w:val="solid" w:color="000000" w:fill="000000"/>
          <w:fitText w:val="280" w:id="-664010750"/>
          <w14:textFill>
            <w14:solidFill>
              <w14:srgbClr w14:val="000000">
                <w14:alpha w14:val="100000"/>
              </w14:srgbClr>
            </w14:solidFill>
          </w14:textFill>
        </w:rPr>
        <w:t>|</w:t>
      </w:r>
      <w:r w:rsidR="00CF1D1F">
        <w:rPr>
          <w:i/>
          <w:iCs/>
        </w:rPr>
        <w:t>)</w:t>
      </w:r>
      <w:r w:rsidRPr="008930D6">
        <w:rPr>
          <w:i/>
          <w:iCs/>
        </w:rPr>
        <w:t xml:space="preserve">, correctly calculated in </w:t>
      </w:r>
      <w:r w:rsidRPr="00D83FFA">
        <w:rPr>
          <w:i/>
        </w:rPr>
        <w:t>Attachment 3.1 CMA.xls</w:t>
      </w:r>
    </w:p>
    <w:p w14:paraId="3178219C" w14:textId="5636F262" w:rsidR="000D083B" w:rsidRDefault="001E76A3" w:rsidP="001E76A3">
      <w:pPr>
        <w:pStyle w:val="3-BodyText"/>
        <w:ind w:left="709"/>
        <w:rPr>
          <w:rFonts w:cstheme="minorHAnsi"/>
        </w:rPr>
      </w:pPr>
      <w:r w:rsidRPr="00CC06B6">
        <w:t xml:space="preserve">The results of a sensitivity analysis </w:t>
      </w:r>
      <w:r w:rsidRPr="00CC06B6">
        <w:rPr>
          <w:rFonts w:cstheme="minorHAnsi"/>
        </w:rPr>
        <w:t>accounting for the proportion of rechallenged patients (7.6%) who received two doses of tremelimumab in HIMALAYA resulted in an estimated cost per vial of durvalumab of $</w:t>
      </w:r>
      <w:r w:rsidR="00DF294A" w:rsidRPr="00AC295B">
        <w:rPr>
          <w:rFonts w:cstheme="minorHAnsi"/>
          <w:color w:val="000000"/>
          <w:w w:val="15"/>
          <w:shd w:val="solid" w:color="000000" w:fill="000000"/>
          <w:fitText w:val="-20" w:id="-664010749"/>
          <w14:textFill>
            <w14:solidFill>
              <w14:srgbClr w14:val="000000">
                <w14:alpha w14:val="100000"/>
              </w14:srgbClr>
            </w14:solidFill>
          </w14:textFill>
        </w:rPr>
        <w:t xml:space="preserve">|  </w:t>
      </w:r>
      <w:r w:rsidR="00DF294A" w:rsidRPr="00AC295B">
        <w:rPr>
          <w:rFonts w:cstheme="minorHAnsi"/>
          <w:color w:val="000000"/>
          <w:spacing w:val="-69"/>
          <w:w w:val="15"/>
          <w:shd w:val="solid" w:color="000000" w:fill="000000"/>
          <w:fitText w:val="-20" w:id="-664010749"/>
          <w14:textFill>
            <w14:solidFill>
              <w14:srgbClr w14:val="000000">
                <w14:alpha w14:val="100000"/>
              </w14:srgbClr>
            </w14:solidFill>
          </w14:textFill>
        </w:rPr>
        <w:t>|</w:t>
      </w:r>
      <w:r w:rsidRPr="00CC06B6">
        <w:rPr>
          <w:rFonts w:cstheme="minorHAnsi"/>
        </w:rPr>
        <w:t xml:space="preserve"> (based on the assumed effective price of atezolizumab).</w:t>
      </w:r>
    </w:p>
    <w:p w14:paraId="74751AA2" w14:textId="77777777" w:rsidR="000D083B" w:rsidRDefault="00ED3098" w:rsidP="00FB2532">
      <w:pPr>
        <w:pStyle w:val="3-BodyText"/>
        <w:ind w:left="709"/>
        <w:rPr>
          <w:rFonts w:cstheme="minorHAnsi"/>
          <w:szCs w:val="24"/>
        </w:rPr>
      </w:pPr>
      <w:r w:rsidRPr="00BA2954">
        <w:rPr>
          <w:rFonts w:cstheme="minorHAnsi"/>
          <w:szCs w:val="24"/>
        </w:rPr>
        <w:lastRenderedPageBreak/>
        <w:t xml:space="preserve">The PSCR acknowledged the preference for using mean duration of treatment in CMAs but argued that this approach may not be suitable given the significant difference in follow-up durations between the trials. The PSCR noted that it was unclear whether the actual trial data (with a median follow-up of 8.6 months) or the modelled treatment duration (based on a 7.5-year time horizon with convergence of OS applied from 36 months) had been used. Further, the PSCR argued that the estimate from either approach may not be appropriate for comparison with STRIDE, for which the mean duration of treatment is derived from the four-year </w:t>
      </w:r>
      <w:r w:rsidRPr="006207AA">
        <w:rPr>
          <w:rFonts w:cstheme="minorHAnsi"/>
          <w:szCs w:val="24"/>
        </w:rPr>
        <w:t>analysis with a median follow-up of 49.12 months.</w:t>
      </w:r>
      <w:r w:rsidR="00DC7616" w:rsidRPr="006207AA">
        <w:rPr>
          <w:rFonts w:cstheme="minorHAnsi"/>
          <w:szCs w:val="24"/>
        </w:rPr>
        <w:t xml:space="preserve"> The PSCR stated it is difficult to comment on a proposed CMA based on </w:t>
      </w:r>
      <w:r w:rsidR="00DA79A3" w:rsidRPr="006207AA">
        <w:rPr>
          <w:rFonts w:cstheme="minorHAnsi"/>
          <w:szCs w:val="24"/>
        </w:rPr>
        <w:t xml:space="preserve">mean treatment durations, when the mean treatment duration for the comparator is not </w:t>
      </w:r>
      <w:r w:rsidR="0085219E" w:rsidRPr="006207AA">
        <w:rPr>
          <w:rFonts w:cstheme="minorHAnsi"/>
          <w:szCs w:val="24"/>
        </w:rPr>
        <w:t>available.</w:t>
      </w:r>
    </w:p>
    <w:p w14:paraId="5A145D0E" w14:textId="77777777" w:rsidR="000D083B" w:rsidRDefault="00FB2532" w:rsidP="00FB2532">
      <w:pPr>
        <w:pStyle w:val="3-BodyText"/>
        <w:ind w:left="709"/>
      </w:pPr>
      <w:r w:rsidRPr="006207AA">
        <w:t xml:space="preserve">The ESC considered the rationale to rely on median treatment durations rather than mean treatment durations was not strong and therefore considered it was appropriate for the CMA to be based on mean treatment durations, consistent with </w:t>
      </w:r>
      <w:r w:rsidR="002F53D8" w:rsidRPr="006207AA">
        <w:t xml:space="preserve">standard practice. The ESC also considered it </w:t>
      </w:r>
      <w:r w:rsidR="00565E77" w:rsidRPr="006207AA">
        <w:t>may be reasonable for STRIDE rechallenge patients to be included in the CMA inputs.</w:t>
      </w:r>
    </w:p>
    <w:p w14:paraId="7071693C" w14:textId="77777777" w:rsidR="000D083B" w:rsidRDefault="008A3943" w:rsidP="00FB2532">
      <w:pPr>
        <w:pStyle w:val="3-BodyText"/>
        <w:ind w:left="709"/>
      </w:pPr>
      <w:bookmarkStart w:id="34" w:name="_Ref198798287"/>
      <w:r>
        <w:t xml:space="preserve">Based on the advice of the ESC, the Department </w:t>
      </w:r>
      <w:r w:rsidR="0023776D">
        <w:t xml:space="preserve">obtained additional information on the utilisation of atezolizumab </w:t>
      </w:r>
      <w:r w:rsidR="00C657B4">
        <w:t>for BCLC/HCC (listed on 1 November 2020)</w:t>
      </w:r>
      <w:r w:rsidR="00866066">
        <w:t xml:space="preserve">, which may provide an alternative (and more balanced) duration of follow-up to inform a mean treatment duration input for </w:t>
      </w:r>
      <w:proofErr w:type="spellStart"/>
      <w:r w:rsidR="00866066">
        <w:t>atezo</w:t>
      </w:r>
      <w:proofErr w:type="spellEnd"/>
      <w:r w:rsidR="00866066">
        <w:t xml:space="preserve"> + b. </w:t>
      </w:r>
      <w:r w:rsidR="003C618E">
        <w:t>An analysis for</w:t>
      </w:r>
      <w:r w:rsidR="005D7B8B">
        <w:t xml:space="preserve"> the</w:t>
      </w:r>
      <w:r w:rsidR="003C618E">
        <w:t xml:space="preserve"> </w:t>
      </w:r>
      <w:r w:rsidR="00DE6FD4">
        <w:t xml:space="preserve">period </w:t>
      </w:r>
      <w:r w:rsidR="004165C7">
        <w:t>since listing to 28</w:t>
      </w:r>
      <w:r w:rsidR="00E32D2F">
        <w:t> </w:t>
      </w:r>
      <w:r w:rsidR="004165C7">
        <w:t xml:space="preserve">February 2025 (4 years </w:t>
      </w:r>
      <w:r w:rsidR="008E3EB2">
        <w:t>4 months)</w:t>
      </w:r>
      <w:r w:rsidR="00335726">
        <w:t xml:space="preserve"> found a mean treatment duration with atezolizumab of 307 days. The PBAC considered the</w:t>
      </w:r>
      <w:r w:rsidR="003F7064">
        <w:t xml:space="preserve"> duration of utilisation data for atezolizumab was much closer to the duration of follow-up available for STRIDE from the HIMALAYA trial (~ 5 years)</w:t>
      </w:r>
      <w:r w:rsidR="00E435AA">
        <w:t xml:space="preserve"> and may represent a more balanced alternative input for the CMA.</w:t>
      </w:r>
      <w:bookmarkEnd w:id="34"/>
    </w:p>
    <w:p w14:paraId="4A4147C8" w14:textId="77777777" w:rsidR="000D083B" w:rsidRDefault="001E76A3" w:rsidP="001E76A3">
      <w:pPr>
        <w:pStyle w:val="3-BodyText"/>
      </w:pPr>
      <w:r>
        <w:t xml:space="preserve">Should the PBAC accept the clinical claim of overall non-inferior effectiveness and safety, the cost-minimisation approach must establish that the cost per patient for treatment with STRIDE would be no more than the cost per patient of </w:t>
      </w:r>
      <w:proofErr w:type="spellStart"/>
      <w:r>
        <w:t>atezo</w:t>
      </w:r>
      <w:proofErr w:type="spellEnd"/>
      <w:r>
        <w:t xml:space="preserve"> + b. </w:t>
      </w:r>
      <w:r w:rsidR="00024DE1">
        <w:t xml:space="preserve">When </w:t>
      </w:r>
      <w:r>
        <w:t>these cost per patient calculations are uncertain, the guiding principle is that the Australian Government should not bear the financial risk of this uncertainty because the Australian population already has access to therapy that is at least as effective and safe.</w:t>
      </w:r>
    </w:p>
    <w:p w14:paraId="2F265EBC" w14:textId="2FBEEAC5" w:rsidR="001E76A3" w:rsidRPr="00615D25" w:rsidRDefault="001E76A3" w:rsidP="001E76A3">
      <w:pPr>
        <w:pStyle w:val="4-SubsectionHeading"/>
      </w:pPr>
      <w:bookmarkStart w:id="35" w:name="_Toc22897646"/>
      <w:bookmarkStart w:id="36" w:name="_Toc193103692"/>
      <w:r w:rsidRPr="00615D25">
        <w:t>Drug/ cost/patient/</w:t>
      </w:r>
      <w:bookmarkEnd w:id="35"/>
      <w:r w:rsidRPr="00615D25">
        <w:t>year</w:t>
      </w:r>
      <w:bookmarkEnd w:id="36"/>
    </w:p>
    <w:p w14:paraId="6E0D120F" w14:textId="4D4A4454" w:rsidR="001E76A3" w:rsidRPr="00612E40" w:rsidRDefault="001E76A3" w:rsidP="00177D10">
      <w:pPr>
        <w:pStyle w:val="3-BodyText"/>
        <w:numPr>
          <w:ilvl w:val="1"/>
          <w:numId w:val="1"/>
        </w:numPr>
        <w:spacing w:before="0"/>
        <w:ind w:left="709" w:hanging="709"/>
      </w:pPr>
      <w:bookmarkStart w:id="37" w:name="_Ref104805102"/>
      <w:r w:rsidRPr="00612E40">
        <w:t xml:space="preserve">The drug cost per patient per year using the assumed effective prices of STRIDE and </w:t>
      </w:r>
      <w:proofErr w:type="spellStart"/>
      <w:r w:rsidRPr="00612E40">
        <w:t>atezo</w:t>
      </w:r>
      <w:proofErr w:type="spellEnd"/>
      <w:r w:rsidRPr="00612E40">
        <w:t xml:space="preserve"> + b is presented in </w:t>
      </w:r>
      <w:r w:rsidRPr="00612E40">
        <w:fldChar w:fldCharType="begin"/>
      </w:r>
      <w:r w:rsidRPr="00612E40">
        <w:instrText xml:space="preserve"> REF _Ref190511235 \h  \* MERGEFORMAT </w:instrText>
      </w:r>
      <w:r w:rsidRPr="00612E40">
        <w:fldChar w:fldCharType="separate"/>
      </w:r>
      <w:r w:rsidR="00AC295B" w:rsidRPr="00AC295B">
        <w:t>Table 11</w:t>
      </w:r>
      <w:r w:rsidRPr="00612E40">
        <w:fldChar w:fldCharType="end"/>
      </w:r>
      <w:r w:rsidRPr="00612E40">
        <w:t>.</w:t>
      </w:r>
    </w:p>
    <w:p w14:paraId="067AB965" w14:textId="37848E2D" w:rsidR="001E76A3" w:rsidRPr="00615D25" w:rsidRDefault="001E76A3" w:rsidP="001E76A3">
      <w:pPr>
        <w:pStyle w:val="3-BodyText"/>
        <w:keepNext/>
        <w:numPr>
          <w:ilvl w:val="0"/>
          <w:numId w:val="0"/>
        </w:numPr>
        <w:spacing w:after="0"/>
        <w:rPr>
          <w:rStyle w:val="CommentReference"/>
          <w:b w:val="0"/>
          <w:szCs w:val="24"/>
        </w:rPr>
      </w:pPr>
      <w:bookmarkStart w:id="38" w:name="_Ref190511235"/>
      <w:r w:rsidRPr="00615D25">
        <w:rPr>
          <w:rStyle w:val="CommentReference"/>
          <w:szCs w:val="24"/>
        </w:rPr>
        <w:lastRenderedPageBreak/>
        <w:t xml:space="preserve">Table </w:t>
      </w:r>
      <w:r w:rsidRPr="00615D25">
        <w:rPr>
          <w:rStyle w:val="CommentReference"/>
          <w:szCs w:val="24"/>
        </w:rPr>
        <w:fldChar w:fldCharType="begin"/>
      </w:r>
      <w:r w:rsidRPr="00615D25">
        <w:rPr>
          <w:rStyle w:val="CommentReference"/>
          <w:szCs w:val="24"/>
        </w:rPr>
        <w:instrText xml:space="preserve"> SEQ Table \* ARABIC </w:instrText>
      </w:r>
      <w:r w:rsidRPr="00615D25">
        <w:rPr>
          <w:rStyle w:val="CommentReference"/>
          <w:szCs w:val="24"/>
        </w:rPr>
        <w:fldChar w:fldCharType="separate"/>
      </w:r>
      <w:r w:rsidR="00AC295B">
        <w:rPr>
          <w:rStyle w:val="CommentReference"/>
          <w:noProof/>
          <w:szCs w:val="24"/>
        </w:rPr>
        <w:t>11</w:t>
      </w:r>
      <w:r w:rsidRPr="00615D25">
        <w:rPr>
          <w:rStyle w:val="CommentReference"/>
          <w:szCs w:val="24"/>
        </w:rPr>
        <w:fldChar w:fldCharType="end"/>
      </w:r>
      <w:bookmarkEnd w:id="37"/>
      <w:bookmarkEnd w:id="38"/>
      <w:r w:rsidRPr="00615D25">
        <w:rPr>
          <w:rStyle w:val="CommentReference"/>
          <w:szCs w:val="24"/>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1275"/>
        <w:gridCol w:w="1012"/>
        <w:gridCol w:w="1261"/>
        <w:gridCol w:w="1257"/>
        <w:gridCol w:w="1261"/>
        <w:gridCol w:w="1255"/>
      </w:tblGrid>
      <w:tr w:rsidR="001E76A3" w:rsidRPr="00615D25" w14:paraId="48B8B453" w14:textId="77777777" w:rsidTr="000B3AF7">
        <w:trPr>
          <w:cantSplit/>
          <w:tblHeader/>
          <w:jc w:val="center"/>
        </w:trPr>
        <w:tc>
          <w:tcPr>
            <w:tcW w:w="940" w:type="pct"/>
            <w:shd w:val="clear" w:color="auto" w:fill="auto"/>
            <w:vAlign w:val="center"/>
          </w:tcPr>
          <w:p w14:paraId="2D271968" w14:textId="77777777" w:rsidR="001E76A3" w:rsidRPr="00615D25" w:rsidRDefault="001E76A3">
            <w:pPr>
              <w:pStyle w:val="In-tableHeading"/>
            </w:pPr>
          </w:p>
        </w:tc>
        <w:tc>
          <w:tcPr>
            <w:tcW w:w="707" w:type="pct"/>
            <w:shd w:val="clear" w:color="auto" w:fill="auto"/>
            <w:vAlign w:val="center"/>
          </w:tcPr>
          <w:p w14:paraId="500669B8" w14:textId="77777777" w:rsidR="001E76A3" w:rsidRPr="00615D25" w:rsidRDefault="001E76A3">
            <w:pPr>
              <w:pStyle w:val="In-tableHeading"/>
              <w:jc w:val="center"/>
            </w:pPr>
            <w:r w:rsidRPr="00615D25">
              <w:t>STRIDE</w:t>
            </w:r>
            <w:r w:rsidRPr="00615D25">
              <w:br/>
              <w:t>Trial dose and duration</w:t>
            </w:r>
          </w:p>
        </w:tc>
        <w:tc>
          <w:tcPr>
            <w:tcW w:w="561" w:type="pct"/>
            <w:shd w:val="clear" w:color="auto" w:fill="auto"/>
            <w:vAlign w:val="center"/>
          </w:tcPr>
          <w:p w14:paraId="2112A7DD" w14:textId="77777777" w:rsidR="001E76A3" w:rsidRPr="00615D25" w:rsidRDefault="001E76A3">
            <w:pPr>
              <w:pStyle w:val="In-tableHeading"/>
              <w:jc w:val="center"/>
            </w:pPr>
            <w:r w:rsidRPr="00615D25">
              <w:t>STRIDE CMA</w:t>
            </w:r>
          </w:p>
        </w:tc>
        <w:tc>
          <w:tcPr>
            <w:tcW w:w="699" w:type="pct"/>
            <w:shd w:val="clear" w:color="auto" w:fill="auto"/>
            <w:vAlign w:val="center"/>
          </w:tcPr>
          <w:p w14:paraId="63BE91F7" w14:textId="77777777" w:rsidR="001E76A3" w:rsidRPr="00615D25" w:rsidRDefault="001E76A3">
            <w:pPr>
              <w:pStyle w:val="In-tableHeading"/>
              <w:jc w:val="center"/>
            </w:pPr>
            <w:r w:rsidRPr="00615D25">
              <w:t>STRIDE</w:t>
            </w:r>
            <w:r w:rsidRPr="00615D25">
              <w:br/>
              <w:t>Financial estimates</w:t>
            </w:r>
          </w:p>
        </w:tc>
        <w:tc>
          <w:tcPr>
            <w:tcW w:w="697" w:type="pct"/>
            <w:shd w:val="clear" w:color="auto" w:fill="auto"/>
            <w:vAlign w:val="center"/>
          </w:tcPr>
          <w:p w14:paraId="20F291EA" w14:textId="77777777" w:rsidR="001E76A3" w:rsidRPr="00615D25" w:rsidRDefault="001E76A3">
            <w:pPr>
              <w:pStyle w:val="In-tableHeading"/>
              <w:jc w:val="center"/>
            </w:pPr>
            <w:proofErr w:type="spellStart"/>
            <w:r w:rsidRPr="00615D25">
              <w:t>Atezo</w:t>
            </w:r>
            <w:proofErr w:type="spellEnd"/>
            <w:r>
              <w:t xml:space="preserve"> </w:t>
            </w:r>
            <w:r w:rsidRPr="00615D25">
              <w:t>+</w:t>
            </w:r>
            <w:r>
              <w:t xml:space="preserve"> </w:t>
            </w:r>
            <w:proofErr w:type="spellStart"/>
            <w:r w:rsidRPr="00615D25">
              <w:t>b</w:t>
            </w:r>
            <w:r>
              <w:t>ev</w:t>
            </w:r>
            <w:proofErr w:type="spellEnd"/>
            <w:r w:rsidRPr="00615D25">
              <w:br/>
              <w:t>Trial dose and duration</w:t>
            </w:r>
          </w:p>
        </w:tc>
        <w:tc>
          <w:tcPr>
            <w:tcW w:w="699" w:type="pct"/>
            <w:shd w:val="clear" w:color="auto" w:fill="auto"/>
            <w:vAlign w:val="center"/>
          </w:tcPr>
          <w:p w14:paraId="14D4880A" w14:textId="77777777" w:rsidR="001E76A3" w:rsidRPr="00615D25" w:rsidRDefault="001E76A3">
            <w:pPr>
              <w:pStyle w:val="In-tableHeading"/>
              <w:jc w:val="center"/>
            </w:pPr>
            <w:proofErr w:type="spellStart"/>
            <w:r w:rsidRPr="00615D25">
              <w:t>Atezo</w:t>
            </w:r>
            <w:proofErr w:type="spellEnd"/>
            <w:r>
              <w:t xml:space="preserve"> </w:t>
            </w:r>
            <w:r w:rsidRPr="00615D25">
              <w:t>+</w:t>
            </w:r>
            <w:r>
              <w:t xml:space="preserve"> </w:t>
            </w:r>
            <w:proofErr w:type="spellStart"/>
            <w:r w:rsidRPr="00615D25">
              <w:t>b</w:t>
            </w:r>
            <w:r>
              <w:t>ev</w:t>
            </w:r>
            <w:proofErr w:type="spellEnd"/>
            <w:r w:rsidRPr="00615D25">
              <w:br/>
              <w:t>Model</w:t>
            </w:r>
          </w:p>
        </w:tc>
        <w:tc>
          <w:tcPr>
            <w:tcW w:w="696" w:type="pct"/>
          </w:tcPr>
          <w:p w14:paraId="3873ACCB" w14:textId="77777777" w:rsidR="001E76A3" w:rsidRPr="00615D25" w:rsidRDefault="001E76A3">
            <w:pPr>
              <w:pStyle w:val="In-tableHeading"/>
              <w:jc w:val="center"/>
            </w:pPr>
            <w:proofErr w:type="spellStart"/>
            <w:r w:rsidRPr="00615D25">
              <w:t>Atezo</w:t>
            </w:r>
            <w:proofErr w:type="spellEnd"/>
            <w:r>
              <w:t xml:space="preserve"> </w:t>
            </w:r>
            <w:r w:rsidRPr="00615D25">
              <w:t>+</w:t>
            </w:r>
            <w:r>
              <w:t xml:space="preserve"> </w:t>
            </w:r>
            <w:proofErr w:type="spellStart"/>
            <w:r w:rsidRPr="00615D25">
              <w:t>b</w:t>
            </w:r>
            <w:r>
              <w:t>ev</w:t>
            </w:r>
            <w:proofErr w:type="spellEnd"/>
            <w:r w:rsidRPr="00615D25">
              <w:br/>
              <w:t>Financial estimates</w:t>
            </w:r>
          </w:p>
        </w:tc>
      </w:tr>
      <w:tr w:rsidR="001E76A3" w:rsidRPr="00615D25" w14:paraId="78E5748C" w14:textId="77777777" w:rsidTr="000B3AF7">
        <w:trPr>
          <w:cantSplit/>
          <w:jc w:val="center"/>
        </w:trPr>
        <w:tc>
          <w:tcPr>
            <w:tcW w:w="940" w:type="pct"/>
            <w:shd w:val="clear" w:color="auto" w:fill="auto"/>
            <w:vAlign w:val="center"/>
          </w:tcPr>
          <w:p w14:paraId="70EAA00D" w14:textId="77777777" w:rsidR="001E76A3" w:rsidRPr="00615D25" w:rsidRDefault="001E76A3">
            <w:pPr>
              <w:pStyle w:val="TableText0"/>
            </w:pPr>
            <w:r w:rsidRPr="00615D25">
              <w:t>Mean dose</w:t>
            </w:r>
          </w:p>
        </w:tc>
        <w:tc>
          <w:tcPr>
            <w:tcW w:w="707" w:type="pct"/>
            <w:shd w:val="clear" w:color="auto" w:fill="auto"/>
            <w:vAlign w:val="center"/>
          </w:tcPr>
          <w:p w14:paraId="740B12FF" w14:textId="77777777" w:rsidR="001E76A3" w:rsidRDefault="001E76A3">
            <w:pPr>
              <w:pStyle w:val="TableText0"/>
              <w:jc w:val="center"/>
            </w:pPr>
            <w:r>
              <w:t>Durva: 1,500 mg per dose</w:t>
            </w:r>
          </w:p>
          <w:p w14:paraId="67E4BFA3" w14:textId="77777777" w:rsidR="001E76A3" w:rsidRPr="00615D25" w:rsidRDefault="001E76A3">
            <w:pPr>
              <w:pStyle w:val="TableText0"/>
              <w:jc w:val="center"/>
            </w:pPr>
            <w:proofErr w:type="spellStart"/>
            <w:r>
              <w:t>Trem</w:t>
            </w:r>
            <w:proofErr w:type="spellEnd"/>
            <w:r>
              <w:t>: 300 mg per dose</w:t>
            </w:r>
          </w:p>
        </w:tc>
        <w:tc>
          <w:tcPr>
            <w:tcW w:w="561" w:type="pct"/>
            <w:shd w:val="clear" w:color="auto" w:fill="auto"/>
            <w:vAlign w:val="center"/>
          </w:tcPr>
          <w:p w14:paraId="4D98CBEC" w14:textId="77777777" w:rsidR="001E76A3" w:rsidRDefault="001E76A3">
            <w:pPr>
              <w:pStyle w:val="TableText0"/>
              <w:jc w:val="center"/>
            </w:pPr>
            <w:r>
              <w:t>Durva: 1,500 mg per dose</w:t>
            </w:r>
          </w:p>
          <w:p w14:paraId="79D3F24D" w14:textId="77777777" w:rsidR="001E76A3" w:rsidRPr="00615D25" w:rsidRDefault="001E76A3">
            <w:pPr>
              <w:pStyle w:val="TableText0"/>
              <w:jc w:val="center"/>
            </w:pPr>
            <w:proofErr w:type="spellStart"/>
            <w:r>
              <w:t>Trem</w:t>
            </w:r>
            <w:proofErr w:type="spellEnd"/>
            <w:r>
              <w:t>: 300 mg per dose</w:t>
            </w:r>
          </w:p>
        </w:tc>
        <w:tc>
          <w:tcPr>
            <w:tcW w:w="699" w:type="pct"/>
            <w:shd w:val="clear" w:color="auto" w:fill="auto"/>
            <w:vAlign w:val="center"/>
          </w:tcPr>
          <w:p w14:paraId="53035E72" w14:textId="77777777" w:rsidR="001E76A3" w:rsidRDefault="001E76A3">
            <w:pPr>
              <w:pStyle w:val="TableText0"/>
              <w:jc w:val="center"/>
            </w:pPr>
            <w:r>
              <w:t>Durva: 1,500 mg per dose</w:t>
            </w:r>
          </w:p>
          <w:p w14:paraId="434B1999" w14:textId="77777777" w:rsidR="001E76A3" w:rsidRPr="00615D25" w:rsidRDefault="001E76A3">
            <w:pPr>
              <w:pStyle w:val="TableText0"/>
              <w:jc w:val="center"/>
            </w:pPr>
            <w:proofErr w:type="spellStart"/>
            <w:r>
              <w:t>Trem</w:t>
            </w:r>
            <w:proofErr w:type="spellEnd"/>
            <w:r>
              <w:t>: 300 mg per dose</w:t>
            </w:r>
          </w:p>
        </w:tc>
        <w:tc>
          <w:tcPr>
            <w:tcW w:w="697" w:type="pct"/>
            <w:shd w:val="clear" w:color="auto" w:fill="auto"/>
            <w:vAlign w:val="center"/>
          </w:tcPr>
          <w:p w14:paraId="3321E8C9" w14:textId="77777777" w:rsidR="001E76A3" w:rsidRPr="00615D25" w:rsidRDefault="001E76A3">
            <w:pPr>
              <w:pStyle w:val="TableText0"/>
              <w:jc w:val="center"/>
            </w:pPr>
            <w:r>
              <w:t>NR</w:t>
            </w:r>
          </w:p>
        </w:tc>
        <w:tc>
          <w:tcPr>
            <w:tcW w:w="699" w:type="pct"/>
            <w:shd w:val="clear" w:color="auto" w:fill="auto"/>
            <w:vAlign w:val="center"/>
          </w:tcPr>
          <w:p w14:paraId="36EC3791" w14:textId="77777777" w:rsidR="001E76A3" w:rsidRDefault="001E76A3">
            <w:pPr>
              <w:pStyle w:val="TableText0"/>
              <w:jc w:val="center"/>
            </w:pPr>
            <w:proofErr w:type="spellStart"/>
            <w:r>
              <w:t>Atezo</w:t>
            </w:r>
            <w:proofErr w:type="spellEnd"/>
            <w:r>
              <w:t>: 1,200 mg per dose</w:t>
            </w:r>
          </w:p>
          <w:p w14:paraId="1F1C99A2" w14:textId="77777777" w:rsidR="001E76A3" w:rsidRPr="00615D25" w:rsidRDefault="001E76A3">
            <w:pPr>
              <w:pStyle w:val="TableText0"/>
              <w:jc w:val="center"/>
            </w:pPr>
            <w:r>
              <w:t>Bev: 1,076 mg per dose</w:t>
            </w:r>
          </w:p>
        </w:tc>
        <w:tc>
          <w:tcPr>
            <w:tcW w:w="696" w:type="pct"/>
          </w:tcPr>
          <w:p w14:paraId="273E9B2B" w14:textId="77777777" w:rsidR="001E76A3" w:rsidRDefault="001E76A3">
            <w:pPr>
              <w:pStyle w:val="TableText0"/>
              <w:jc w:val="center"/>
            </w:pPr>
            <w:proofErr w:type="spellStart"/>
            <w:r>
              <w:t>Atezo</w:t>
            </w:r>
            <w:proofErr w:type="spellEnd"/>
            <w:r>
              <w:t>: 1,200 mg per dose</w:t>
            </w:r>
          </w:p>
          <w:p w14:paraId="27D386C1" w14:textId="77777777" w:rsidR="001E76A3" w:rsidRPr="00615D25" w:rsidRDefault="001E76A3">
            <w:pPr>
              <w:pStyle w:val="TableText0"/>
              <w:jc w:val="center"/>
            </w:pPr>
            <w:r>
              <w:t>Bev: 1,076 mg per dose</w:t>
            </w:r>
          </w:p>
        </w:tc>
      </w:tr>
      <w:tr w:rsidR="001E76A3" w:rsidRPr="00615D25" w14:paraId="64A9DCD4" w14:textId="77777777" w:rsidTr="000B3AF7">
        <w:trPr>
          <w:cantSplit/>
          <w:jc w:val="center"/>
        </w:trPr>
        <w:tc>
          <w:tcPr>
            <w:tcW w:w="940" w:type="pct"/>
            <w:shd w:val="clear" w:color="auto" w:fill="auto"/>
            <w:vAlign w:val="center"/>
          </w:tcPr>
          <w:p w14:paraId="15B52848" w14:textId="77777777" w:rsidR="001E76A3" w:rsidRDefault="001E76A3">
            <w:pPr>
              <w:pStyle w:val="TableText0"/>
            </w:pPr>
            <w:r>
              <w:t xml:space="preserve">Median DoT/number of cycles received </w:t>
            </w:r>
          </w:p>
        </w:tc>
        <w:tc>
          <w:tcPr>
            <w:tcW w:w="707" w:type="pct"/>
            <w:shd w:val="clear" w:color="auto" w:fill="auto"/>
            <w:vAlign w:val="center"/>
          </w:tcPr>
          <w:p w14:paraId="61D70A93" w14:textId="77777777" w:rsidR="001E76A3" w:rsidRDefault="001E76A3">
            <w:pPr>
              <w:pStyle w:val="TableText0"/>
              <w:jc w:val="center"/>
            </w:pPr>
            <w:r>
              <w:t>5.5 months</w:t>
            </w:r>
            <w:r w:rsidRPr="00A374E3">
              <w:rPr>
                <w:vertAlign w:val="superscript"/>
              </w:rPr>
              <w:t>a</w:t>
            </w:r>
          </w:p>
          <w:p w14:paraId="11BDA0FE" w14:textId="02365691" w:rsidR="001E76A3" w:rsidRPr="00CC1FBB" w:rsidRDefault="001E76A3">
            <w:pPr>
              <w:pStyle w:val="TableText0"/>
              <w:jc w:val="center"/>
              <w:rPr>
                <w:i/>
                <w:iCs/>
              </w:rPr>
            </w:pPr>
            <w:r>
              <w:t xml:space="preserve">Durva: </w:t>
            </w:r>
            <w:r w:rsidR="00147120">
              <w:rPr>
                <w:i/>
                <w:iCs/>
              </w:rPr>
              <w:t>5.96</w:t>
            </w:r>
          </w:p>
          <w:p w14:paraId="32D5DFDB" w14:textId="049B9745" w:rsidR="001E76A3" w:rsidRPr="00615D25" w:rsidRDefault="001E76A3">
            <w:pPr>
              <w:pStyle w:val="TableText0"/>
              <w:jc w:val="center"/>
            </w:pPr>
            <w:proofErr w:type="spellStart"/>
            <w:r>
              <w:t>Trem</w:t>
            </w:r>
            <w:proofErr w:type="spellEnd"/>
            <w:r>
              <w:t xml:space="preserve">: </w:t>
            </w:r>
            <w:r w:rsidRPr="00CC1FBB">
              <w:rPr>
                <w:i/>
                <w:iCs/>
              </w:rPr>
              <w:t>1</w:t>
            </w:r>
            <w:r w:rsidR="00147120">
              <w:rPr>
                <w:i/>
                <w:iCs/>
              </w:rPr>
              <w:t>.00</w:t>
            </w:r>
          </w:p>
        </w:tc>
        <w:tc>
          <w:tcPr>
            <w:tcW w:w="561" w:type="pct"/>
            <w:shd w:val="clear" w:color="auto" w:fill="auto"/>
            <w:vAlign w:val="center"/>
          </w:tcPr>
          <w:p w14:paraId="51F99525" w14:textId="77777777" w:rsidR="001E76A3" w:rsidRDefault="001E76A3">
            <w:pPr>
              <w:pStyle w:val="TableText0"/>
              <w:jc w:val="center"/>
            </w:pPr>
            <w:r>
              <w:t>5.5 months</w:t>
            </w:r>
            <w:r>
              <w:rPr>
                <w:vertAlign w:val="superscript"/>
              </w:rPr>
              <w:t>a</w:t>
            </w:r>
          </w:p>
          <w:p w14:paraId="6EDB9C4F" w14:textId="79A3B07F" w:rsidR="001E76A3" w:rsidRDefault="001E76A3">
            <w:pPr>
              <w:pStyle w:val="TableText0"/>
              <w:jc w:val="center"/>
            </w:pPr>
            <w:r>
              <w:t xml:space="preserve">Durva: </w:t>
            </w:r>
            <w:r w:rsidR="00147120">
              <w:t>5.96</w:t>
            </w:r>
          </w:p>
          <w:p w14:paraId="7A0863CE" w14:textId="20EFE3C0" w:rsidR="001E76A3" w:rsidRPr="00615D25" w:rsidRDefault="001E76A3">
            <w:pPr>
              <w:pStyle w:val="TableText0"/>
              <w:jc w:val="center"/>
            </w:pPr>
            <w:proofErr w:type="spellStart"/>
            <w:r>
              <w:t>Trem</w:t>
            </w:r>
            <w:proofErr w:type="spellEnd"/>
            <w:r>
              <w:t>: 1</w:t>
            </w:r>
            <w:r w:rsidR="00147120">
              <w:t>.00</w:t>
            </w:r>
          </w:p>
        </w:tc>
        <w:tc>
          <w:tcPr>
            <w:tcW w:w="699" w:type="pct"/>
            <w:shd w:val="clear" w:color="auto" w:fill="auto"/>
            <w:vAlign w:val="center"/>
          </w:tcPr>
          <w:p w14:paraId="2EE9BF43" w14:textId="77777777" w:rsidR="001E76A3" w:rsidRDefault="001E76A3">
            <w:pPr>
              <w:pStyle w:val="TableText0"/>
              <w:jc w:val="center"/>
            </w:pPr>
            <w:r>
              <w:t>5.5 months</w:t>
            </w:r>
            <w:r>
              <w:rPr>
                <w:vertAlign w:val="superscript"/>
              </w:rPr>
              <w:t>a</w:t>
            </w:r>
          </w:p>
          <w:p w14:paraId="585B36B2" w14:textId="17B6DE58" w:rsidR="001E76A3" w:rsidRDefault="001E76A3">
            <w:pPr>
              <w:pStyle w:val="TableText0"/>
              <w:jc w:val="center"/>
            </w:pPr>
            <w:r>
              <w:t xml:space="preserve">Durva: </w:t>
            </w:r>
            <w:r w:rsidR="00147120">
              <w:t>5.96</w:t>
            </w:r>
          </w:p>
          <w:p w14:paraId="3E4E1DD6" w14:textId="40644C3C" w:rsidR="001E76A3" w:rsidRPr="003A0331" w:rsidRDefault="001E76A3">
            <w:pPr>
              <w:pStyle w:val="TableText0"/>
              <w:jc w:val="center"/>
              <w:rPr>
                <w:b/>
              </w:rPr>
            </w:pPr>
            <w:proofErr w:type="spellStart"/>
            <w:r>
              <w:t>Trem</w:t>
            </w:r>
            <w:proofErr w:type="spellEnd"/>
            <w:r>
              <w:t>: 1</w:t>
            </w:r>
            <w:r w:rsidR="00147120">
              <w:t>.00</w:t>
            </w:r>
          </w:p>
        </w:tc>
        <w:tc>
          <w:tcPr>
            <w:tcW w:w="697" w:type="pct"/>
            <w:shd w:val="clear" w:color="auto" w:fill="auto"/>
            <w:vAlign w:val="center"/>
          </w:tcPr>
          <w:p w14:paraId="55DB660B" w14:textId="77777777" w:rsidR="001E76A3" w:rsidRPr="00615D25" w:rsidRDefault="001E76A3">
            <w:pPr>
              <w:pStyle w:val="TableText0"/>
              <w:jc w:val="center"/>
            </w:pPr>
            <w:r>
              <w:t>NR</w:t>
            </w:r>
          </w:p>
        </w:tc>
        <w:tc>
          <w:tcPr>
            <w:tcW w:w="699" w:type="pct"/>
            <w:shd w:val="clear" w:color="auto" w:fill="auto"/>
            <w:vAlign w:val="center"/>
          </w:tcPr>
          <w:p w14:paraId="5CE6A2E3" w14:textId="77777777" w:rsidR="001E76A3" w:rsidRDefault="001E76A3">
            <w:pPr>
              <w:pStyle w:val="TableText0"/>
              <w:jc w:val="center"/>
            </w:pPr>
            <w:proofErr w:type="spellStart"/>
            <w:r>
              <w:t>Atezo</w:t>
            </w:r>
            <w:r w:rsidRPr="00A374E3">
              <w:rPr>
                <w:vertAlign w:val="superscript"/>
              </w:rPr>
              <w:t>b</w:t>
            </w:r>
            <w:proofErr w:type="spellEnd"/>
            <w:r>
              <w:rPr>
                <w:vertAlign w:val="superscript"/>
              </w:rPr>
              <w:t xml:space="preserve"> </w:t>
            </w:r>
            <w:r>
              <w:t>: 8.4 months;</w:t>
            </w:r>
          </w:p>
          <w:p w14:paraId="1703D814" w14:textId="3D1908D6" w:rsidR="001E76A3" w:rsidRDefault="001E76A3">
            <w:pPr>
              <w:pStyle w:val="TableText0"/>
              <w:jc w:val="center"/>
            </w:pPr>
            <w:r>
              <w:t>12.1</w:t>
            </w:r>
            <w:r w:rsidR="00147120">
              <w:t>3</w:t>
            </w:r>
          </w:p>
          <w:p w14:paraId="0985232D" w14:textId="48A15E1A" w:rsidR="001E76A3" w:rsidRPr="00615D25" w:rsidRDefault="001E76A3">
            <w:pPr>
              <w:pStyle w:val="TableText0"/>
              <w:jc w:val="center"/>
            </w:pPr>
            <w:proofErr w:type="spellStart"/>
            <w:r>
              <w:t>Bev</w:t>
            </w:r>
            <w:r w:rsidRPr="00A374E3">
              <w:rPr>
                <w:vertAlign w:val="superscript"/>
              </w:rPr>
              <w:t>b</w:t>
            </w:r>
            <w:proofErr w:type="spellEnd"/>
            <w:r>
              <w:t>: 7 months; 10.1</w:t>
            </w:r>
            <w:r w:rsidR="00147120">
              <w:t>1</w:t>
            </w:r>
          </w:p>
        </w:tc>
        <w:tc>
          <w:tcPr>
            <w:tcW w:w="696" w:type="pct"/>
          </w:tcPr>
          <w:p w14:paraId="53A339C2" w14:textId="77777777" w:rsidR="001E76A3" w:rsidRDefault="001E76A3">
            <w:pPr>
              <w:pStyle w:val="TableText0"/>
              <w:jc w:val="center"/>
            </w:pPr>
            <w:proofErr w:type="spellStart"/>
            <w:r>
              <w:t>Atezo</w:t>
            </w:r>
            <w:r w:rsidRPr="00A374E3">
              <w:rPr>
                <w:vertAlign w:val="superscript"/>
              </w:rPr>
              <w:t>b</w:t>
            </w:r>
            <w:proofErr w:type="spellEnd"/>
            <w:r>
              <w:t>: 8.4 months</w:t>
            </w:r>
          </w:p>
          <w:p w14:paraId="37EB9B19" w14:textId="71A3D8FE" w:rsidR="001E76A3" w:rsidRPr="00615D25" w:rsidRDefault="001E76A3">
            <w:pPr>
              <w:pStyle w:val="TableText0"/>
              <w:jc w:val="center"/>
            </w:pPr>
            <w:proofErr w:type="spellStart"/>
            <w:r>
              <w:t>Bev</w:t>
            </w:r>
            <w:r w:rsidRPr="00A374E3">
              <w:rPr>
                <w:vertAlign w:val="superscript"/>
              </w:rPr>
              <w:t>b</w:t>
            </w:r>
            <w:proofErr w:type="spellEnd"/>
            <w:r>
              <w:t>: 7 months</w:t>
            </w:r>
          </w:p>
        </w:tc>
      </w:tr>
      <w:tr w:rsidR="001E76A3" w:rsidRPr="00615D25" w14:paraId="08424C57" w14:textId="77777777" w:rsidTr="000B3AF7">
        <w:trPr>
          <w:cantSplit/>
          <w:jc w:val="center"/>
        </w:trPr>
        <w:tc>
          <w:tcPr>
            <w:tcW w:w="940" w:type="pct"/>
            <w:shd w:val="clear" w:color="auto" w:fill="auto"/>
            <w:vAlign w:val="center"/>
          </w:tcPr>
          <w:p w14:paraId="6389AD8B" w14:textId="77777777" w:rsidR="001E76A3" w:rsidRPr="00615D25" w:rsidRDefault="001E76A3">
            <w:pPr>
              <w:pStyle w:val="TableText0"/>
            </w:pPr>
            <w:r>
              <w:t>Cost per vial</w:t>
            </w:r>
          </w:p>
        </w:tc>
        <w:tc>
          <w:tcPr>
            <w:tcW w:w="1967" w:type="pct"/>
            <w:gridSpan w:val="3"/>
            <w:shd w:val="clear" w:color="auto" w:fill="auto"/>
            <w:vAlign w:val="center"/>
          </w:tcPr>
          <w:p w14:paraId="33D3A95B" w14:textId="7AD8F246" w:rsidR="001E76A3" w:rsidRPr="00615D25" w:rsidRDefault="001E76A3">
            <w:pPr>
              <w:pStyle w:val="TableText0"/>
              <w:jc w:val="center"/>
            </w:pPr>
            <w:proofErr w:type="spellStart"/>
            <w:r>
              <w:t>Trem</w:t>
            </w:r>
            <w:proofErr w:type="spellEnd"/>
            <w:r>
              <w:t>: $</w:t>
            </w:r>
            <w:r w:rsidR="00DF294A" w:rsidRPr="00DF294A">
              <w:rPr>
                <w:color w:val="000000"/>
                <w:shd w:val="solid" w:color="000000" w:fill="000000"/>
                <w14:textFill>
                  <w14:solidFill>
                    <w14:srgbClr w14:val="000000">
                      <w14:alpha w14:val="100000"/>
                    </w14:srgbClr>
                  </w14:solidFill>
                </w14:textFill>
              </w:rPr>
              <w:t>|</w:t>
            </w:r>
            <w:r>
              <w:t xml:space="preserve"> </w:t>
            </w:r>
            <w:r>
              <w:br/>
              <w:t>Durva: $</w:t>
            </w:r>
            <w:r w:rsidR="00DF294A" w:rsidRPr="00DF294A">
              <w:rPr>
                <w:color w:val="000000"/>
                <w:shd w:val="solid" w:color="000000" w:fill="000000"/>
                <w14:textFill>
                  <w14:solidFill>
                    <w14:srgbClr w14:val="000000">
                      <w14:alpha w14:val="100000"/>
                    </w14:srgbClr>
                  </w14:solidFill>
                </w14:textFill>
              </w:rPr>
              <w:t>|</w:t>
            </w:r>
          </w:p>
        </w:tc>
        <w:tc>
          <w:tcPr>
            <w:tcW w:w="2092" w:type="pct"/>
            <w:gridSpan w:val="3"/>
            <w:shd w:val="clear" w:color="auto" w:fill="auto"/>
            <w:vAlign w:val="center"/>
          </w:tcPr>
          <w:p w14:paraId="5A14C533" w14:textId="0109171D" w:rsidR="001E76A3" w:rsidRDefault="001E76A3">
            <w:pPr>
              <w:pStyle w:val="TableText0"/>
              <w:jc w:val="center"/>
            </w:pPr>
            <w:proofErr w:type="spellStart"/>
            <w:r>
              <w:t>Atezo</w:t>
            </w:r>
            <w:proofErr w:type="spellEnd"/>
            <w:r>
              <w:t>: $</w:t>
            </w:r>
            <w:r w:rsidR="00DF294A" w:rsidRPr="00DF294A">
              <w:rPr>
                <w:color w:val="000000"/>
                <w:shd w:val="solid" w:color="000000" w:fill="000000"/>
                <w14:textFill>
                  <w14:solidFill>
                    <w14:srgbClr w14:val="000000">
                      <w14:alpha w14:val="100000"/>
                    </w14:srgbClr>
                  </w14:solidFill>
                </w14:textFill>
              </w:rPr>
              <w:t>|</w:t>
            </w:r>
            <w:r>
              <w:t xml:space="preserve"> (assumed effective price)</w:t>
            </w:r>
          </w:p>
          <w:p w14:paraId="69DE17C2" w14:textId="01B10DAA" w:rsidR="001E76A3" w:rsidRPr="00615D25" w:rsidRDefault="001E76A3">
            <w:pPr>
              <w:pStyle w:val="TableText0"/>
              <w:jc w:val="center"/>
            </w:pPr>
            <w:r>
              <w:t>Bev: $</w:t>
            </w:r>
            <w:r w:rsidRPr="006F6E99">
              <w:t>61.77</w:t>
            </w:r>
          </w:p>
        </w:tc>
      </w:tr>
      <w:tr w:rsidR="00462E3E" w:rsidRPr="00615D25" w14:paraId="046E8DCB" w14:textId="77777777" w:rsidTr="000B3AF7">
        <w:trPr>
          <w:cantSplit/>
          <w:jc w:val="center"/>
        </w:trPr>
        <w:tc>
          <w:tcPr>
            <w:tcW w:w="940" w:type="pct"/>
            <w:shd w:val="clear" w:color="auto" w:fill="auto"/>
            <w:vAlign w:val="center"/>
          </w:tcPr>
          <w:p w14:paraId="3E73D04F" w14:textId="69BE7A26" w:rsidR="00200800" w:rsidRPr="00615D25" w:rsidRDefault="00200800">
            <w:pPr>
              <w:pStyle w:val="TableText0"/>
            </w:pPr>
            <w:r>
              <w:t>Cost per cy</w:t>
            </w:r>
            <w:r w:rsidR="00A43173">
              <w:t xml:space="preserve">cle </w:t>
            </w:r>
          </w:p>
        </w:tc>
        <w:tc>
          <w:tcPr>
            <w:tcW w:w="707" w:type="pct"/>
            <w:shd w:val="clear" w:color="auto" w:fill="auto"/>
            <w:vAlign w:val="center"/>
          </w:tcPr>
          <w:p w14:paraId="05920C48" w14:textId="38AE1616" w:rsidR="006B5487" w:rsidRDefault="006B5487" w:rsidP="006B5487">
            <w:pPr>
              <w:pStyle w:val="TableText0"/>
              <w:jc w:val="center"/>
            </w:pPr>
            <w:proofErr w:type="spellStart"/>
            <w:r>
              <w:t>Trem</w:t>
            </w:r>
            <w:proofErr w:type="spellEnd"/>
            <w:r>
              <w:t>: $</w:t>
            </w:r>
            <w:r w:rsidR="00DF294A" w:rsidRPr="00DF294A">
              <w:rPr>
                <w:color w:val="000000"/>
                <w:spacing w:val="46"/>
                <w:shd w:val="solid" w:color="000000" w:fill="000000"/>
                <w:fitText w:val="220" w:id="-664010748"/>
                <w14:textFill>
                  <w14:solidFill>
                    <w14:srgbClr w14:val="000000">
                      <w14:alpha w14:val="100000"/>
                    </w14:srgbClr>
                  </w14:solidFill>
                </w14:textFill>
              </w:rPr>
              <w:t>||</w:t>
            </w:r>
            <w:r w:rsidR="00DF294A" w:rsidRPr="00DF294A">
              <w:rPr>
                <w:color w:val="000000"/>
                <w:spacing w:val="1"/>
                <w:shd w:val="solid" w:color="000000" w:fill="000000"/>
                <w:fitText w:val="220" w:id="-664010748"/>
                <w14:textFill>
                  <w14:solidFill>
                    <w14:srgbClr w14:val="000000">
                      <w14:alpha w14:val="100000"/>
                    </w14:srgbClr>
                  </w14:solidFill>
                </w14:textFill>
              </w:rPr>
              <w:t>|</w:t>
            </w:r>
          </w:p>
          <w:p w14:paraId="7C0B41A9" w14:textId="47E5F667" w:rsidR="00200800" w:rsidRPr="00D1199E" w:rsidRDefault="006B5487" w:rsidP="006B5487">
            <w:pPr>
              <w:pStyle w:val="TableText0"/>
              <w:jc w:val="center"/>
              <w:rPr>
                <w:vertAlign w:val="superscript"/>
              </w:rPr>
            </w:pPr>
            <w:r>
              <w:t xml:space="preserve">Durva: </w:t>
            </w:r>
            <w:r w:rsidRPr="00740008">
              <w:t>$</w:t>
            </w:r>
            <w:r w:rsidR="00DF294A" w:rsidRPr="00DF294A">
              <w:rPr>
                <w:color w:val="000000"/>
                <w:spacing w:val="164"/>
                <w:shd w:val="solid" w:color="000000" w:fill="000000"/>
                <w:fitText w:val="250" w:id="-664010747"/>
                <w14:textFill>
                  <w14:solidFill>
                    <w14:srgbClr w14:val="000000">
                      <w14:alpha w14:val="100000"/>
                    </w14:srgbClr>
                  </w14:solidFill>
                </w14:textFill>
              </w:rPr>
              <w:t>|</w:t>
            </w:r>
            <w:r w:rsidR="00DF294A" w:rsidRPr="00DF294A">
              <w:rPr>
                <w:color w:val="000000"/>
                <w:spacing w:val="1"/>
                <w:shd w:val="solid" w:color="000000" w:fill="000000"/>
                <w:fitText w:val="250" w:id="-664010747"/>
                <w14:textFill>
                  <w14:solidFill>
                    <w14:srgbClr w14:val="000000">
                      <w14:alpha w14:val="100000"/>
                    </w14:srgbClr>
                  </w14:solidFill>
                </w14:textFill>
              </w:rPr>
              <w:t>|</w:t>
            </w:r>
          </w:p>
        </w:tc>
        <w:tc>
          <w:tcPr>
            <w:tcW w:w="1260" w:type="pct"/>
            <w:gridSpan w:val="2"/>
            <w:shd w:val="clear" w:color="auto" w:fill="auto"/>
            <w:vAlign w:val="center"/>
          </w:tcPr>
          <w:p w14:paraId="66DBC255" w14:textId="40F3B0D2" w:rsidR="00C407FF" w:rsidRDefault="00C407FF" w:rsidP="00C407FF">
            <w:pPr>
              <w:pStyle w:val="TableText0"/>
              <w:jc w:val="center"/>
            </w:pPr>
            <w:proofErr w:type="spellStart"/>
            <w:r>
              <w:t>Trem</w:t>
            </w:r>
            <w:proofErr w:type="spellEnd"/>
            <w:r>
              <w:t>: $</w:t>
            </w:r>
            <w:r w:rsidR="00DF294A" w:rsidRPr="00DF294A">
              <w:rPr>
                <w:color w:val="000000"/>
                <w:shd w:val="solid" w:color="000000" w:fill="000000"/>
                <w14:textFill>
                  <w14:solidFill>
                    <w14:srgbClr w14:val="000000">
                      <w14:alpha w14:val="100000"/>
                    </w14:srgbClr>
                  </w14:solidFill>
                </w14:textFill>
              </w:rPr>
              <w:t>|</w:t>
            </w:r>
          </w:p>
          <w:p w14:paraId="56E2DDDD" w14:textId="5A860725" w:rsidR="00200800" w:rsidRPr="00D1199E" w:rsidRDefault="00C407FF" w:rsidP="00C407FF">
            <w:pPr>
              <w:pStyle w:val="TableText0"/>
              <w:jc w:val="center"/>
              <w:rPr>
                <w:vertAlign w:val="superscript"/>
              </w:rPr>
            </w:pPr>
            <w:r>
              <w:t xml:space="preserve">Durva: </w:t>
            </w:r>
            <w:r w:rsidRPr="00740008">
              <w:t>$</w:t>
            </w:r>
            <w:r w:rsidR="00DF294A" w:rsidRPr="00DF294A">
              <w:rPr>
                <w:color w:val="000000"/>
                <w:shd w:val="solid" w:color="000000" w:fill="000000"/>
                <w14:textFill>
                  <w14:solidFill>
                    <w14:srgbClr w14:val="000000">
                      <w14:alpha w14:val="100000"/>
                    </w14:srgbClr>
                  </w14:solidFill>
                </w14:textFill>
              </w:rPr>
              <w:t>|</w:t>
            </w:r>
          </w:p>
        </w:tc>
        <w:tc>
          <w:tcPr>
            <w:tcW w:w="697" w:type="pct"/>
            <w:shd w:val="clear" w:color="auto" w:fill="auto"/>
            <w:vAlign w:val="center"/>
          </w:tcPr>
          <w:p w14:paraId="58664FA9" w14:textId="068399F0" w:rsidR="00200800" w:rsidRDefault="00AC3085">
            <w:pPr>
              <w:pStyle w:val="TableText0"/>
              <w:jc w:val="center"/>
            </w:pPr>
            <w:r>
              <w:t xml:space="preserve">NE </w:t>
            </w:r>
          </w:p>
        </w:tc>
        <w:tc>
          <w:tcPr>
            <w:tcW w:w="1395" w:type="pct"/>
            <w:gridSpan w:val="2"/>
            <w:shd w:val="clear" w:color="auto" w:fill="auto"/>
            <w:vAlign w:val="center"/>
          </w:tcPr>
          <w:p w14:paraId="5405F468" w14:textId="24B6B411" w:rsidR="000D083B" w:rsidRDefault="007315F1" w:rsidP="007315F1">
            <w:pPr>
              <w:pStyle w:val="TableText0"/>
              <w:jc w:val="center"/>
            </w:pPr>
            <w:proofErr w:type="spellStart"/>
            <w:r>
              <w:t>Atezo</w:t>
            </w:r>
            <w:proofErr w:type="spellEnd"/>
            <w:r>
              <w:t>: $</w:t>
            </w:r>
            <w:r w:rsidR="00DF294A" w:rsidRPr="00DF294A">
              <w:rPr>
                <w:color w:val="000000"/>
                <w:shd w:val="solid" w:color="000000" w:fill="000000"/>
                <w14:textFill>
                  <w14:solidFill>
                    <w14:srgbClr w14:val="000000">
                      <w14:alpha w14:val="100000"/>
                    </w14:srgbClr>
                  </w14:solidFill>
                </w14:textFill>
              </w:rPr>
              <w:t>|</w:t>
            </w:r>
          </w:p>
          <w:p w14:paraId="680AE135" w14:textId="1E523D4A" w:rsidR="00200800" w:rsidRDefault="007315F1" w:rsidP="007315F1">
            <w:pPr>
              <w:pStyle w:val="TableText0"/>
              <w:jc w:val="center"/>
            </w:pPr>
            <w:r>
              <w:t>Bev: $</w:t>
            </w:r>
            <w:r w:rsidRPr="006F6E99">
              <w:t>6</w:t>
            </w:r>
            <w:r w:rsidR="00C53AB3" w:rsidRPr="006F6E99">
              <w:t>6</w:t>
            </w:r>
            <w:r w:rsidR="00147120" w:rsidRPr="006F6E99">
              <w:t>5</w:t>
            </w:r>
          </w:p>
        </w:tc>
      </w:tr>
      <w:tr w:rsidR="001E76A3" w:rsidRPr="00615D25" w14:paraId="68959A65" w14:textId="77777777" w:rsidTr="000B3AF7">
        <w:trPr>
          <w:cantSplit/>
          <w:jc w:val="center"/>
        </w:trPr>
        <w:tc>
          <w:tcPr>
            <w:tcW w:w="940" w:type="pct"/>
            <w:shd w:val="clear" w:color="auto" w:fill="auto"/>
            <w:vAlign w:val="center"/>
          </w:tcPr>
          <w:p w14:paraId="7277576E" w14:textId="627ADFD2" w:rsidR="001E76A3" w:rsidRPr="00710832" w:rsidRDefault="001E76A3">
            <w:pPr>
              <w:pStyle w:val="TableText0"/>
              <w:rPr>
                <w:vertAlign w:val="superscript"/>
              </w:rPr>
            </w:pPr>
            <w:r w:rsidRPr="00615D25">
              <w:t>Cost/patient/</w:t>
            </w:r>
            <w:r>
              <w:t>course</w:t>
            </w:r>
            <w:r w:rsidR="00462E3E">
              <w:t xml:space="preserve"> </w:t>
            </w:r>
            <w:r w:rsidR="00462E3E">
              <w:rPr>
                <w:vertAlign w:val="superscript"/>
              </w:rPr>
              <w:t>c</w:t>
            </w:r>
          </w:p>
        </w:tc>
        <w:tc>
          <w:tcPr>
            <w:tcW w:w="707" w:type="pct"/>
            <w:shd w:val="clear" w:color="auto" w:fill="auto"/>
            <w:vAlign w:val="center"/>
          </w:tcPr>
          <w:p w14:paraId="67620F25" w14:textId="19F3BC48" w:rsidR="001E76A3" w:rsidRDefault="001E76A3">
            <w:pPr>
              <w:pStyle w:val="TableText0"/>
              <w:jc w:val="center"/>
            </w:pPr>
            <w:proofErr w:type="spellStart"/>
            <w:r>
              <w:t>Trem</w:t>
            </w:r>
            <w:proofErr w:type="spellEnd"/>
            <w:r>
              <w:t>: $</w:t>
            </w:r>
            <w:r w:rsidR="00DF294A" w:rsidRPr="00DF294A">
              <w:rPr>
                <w:color w:val="000000"/>
                <w:spacing w:val="46"/>
                <w:shd w:val="solid" w:color="000000" w:fill="000000"/>
                <w:fitText w:val="220" w:id="-664010746"/>
                <w14:textFill>
                  <w14:solidFill>
                    <w14:srgbClr w14:val="000000">
                      <w14:alpha w14:val="100000"/>
                    </w14:srgbClr>
                  </w14:solidFill>
                </w14:textFill>
              </w:rPr>
              <w:t>||</w:t>
            </w:r>
            <w:r w:rsidR="00DF294A" w:rsidRPr="00DF294A">
              <w:rPr>
                <w:color w:val="000000"/>
                <w:spacing w:val="1"/>
                <w:shd w:val="solid" w:color="000000" w:fill="000000"/>
                <w:fitText w:val="220" w:id="-664010746"/>
                <w14:textFill>
                  <w14:solidFill>
                    <w14:srgbClr w14:val="000000">
                      <w14:alpha w14:val="100000"/>
                    </w14:srgbClr>
                  </w14:solidFill>
                </w14:textFill>
              </w:rPr>
              <w:t>|</w:t>
            </w:r>
          </w:p>
          <w:p w14:paraId="6FDA7C8C" w14:textId="0577BD29" w:rsidR="001E76A3" w:rsidRPr="00740008" w:rsidRDefault="001E76A3">
            <w:pPr>
              <w:pStyle w:val="TableText0"/>
              <w:jc w:val="center"/>
            </w:pPr>
            <w:r>
              <w:t xml:space="preserve">Durva: </w:t>
            </w:r>
            <w:r w:rsidRPr="00740008">
              <w:t>$</w:t>
            </w:r>
            <w:r w:rsidR="00DF294A" w:rsidRPr="00DF294A">
              <w:rPr>
                <w:color w:val="000000"/>
                <w:spacing w:val="164"/>
                <w:shd w:val="solid" w:color="000000" w:fill="000000"/>
                <w:fitText w:val="250" w:id="-664010745"/>
                <w14:textFill>
                  <w14:solidFill>
                    <w14:srgbClr w14:val="000000">
                      <w14:alpha w14:val="100000"/>
                    </w14:srgbClr>
                  </w14:solidFill>
                </w14:textFill>
              </w:rPr>
              <w:t>|</w:t>
            </w:r>
            <w:r w:rsidR="00DF294A" w:rsidRPr="00DF294A">
              <w:rPr>
                <w:color w:val="000000"/>
                <w:spacing w:val="1"/>
                <w:shd w:val="solid" w:color="000000" w:fill="000000"/>
                <w:fitText w:val="250" w:id="-664010745"/>
                <w14:textFill>
                  <w14:solidFill>
                    <w14:srgbClr w14:val="000000">
                      <w14:alpha w14:val="100000"/>
                    </w14:srgbClr>
                  </w14:solidFill>
                </w14:textFill>
              </w:rPr>
              <w:t>|</w:t>
            </w:r>
          </w:p>
        </w:tc>
        <w:tc>
          <w:tcPr>
            <w:tcW w:w="1260" w:type="pct"/>
            <w:gridSpan w:val="2"/>
            <w:shd w:val="clear" w:color="auto" w:fill="auto"/>
            <w:vAlign w:val="center"/>
          </w:tcPr>
          <w:p w14:paraId="2BE8F9BA" w14:textId="642CA49A" w:rsidR="001E76A3" w:rsidRDefault="001E76A3">
            <w:pPr>
              <w:pStyle w:val="TableText0"/>
              <w:jc w:val="center"/>
            </w:pPr>
            <w:proofErr w:type="spellStart"/>
            <w:r>
              <w:t>Trem</w:t>
            </w:r>
            <w:proofErr w:type="spellEnd"/>
            <w:r>
              <w:t>: $</w:t>
            </w:r>
            <w:r w:rsidR="00DF294A" w:rsidRPr="00DF294A">
              <w:rPr>
                <w:color w:val="000000"/>
                <w:shd w:val="solid" w:color="000000" w:fill="000000"/>
                <w14:textFill>
                  <w14:solidFill>
                    <w14:srgbClr w14:val="000000">
                      <w14:alpha w14:val="100000"/>
                    </w14:srgbClr>
                  </w14:solidFill>
                </w14:textFill>
              </w:rPr>
              <w:t>|</w:t>
            </w:r>
          </w:p>
          <w:p w14:paraId="41FF27C5" w14:textId="2C7359EA" w:rsidR="001E76A3" w:rsidRPr="00615D25" w:rsidRDefault="001E76A3">
            <w:pPr>
              <w:pStyle w:val="TableText0"/>
              <w:jc w:val="center"/>
            </w:pPr>
            <w:r>
              <w:t xml:space="preserve">Durva: </w:t>
            </w:r>
            <w:r w:rsidRPr="00740008">
              <w:t>$</w:t>
            </w:r>
            <w:r w:rsidR="00DF294A" w:rsidRPr="00DF294A">
              <w:rPr>
                <w:color w:val="000000"/>
                <w:shd w:val="solid" w:color="000000" w:fill="000000"/>
                <w14:textFill>
                  <w14:solidFill>
                    <w14:srgbClr w14:val="000000">
                      <w14:alpha w14:val="100000"/>
                    </w14:srgbClr>
                  </w14:solidFill>
                </w14:textFill>
              </w:rPr>
              <w:t>|</w:t>
            </w:r>
          </w:p>
        </w:tc>
        <w:tc>
          <w:tcPr>
            <w:tcW w:w="697" w:type="pct"/>
            <w:shd w:val="clear" w:color="auto" w:fill="auto"/>
            <w:vAlign w:val="center"/>
          </w:tcPr>
          <w:p w14:paraId="74A584B5" w14:textId="77777777" w:rsidR="001E76A3" w:rsidRPr="00615D25" w:rsidRDefault="001E76A3">
            <w:pPr>
              <w:pStyle w:val="TableText0"/>
              <w:jc w:val="center"/>
            </w:pPr>
            <w:r>
              <w:t>NE</w:t>
            </w:r>
          </w:p>
        </w:tc>
        <w:tc>
          <w:tcPr>
            <w:tcW w:w="1395" w:type="pct"/>
            <w:gridSpan w:val="2"/>
            <w:shd w:val="clear" w:color="auto" w:fill="auto"/>
            <w:vAlign w:val="center"/>
          </w:tcPr>
          <w:p w14:paraId="31AD90D7" w14:textId="03D389DA" w:rsidR="001E76A3" w:rsidRPr="00C34972" w:rsidRDefault="001E76A3">
            <w:pPr>
              <w:pStyle w:val="TableText0"/>
              <w:jc w:val="center"/>
              <w:rPr>
                <w:vertAlign w:val="superscript"/>
              </w:rPr>
            </w:pPr>
            <w:proofErr w:type="spellStart"/>
            <w:r>
              <w:t>Atezo</w:t>
            </w:r>
            <w:proofErr w:type="spellEnd"/>
            <w:r>
              <w:t xml:space="preserve">: </w:t>
            </w:r>
            <w:r w:rsidRPr="00A07603">
              <w:t>$</w:t>
            </w:r>
            <w:r w:rsidR="00DF294A" w:rsidRPr="00DF294A">
              <w:rPr>
                <w:color w:val="000000"/>
                <w:shd w:val="solid" w:color="000000" w:fill="000000"/>
                <w14:textFill>
                  <w14:solidFill>
                    <w14:srgbClr w14:val="000000">
                      <w14:alpha w14:val="100000"/>
                    </w14:srgbClr>
                  </w14:solidFill>
                </w14:textFill>
              </w:rPr>
              <w:t>|</w:t>
            </w:r>
          </w:p>
          <w:p w14:paraId="3F6A3590" w14:textId="5E693C2C" w:rsidR="001E76A3" w:rsidRPr="00615D25" w:rsidRDefault="001E76A3" w:rsidP="00B837B8">
            <w:pPr>
              <w:pStyle w:val="TableText0"/>
              <w:jc w:val="center"/>
            </w:pPr>
            <w:r>
              <w:t xml:space="preserve">Bev: </w:t>
            </w:r>
            <w:r w:rsidRPr="00A07603">
              <w:t>$</w:t>
            </w:r>
            <w:r w:rsidRPr="006F6E99">
              <w:t>6,720</w:t>
            </w:r>
          </w:p>
        </w:tc>
      </w:tr>
    </w:tbl>
    <w:p w14:paraId="4E5100AA" w14:textId="77777777" w:rsidR="001E76A3" w:rsidRPr="00615D25" w:rsidRDefault="001E76A3" w:rsidP="001E76A3">
      <w:pPr>
        <w:pStyle w:val="FooterTableFigure"/>
        <w:keepNext/>
        <w:jc w:val="left"/>
      </w:pPr>
      <w:r w:rsidRPr="00615D25">
        <w:t>Source:</w:t>
      </w:r>
      <w:r>
        <w:t xml:space="preserve"> </w:t>
      </w:r>
      <w:r w:rsidRPr="00615D25">
        <w:rPr>
          <w:szCs w:val="18"/>
        </w:rPr>
        <w:t xml:space="preserve">Table 3-4 p155 </w:t>
      </w:r>
      <w:r>
        <w:rPr>
          <w:szCs w:val="18"/>
        </w:rPr>
        <w:t>t</w:t>
      </w:r>
      <w:r w:rsidRPr="00615D25">
        <w:rPr>
          <w:szCs w:val="18"/>
        </w:rPr>
        <w:t>able 4-5 p163 of the submission</w:t>
      </w:r>
      <w:r>
        <w:rPr>
          <w:szCs w:val="18"/>
        </w:rPr>
        <w:t xml:space="preserve">, </w:t>
      </w:r>
      <w:r w:rsidRPr="00EB6FEB">
        <w:rPr>
          <w:szCs w:val="18"/>
        </w:rPr>
        <w:t>Section 4 Workbook of the submission,</w:t>
      </w:r>
      <w:r>
        <w:rPr>
          <w:szCs w:val="18"/>
        </w:rPr>
        <w:t xml:space="preserve"> </w:t>
      </w:r>
      <w:r>
        <w:t>Table 14.3.1.7 durvalumab and tremelimumab CSR.</w:t>
      </w:r>
      <w:r>
        <w:br/>
      </w:r>
      <w:proofErr w:type="spellStart"/>
      <w:r>
        <w:t>atezo</w:t>
      </w:r>
      <w:proofErr w:type="spellEnd"/>
      <w:r>
        <w:t xml:space="preserve"> = atezolizumab; </w:t>
      </w:r>
      <w:proofErr w:type="spellStart"/>
      <w:r>
        <w:t>bev</w:t>
      </w:r>
      <w:proofErr w:type="spellEnd"/>
      <w:r>
        <w:t xml:space="preserve"> = bevacizumab; CMA = cost-minimisation analysis; </w:t>
      </w:r>
      <w:proofErr w:type="spellStart"/>
      <w:r>
        <w:t>durva</w:t>
      </w:r>
      <w:proofErr w:type="spellEnd"/>
      <w:r>
        <w:t xml:space="preserve"> = durvalumab; DoT = duration of treatment; NE = not estimable; NR = not reported; </w:t>
      </w:r>
      <w:proofErr w:type="spellStart"/>
      <w:r>
        <w:t>trem</w:t>
      </w:r>
      <w:proofErr w:type="spellEnd"/>
      <w:r>
        <w:t xml:space="preserve"> = </w:t>
      </w:r>
      <w:proofErr w:type="spellStart"/>
      <w:r>
        <w:t>tremelimumab</w:t>
      </w:r>
      <w:proofErr w:type="spellEnd"/>
      <w:r>
        <w:t xml:space="preserve">, </w:t>
      </w:r>
      <w:r w:rsidRPr="00615D25">
        <w:t>STRIDE = Single Tremelimumab Regular Interval Durvalumab</w:t>
      </w:r>
      <w:r>
        <w:t>.</w:t>
      </w:r>
    </w:p>
    <w:p w14:paraId="149349C9" w14:textId="77777777" w:rsidR="001E76A3" w:rsidRDefault="001E76A3" w:rsidP="001E76A3">
      <w:pPr>
        <w:pStyle w:val="FooterTableFigure"/>
        <w:keepNext/>
      </w:pPr>
      <w:r w:rsidRPr="00A374E3">
        <w:rPr>
          <w:vertAlign w:val="superscript"/>
        </w:rPr>
        <w:t>a</w:t>
      </w:r>
      <w:r>
        <w:t xml:space="preserve"> median treatment duration as reported in HIMALAYA January 2023 data cut-off.</w:t>
      </w:r>
    </w:p>
    <w:p w14:paraId="3465C7F9" w14:textId="77777777" w:rsidR="000D083B" w:rsidRDefault="001E76A3" w:rsidP="001E76A3">
      <w:pPr>
        <w:pStyle w:val="FooterTableFigure"/>
        <w:keepNext/>
      </w:pPr>
      <w:r w:rsidRPr="00A374E3">
        <w:rPr>
          <w:vertAlign w:val="superscript"/>
        </w:rPr>
        <w:t>b</w:t>
      </w:r>
      <w:r>
        <w:rPr>
          <w:vertAlign w:val="superscript"/>
        </w:rPr>
        <w:t xml:space="preserve"> </w:t>
      </w:r>
      <w:r>
        <w:t>median treatment duration as reported in IMBRAVE150 August 2020 data cut-off.</w:t>
      </w:r>
    </w:p>
    <w:p w14:paraId="509C45FF" w14:textId="336B3F3D" w:rsidR="00C941D7" w:rsidRPr="00615D25" w:rsidRDefault="001E76A3" w:rsidP="00716B33">
      <w:pPr>
        <w:pStyle w:val="FooterTableFigure"/>
        <w:keepLines/>
      </w:pPr>
      <w:r w:rsidRPr="00A374E3">
        <w:rPr>
          <w:vertAlign w:val="superscript"/>
        </w:rPr>
        <w:t>c</w:t>
      </w:r>
      <w:r>
        <w:t xml:space="preserve"> t</w:t>
      </w:r>
      <w:r w:rsidRPr="00E63DF4">
        <w:t xml:space="preserve">he cost per patient per cycle multiplied by the </w:t>
      </w:r>
      <w:r w:rsidR="00063A8E">
        <w:t xml:space="preserve">median </w:t>
      </w:r>
      <w:r w:rsidRPr="00E63DF4">
        <w:t>number of doses received</w:t>
      </w:r>
      <w:r>
        <w:t>.</w:t>
      </w:r>
    </w:p>
    <w:p w14:paraId="396B5B07" w14:textId="77777777" w:rsidR="001E76A3" w:rsidRPr="00615D25" w:rsidRDefault="001E76A3" w:rsidP="001E76A3">
      <w:pPr>
        <w:pStyle w:val="4-SubsectionHeading"/>
      </w:pPr>
      <w:bookmarkStart w:id="39" w:name="_Toc22897647"/>
      <w:bookmarkStart w:id="40" w:name="_Toc193103693"/>
      <w:r w:rsidRPr="00615D25">
        <w:t>Estimated PBS usage &amp; financial implications</w:t>
      </w:r>
      <w:bookmarkEnd w:id="39"/>
      <w:bookmarkEnd w:id="40"/>
    </w:p>
    <w:p w14:paraId="668FE844" w14:textId="6C54C487" w:rsidR="001E76A3" w:rsidRPr="00AF0610" w:rsidRDefault="001E76A3" w:rsidP="001E76A3">
      <w:pPr>
        <w:pStyle w:val="3-BodyText"/>
        <w:ind w:left="709"/>
        <w:rPr>
          <w:color w:val="0066FF"/>
        </w:rPr>
      </w:pPr>
      <w:r w:rsidRPr="00D85266">
        <w:t xml:space="preserve">This submission </w:t>
      </w:r>
      <w:r w:rsidR="00AC1F18">
        <w:t>was not</w:t>
      </w:r>
      <w:r w:rsidRPr="00D85266">
        <w:t xml:space="preserve"> considered by DUSC. The submission used a market share approach to estimate the extent of use and financial</w:t>
      </w:r>
      <w:r w:rsidRPr="00615D25">
        <w:t xml:space="preserve"> impact of listing STRIDE on the PBS. The financial estimates presented in the submission were based on both published and </w:t>
      </w:r>
      <w:r>
        <w:t xml:space="preserve">assumed </w:t>
      </w:r>
      <w:r w:rsidRPr="00615D25">
        <w:t xml:space="preserve">effective prices. The sources of data utilised are shown in </w:t>
      </w:r>
      <w:r>
        <w:fldChar w:fldCharType="begin"/>
      </w:r>
      <w:r>
        <w:instrText xml:space="preserve"> REF _Ref104805262 \h </w:instrText>
      </w:r>
      <w:r>
        <w:fldChar w:fldCharType="separate"/>
      </w:r>
      <w:r w:rsidR="00AC295B" w:rsidRPr="00615D25">
        <w:t xml:space="preserve">Table </w:t>
      </w:r>
      <w:r w:rsidR="00AC295B">
        <w:rPr>
          <w:noProof/>
        </w:rPr>
        <w:t>12</w:t>
      </w:r>
      <w:r>
        <w:fldChar w:fldCharType="end"/>
      </w:r>
      <w:r>
        <w:t>.</w:t>
      </w:r>
    </w:p>
    <w:p w14:paraId="39CE78E8" w14:textId="40FAF388" w:rsidR="001E76A3" w:rsidRPr="00615D25" w:rsidRDefault="001E76A3" w:rsidP="001E76A3">
      <w:pPr>
        <w:pStyle w:val="Caption"/>
        <w:rPr>
          <w:rStyle w:val="CommentReference"/>
          <w:b/>
          <w:szCs w:val="24"/>
        </w:rPr>
      </w:pPr>
      <w:bookmarkStart w:id="41" w:name="_Ref104805262"/>
      <w:r w:rsidRPr="00615D25">
        <w:lastRenderedPageBreak/>
        <w:t xml:space="preserve">Table </w:t>
      </w:r>
      <w:r w:rsidR="005B443C">
        <w:fldChar w:fldCharType="begin"/>
      </w:r>
      <w:r w:rsidR="005B443C">
        <w:instrText xml:space="preserve"> SEQ Table \* ARABIC </w:instrText>
      </w:r>
      <w:r w:rsidR="005B443C">
        <w:fldChar w:fldCharType="separate"/>
      </w:r>
      <w:r w:rsidR="00AC295B">
        <w:rPr>
          <w:noProof/>
        </w:rPr>
        <w:t>12</w:t>
      </w:r>
      <w:r w:rsidR="005B443C">
        <w:rPr>
          <w:noProof/>
        </w:rPr>
        <w:fldChar w:fldCharType="end"/>
      </w:r>
      <w:bookmarkEnd w:id="41"/>
      <w:r w:rsidRPr="00615D25">
        <w:t>:</w:t>
      </w:r>
      <w:r w:rsidRPr="00615D25">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3401"/>
        <w:gridCol w:w="3353"/>
      </w:tblGrid>
      <w:tr w:rsidR="001E76A3" w:rsidRPr="00466E61" w14:paraId="358A5C1B" w14:textId="77777777" w:rsidTr="00B0287A">
        <w:trPr>
          <w:tblHeader/>
        </w:trPr>
        <w:tc>
          <w:tcPr>
            <w:tcW w:w="1255" w:type="pct"/>
            <w:shd w:val="clear" w:color="auto" w:fill="auto"/>
            <w:vAlign w:val="center"/>
          </w:tcPr>
          <w:p w14:paraId="41012DF4" w14:textId="77777777" w:rsidR="001E76A3" w:rsidRPr="00466E61" w:rsidRDefault="001E76A3">
            <w:pPr>
              <w:pStyle w:val="In-tableHeading"/>
            </w:pPr>
            <w:r w:rsidRPr="00466E61">
              <w:t>Parameter</w:t>
            </w:r>
          </w:p>
        </w:tc>
        <w:tc>
          <w:tcPr>
            <w:tcW w:w="1886" w:type="pct"/>
            <w:shd w:val="clear" w:color="auto" w:fill="auto"/>
            <w:vAlign w:val="center"/>
          </w:tcPr>
          <w:p w14:paraId="654CC307" w14:textId="77777777" w:rsidR="001E76A3" w:rsidRPr="00466E61" w:rsidRDefault="001E76A3">
            <w:pPr>
              <w:pStyle w:val="In-tableHeading"/>
            </w:pPr>
            <w:r w:rsidRPr="00466E61">
              <w:t>Value applied and source</w:t>
            </w:r>
          </w:p>
        </w:tc>
        <w:tc>
          <w:tcPr>
            <w:tcW w:w="1859" w:type="pct"/>
            <w:shd w:val="clear" w:color="auto" w:fill="auto"/>
            <w:vAlign w:val="center"/>
          </w:tcPr>
          <w:p w14:paraId="4CE2D822" w14:textId="77777777" w:rsidR="001E76A3" w:rsidRPr="00466E61" w:rsidRDefault="001E76A3">
            <w:pPr>
              <w:pStyle w:val="In-tableHeading"/>
            </w:pPr>
            <w:r w:rsidRPr="00466E61">
              <w:t>Comment</w:t>
            </w:r>
          </w:p>
        </w:tc>
      </w:tr>
      <w:tr w:rsidR="001E76A3" w:rsidRPr="00466E61" w14:paraId="43C156E7" w14:textId="77777777">
        <w:tc>
          <w:tcPr>
            <w:tcW w:w="5000" w:type="pct"/>
            <w:gridSpan w:val="3"/>
            <w:shd w:val="clear" w:color="auto" w:fill="auto"/>
            <w:vAlign w:val="center"/>
          </w:tcPr>
          <w:p w14:paraId="17FC43CA" w14:textId="77777777" w:rsidR="001E76A3" w:rsidRPr="00466E61" w:rsidRDefault="001E76A3">
            <w:pPr>
              <w:pStyle w:val="TableText0"/>
              <w:rPr>
                <w:b/>
                <w:bCs w:val="0"/>
              </w:rPr>
            </w:pPr>
            <w:r w:rsidRPr="00466E61">
              <w:rPr>
                <w:b/>
                <w:bCs w:val="0"/>
              </w:rPr>
              <w:t>Market for HCC without listing of STRIDE</w:t>
            </w:r>
          </w:p>
        </w:tc>
      </w:tr>
      <w:tr w:rsidR="001E76A3" w:rsidRPr="00466E61" w14:paraId="50D2F498" w14:textId="77777777" w:rsidTr="00B0287A">
        <w:tc>
          <w:tcPr>
            <w:tcW w:w="1255" w:type="pct"/>
            <w:shd w:val="clear" w:color="auto" w:fill="auto"/>
            <w:vAlign w:val="center"/>
          </w:tcPr>
          <w:p w14:paraId="6B2FB06F" w14:textId="258F8F49" w:rsidR="001E76A3" w:rsidRPr="00466E61" w:rsidRDefault="001E76A3">
            <w:pPr>
              <w:pStyle w:val="TableText0"/>
            </w:pPr>
            <w:r w:rsidRPr="00466E61">
              <w:t>Estimated HCC market (scripts) in 2024: atezolizumab</w:t>
            </w:r>
            <w:r w:rsidR="000D083B">
              <w:t xml:space="preserve"> </w:t>
            </w:r>
          </w:p>
        </w:tc>
        <w:tc>
          <w:tcPr>
            <w:tcW w:w="1886" w:type="pct"/>
            <w:shd w:val="clear" w:color="auto" w:fill="auto"/>
            <w:vAlign w:val="center"/>
          </w:tcPr>
          <w:p w14:paraId="1F908E55" w14:textId="44033FD9" w:rsidR="001E76A3" w:rsidRPr="00707BA9" w:rsidRDefault="002F06DF">
            <w:pPr>
              <w:pStyle w:val="TableText0"/>
              <w:rPr>
                <w:vertAlign w:val="superscript"/>
              </w:rPr>
            </w:pPr>
            <w:r w:rsidRPr="00466E61">
              <w:t>Initial</w:t>
            </w:r>
            <w:r w:rsidR="001E76A3" w:rsidRPr="00466E61">
              <w:t xml:space="preserve">: </w:t>
            </w:r>
            <w:r w:rsidR="00DF294A" w:rsidRPr="00DF294A">
              <w:rPr>
                <w:color w:val="000000"/>
                <w:spacing w:val="53"/>
                <w:shd w:val="solid" w:color="000000" w:fill="000000"/>
                <w:fitText w:val="330" w:id="-664010744"/>
                <w14:textFill>
                  <w14:solidFill>
                    <w14:srgbClr w14:val="000000">
                      <w14:alpha w14:val="100000"/>
                    </w14:srgbClr>
                  </w14:solidFill>
                </w14:textFill>
              </w:rPr>
              <w:t>|||</w:t>
            </w:r>
            <w:r w:rsidR="00DF294A" w:rsidRPr="00DF294A">
              <w:rPr>
                <w:color w:val="000000"/>
                <w:spacing w:val="1"/>
                <w:shd w:val="solid" w:color="000000" w:fill="000000"/>
                <w:fitText w:val="330" w:id="-664010744"/>
                <w14:textFill>
                  <w14:solidFill>
                    <w14:srgbClr w14:val="000000">
                      <w14:alpha w14:val="100000"/>
                    </w14:srgbClr>
                  </w14:solidFill>
                </w14:textFill>
              </w:rPr>
              <w:t>|</w:t>
            </w:r>
            <w:r w:rsidR="00707BA9">
              <w:t xml:space="preserve"> </w:t>
            </w:r>
            <w:r w:rsidR="00707BA9">
              <w:rPr>
                <w:vertAlign w:val="superscript"/>
              </w:rPr>
              <w:t>1</w:t>
            </w:r>
          </w:p>
          <w:p w14:paraId="30D9F9DD" w14:textId="446DC422" w:rsidR="001E76A3" w:rsidRPr="00707BA9" w:rsidRDefault="001E76A3">
            <w:pPr>
              <w:pStyle w:val="TableText0"/>
              <w:rPr>
                <w:vertAlign w:val="superscript"/>
              </w:rPr>
            </w:pPr>
            <w:r w:rsidRPr="00466E61">
              <w:t xml:space="preserve">Continuing: </w:t>
            </w:r>
            <w:r w:rsidR="00DF294A" w:rsidRPr="00DF294A">
              <w:rPr>
                <w:color w:val="000000"/>
                <w:spacing w:val="53"/>
                <w:shd w:val="solid" w:color="000000" w:fill="000000"/>
                <w:fitText w:val="330" w:id="-664010743"/>
                <w14:textFill>
                  <w14:solidFill>
                    <w14:srgbClr w14:val="000000">
                      <w14:alpha w14:val="100000"/>
                    </w14:srgbClr>
                  </w14:solidFill>
                </w14:textFill>
              </w:rPr>
              <w:t>|||</w:t>
            </w:r>
            <w:r w:rsidR="00DF294A" w:rsidRPr="00DF294A">
              <w:rPr>
                <w:color w:val="000000"/>
                <w:spacing w:val="1"/>
                <w:shd w:val="solid" w:color="000000" w:fill="000000"/>
                <w:fitText w:val="330" w:id="-664010743"/>
                <w14:textFill>
                  <w14:solidFill>
                    <w14:srgbClr w14:val="000000">
                      <w14:alpha w14:val="100000"/>
                    </w14:srgbClr>
                  </w14:solidFill>
                </w14:textFill>
              </w:rPr>
              <w:t>|</w:t>
            </w:r>
            <w:r w:rsidR="00707BA9">
              <w:t xml:space="preserve"> </w:t>
            </w:r>
            <w:r w:rsidR="00707BA9">
              <w:rPr>
                <w:vertAlign w:val="superscript"/>
              </w:rPr>
              <w:t>1</w:t>
            </w:r>
          </w:p>
        </w:tc>
        <w:tc>
          <w:tcPr>
            <w:tcW w:w="1859" w:type="pct"/>
            <w:shd w:val="clear" w:color="auto" w:fill="auto"/>
            <w:vAlign w:val="center"/>
          </w:tcPr>
          <w:p w14:paraId="5F2F0274" w14:textId="77777777" w:rsidR="000D083B" w:rsidRDefault="001E76A3">
            <w:pPr>
              <w:pStyle w:val="TableText0"/>
            </w:pPr>
            <w:r w:rsidRPr="00466E61">
              <w:t>Medicare statistics.</w:t>
            </w:r>
          </w:p>
          <w:p w14:paraId="5CCD7373" w14:textId="1961FCE1" w:rsidR="001E76A3" w:rsidRPr="00466E61" w:rsidRDefault="001E76A3">
            <w:pPr>
              <w:pStyle w:val="TableText0"/>
            </w:pPr>
            <w:r w:rsidRPr="00466E61">
              <w:t xml:space="preserve">Estimated the number of scripts for atezolizumab during the most recent financial year, 2023/2024. This was reasonable </w:t>
            </w:r>
          </w:p>
        </w:tc>
      </w:tr>
      <w:tr w:rsidR="001E76A3" w:rsidRPr="00466E61" w14:paraId="1BCDEBB7" w14:textId="77777777" w:rsidTr="00B0287A">
        <w:tc>
          <w:tcPr>
            <w:tcW w:w="1255" w:type="pct"/>
            <w:shd w:val="clear" w:color="auto" w:fill="auto"/>
            <w:vAlign w:val="center"/>
          </w:tcPr>
          <w:p w14:paraId="47FE41B0" w14:textId="77777777" w:rsidR="001E76A3" w:rsidRPr="00466E61" w:rsidRDefault="001E76A3">
            <w:pPr>
              <w:pStyle w:val="TableText0"/>
            </w:pPr>
            <w:r w:rsidRPr="00466E61">
              <w:t>Annual market growth</w:t>
            </w:r>
          </w:p>
        </w:tc>
        <w:tc>
          <w:tcPr>
            <w:tcW w:w="1886" w:type="pct"/>
            <w:shd w:val="clear" w:color="auto" w:fill="auto"/>
            <w:vAlign w:val="center"/>
          </w:tcPr>
          <w:p w14:paraId="002AC7F2" w14:textId="6C44375F" w:rsidR="001E76A3" w:rsidRPr="00466E61" w:rsidRDefault="002F06DF">
            <w:pPr>
              <w:pStyle w:val="TableText0"/>
            </w:pPr>
            <w:r w:rsidRPr="00466E61">
              <w:t>Initial</w:t>
            </w:r>
            <w:r w:rsidR="001E76A3" w:rsidRPr="00466E61">
              <w:t>: 5.96% in Yr 1 to 3.43% in Yr 6</w:t>
            </w:r>
          </w:p>
          <w:p w14:paraId="04453B93" w14:textId="77777777" w:rsidR="001E76A3" w:rsidRPr="00466E61" w:rsidRDefault="001E76A3">
            <w:pPr>
              <w:pStyle w:val="TableText0"/>
            </w:pPr>
            <w:r w:rsidRPr="00466E61">
              <w:t>Continuing: 14.58% in Yr 1 to 7.73% in Yr 6</w:t>
            </w:r>
          </w:p>
        </w:tc>
        <w:tc>
          <w:tcPr>
            <w:tcW w:w="1859" w:type="pct"/>
            <w:shd w:val="clear" w:color="auto" w:fill="auto"/>
            <w:vAlign w:val="center"/>
          </w:tcPr>
          <w:p w14:paraId="6F0B33C4" w14:textId="2278ECF6" w:rsidR="001E76A3" w:rsidRPr="00466E61" w:rsidRDefault="001E76A3">
            <w:pPr>
              <w:pStyle w:val="TableText0"/>
            </w:pPr>
            <w:r w:rsidRPr="00466E61">
              <w:t xml:space="preserve">Linear forecast based on PBS/RPBS atezolizumab script numbers for July 2022 to July 2024. </w:t>
            </w:r>
            <w:r w:rsidR="00DB7DE3" w:rsidRPr="00466E61">
              <w:t>The annual growth rate was calculated based on service volumes in financial years rather than calendar years.</w:t>
            </w:r>
            <w:r w:rsidR="000D083B">
              <w:t xml:space="preserve"> </w:t>
            </w:r>
          </w:p>
        </w:tc>
      </w:tr>
      <w:tr w:rsidR="001E76A3" w:rsidRPr="00466E61" w14:paraId="35ED8BF4" w14:textId="77777777" w:rsidTr="00B0287A">
        <w:tc>
          <w:tcPr>
            <w:tcW w:w="1255" w:type="pct"/>
            <w:shd w:val="clear" w:color="auto" w:fill="auto"/>
            <w:vAlign w:val="center"/>
          </w:tcPr>
          <w:p w14:paraId="45D88241" w14:textId="77777777" w:rsidR="001E76A3" w:rsidRPr="00466E61" w:rsidRDefault="001E76A3">
            <w:pPr>
              <w:pStyle w:val="TableText0"/>
            </w:pPr>
            <w:r w:rsidRPr="00466E61">
              <w:t xml:space="preserve">Projected size of the current anti- HCC treatments: atezolizumab </w:t>
            </w:r>
          </w:p>
        </w:tc>
        <w:tc>
          <w:tcPr>
            <w:tcW w:w="1886" w:type="pct"/>
            <w:shd w:val="clear" w:color="auto" w:fill="auto"/>
            <w:vAlign w:val="center"/>
          </w:tcPr>
          <w:p w14:paraId="47C174F3" w14:textId="16568E2E" w:rsidR="000D083B" w:rsidRDefault="002F06DF">
            <w:pPr>
              <w:pStyle w:val="TableText0"/>
            </w:pPr>
            <w:r w:rsidRPr="00466E61">
              <w:t>Initial</w:t>
            </w:r>
            <w:r w:rsidR="001E76A3" w:rsidRPr="00466E61">
              <w:t xml:space="preserve">: </w:t>
            </w:r>
            <w:r w:rsidR="00DF294A" w:rsidRPr="00DF294A">
              <w:rPr>
                <w:color w:val="000000"/>
                <w:spacing w:val="53"/>
                <w:shd w:val="solid" w:color="000000" w:fill="000000"/>
                <w:fitText w:val="330" w:id="-664010742"/>
                <w14:textFill>
                  <w14:solidFill>
                    <w14:srgbClr w14:val="000000">
                      <w14:alpha w14:val="100000"/>
                    </w14:srgbClr>
                  </w14:solidFill>
                </w14:textFill>
              </w:rPr>
              <w:t>|||</w:t>
            </w:r>
            <w:r w:rsidR="00DF294A" w:rsidRPr="00DF294A">
              <w:rPr>
                <w:color w:val="000000"/>
                <w:spacing w:val="1"/>
                <w:shd w:val="solid" w:color="000000" w:fill="000000"/>
                <w:fitText w:val="330" w:id="-664010742"/>
                <w14:textFill>
                  <w14:solidFill>
                    <w14:srgbClr w14:val="000000">
                      <w14:alpha w14:val="100000"/>
                    </w14:srgbClr>
                  </w14:solidFill>
                </w14:textFill>
              </w:rPr>
              <w:t>|</w:t>
            </w:r>
            <w:r w:rsidR="005B6B88">
              <w:t xml:space="preserve"> </w:t>
            </w:r>
            <w:r w:rsidR="005B6B88">
              <w:rPr>
                <w:vertAlign w:val="superscript"/>
              </w:rPr>
              <w:t>1</w:t>
            </w:r>
            <w:r w:rsidR="001E76A3" w:rsidRPr="00466E61">
              <w:t xml:space="preserve"> in Yr 1 to </w:t>
            </w:r>
            <w:r w:rsidR="00DF294A" w:rsidRPr="00DF294A">
              <w:rPr>
                <w:color w:val="000000"/>
                <w:spacing w:val="49"/>
                <w:shd w:val="solid" w:color="000000" w:fill="000000"/>
                <w:fitText w:val="320" w:id="-664010741"/>
                <w14:textFill>
                  <w14:solidFill>
                    <w14:srgbClr w14:val="000000">
                      <w14:alpha w14:val="100000"/>
                    </w14:srgbClr>
                  </w14:solidFill>
                </w14:textFill>
              </w:rPr>
              <w:t>|||</w:t>
            </w:r>
            <w:r w:rsidR="00DF294A" w:rsidRPr="00DF294A">
              <w:rPr>
                <w:color w:val="000000"/>
                <w:spacing w:val="3"/>
                <w:shd w:val="solid" w:color="000000" w:fill="000000"/>
                <w:fitText w:val="320" w:id="-664010741"/>
                <w14:textFill>
                  <w14:solidFill>
                    <w14:srgbClr w14:val="000000">
                      <w14:alpha w14:val="100000"/>
                    </w14:srgbClr>
                  </w14:solidFill>
                </w14:textFill>
              </w:rPr>
              <w:t>|</w:t>
            </w:r>
            <w:r w:rsidR="005B6B88">
              <w:t xml:space="preserve"> </w:t>
            </w:r>
            <w:r w:rsidR="005B6B88">
              <w:rPr>
                <w:vertAlign w:val="superscript"/>
              </w:rPr>
              <w:t>1</w:t>
            </w:r>
            <w:r w:rsidR="001E76A3" w:rsidRPr="00466E61">
              <w:t xml:space="preserve"> in Yr 6</w:t>
            </w:r>
          </w:p>
          <w:p w14:paraId="78704F6C" w14:textId="5C5D3583" w:rsidR="001E76A3" w:rsidRPr="00466E61" w:rsidRDefault="001E76A3">
            <w:pPr>
              <w:pStyle w:val="TableText0"/>
            </w:pPr>
            <w:r w:rsidRPr="00466E61">
              <w:t xml:space="preserve">Continuing: </w:t>
            </w:r>
            <w:r w:rsidR="00DF294A" w:rsidRPr="00DF294A">
              <w:rPr>
                <w:color w:val="000000"/>
                <w:spacing w:val="53"/>
                <w:shd w:val="solid" w:color="000000" w:fill="000000"/>
                <w:fitText w:val="330" w:id="-664010740"/>
                <w14:textFill>
                  <w14:solidFill>
                    <w14:srgbClr w14:val="000000">
                      <w14:alpha w14:val="100000"/>
                    </w14:srgbClr>
                  </w14:solidFill>
                </w14:textFill>
              </w:rPr>
              <w:t>|||</w:t>
            </w:r>
            <w:r w:rsidR="00DF294A" w:rsidRPr="00DF294A">
              <w:rPr>
                <w:color w:val="000000"/>
                <w:spacing w:val="1"/>
                <w:shd w:val="solid" w:color="000000" w:fill="000000"/>
                <w:fitText w:val="330" w:id="-664010740"/>
                <w14:textFill>
                  <w14:solidFill>
                    <w14:srgbClr w14:val="000000">
                      <w14:alpha w14:val="100000"/>
                    </w14:srgbClr>
                  </w14:solidFill>
                </w14:textFill>
              </w:rPr>
              <w:t>|</w:t>
            </w:r>
            <w:r w:rsidR="005B6B88">
              <w:t xml:space="preserve"> </w:t>
            </w:r>
            <w:r w:rsidR="005B6B88">
              <w:rPr>
                <w:vertAlign w:val="superscript"/>
              </w:rPr>
              <w:t>1</w:t>
            </w:r>
            <w:r w:rsidRPr="00466E61">
              <w:t xml:space="preserve"> in Yr 1 to </w:t>
            </w:r>
            <w:r w:rsidR="00DF294A" w:rsidRPr="00DF294A">
              <w:rPr>
                <w:color w:val="000000"/>
                <w:spacing w:val="53"/>
                <w:shd w:val="solid" w:color="000000" w:fill="000000"/>
                <w:fitText w:val="330" w:id="-664010739"/>
                <w14:textFill>
                  <w14:solidFill>
                    <w14:srgbClr w14:val="000000">
                      <w14:alpha w14:val="100000"/>
                    </w14:srgbClr>
                  </w14:solidFill>
                </w14:textFill>
              </w:rPr>
              <w:t>|||</w:t>
            </w:r>
            <w:r w:rsidR="00DF294A" w:rsidRPr="00DF294A">
              <w:rPr>
                <w:color w:val="000000"/>
                <w:spacing w:val="1"/>
                <w:shd w:val="solid" w:color="000000" w:fill="000000"/>
                <w:fitText w:val="330" w:id="-664010739"/>
                <w14:textFill>
                  <w14:solidFill>
                    <w14:srgbClr w14:val="000000">
                      <w14:alpha w14:val="100000"/>
                    </w14:srgbClr>
                  </w14:solidFill>
                </w14:textFill>
              </w:rPr>
              <w:t>|</w:t>
            </w:r>
            <w:r w:rsidR="005B6B88">
              <w:t xml:space="preserve"> </w:t>
            </w:r>
            <w:r w:rsidR="005B6B88">
              <w:rPr>
                <w:vertAlign w:val="superscript"/>
              </w:rPr>
              <w:t>2</w:t>
            </w:r>
            <w:r w:rsidRPr="00466E61">
              <w:t xml:space="preserve"> in Yr 6</w:t>
            </w:r>
          </w:p>
        </w:tc>
        <w:tc>
          <w:tcPr>
            <w:tcW w:w="1859" w:type="pct"/>
            <w:shd w:val="clear" w:color="auto" w:fill="auto"/>
            <w:vAlign w:val="center"/>
          </w:tcPr>
          <w:p w14:paraId="07A3E750" w14:textId="77777777" w:rsidR="001E76A3" w:rsidRPr="00466E61" w:rsidRDefault="001E76A3">
            <w:pPr>
              <w:pStyle w:val="TableText0"/>
            </w:pPr>
            <w:r w:rsidRPr="00466E61">
              <w:t>Calculated 2023/24 atezolizumab scripts and the estimated annual growth of HCC market. This was appropriate</w:t>
            </w:r>
          </w:p>
        </w:tc>
      </w:tr>
      <w:tr w:rsidR="001E76A3" w:rsidRPr="00466E61" w14:paraId="0478B37C" w14:textId="77777777" w:rsidTr="00B0287A">
        <w:tc>
          <w:tcPr>
            <w:tcW w:w="1255" w:type="pct"/>
            <w:shd w:val="clear" w:color="auto" w:fill="auto"/>
            <w:vAlign w:val="center"/>
          </w:tcPr>
          <w:p w14:paraId="751EE9B4" w14:textId="77777777" w:rsidR="001E76A3" w:rsidRPr="00466E61" w:rsidRDefault="001E76A3">
            <w:pPr>
              <w:pStyle w:val="TableText0"/>
            </w:pPr>
            <w:r w:rsidRPr="00466E61">
              <w:t xml:space="preserve">Projected size of the current anti- HCC treatments: bevacizumab </w:t>
            </w:r>
          </w:p>
        </w:tc>
        <w:tc>
          <w:tcPr>
            <w:tcW w:w="1886" w:type="pct"/>
            <w:shd w:val="clear" w:color="auto" w:fill="auto"/>
            <w:vAlign w:val="center"/>
          </w:tcPr>
          <w:p w14:paraId="3DF884F8" w14:textId="02C306B2" w:rsidR="001E76A3" w:rsidRPr="00466E61" w:rsidRDefault="00DF294A">
            <w:pPr>
              <w:pStyle w:val="TableText0"/>
            </w:pPr>
            <w:r w:rsidRPr="00DF294A">
              <w:rPr>
                <w:color w:val="000000"/>
                <w:spacing w:val="53"/>
                <w:shd w:val="solid" w:color="000000" w:fill="000000"/>
                <w:fitText w:val="330" w:id="-664010738"/>
                <w14:textFill>
                  <w14:solidFill>
                    <w14:srgbClr w14:val="000000">
                      <w14:alpha w14:val="100000"/>
                    </w14:srgbClr>
                  </w14:solidFill>
                </w14:textFill>
              </w:rPr>
              <w:t>|||</w:t>
            </w:r>
            <w:r w:rsidRPr="00DF294A">
              <w:rPr>
                <w:color w:val="000000"/>
                <w:spacing w:val="1"/>
                <w:shd w:val="solid" w:color="000000" w:fill="000000"/>
                <w:fitText w:val="330" w:id="-664010738"/>
                <w14:textFill>
                  <w14:solidFill>
                    <w14:srgbClr w14:val="000000">
                      <w14:alpha w14:val="100000"/>
                    </w14:srgbClr>
                  </w14:solidFill>
                </w14:textFill>
              </w:rPr>
              <w:t>|</w:t>
            </w:r>
            <w:r w:rsidR="005B6B88">
              <w:t xml:space="preserve"> </w:t>
            </w:r>
            <w:r w:rsidR="005B6B88">
              <w:rPr>
                <w:vertAlign w:val="superscript"/>
              </w:rPr>
              <w:t>2</w:t>
            </w:r>
            <w:r w:rsidR="005B6B88" w:rsidRPr="00466E61">
              <w:t xml:space="preserve"> </w:t>
            </w:r>
            <w:r w:rsidR="001E76A3" w:rsidRPr="00466E61">
              <w:t xml:space="preserve">in Yr 1 to </w:t>
            </w:r>
            <w:r w:rsidRPr="00DF294A">
              <w:rPr>
                <w:color w:val="000000"/>
                <w:spacing w:val="53"/>
                <w:shd w:val="solid" w:color="000000" w:fill="000000"/>
                <w:fitText w:val="330" w:id="-664010737"/>
                <w14:textFill>
                  <w14:solidFill>
                    <w14:srgbClr w14:val="000000">
                      <w14:alpha w14:val="100000"/>
                    </w14:srgbClr>
                  </w14:solidFill>
                </w14:textFill>
              </w:rPr>
              <w:t>|||</w:t>
            </w:r>
            <w:r w:rsidRPr="00DF294A">
              <w:rPr>
                <w:color w:val="000000"/>
                <w:spacing w:val="1"/>
                <w:shd w:val="solid" w:color="000000" w:fill="000000"/>
                <w:fitText w:val="330" w:id="-664010737"/>
                <w14:textFill>
                  <w14:solidFill>
                    <w14:srgbClr w14:val="000000">
                      <w14:alpha w14:val="100000"/>
                    </w14:srgbClr>
                  </w14:solidFill>
                </w14:textFill>
              </w:rPr>
              <w:t>|</w:t>
            </w:r>
            <w:r w:rsidR="005B6B88">
              <w:t xml:space="preserve"> </w:t>
            </w:r>
            <w:r w:rsidR="005B6B88">
              <w:rPr>
                <w:vertAlign w:val="superscript"/>
              </w:rPr>
              <w:t>2</w:t>
            </w:r>
            <w:r w:rsidR="005B6B88" w:rsidRPr="00466E61">
              <w:t xml:space="preserve"> </w:t>
            </w:r>
            <w:r w:rsidR="001E76A3" w:rsidRPr="00466E61">
              <w:t xml:space="preserve">in Yr 6 </w:t>
            </w:r>
          </w:p>
        </w:tc>
        <w:tc>
          <w:tcPr>
            <w:tcW w:w="1859" w:type="pct"/>
            <w:shd w:val="clear" w:color="auto" w:fill="auto"/>
            <w:vAlign w:val="center"/>
          </w:tcPr>
          <w:p w14:paraId="0211EB33" w14:textId="5795C0AF" w:rsidR="001E76A3" w:rsidRPr="00466E61" w:rsidRDefault="001E76A3">
            <w:pPr>
              <w:pStyle w:val="TableText0"/>
            </w:pPr>
            <w:r w:rsidRPr="00466E61">
              <w:t xml:space="preserve">As bevacizumab is unrestricted, the number of scripts for HCC was assumed to be equal to atezolizumab scripts, </w:t>
            </w:r>
            <w:r w:rsidR="002F06DF" w:rsidRPr="00466E61">
              <w:t>initial</w:t>
            </w:r>
            <w:r w:rsidRPr="00466E61">
              <w:t xml:space="preserve"> and continuing combined. This was appropriate</w:t>
            </w:r>
            <w:r w:rsidR="00ED17CA">
              <w:t>.</w:t>
            </w:r>
          </w:p>
        </w:tc>
      </w:tr>
      <w:tr w:rsidR="001E76A3" w:rsidRPr="00466E61" w14:paraId="47899FCC" w14:textId="77777777">
        <w:tc>
          <w:tcPr>
            <w:tcW w:w="5000" w:type="pct"/>
            <w:gridSpan w:val="3"/>
            <w:shd w:val="clear" w:color="auto" w:fill="auto"/>
            <w:vAlign w:val="center"/>
          </w:tcPr>
          <w:p w14:paraId="258A591E" w14:textId="77777777" w:rsidR="001E76A3" w:rsidRPr="00B0287A" w:rsidRDefault="001E76A3">
            <w:pPr>
              <w:pStyle w:val="TableText0"/>
              <w:rPr>
                <w:b/>
                <w:bCs w:val="0"/>
              </w:rPr>
            </w:pPr>
            <w:r w:rsidRPr="00B0287A">
              <w:rPr>
                <w:b/>
                <w:bCs w:val="0"/>
              </w:rPr>
              <w:t>Market for HCC with listing of STRIDE</w:t>
            </w:r>
          </w:p>
        </w:tc>
      </w:tr>
      <w:tr w:rsidR="001E76A3" w:rsidRPr="00466E61" w14:paraId="00DD59DF" w14:textId="77777777" w:rsidTr="00B0287A">
        <w:tc>
          <w:tcPr>
            <w:tcW w:w="1255" w:type="pct"/>
            <w:shd w:val="clear" w:color="auto" w:fill="auto"/>
            <w:vAlign w:val="center"/>
          </w:tcPr>
          <w:p w14:paraId="05C42762" w14:textId="77777777" w:rsidR="001E76A3" w:rsidRPr="00466E61" w:rsidRDefault="001E76A3">
            <w:pPr>
              <w:pStyle w:val="TableText0"/>
            </w:pPr>
            <w:r w:rsidRPr="00466E61">
              <w:t xml:space="preserve">Uptake rate (rate of substitution) for </w:t>
            </w:r>
            <w:proofErr w:type="spellStart"/>
            <w:r w:rsidRPr="00466E61">
              <w:t>atezo</w:t>
            </w:r>
            <w:proofErr w:type="spellEnd"/>
            <w:r w:rsidRPr="00466E61">
              <w:t xml:space="preserve"> + b</w:t>
            </w:r>
          </w:p>
        </w:tc>
        <w:tc>
          <w:tcPr>
            <w:tcW w:w="1886" w:type="pct"/>
            <w:shd w:val="clear" w:color="auto" w:fill="auto"/>
            <w:vAlign w:val="center"/>
          </w:tcPr>
          <w:p w14:paraId="51279F03" w14:textId="3FAC3463" w:rsidR="001E76A3" w:rsidRPr="00466E61" w:rsidRDefault="001E76A3">
            <w:pPr>
              <w:pStyle w:val="TableText0"/>
            </w:pPr>
            <w:r w:rsidRPr="00466E61">
              <w:t xml:space="preserve">From </w:t>
            </w:r>
            <w:r w:rsidR="00DF294A" w:rsidRPr="00DF294A">
              <w:rPr>
                <w:color w:val="000000"/>
                <w:spacing w:val="53"/>
                <w:shd w:val="solid" w:color="000000" w:fill="000000"/>
                <w:fitText w:val="330" w:id="-664010736"/>
                <w14:textFill>
                  <w14:solidFill>
                    <w14:srgbClr w14:val="000000">
                      <w14:alpha w14:val="100000"/>
                    </w14:srgbClr>
                  </w14:solidFill>
                </w14:textFill>
              </w:rPr>
              <w:t>|||</w:t>
            </w:r>
            <w:r w:rsidR="00DF294A" w:rsidRPr="00DF294A">
              <w:rPr>
                <w:color w:val="000000"/>
                <w:spacing w:val="1"/>
                <w:shd w:val="solid" w:color="000000" w:fill="000000"/>
                <w:fitText w:val="330" w:id="-664010736"/>
                <w14:textFill>
                  <w14:solidFill>
                    <w14:srgbClr w14:val="000000">
                      <w14:alpha w14:val="100000"/>
                    </w14:srgbClr>
                  </w14:solidFill>
                </w14:textFill>
              </w:rPr>
              <w:t>|</w:t>
            </w:r>
            <w:r w:rsidRPr="00466E61">
              <w:t xml:space="preserve">% in Yr 1 to </w:t>
            </w:r>
            <w:r w:rsidR="00DF294A" w:rsidRPr="00DF294A">
              <w:rPr>
                <w:color w:val="000000"/>
                <w:spacing w:val="53"/>
                <w:shd w:val="solid" w:color="000000" w:fill="000000"/>
                <w:fitText w:val="330" w:id="-664010752"/>
                <w14:textFill>
                  <w14:solidFill>
                    <w14:srgbClr w14:val="000000">
                      <w14:alpha w14:val="100000"/>
                    </w14:srgbClr>
                  </w14:solidFill>
                </w14:textFill>
              </w:rPr>
              <w:t>|||</w:t>
            </w:r>
            <w:r w:rsidR="00DF294A" w:rsidRPr="00DF294A">
              <w:rPr>
                <w:color w:val="000000"/>
                <w:spacing w:val="1"/>
                <w:shd w:val="solid" w:color="000000" w:fill="000000"/>
                <w:fitText w:val="330" w:id="-664010752"/>
                <w14:textFill>
                  <w14:solidFill>
                    <w14:srgbClr w14:val="000000">
                      <w14:alpha w14:val="100000"/>
                    </w14:srgbClr>
                  </w14:solidFill>
                </w14:textFill>
              </w:rPr>
              <w:t>|</w:t>
            </w:r>
            <w:r w:rsidRPr="00466E61">
              <w:t>% in Yr 6</w:t>
            </w:r>
          </w:p>
        </w:tc>
        <w:tc>
          <w:tcPr>
            <w:tcW w:w="1859" w:type="pct"/>
            <w:shd w:val="clear" w:color="auto" w:fill="auto"/>
            <w:vAlign w:val="center"/>
          </w:tcPr>
          <w:p w14:paraId="780C09B5" w14:textId="4D69B6D4" w:rsidR="001E76A3" w:rsidRPr="00466E61" w:rsidRDefault="001E76A3">
            <w:pPr>
              <w:pStyle w:val="TableText0"/>
            </w:pPr>
            <w:r w:rsidRPr="00466E61">
              <w:t xml:space="preserve">Assumption; applied to atezolizumab </w:t>
            </w:r>
            <w:r w:rsidR="002F06DF" w:rsidRPr="00466E61">
              <w:t>initial</w:t>
            </w:r>
            <w:r w:rsidRPr="00466E61">
              <w:t xml:space="preserve"> scripts. This was</w:t>
            </w:r>
            <w:r w:rsidR="00021AF7" w:rsidRPr="00466E61">
              <w:t xml:space="preserve"> uncertain</w:t>
            </w:r>
            <w:r w:rsidRPr="00466E61">
              <w:t xml:space="preserve">. </w:t>
            </w:r>
          </w:p>
        </w:tc>
      </w:tr>
      <w:tr w:rsidR="001E76A3" w:rsidRPr="00466E61" w14:paraId="29D9E786" w14:textId="77777777" w:rsidTr="00B0287A">
        <w:tc>
          <w:tcPr>
            <w:tcW w:w="1255" w:type="pct"/>
            <w:shd w:val="clear" w:color="auto" w:fill="auto"/>
            <w:vAlign w:val="center"/>
          </w:tcPr>
          <w:p w14:paraId="46CD6FE4" w14:textId="77777777" w:rsidR="001E76A3" w:rsidRPr="00466E61" w:rsidRDefault="001E76A3">
            <w:pPr>
              <w:pStyle w:val="TableText0"/>
            </w:pPr>
            <w:r w:rsidRPr="00466E61">
              <w:t>Proportion of atezolizumab continuation scripts displaced</w:t>
            </w:r>
          </w:p>
        </w:tc>
        <w:tc>
          <w:tcPr>
            <w:tcW w:w="1886" w:type="pct"/>
            <w:shd w:val="clear" w:color="auto" w:fill="auto"/>
            <w:vAlign w:val="center"/>
          </w:tcPr>
          <w:p w14:paraId="524A5A4A" w14:textId="28C1FC38" w:rsidR="001E76A3" w:rsidRPr="00466E61" w:rsidRDefault="001E76A3">
            <w:pPr>
              <w:pStyle w:val="TableText0"/>
            </w:pPr>
            <w:r w:rsidRPr="00466E61">
              <w:t xml:space="preserve">From </w:t>
            </w:r>
            <w:r w:rsidR="00DF294A" w:rsidRPr="00DF294A">
              <w:rPr>
                <w:color w:val="000000"/>
                <w:spacing w:val="53"/>
                <w:shd w:val="solid" w:color="000000" w:fill="000000"/>
                <w:fitText w:val="330" w:id="-664010751"/>
                <w14:textFill>
                  <w14:solidFill>
                    <w14:srgbClr w14:val="000000">
                      <w14:alpha w14:val="100000"/>
                    </w14:srgbClr>
                  </w14:solidFill>
                </w14:textFill>
              </w:rPr>
              <w:t>|||</w:t>
            </w:r>
            <w:r w:rsidR="00DF294A" w:rsidRPr="00DF294A">
              <w:rPr>
                <w:color w:val="000000"/>
                <w:spacing w:val="1"/>
                <w:shd w:val="solid" w:color="000000" w:fill="000000"/>
                <w:fitText w:val="330" w:id="-664010751"/>
                <w14:textFill>
                  <w14:solidFill>
                    <w14:srgbClr w14:val="000000">
                      <w14:alpha w14:val="100000"/>
                    </w14:srgbClr>
                  </w14:solidFill>
                </w14:textFill>
              </w:rPr>
              <w:t>|</w:t>
            </w:r>
            <w:r w:rsidRPr="00466E61">
              <w:t xml:space="preserve">% in Yr 1 to </w:t>
            </w:r>
            <w:r w:rsidR="00DF294A" w:rsidRPr="00DF294A">
              <w:rPr>
                <w:color w:val="000000"/>
                <w:spacing w:val="53"/>
                <w:shd w:val="solid" w:color="000000" w:fill="000000"/>
                <w:fitText w:val="330" w:id="-664010750"/>
                <w14:textFill>
                  <w14:solidFill>
                    <w14:srgbClr w14:val="000000">
                      <w14:alpha w14:val="100000"/>
                    </w14:srgbClr>
                  </w14:solidFill>
                </w14:textFill>
              </w:rPr>
              <w:t>|||</w:t>
            </w:r>
            <w:r w:rsidR="00DF294A" w:rsidRPr="00DF294A">
              <w:rPr>
                <w:color w:val="000000"/>
                <w:spacing w:val="1"/>
                <w:shd w:val="solid" w:color="000000" w:fill="000000"/>
                <w:fitText w:val="330" w:id="-664010750"/>
                <w14:textFill>
                  <w14:solidFill>
                    <w14:srgbClr w14:val="000000">
                      <w14:alpha w14:val="100000"/>
                    </w14:srgbClr>
                  </w14:solidFill>
                </w14:textFill>
              </w:rPr>
              <w:t>|</w:t>
            </w:r>
            <w:r w:rsidRPr="00466E61">
              <w:t>% in Yr 6</w:t>
            </w:r>
          </w:p>
        </w:tc>
        <w:tc>
          <w:tcPr>
            <w:tcW w:w="1859" w:type="pct"/>
            <w:vMerge w:val="restart"/>
            <w:shd w:val="clear" w:color="auto" w:fill="auto"/>
            <w:vAlign w:val="center"/>
          </w:tcPr>
          <w:p w14:paraId="0976B3BC" w14:textId="77777777" w:rsidR="001E76A3" w:rsidRPr="00466E61" w:rsidRDefault="001E76A3">
            <w:pPr>
              <w:pStyle w:val="TableText0"/>
            </w:pPr>
            <w:r w:rsidRPr="00466E61">
              <w:t xml:space="preserve">The ratio of continuing script volumes relative to initial script volumes was based on the duration of therapy in IMBRAVE150. This was reasonable </w:t>
            </w:r>
          </w:p>
        </w:tc>
      </w:tr>
      <w:tr w:rsidR="001E76A3" w:rsidRPr="00466E61" w14:paraId="051BCA0A" w14:textId="77777777" w:rsidTr="00B0287A">
        <w:tc>
          <w:tcPr>
            <w:tcW w:w="1255" w:type="pct"/>
            <w:shd w:val="clear" w:color="auto" w:fill="auto"/>
            <w:vAlign w:val="center"/>
          </w:tcPr>
          <w:p w14:paraId="2793CA4F" w14:textId="77777777" w:rsidR="001E76A3" w:rsidRPr="00466E61" w:rsidRDefault="001E76A3">
            <w:pPr>
              <w:pStyle w:val="TableText0"/>
            </w:pPr>
            <w:r w:rsidRPr="00466E61">
              <w:t>Proportion of bevacizumab scripts displaced</w:t>
            </w:r>
          </w:p>
        </w:tc>
        <w:tc>
          <w:tcPr>
            <w:tcW w:w="1886" w:type="pct"/>
            <w:shd w:val="clear" w:color="auto" w:fill="auto"/>
            <w:vAlign w:val="center"/>
          </w:tcPr>
          <w:p w14:paraId="6BC50F3D" w14:textId="12955271" w:rsidR="001E76A3" w:rsidRPr="00466E61" w:rsidRDefault="001E76A3">
            <w:pPr>
              <w:pStyle w:val="TableText0"/>
            </w:pPr>
            <w:r w:rsidRPr="00466E61">
              <w:t xml:space="preserve">From </w:t>
            </w:r>
            <w:r w:rsidR="00DF294A" w:rsidRPr="00DF294A">
              <w:rPr>
                <w:color w:val="000000"/>
                <w:spacing w:val="53"/>
                <w:shd w:val="solid" w:color="000000" w:fill="000000"/>
                <w:fitText w:val="330" w:id="-664010749"/>
                <w14:textFill>
                  <w14:solidFill>
                    <w14:srgbClr w14:val="000000">
                      <w14:alpha w14:val="100000"/>
                    </w14:srgbClr>
                  </w14:solidFill>
                </w14:textFill>
              </w:rPr>
              <w:t>|||</w:t>
            </w:r>
            <w:r w:rsidR="00DF294A" w:rsidRPr="00DF294A">
              <w:rPr>
                <w:color w:val="000000"/>
                <w:spacing w:val="1"/>
                <w:shd w:val="solid" w:color="000000" w:fill="000000"/>
                <w:fitText w:val="330" w:id="-664010749"/>
                <w14:textFill>
                  <w14:solidFill>
                    <w14:srgbClr w14:val="000000">
                      <w14:alpha w14:val="100000"/>
                    </w14:srgbClr>
                  </w14:solidFill>
                </w14:textFill>
              </w:rPr>
              <w:t>|</w:t>
            </w:r>
            <w:r w:rsidRPr="00B0287A">
              <w:t>%</w:t>
            </w:r>
            <w:r w:rsidRPr="00466E61">
              <w:t xml:space="preserve"> in Yr 1 to </w:t>
            </w:r>
            <w:r w:rsidR="00DF294A" w:rsidRPr="00DF294A">
              <w:rPr>
                <w:color w:val="000000"/>
                <w:spacing w:val="53"/>
                <w:shd w:val="solid" w:color="000000" w:fill="000000"/>
                <w:fitText w:val="330" w:id="-664010748"/>
                <w14:textFill>
                  <w14:solidFill>
                    <w14:srgbClr w14:val="000000">
                      <w14:alpha w14:val="100000"/>
                    </w14:srgbClr>
                  </w14:solidFill>
                </w14:textFill>
              </w:rPr>
              <w:t>|||</w:t>
            </w:r>
            <w:r w:rsidR="00DF294A" w:rsidRPr="00DF294A">
              <w:rPr>
                <w:color w:val="000000"/>
                <w:spacing w:val="1"/>
                <w:shd w:val="solid" w:color="000000" w:fill="000000"/>
                <w:fitText w:val="330" w:id="-664010748"/>
                <w14:textFill>
                  <w14:solidFill>
                    <w14:srgbClr w14:val="000000">
                      <w14:alpha w14:val="100000"/>
                    </w14:srgbClr>
                  </w14:solidFill>
                </w14:textFill>
              </w:rPr>
              <w:t>|</w:t>
            </w:r>
            <w:r w:rsidRPr="00466E61">
              <w:t>% in Yr 6</w:t>
            </w:r>
          </w:p>
        </w:tc>
        <w:tc>
          <w:tcPr>
            <w:tcW w:w="1859" w:type="pct"/>
            <w:vMerge/>
            <w:shd w:val="clear" w:color="auto" w:fill="auto"/>
            <w:vAlign w:val="center"/>
          </w:tcPr>
          <w:p w14:paraId="01E68F80" w14:textId="77777777" w:rsidR="001E76A3" w:rsidRPr="00466E61" w:rsidRDefault="001E76A3">
            <w:pPr>
              <w:pStyle w:val="TableText0"/>
            </w:pPr>
          </w:p>
        </w:tc>
      </w:tr>
      <w:tr w:rsidR="001E76A3" w:rsidRPr="00466E61" w14:paraId="7ACFB4B6" w14:textId="77777777" w:rsidTr="00B0287A">
        <w:tc>
          <w:tcPr>
            <w:tcW w:w="1255" w:type="pct"/>
            <w:shd w:val="clear" w:color="auto" w:fill="auto"/>
            <w:vAlign w:val="center"/>
          </w:tcPr>
          <w:p w14:paraId="16229F61" w14:textId="77777777" w:rsidR="001E76A3" w:rsidRPr="00466E61" w:rsidRDefault="001E76A3">
            <w:pPr>
              <w:pStyle w:val="TableText0"/>
            </w:pPr>
            <w:r w:rsidRPr="00466E61">
              <w:t>MBS costs</w:t>
            </w:r>
          </w:p>
        </w:tc>
        <w:tc>
          <w:tcPr>
            <w:tcW w:w="1886" w:type="pct"/>
            <w:shd w:val="clear" w:color="auto" w:fill="auto"/>
            <w:vAlign w:val="center"/>
          </w:tcPr>
          <w:p w14:paraId="49490A20" w14:textId="77777777" w:rsidR="001E76A3" w:rsidRPr="00466E61" w:rsidRDefault="001E76A3">
            <w:pPr>
              <w:pStyle w:val="TableText0"/>
            </w:pPr>
            <w:r w:rsidRPr="00466E61">
              <w:t>$123.05</w:t>
            </w:r>
          </w:p>
        </w:tc>
        <w:tc>
          <w:tcPr>
            <w:tcW w:w="1859" w:type="pct"/>
            <w:shd w:val="clear" w:color="auto" w:fill="auto"/>
            <w:vAlign w:val="center"/>
          </w:tcPr>
          <w:p w14:paraId="12164131" w14:textId="77777777" w:rsidR="001E76A3" w:rsidRPr="00466E61" w:rsidRDefault="001E76A3">
            <w:pPr>
              <w:pStyle w:val="TableText0"/>
            </w:pPr>
            <w:r w:rsidRPr="00466E61">
              <w:t xml:space="preserve">MBS item number 13950. This was appropriate. </w:t>
            </w:r>
          </w:p>
        </w:tc>
      </w:tr>
    </w:tbl>
    <w:p w14:paraId="0D54A800" w14:textId="08801549" w:rsidR="001E76A3" w:rsidRPr="00615D25" w:rsidRDefault="001E76A3" w:rsidP="001E76A3">
      <w:pPr>
        <w:pStyle w:val="FooterTableFigure"/>
        <w:keepNext/>
      </w:pPr>
      <w:r w:rsidRPr="00615D25">
        <w:t xml:space="preserve">Source: Table 4-1 p 159, Table 4-3, Table 4-4 of the submission, </w:t>
      </w:r>
      <w:r w:rsidRPr="00EB6FEB">
        <w:t>Section 4 Workbook of the submission; 4</w:t>
      </w:r>
      <w:r>
        <w:t>.</w:t>
      </w:r>
    </w:p>
    <w:p w14:paraId="03BDC179" w14:textId="50127022" w:rsidR="001E76A3" w:rsidRDefault="001E76A3" w:rsidP="00CA43C0">
      <w:pPr>
        <w:pStyle w:val="FooterTableFigure"/>
        <w:keepNext/>
        <w:spacing w:after="0"/>
      </w:pPr>
      <w:proofErr w:type="spellStart"/>
      <w:r>
        <w:t>atezo</w:t>
      </w:r>
      <w:proofErr w:type="spellEnd"/>
      <w:r>
        <w:t xml:space="preserve"> + b = atezolizumab plus bevacizumab; </w:t>
      </w:r>
      <w:r w:rsidRPr="00615D25">
        <w:t>HCC = hepatocellular carcinoma; MBS = Medica</w:t>
      </w:r>
      <w:r>
        <w:t>re</w:t>
      </w:r>
      <w:r w:rsidRPr="00615D25">
        <w:t xml:space="preserve"> Benefit Sche</w:t>
      </w:r>
      <w:r>
        <w:t>dule;</w:t>
      </w:r>
      <w:r w:rsidRPr="00615D25">
        <w:t xml:space="preserve"> PBS = Pharmaceutical Benefit</w:t>
      </w:r>
      <w:r>
        <w:t>s</w:t>
      </w:r>
      <w:r w:rsidRPr="00615D25">
        <w:t xml:space="preserve"> Scheme; PSD = Public Summary Document; RPBS = Repatriation Pharmaceutical Benefit Scheme; STRIDE = Single Tremelimumab Regular Interval Durvalumab</w:t>
      </w:r>
      <w:r>
        <w:t>.</w:t>
      </w:r>
    </w:p>
    <w:p w14:paraId="4CB84BB1" w14:textId="77777777" w:rsidR="000D083B" w:rsidRDefault="00CA43C0" w:rsidP="00CA43C0">
      <w:pPr>
        <w:rPr>
          <w:rFonts w:ascii="Arial Narrow" w:hAnsi="Arial Narrow" w:cs="Arial"/>
          <w:i/>
          <w:sz w:val="18"/>
          <w:szCs w:val="18"/>
        </w:rPr>
      </w:pPr>
      <w:r w:rsidRPr="009A6D58">
        <w:rPr>
          <w:rFonts w:ascii="Arial Narrow" w:hAnsi="Arial Narrow" w:cs="Arial"/>
          <w:i/>
          <w:sz w:val="18"/>
          <w:szCs w:val="18"/>
        </w:rPr>
        <w:t>The redacted values correspond to the following ranges:</w:t>
      </w:r>
    </w:p>
    <w:p w14:paraId="0CD0164A" w14:textId="0CC3C063" w:rsidR="00CA43C0" w:rsidRPr="009A6D58" w:rsidRDefault="00CA43C0" w:rsidP="00CA43C0">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500 to &lt; 5,000</w:t>
      </w:r>
    </w:p>
    <w:p w14:paraId="15648241" w14:textId="03D67C2A" w:rsidR="00CA43C0" w:rsidRPr="00CA43C0" w:rsidRDefault="00CA43C0" w:rsidP="00CA43C0">
      <w:pPr>
        <w:spacing w:after="120"/>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5,000 to &lt; </w:t>
      </w:r>
      <w:r w:rsidR="00983976">
        <w:rPr>
          <w:rFonts w:ascii="Arial Narrow" w:hAnsi="Arial Narrow" w:cs="Arial"/>
          <w:i/>
          <w:sz w:val="18"/>
          <w:szCs w:val="18"/>
        </w:rPr>
        <w:t>10,000</w:t>
      </w:r>
    </w:p>
    <w:p w14:paraId="32C70D09" w14:textId="7F5750C8" w:rsidR="00205CCB" w:rsidRPr="00CC06B6" w:rsidRDefault="00205CCB" w:rsidP="001E76A3">
      <w:pPr>
        <w:pStyle w:val="3-BodyText"/>
        <w:ind w:left="709"/>
        <w:rPr>
          <w:color w:val="0066FF"/>
        </w:rPr>
      </w:pPr>
      <w:r w:rsidRPr="00CC06B6">
        <w:rPr>
          <w:rFonts w:cstheme="minorHAnsi"/>
        </w:rPr>
        <w:t xml:space="preserve">There may be a small proportion of patients who develop intolerance to atezolizumab and under the proposed restriction </w:t>
      </w:r>
      <w:r w:rsidR="007971DE" w:rsidRPr="00CC06B6">
        <w:rPr>
          <w:rFonts w:cstheme="minorHAnsi"/>
        </w:rPr>
        <w:t>w</w:t>
      </w:r>
      <w:r w:rsidR="00130781" w:rsidRPr="00CC06B6">
        <w:rPr>
          <w:rFonts w:cstheme="minorHAnsi"/>
        </w:rPr>
        <w:t xml:space="preserve">ould </w:t>
      </w:r>
      <w:r w:rsidRPr="00CC06B6">
        <w:rPr>
          <w:rFonts w:cstheme="minorHAnsi"/>
        </w:rPr>
        <w:t xml:space="preserve">subsequently </w:t>
      </w:r>
      <w:r w:rsidR="00130781" w:rsidRPr="00CC06B6">
        <w:rPr>
          <w:rFonts w:cstheme="minorHAnsi"/>
        </w:rPr>
        <w:t xml:space="preserve">be </w:t>
      </w:r>
      <w:r w:rsidRPr="00CC06B6">
        <w:rPr>
          <w:rFonts w:cstheme="minorHAnsi"/>
        </w:rPr>
        <w:t>eligible to commence STRIDE. This was not accounted for in the financial estimates.</w:t>
      </w:r>
    </w:p>
    <w:p w14:paraId="288E348A" w14:textId="77777777" w:rsidR="000D083B" w:rsidRDefault="00DB7DE3" w:rsidP="001E76A3">
      <w:pPr>
        <w:pStyle w:val="3-BodyText"/>
        <w:ind w:left="709"/>
      </w:pPr>
      <w:r w:rsidRPr="00CC06B6">
        <w:t>The annual growth rate was calculated based on service volumes in financial years rather than calendar years. Summing the monthly volumes by calendar year to calculate the annual growth rate would have been more appropriate.</w:t>
      </w:r>
    </w:p>
    <w:p w14:paraId="5A5C9BE3" w14:textId="20CC6E63" w:rsidR="000D083B" w:rsidRDefault="001E76A3" w:rsidP="001E76A3">
      <w:pPr>
        <w:pStyle w:val="3-BodyText"/>
        <w:ind w:left="709"/>
        <w:rPr>
          <w:rFonts w:cstheme="minorHAnsi"/>
        </w:rPr>
      </w:pPr>
      <w:r w:rsidRPr="00CC06B6">
        <w:rPr>
          <w:rFonts w:cstheme="minorHAnsi"/>
        </w:rPr>
        <w:t xml:space="preserve">The submission assumed that </w:t>
      </w:r>
      <w:r w:rsidR="00DF294A" w:rsidRPr="00DF294A">
        <w:rPr>
          <w:rFonts w:cstheme="minorHAnsi"/>
          <w:color w:val="000000"/>
          <w:w w:val="62"/>
          <w:shd w:val="solid" w:color="000000" w:fill="000000"/>
          <w:fitText w:val="480" w:id="-664010747"/>
          <w14:textFill>
            <w14:solidFill>
              <w14:srgbClr w14:val="000000">
                <w14:alpha w14:val="100000"/>
              </w14:srgbClr>
            </w14:solidFill>
          </w14:textFill>
        </w:rPr>
        <w:t>|||  ||</w:t>
      </w:r>
      <w:r w:rsidR="00DF294A" w:rsidRPr="00DF294A">
        <w:rPr>
          <w:rFonts w:cstheme="minorHAnsi"/>
          <w:color w:val="000000"/>
          <w:spacing w:val="2"/>
          <w:w w:val="62"/>
          <w:shd w:val="solid" w:color="000000" w:fill="000000"/>
          <w:fitText w:val="480" w:id="-664010747"/>
          <w14:textFill>
            <w14:solidFill>
              <w14:srgbClr w14:val="000000">
                <w14:alpha w14:val="100000"/>
              </w14:srgbClr>
            </w14:solidFill>
          </w14:textFill>
        </w:rPr>
        <w:t>|</w:t>
      </w:r>
      <w:r w:rsidRPr="00CC06B6">
        <w:rPr>
          <w:rFonts w:cstheme="minorHAnsi"/>
        </w:rPr>
        <w:t xml:space="preserve">% (Year 1) to </w:t>
      </w:r>
      <w:r w:rsidR="00DF294A" w:rsidRPr="00DC656D">
        <w:rPr>
          <w:rFonts w:cstheme="minorHAnsi"/>
          <w:color w:val="000000"/>
          <w:w w:val="62"/>
          <w:shd w:val="solid" w:color="000000" w:fill="000000"/>
          <w:fitText w:val="480" w:id="-664010746"/>
          <w14:textFill>
            <w14:solidFill>
              <w14:srgbClr w14:val="000000">
                <w14:alpha w14:val="100000"/>
              </w14:srgbClr>
            </w14:solidFill>
          </w14:textFill>
        </w:rPr>
        <w:t>|||  ||</w:t>
      </w:r>
      <w:r w:rsidR="00DF294A" w:rsidRPr="00DC656D">
        <w:rPr>
          <w:rFonts w:cstheme="minorHAnsi"/>
          <w:color w:val="000000"/>
          <w:spacing w:val="2"/>
          <w:w w:val="62"/>
          <w:shd w:val="solid" w:color="000000" w:fill="000000"/>
          <w:fitText w:val="480" w:id="-664010746"/>
          <w14:textFill>
            <w14:solidFill>
              <w14:srgbClr w14:val="000000">
                <w14:alpha w14:val="100000"/>
              </w14:srgbClr>
            </w14:solidFill>
          </w14:textFill>
        </w:rPr>
        <w:t>|</w:t>
      </w:r>
      <w:r w:rsidRPr="00CC06B6">
        <w:rPr>
          <w:rFonts w:cstheme="minorHAnsi"/>
        </w:rPr>
        <w:t xml:space="preserve">% (Year 6) of </w:t>
      </w:r>
      <w:proofErr w:type="spellStart"/>
      <w:r w:rsidRPr="00CC06B6">
        <w:rPr>
          <w:rFonts w:cstheme="minorHAnsi"/>
        </w:rPr>
        <w:t>aHCC</w:t>
      </w:r>
      <w:proofErr w:type="spellEnd"/>
      <w:r w:rsidRPr="00CC06B6">
        <w:rPr>
          <w:rFonts w:cstheme="minorHAnsi"/>
        </w:rPr>
        <w:t xml:space="preserve"> patients treated with </w:t>
      </w:r>
      <w:proofErr w:type="spellStart"/>
      <w:r w:rsidRPr="00CC06B6">
        <w:rPr>
          <w:rFonts w:cstheme="minorHAnsi"/>
        </w:rPr>
        <w:t>atezo</w:t>
      </w:r>
      <w:proofErr w:type="spellEnd"/>
      <w:r w:rsidRPr="00CC06B6">
        <w:rPr>
          <w:rFonts w:cstheme="minorHAnsi"/>
        </w:rPr>
        <w:t xml:space="preserve"> + b w</w:t>
      </w:r>
      <w:r w:rsidR="0091692B" w:rsidRPr="00CC06B6">
        <w:rPr>
          <w:rFonts w:cstheme="minorHAnsi"/>
        </w:rPr>
        <w:t>ould</w:t>
      </w:r>
      <w:r w:rsidRPr="00CC06B6">
        <w:rPr>
          <w:rFonts w:cstheme="minorHAnsi"/>
        </w:rPr>
        <w:t xml:space="preserve"> initiate treatment with STRIDE. The proportion of atezolizumab continuing scripts and bevacizumab scripts displaced were calculated based on the median duration of therapy for atezolizumab in IMBRAVE150.</w:t>
      </w:r>
    </w:p>
    <w:p w14:paraId="113CE8EB" w14:textId="5364B3B2" w:rsidR="001E76A3" w:rsidRPr="00307D5B" w:rsidRDefault="001E76A3" w:rsidP="00307D5B">
      <w:pPr>
        <w:pStyle w:val="3-BodyText"/>
        <w:ind w:left="709"/>
        <w:rPr>
          <w:color w:val="0066FF"/>
        </w:rPr>
      </w:pPr>
      <w:r>
        <w:t xml:space="preserve">The estimated utilisation and financial impact of listing STRIDE on the PBS using the assumed effective prices are presented in </w:t>
      </w:r>
      <w:r>
        <w:fldChar w:fldCharType="begin"/>
      </w:r>
      <w:r>
        <w:instrText xml:space="preserve"> REF _Ref104805295 \h </w:instrText>
      </w:r>
      <w:r>
        <w:fldChar w:fldCharType="separate"/>
      </w:r>
      <w:r w:rsidR="00AC295B" w:rsidRPr="00615D25">
        <w:t xml:space="preserve">Table </w:t>
      </w:r>
      <w:r w:rsidR="00AC295B">
        <w:rPr>
          <w:noProof/>
        </w:rPr>
        <w:t>13</w:t>
      </w:r>
      <w:r>
        <w:fldChar w:fldCharType="end"/>
      </w:r>
      <w:r>
        <w:t xml:space="preserve">. The total saving to the PBS/RPBS of listing STRIDE was estimated to be </w:t>
      </w:r>
      <w:r w:rsidR="00983976">
        <w:t>net cost saving</w:t>
      </w:r>
      <w:r>
        <w:t xml:space="preserve"> in Year 1 increasing to </w:t>
      </w:r>
      <w:r w:rsidR="003A3D84">
        <w:t>net cost saving</w:t>
      </w:r>
      <w:r>
        <w:t xml:space="preserve"> in Year 6, and a total </w:t>
      </w:r>
      <w:r w:rsidR="003A3D84">
        <w:t>net cost saving</w:t>
      </w:r>
      <w:r>
        <w:t xml:space="preserve"> in the first 6 years of listing based on </w:t>
      </w:r>
      <w:r>
        <w:lastRenderedPageBreak/>
        <w:t xml:space="preserve">assumed effective prices. </w:t>
      </w:r>
      <w:r w:rsidR="00FE6F09">
        <w:t xml:space="preserve">The pre-PBAC response </w:t>
      </w:r>
      <w:r w:rsidR="004F429F">
        <w:t>argued</w:t>
      </w:r>
      <w:r w:rsidR="00FE6F09">
        <w:t xml:space="preserve"> that the CMA presented did not include costs associated with oesophageal banding procedures, ongoing endoscopic surveillance for high-risk patients or management costs of high-grade oesophageal variceal bleeding, associated with treatment with </w:t>
      </w:r>
      <w:proofErr w:type="spellStart"/>
      <w:r w:rsidR="00FE6F09">
        <w:t>atezo</w:t>
      </w:r>
      <w:proofErr w:type="spellEnd"/>
      <w:r w:rsidR="00021953">
        <w:t xml:space="preserve"> </w:t>
      </w:r>
      <w:r w:rsidR="00FE6F09">
        <w:t>+</w:t>
      </w:r>
      <w:r w:rsidR="00021953">
        <w:t xml:space="preserve"> </w:t>
      </w:r>
      <w:r w:rsidR="00FE6F09">
        <w:t>b</w:t>
      </w:r>
      <w:r w:rsidR="001E031A">
        <w:t xml:space="preserve"> and </w:t>
      </w:r>
      <w:r w:rsidR="00FE6F09">
        <w:t>omits potential cost-savings to the health budget beyond the PBS</w:t>
      </w:r>
      <w:r w:rsidR="001E031A">
        <w:t>.</w:t>
      </w:r>
    </w:p>
    <w:p w14:paraId="68C04534" w14:textId="3AC19F2B" w:rsidR="001E76A3" w:rsidRPr="00615D25" w:rsidRDefault="001E76A3" w:rsidP="001E76A3">
      <w:pPr>
        <w:pStyle w:val="Caption"/>
      </w:pPr>
      <w:bookmarkStart w:id="42" w:name="_Ref104805295"/>
      <w:r w:rsidRPr="00615D25">
        <w:t xml:space="preserve">Table </w:t>
      </w:r>
      <w:r w:rsidR="005B443C">
        <w:fldChar w:fldCharType="begin"/>
      </w:r>
      <w:r w:rsidR="005B443C">
        <w:instrText xml:space="preserve"> SEQ Table \* ARABIC </w:instrText>
      </w:r>
      <w:r w:rsidR="005B443C">
        <w:fldChar w:fldCharType="separate"/>
      </w:r>
      <w:r w:rsidR="00AC295B">
        <w:rPr>
          <w:noProof/>
        </w:rPr>
        <w:t>13</w:t>
      </w:r>
      <w:r w:rsidR="005B443C">
        <w:rPr>
          <w:noProof/>
        </w:rPr>
        <w:fldChar w:fldCharType="end"/>
      </w:r>
      <w:bookmarkEnd w:id="42"/>
      <w:r w:rsidRPr="00615D25">
        <w:t>:</w:t>
      </w:r>
      <w:r w:rsidRPr="00615D25">
        <w:rPr>
          <w:rStyle w:val="CommentReference"/>
          <w:b/>
          <w:szCs w:val="24"/>
        </w:rPr>
        <w:t xml:space="preserve"> Estimated use and financial implications</w:t>
      </w:r>
      <w:r>
        <w:rPr>
          <w:rStyle w:val="CommentReference"/>
          <w:b/>
          <w:szCs w:val="24"/>
        </w:rPr>
        <w:t xml:space="preserve"> of STRIDE, assumed effective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1E76A3" w:rsidRPr="00615D25" w14:paraId="2D740D21" w14:textId="77777777">
        <w:trPr>
          <w:tblHeader/>
        </w:trPr>
        <w:tc>
          <w:tcPr>
            <w:tcW w:w="1334" w:type="pct"/>
            <w:shd w:val="clear" w:color="auto" w:fill="auto"/>
            <w:vAlign w:val="center"/>
          </w:tcPr>
          <w:p w14:paraId="332BC0D2" w14:textId="77777777" w:rsidR="001E76A3" w:rsidRPr="00615D25" w:rsidRDefault="001E76A3">
            <w:pPr>
              <w:pStyle w:val="In-tableHeading"/>
            </w:pPr>
          </w:p>
        </w:tc>
        <w:tc>
          <w:tcPr>
            <w:tcW w:w="611" w:type="pct"/>
            <w:shd w:val="clear" w:color="auto" w:fill="auto"/>
            <w:vAlign w:val="center"/>
          </w:tcPr>
          <w:p w14:paraId="30910577" w14:textId="77777777" w:rsidR="001E76A3" w:rsidRPr="00615D25" w:rsidRDefault="001E76A3">
            <w:pPr>
              <w:pStyle w:val="In-tableHeading"/>
              <w:jc w:val="center"/>
            </w:pPr>
            <w:r w:rsidRPr="00615D25">
              <w:t>Year 1</w:t>
            </w:r>
          </w:p>
        </w:tc>
        <w:tc>
          <w:tcPr>
            <w:tcW w:w="611" w:type="pct"/>
            <w:shd w:val="clear" w:color="auto" w:fill="auto"/>
            <w:vAlign w:val="center"/>
          </w:tcPr>
          <w:p w14:paraId="468B8384" w14:textId="77777777" w:rsidR="001E76A3" w:rsidRPr="00615D25" w:rsidRDefault="001E76A3">
            <w:pPr>
              <w:pStyle w:val="In-tableHeading"/>
              <w:jc w:val="center"/>
            </w:pPr>
            <w:r w:rsidRPr="00615D25">
              <w:t>Year 2</w:t>
            </w:r>
          </w:p>
        </w:tc>
        <w:tc>
          <w:tcPr>
            <w:tcW w:w="611" w:type="pct"/>
            <w:shd w:val="clear" w:color="auto" w:fill="auto"/>
            <w:vAlign w:val="center"/>
          </w:tcPr>
          <w:p w14:paraId="71413E42" w14:textId="77777777" w:rsidR="001E76A3" w:rsidRPr="00615D25" w:rsidRDefault="001E76A3">
            <w:pPr>
              <w:pStyle w:val="In-tableHeading"/>
              <w:jc w:val="center"/>
            </w:pPr>
            <w:r w:rsidRPr="00615D25">
              <w:t>Year 3</w:t>
            </w:r>
          </w:p>
        </w:tc>
        <w:tc>
          <w:tcPr>
            <w:tcW w:w="611" w:type="pct"/>
            <w:shd w:val="clear" w:color="auto" w:fill="auto"/>
            <w:vAlign w:val="center"/>
          </w:tcPr>
          <w:p w14:paraId="6EFE6BFA" w14:textId="77777777" w:rsidR="001E76A3" w:rsidRPr="00615D25" w:rsidRDefault="001E76A3">
            <w:pPr>
              <w:pStyle w:val="In-tableHeading"/>
              <w:jc w:val="center"/>
            </w:pPr>
            <w:r w:rsidRPr="00615D25">
              <w:t>Year 4</w:t>
            </w:r>
          </w:p>
        </w:tc>
        <w:tc>
          <w:tcPr>
            <w:tcW w:w="611" w:type="pct"/>
            <w:shd w:val="clear" w:color="auto" w:fill="auto"/>
            <w:vAlign w:val="center"/>
          </w:tcPr>
          <w:p w14:paraId="3181355B" w14:textId="77777777" w:rsidR="001E76A3" w:rsidRPr="00615D25" w:rsidRDefault="001E76A3">
            <w:pPr>
              <w:pStyle w:val="In-tableHeading"/>
              <w:jc w:val="center"/>
            </w:pPr>
            <w:r w:rsidRPr="00615D25">
              <w:t>Year 5</w:t>
            </w:r>
          </w:p>
        </w:tc>
        <w:tc>
          <w:tcPr>
            <w:tcW w:w="611" w:type="pct"/>
          </w:tcPr>
          <w:p w14:paraId="44E8AE50" w14:textId="77777777" w:rsidR="001E76A3" w:rsidRPr="00615D25" w:rsidRDefault="001E76A3">
            <w:pPr>
              <w:pStyle w:val="In-tableHeading"/>
              <w:jc w:val="center"/>
            </w:pPr>
            <w:r w:rsidRPr="00615D25">
              <w:t>Year 6</w:t>
            </w:r>
          </w:p>
        </w:tc>
      </w:tr>
      <w:tr w:rsidR="001E76A3" w:rsidRPr="00615D25" w14:paraId="21A576EB" w14:textId="77777777">
        <w:tc>
          <w:tcPr>
            <w:tcW w:w="5000" w:type="pct"/>
            <w:gridSpan w:val="7"/>
            <w:shd w:val="clear" w:color="auto" w:fill="auto"/>
            <w:vAlign w:val="center"/>
          </w:tcPr>
          <w:p w14:paraId="58286B33" w14:textId="77777777" w:rsidR="001E76A3" w:rsidRPr="00615D25" w:rsidRDefault="001E76A3">
            <w:pPr>
              <w:pStyle w:val="In-tableHeading"/>
            </w:pPr>
            <w:r w:rsidRPr="00615D25">
              <w:t>Estimated extent of use of STRIDE</w:t>
            </w:r>
          </w:p>
        </w:tc>
      </w:tr>
      <w:tr w:rsidR="001E76A3" w:rsidRPr="00615D25" w14:paraId="693DE599" w14:textId="77777777">
        <w:tc>
          <w:tcPr>
            <w:tcW w:w="1334" w:type="pct"/>
            <w:shd w:val="clear" w:color="auto" w:fill="auto"/>
            <w:vAlign w:val="center"/>
          </w:tcPr>
          <w:p w14:paraId="63CFE4B8" w14:textId="77777777" w:rsidR="001E76A3" w:rsidRPr="00615D25" w:rsidRDefault="001E76A3">
            <w:pPr>
              <w:pStyle w:val="TableText0"/>
              <w:rPr>
                <w:rFonts w:ascii="Times" w:hAnsi="Times"/>
              </w:rPr>
            </w:pPr>
            <w:r w:rsidRPr="00615D25">
              <w:t>Number of scripts dispensed</w:t>
            </w:r>
          </w:p>
        </w:tc>
        <w:tc>
          <w:tcPr>
            <w:tcW w:w="611" w:type="pct"/>
            <w:shd w:val="clear" w:color="auto" w:fill="auto"/>
            <w:vAlign w:val="center"/>
          </w:tcPr>
          <w:p w14:paraId="39864E65" w14:textId="44EBA011" w:rsidR="001E76A3" w:rsidRPr="00615D25" w:rsidRDefault="00DF294A">
            <w:pPr>
              <w:pStyle w:val="TableText0"/>
              <w:jc w:val="center"/>
            </w:pPr>
            <w:r w:rsidRPr="00DF294A">
              <w:rPr>
                <w:rFonts w:hint="eastAsia"/>
                <w:color w:val="000000"/>
                <w:w w:val="15"/>
                <w:shd w:val="solid" w:color="000000" w:fill="000000"/>
                <w:fitText w:val="40" w:id="-664010745"/>
                <w14:textFill>
                  <w14:solidFill>
                    <w14:srgbClr w14:val="000000">
                      <w14:alpha w14:val="100000"/>
                    </w14:srgbClr>
                  </w14:solidFill>
                </w14:textFill>
              </w:rPr>
              <w:t xml:space="preserve">　</w:t>
            </w:r>
            <w:r w:rsidRPr="00DF294A">
              <w:rPr>
                <w:color w:val="000000"/>
                <w:w w:val="15"/>
                <w:shd w:val="solid" w:color="000000" w:fill="000000"/>
                <w:fitText w:val="40" w:id="-664010745"/>
                <w14:textFill>
                  <w14:solidFill>
                    <w14:srgbClr w14:val="000000">
                      <w14:alpha w14:val="100000"/>
                    </w14:srgbClr>
                  </w14:solidFill>
                </w14:textFill>
              </w:rPr>
              <w:t>|</w:t>
            </w:r>
            <w:r w:rsidRPr="00DF294A">
              <w:rPr>
                <w:rFonts w:hint="eastAsia"/>
                <w:color w:val="000000"/>
                <w:spacing w:val="-25"/>
                <w:w w:val="15"/>
                <w:shd w:val="solid" w:color="000000" w:fill="000000"/>
                <w:fitText w:val="40" w:id="-664010745"/>
                <w14:textFill>
                  <w14:solidFill>
                    <w14:srgbClr w14:val="000000">
                      <w14:alpha w14:val="100000"/>
                    </w14:srgbClr>
                  </w14:solidFill>
                </w14:textFill>
              </w:rPr>
              <w:t xml:space="preserve">　</w:t>
            </w:r>
            <w:r w:rsidR="00D81317" w:rsidRPr="00792EB7">
              <w:rPr>
                <w:rFonts w:cstheme="minorHAnsi"/>
                <w:i/>
                <w:iCs/>
                <w:sz w:val="18"/>
                <w:szCs w:val="18"/>
                <w:vertAlign w:val="superscript"/>
              </w:rPr>
              <w:t>1</w:t>
            </w:r>
          </w:p>
        </w:tc>
        <w:tc>
          <w:tcPr>
            <w:tcW w:w="611" w:type="pct"/>
            <w:shd w:val="clear" w:color="auto" w:fill="auto"/>
            <w:vAlign w:val="center"/>
          </w:tcPr>
          <w:p w14:paraId="707A5394" w14:textId="44CBDD3B" w:rsidR="001E76A3" w:rsidRPr="00615D25" w:rsidRDefault="00DF294A">
            <w:pPr>
              <w:pStyle w:val="TableText0"/>
              <w:jc w:val="center"/>
            </w:pPr>
            <w:r w:rsidRPr="00DF294A">
              <w:rPr>
                <w:rFonts w:hint="eastAsia"/>
                <w:color w:val="000000"/>
                <w:w w:val="15"/>
                <w:shd w:val="solid" w:color="000000" w:fill="000000"/>
                <w:fitText w:val="40" w:id="-664010744"/>
                <w14:textFill>
                  <w14:solidFill>
                    <w14:srgbClr w14:val="000000">
                      <w14:alpha w14:val="100000"/>
                    </w14:srgbClr>
                  </w14:solidFill>
                </w14:textFill>
              </w:rPr>
              <w:t xml:space="preserve">　</w:t>
            </w:r>
            <w:r w:rsidRPr="00DF294A">
              <w:rPr>
                <w:color w:val="000000"/>
                <w:w w:val="15"/>
                <w:shd w:val="solid" w:color="000000" w:fill="000000"/>
                <w:fitText w:val="40" w:id="-664010744"/>
                <w14:textFill>
                  <w14:solidFill>
                    <w14:srgbClr w14:val="000000">
                      <w14:alpha w14:val="100000"/>
                    </w14:srgbClr>
                  </w14:solidFill>
                </w14:textFill>
              </w:rPr>
              <w:t>|</w:t>
            </w:r>
            <w:r w:rsidRPr="00DF294A">
              <w:rPr>
                <w:rFonts w:hint="eastAsia"/>
                <w:color w:val="000000"/>
                <w:spacing w:val="-25"/>
                <w:w w:val="15"/>
                <w:shd w:val="solid" w:color="000000" w:fill="000000"/>
                <w:fitText w:val="40" w:id="-664010744"/>
                <w14:textFill>
                  <w14:solidFill>
                    <w14:srgbClr w14:val="000000">
                      <w14:alpha w14:val="100000"/>
                    </w14:srgbClr>
                  </w14:solidFill>
                </w14:textFill>
              </w:rPr>
              <w:t xml:space="preserve">　</w:t>
            </w:r>
            <w:r w:rsidR="00D81317" w:rsidRPr="00792EB7">
              <w:rPr>
                <w:rFonts w:cstheme="minorHAnsi"/>
                <w:i/>
                <w:iCs/>
                <w:sz w:val="18"/>
                <w:szCs w:val="18"/>
                <w:vertAlign w:val="superscript"/>
              </w:rPr>
              <w:t>2</w:t>
            </w:r>
          </w:p>
        </w:tc>
        <w:tc>
          <w:tcPr>
            <w:tcW w:w="611" w:type="pct"/>
            <w:shd w:val="clear" w:color="auto" w:fill="auto"/>
            <w:vAlign w:val="center"/>
          </w:tcPr>
          <w:p w14:paraId="1FE53B45" w14:textId="500A33E2" w:rsidR="001E76A3" w:rsidRPr="00615D25" w:rsidRDefault="00DF294A">
            <w:pPr>
              <w:pStyle w:val="TableText0"/>
              <w:jc w:val="center"/>
            </w:pPr>
            <w:r w:rsidRPr="00DF294A">
              <w:rPr>
                <w:rFonts w:hint="eastAsia"/>
                <w:color w:val="000000"/>
                <w:w w:val="15"/>
                <w:shd w:val="solid" w:color="000000" w:fill="000000"/>
                <w:fitText w:val="40" w:id="-664010743"/>
                <w14:textFill>
                  <w14:solidFill>
                    <w14:srgbClr w14:val="000000">
                      <w14:alpha w14:val="100000"/>
                    </w14:srgbClr>
                  </w14:solidFill>
                </w14:textFill>
              </w:rPr>
              <w:t xml:space="preserve">　</w:t>
            </w:r>
            <w:r w:rsidRPr="00DF294A">
              <w:rPr>
                <w:color w:val="000000"/>
                <w:w w:val="15"/>
                <w:shd w:val="solid" w:color="000000" w:fill="000000"/>
                <w:fitText w:val="40" w:id="-664010743"/>
                <w14:textFill>
                  <w14:solidFill>
                    <w14:srgbClr w14:val="000000">
                      <w14:alpha w14:val="100000"/>
                    </w14:srgbClr>
                  </w14:solidFill>
                </w14:textFill>
              </w:rPr>
              <w:t>|</w:t>
            </w:r>
            <w:r w:rsidRPr="00DF294A">
              <w:rPr>
                <w:rFonts w:hint="eastAsia"/>
                <w:color w:val="000000"/>
                <w:spacing w:val="-25"/>
                <w:w w:val="15"/>
                <w:shd w:val="solid" w:color="000000" w:fill="000000"/>
                <w:fitText w:val="40" w:id="-664010743"/>
                <w14:textFill>
                  <w14:solidFill>
                    <w14:srgbClr w14:val="000000">
                      <w14:alpha w14:val="100000"/>
                    </w14:srgbClr>
                  </w14:solidFill>
                </w14:textFill>
              </w:rPr>
              <w:t xml:space="preserve">　</w:t>
            </w:r>
            <w:r w:rsidR="00D81317" w:rsidRPr="00792EB7">
              <w:rPr>
                <w:rFonts w:cstheme="minorHAnsi"/>
                <w:i/>
                <w:iCs/>
                <w:sz w:val="18"/>
                <w:szCs w:val="18"/>
                <w:vertAlign w:val="superscript"/>
              </w:rPr>
              <w:t>2</w:t>
            </w:r>
          </w:p>
        </w:tc>
        <w:tc>
          <w:tcPr>
            <w:tcW w:w="611" w:type="pct"/>
            <w:shd w:val="clear" w:color="auto" w:fill="auto"/>
            <w:vAlign w:val="center"/>
          </w:tcPr>
          <w:p w14:paraId="381F8C20" w14:textId="3AC7EDDE" w:rsidR="001E76A3" w:rsidRPr="00615D25" w:rsidRDefault="00DF294A">
            <w:pPr>
              <w:pStyle w:val="TableText0"/>
              <w:jc w:val="center"/>
            </w:pPr>
            <w:r w:rsidRPr="00DF294A">
              <w:rPr>
                <w:rFonts w:hint="eastAsia"/>
                <w:color w:val="000000"/>
                <w:w w:val="15"/>
                <w:shd w:val="solid" w:color="000000" w:fill="000000"/>
                <w:fitText w:val="40" w:id="-664010742"/>
                <w14:textFill>
                  <w14:solidFill>
                    <w14:srgbClr w14:val="000000">
                      <w14:alpha w14:val="100000"/>
                    </w14:srgbClr>
                  </w14:solidFill>
                </w14:textFill>
              </w:rPr>
              <w:t xml:space="preserve">　</w:t>
            </w:r>
            <w:r w:rsidRPr="00DF294A">
              <w:rPr>
                <w:color w:val="000000"/>
                <w:w w:val="15"/>
                <w:shd w:val="solid" w:color="000000" w:fill="000000"/>
                <w:fitText w:val="40" w:id="-664010742"/>
                <w14:textFill>
                  <w14:solidFill>
                    <w14:srgbClr w14:val="000000">
                      <w14:alpha w14:val="100000"/>
                    </w14:srgbClr>
                  </w14:solidFill>
                </w14:textFill>
              </w:rPr>
              <w:t>|</w:t>
            </w:r>
            <w:r w:rsidRPr="00DF294A">
              <w:rPr>
                <w:rFonts w:hint="eastAsia"/>
                <w:color w:val="000000"/>
                <w:spacing w:val="-25"/>
                <w:w w:val="15"/>
                <w:shd w:val="solid" w:color="000000" w:fill="000000"/>
                <w:fitText w:val="40" w:id="-664010742"/>
                <w14:textFill>
                  <w14:solidFill>
                    <w14:srgbClr w14:val="000000">
                      <w14:alpha w14:val="100000"/>
                    </w14:srgbClr>
                  </w14:solidFill>
                </w14:textFill>
              </w:rPr>
              <w:t xml:space="preserve">　</w:t>
            </w:r>
            <w:r w:rsidR="00D81317" w:rsidRPr="00792EB7">
              <w:rPr>
                <w:rFonts w:cstheme="minorHAnsi"/>
                <w:i/>
                <w:iCs/>
                <w:sz w:val="18"/>
                <w:szCs w:val="18"/>
                <w:vertAlign w:val="superscript"/>
              </w:rPr>
              <w:t>2</w:t>
            </w:r>
          </w:p>
        </w:tc>
        <w:tc>
          <w:tcPr>
            <w:tcW w:w="611" w:type="pct"/>
            <w:shd w:val="clear" w:color="auto" w:fill="auto"/>
            <w:vAlign w:val="center"/>
          </w:tcPr>
          <w:p w14:paraId="2D4F7B19" w14:textId="0E16E5AB" w:rsidR="001E76A3" w:rsidRPr="00615D25" w:rsidRDefault="00DF294A">
            <w:pPr>
              <w:pStyle w:val="TableText0"/>
              <w:jc w:val="center"/>
            </w:pPr>
            <w:r w:rsidRPr="00DF294A">
              <w:rPr>
                <w:rFonts w:hint="eastAsia"/>
                <w:color w:val="000000"/>
                <w:w w:val="15"/>
                <w:shd w:val="solid" w:color="000000" w:fill="000000"/>
                <w:fitText w:val="40" w:id="-664010741"/>
                <w14:textFill>
                  <w14:solidFill>
                    <w14:srgbClr w14:val="000000">
                      <w14:alpha w14:val="100000"/>
                    </w14:srgbClr>
                  </w14:solidFill>
                </w14:textFill>
              </w:rPr>
              <w:t xml:space="preserve">　</w:t>
            </w:r>
            <w:r w:rsidRPr="00DF294A">
              <w:rPr>
                <w:color w:val="000000"/>
                <w:w w:val="15"/>
                <w:shd w:val="solid" w:color="000000" w:fill="000000"/>
                <w:fitText w:val="40" w:id="-664010741"/>
                <w14:textFill>
                  <w14:solidFill>
                    <w14:srgbClr w14:val="000000">
                      <w14:alpha w14:val="100000"/>
                    </w14:srgbClr>
                  </w14:solidFill>
                </w14:textFill>
              </w:rPr>
              <w:t>|</w:t>
            </w:r>
            <w:r w:rsidRPr="00DF294A">
              <w:rPr>
                <w:rFonts w:hint="eastAsia"/>
                <w:color w:val="000000"/>
                <w:spacing w:val="-25"/>
                <w:w w:val="15"/>
                <w:shd w:val="solid" w:color="000000" w:fill="000000"/>
                <w:fitText w:val="40" w:id="-664010741"/>
                <w14:textFill>
                  <w14:solidFill>
                    <w14:srgbClr w14:val="000000">
                      <w14:alpha w14:val="100000"/>
                    </w14:srgbClr>
                  </w14:solidFill>
                </w14:textFill>
              </w:rPr>
              <w:t xml:space="preserve">　</w:t>
            </w:r>
            <w:r w:rsidR="00D81317" w:rsidRPr="00792EB7">
              <w:rPr>
                <w:rFonts w:cstheme="minorHAnsi"/>
                <w:i/>
                <w:iCs/>
                <w:sz w:val="18"/>
                <w:szCs w:val="18"/>
                <w:vertAlign w:val="superscript"/>
              </w:rPr>
              <w:t>2</w:t>
            </w:r>
          </w:p>
        </w:tc>
        <w:tc>
          <w:tcPr>
            <w:tcW w:w="611" w:type="pct"/>
            <w:vAlign w:val="center"/>
          </w:tcPr>
          <w:p w14:paraId="5D322EE5" w14:textId="1889D572" w:rsidR="001E76A3" w:rsidRPr="00615D25" w:rsidRDefault="00DF294A">
            <w:pPr>
              <w:pStyle w:val="TableText0"/>
              <w:jc w:val="center"/>
            </w:pPr>
            <w:r w:rsidRPr="00DF294A">
              <w:rPr>
                <w:rFonts w:hint="eastAsia"/>
                <w:color w:val="000000"/>
                <w:w w:val="15"/>
                <w:shd w:val="solid" w:color="000000" w:fill="000000"/>
                <w:fitText w:val="40" w:id="-664010740"/>
                <w14:textFill>
                  <w14:solidFill>
                    <w14:srgbClr w14:val="000000">
                      <w14:alpha w14:val="100000"/>
                    </w14:srgbClr>
                  </w14:solidFill>
                </w14:textFill>
              </w:rPr>
              <w:t xml:space="preserve">　</w:t>
            </w:r>
            <w:r w:rsidRPr="00DF294A">
              <w:rPr>
                <w:color w:val="000000"/>
                <w:w w:val="15"/>
                <w:shd w:val="solid" w:color="000000" w:fill="000000"/>
                <w:fitText w:val="40" w:id="-664010740"/>
                <w14:textFill>
                  <w14:solidFill>
                    <w14:srgbClr w14:val="000000">
                      <w14:alpha w14:val="100000"/>
                    </w14:srgbClr>
                  </w14:solidFill>
                </w14:textFill>
              </w:rPr>
              <w:t>|</w:t>
            </w:r>
            <w:r w:rsidRPr="00DF294A">
              <w:rPr>
                <w:rFonts w:hint="eastAsia"/>
                <w:color w:val="000000"/>
                <w:spacing w:val="-25"/>
                <w:w w:val="15"/>
                <w:shd w:val="solid" w:color="000000" w:fill="000000"/>
                <w:fitText w:val="40" w:id="-664010740"/>
                <w14:textFill>
                  <w14:solidFill>
                    <w14:srgbClr w14:val="000000">
                      <w14:alpha w14:val="100000"/>
                    </w14:srgbClr>
                  </w14:solidFill>
                </w14:textFill>
              </w:rPr>
              <w:t xml:space="preserve">　</w:t>
            </w:r>
            <w:r w:rsidR="00D81317" w:rsidRPr="00792EB7">
              <w:rPr>
                <w:rFonts w:cstheme="minorHAnsi"/>
                <w:i/>
                <w:iCs/>
                <w:sz w:val="18"/>
                <w:szCs w:val="18"/>
                <w:vertAlign w:val="superscript"/>
              </w:rPr>
              <w:t>2</w:t>
            </w:r>
          </w:p>
        </w:tc>
      </w:tr>
      <w:tr w:rsidR="001E76A3" w:rsidRPr="00615D25" w14:paraId="7A4C5F7B" w14:textId="77777777">
        <w:tc>
          <w:tcPr>
            <w:tcW w:w="5000" w:type="pct"/>
            <w:gridSpan w:val="7"/>
            <w:shd w:val="clear" w:color="auto" w:fill="auto"/>
            <w:vAlign w:val="center"/>
          </w:tcPr>
          <w:p w14:paraId="069E19B1" w14:textId="77777777" w:rsidR="001E76A3" w:rsidRPr="00615D25" w:rsidRDefault="001E76A3">
            <w:pPr>
              <w:pStyle w:val="In-tableHeading"/>
            </w:pPr>
            <w:r w:rsidRPr="00615D25">
              <w:t>Estimated financial implications of STRIDE</w:t>
            </w:r>
          </w:p>
        </w:tc>
      </w:tr>
      <w:tr w:rsidR="001E76A3" w:rsidRPr="00615D25" w14:paraId="6DFC74D9" w14:textId="77777777">
        <w:tc>
          <w:tcPr>
            <w:tcW w:w="1334" w:type="pct"/>
            <w:shd w:val="clear" w:color="auto" w:fill="auto"/>
            <w:vAlign w:val="center"/>
          </w:tcPr>
          <w:p w14:paraId="5EF7FD20" w14:textId="77777777" w:rsidR="001E76A3" w:rsidRPr="00615D25" w:rsidRDefault="001E76A3">
            <w:pPr>
              <w:pStyle w:val="TableText0"/>
            </w:pPr>
            <w:r w:rsidRPr="00615D25">
              <w:t>Cost to PBS/RPBS less copayments</w:t>
            </w:r>
          </w:p>
        </w:tc>
        <w:tc>
          <w:tcPr>
            <w:tcW w:w="611" w:type="pct"/>
            <w:shd w:val="clear" w:color="auto" w:fill="auto"/>
            <w:vAlign w:val="bottom"/>
          </w:tcPr>
          <w:p w14:paraId="6AB68FCF" w14:textId="45300DC4" w:rsidR="001E76A3" w:rsidRPr="00615D25" w:rsidRDefault="001E76A3">
            <w:pPr>
              <w:pStyle w:val="TableText0"/>
              <w:jc w:val="center"/>
            </w:pPr>
            <w:r w:rsidRPr="00615D25">
              <w:t>$</w:t>
            </w:r>
            <w:r w:rsidR="00DF294A" w:rsidRPr="00DF294A">
              <w:rPr>
                <w:rFonts w:hint="eastAsia"/>
                <w:color w:val="000000"/>
                <w:w w:val="22"/>
                <w:shd w:val="solid" w:color="000000" w:fill="000000"/>
                <w:fitText w:val="100" w:id="-664010739"/>
                <w14:textFill>
                  <w14:solidFill>
                    <w14:srgbClr w14:val="000000">
                      <w14:alpha w14:val="100000"/>
                    </w14:srgbClr>
                  </w14:solidFill>
                </w14:textFill>
              </w:rPr>
              <w:t xml:space="preserve">　</w:t>
            </w:r>
            <w:r w:rsidR="00DF294A" w:rsidRPr="00DF294A">
              <w:rPr>
                <w:color w:val="000000"/>
                <w:w w:val="22"/>
                <w:shd w:val="solid" w:color="000000" w:fill="000000"/>
                <w:fitText w:val="100" w:id="-664010739"/>
                <w14:textFill>
                  <w14:solidFill>
                    <w14:srgbClr w14:val="000000">
                      <w14:alpha w14:val="100000"/>
                    </w14:srgbClr>
                  </w14:solidFill>
                </w14:textFill>
              </w:rPr>
              <w:t>|</w:t>
            </w:r>
            <w:r w:rsidR="00DF294A" w:rsidRPr="00DF294A">
              <w:rPr>
                <w:rFonts w:hint="eastAsia"/>
                <w:color w:val="000000"/>
                <w:spacing w:val="3"/>
                <w:w w:val="22"/>
                <w:shd w:val="solid" w:color="000000" w:fill="000000"/>
                <w:fitText w:val="100" w:id="-664010739"/>
                <w14:textFill>
                  <w14:solidFill>
                    <w14:srgbClr w14:val="000000">
                      <w14:alpha w14:val="100000"/>
                    </w14:srgbClr>
                  </w14:solidFill>
                </w14:textFill>
              </w:rPr>
              <w:t xml:space="preserve">　</w:t>
            </w:r>
            <w:r w:rsidR="00BB2BCA" w:rsidRPr="00792EB7">
              <w:rPr>
                <w:rFonts w:cstheme="minorHAnsi"/>
                <w:i/>
                <w:iCs/>
                <w:sz w:val="18"/>
                <w:szCs w:val="18"/>
                <w:vertAlign w:val="superscript"/>
              </w:rPr>
              <w:t>3</w:t>
            </w:r>
            <w:r w:rsidR="000D083B">
              <w:rPr>
                <w:rFonts w:cstheme="minorHAnsi"/>
                <w:i/>
                <w:iCs/>
                <w:sz w:val="18"/>
                <w:szCs w:val="18"/>
                <w:vertAlign w:val="superscript"/>
              </w:rPr>
              <w:t xml:space="preserve"> </w:t>
            </w:r>
          </w:p>
        </w:tc>
        <w:tc>
          <w:tcPr>
            <w:tcW w:w="611" w:type="pct"/>
            <w:shd w:val="clear" w:color="auto" w:fill="auto"/>
            <w:vAlign w:val="bottom"/>
          </w:tcPr>
          <w:p w14:paraId="78B7FA92" w14:textId="4DA1AF22" w:rsidR="001E76A3" w:rsidRPr="00615D25" w:rsidRDefault="001E76A3">
            <w:pPr>
              <w:pStyle w:val="TableText0"/>
              <w:jc w:val="center"/>
            </w:pPr>
            <w:r w:rsidRPr="00615D25">
              <w:t>$</w:t>
            </w:r>
            <w:r w:rsidR="00DF294A" w:rsidRPr="00DF294A">
              <w:rPr>
                <w:rFonts w:hint="eastAsia"/>
                <w:color w:val="000000"/>
                <w:w w:val="22"/>
                <w:shd w:val="solid" w:color="000000" w:fill="000000"/>
                <w:fitText w:val="100" w:id="-664010738"/>
                <w14:textFill>
                  <w14:solidFill>
                    <w14:srgbClr w14:val="000000">
                      <w14:alpha w14:val="100000"/>
                    </w14:srgbClr>
                  </w14:solidFill>
                </w14:textFill>
              </w:rPr>
              <w:t xml:space="preserve">　</w:t>
            </w:r>
            <w:r w:rsidR="00DF294A" w:rsidRPr="00DF294A">
              <w:rPr>
                <w:color w:val="000000"/>
                <w:w w:val="22"/>
                <w:shd w:val="solid" w:color="000000" w:fill="000000"/>
                <w:fitText w:val="100" w:id="-664010738"/>
                <w14:textFill>
                  <w14:solidFill>
                    <w14:srgbClr w14:val="000000">
                      <w14:alpha w14:val="100000"/>
                    </w14:srgbClr>
                  </w14:solidFill>
                </w14:textFill>
              </w:rPr>
              <w:t>|</w:t>
            </w:r>
            <w:r w:rsidR="00DF294A" w:rsidRPr="00DF294A">
              <w:rPr>
                <w:rFonts w:hint="eastAsia"/>
                <w:color w:val="000000"/>
                <w:spacing w:val="3"/>
                <w:w w:val="22"/>
                <w:shd w:val="solid" w:color="000000" w:fill="000000"/>
                <w:fitText w:val="100" w:id="-664010738"/>
                <w14:textFill>
                  <w14:solidFill>
                    <w14:srgbClr w14:val="000000">
                      <w14:alpha w14:val="100000"/>
                    </w14:srgbClr>
                  </w14:solidFill>
                </w14:textFill>
              </w:rPr>
              <w:t xml:space="preserve">　</w:t>
            </w:r>
            <w:r w:rsidR="00BB2BCA" w:rsidRPr="00792EB7">
              <w:rPr>
                <w:rFonts w:cstheme="minorHAnsi"/>
                <w:i/>
                <w:iCs/>
                <w:sz w:val="18"/>
                <w:szCs w:val="18"/>
                <w:vertAlign w:val="superscript"/>
              </w:rPr>
              <w:t>3</w:t>
            </w:r>
            <w:r w:rsidR="000D083B">
              <w:rPr>
                <w:rFonts w:cstheme="minorHAnsi"/>
                <w:i/>
                <w:iCs/>
                <w:sz w:val="18"/>
                <w:szCs w:val="18"/>
                <w:vertAlign w:val="superscript"/>
              </w:rPr>
              <w:t xml:space="preserve"> </w:t>
            </w:r>
          </w:p>
        </w:tc>
        <w:tc>
          <w:tcPr>
            <w:tcW w:w="611" w:type="pct"/>
            <w:shd w:val="clear" w:color="auto" w:fill="auto"/>
            <w:vAlign w:val="bottom"/>
          </w:tcPr>
          <w:p w14:paraId="4514B557" w14:textId="3645347D" w:rsidR="001E76A3" w:rsidRPr="00615D25" w:rsidRDefault="001E76A3">
            <w:pPr>
              <w:pStyle w:val="TableText0"/>
              <w:jc w:val="center"/>
            </w:pPr>
            <w:r w:rsidRPr="00615D25">
              <w:t>$</w:t>
            </w:r>
            <w:r w:rsidR="00DF294A" w:rsidRPr="00DF294A">
              <w:rPr>
                <w:rFonts w:hint="eastAsia"/>
                <w:color w:val="000000"/>
                <w:w w:val="22"/>
                <w:shd w:val="solid" w:color="000000" w:fill="000000"/>
                <w:fitText w:val="100" w:id="-664010737"/>
                <w14:textFill>
                  <w14:solidFill>
                    <w14:srgbClr w14:val="000000">
                      <w14:alpha w14:val="100000"/>
                    </w14:srgbClr>
                  </w14:solidFill>
                </w14:textFill>
              </w:rPr>
              <w:t xml:space="preserve">　</w:t>
            </w:r>
            <w:r w:rsidR="00DF294A" w:rsidRPr="00DF294A">
              <w:rPr>
                <w:color w:val="000000"/>
                <w:w w:val="22"/>
                <w:shd w:val="solid" w:color="000000" w:fill="000000"/>
                <w:fitText w:val="100" w:id="-664010737"/>
                <w14:textFill>
                  <w14:solidFill>
                    <w14:srgbClr w14:val="000000">
                      <w14:alpha w14:val="100000"/>
                    </w14:srgbClr>
                  </w14:solidFill>
                </w14:textFill>
              </w:rPr>
              <w:t>|</w:t>
            </w:r>
            <w:r w:rsidR="00DF294A" w:rsidRPr="00DF294A">
              <w:rPr>
                <w:rFonts w:hint="eastAsia"/>
                <w:color w:val="000000"/>
                <w:spacing w:val="3"/>
                <w:w w:val="22"/>
                <w:shd w:val="solid" w:color="000000" w:fill="000000"/>
                <w:fitText w:val="100" w:id="-664010737"/>
                <w14:textFill>
                  <w14:solidFill>
                    <w14:srgbClr w14:val="000000">
                      <w14:alpha w14:val="100000"/>
                    </w14:srgbClr>
                  </w14:solidFill>
                </w14:textFill>
              </w:rPr>
              <w:t xml:space="preserve">　</w:t>
            </w:r>
            <w:r w:rsidR="00BB2BCA" w:rsidRPr="00792EB7">
              <w:rPr>
                <w:rFonts w:cstheme="minorHAnsi"/>
                <w:i/>
                <w:iCs/>
                <w:sz w:val="18"/>
                <w:szCs w:val="18"/>
                <w:vertAlign w:val="superscript"/>
              </w:rPr>
              <w:t>3</w:t>
            </w:r>
            <w:r w:rsidR="000D083B">
              <w:rPr>
                <w:rFonts w:cstheme="minorHAnsi"/>
                <w:i/>
                <w:iCs/>
                <w:sz w:val="18"/>
                <w:szCs w:val="18"/>
                <w:vertAlign w:val="superscript"/>
              </w:rPr>
              <w:t xml:space="preserve"> </w:t>
            </w:r>
          </w:p>
        </w:tc>
        <w:tc>
          <w:tcPr>
            <w:tcW w:w="611" w:type="pct"/>
            <w:shd w:val="clear" w:color="auto" w:fill="auto"/>
            <w:vAlign w:val="bottom"/>
          </w:tcPr>
          <w:p w14:paraId="467D9FA6" w14:textId="489FBFD8" w:rsidR="001E76A3" w:rsidRPr="00615D25" w:rsidRDefault="001E76A3">
            <w:pPr>
              <w:pStyle w:val="TableText0"/>
              <w:jc w:val="center"/>
            </w:pPr>
            <w:r w:rsidRPr="00615D25">
              <w:t>$</w:t>
            </w:r>
            <w:r w:rsidR="00DF294A" w:rsidRPr="00DF294A">
              <w:rPr>
                <w:rFonts w:hint="eastAsia"/>
                <w:color w:val="000000"/>
                <w:w w:val="22"/>
                <w:shd w:val="solid" w:color="000000" w:fill="000000"/>
                <w:fitText w:val="100" w:id="-664010736"/>
                <w14:textFill>
                  <w14:solidFill>
                    <w14:srgbClr w14:val="000000">
                      <w14:alpha w14:val="100000"/>
                    </w14:srgbClr>
                  </w14:solidFill>
                </w14:textFill>
              </w:rPr>
              <w:t xml:space="preserve">　</w:t>
            </w:r>
            <w:r w:rsidR="00DF294A" w:rsidRPr="00DF294A">
              <w:rPr>
                <w:color w:val="000000"/>
                <w:w w:val="22"/>
                <w:shd w:val="solid" w:color="000000" w:fill="000000"/>
                <w:fitText w:val="100" w:id="-664010736"/>
                <w14:textFill>
                  <w14:solidFill>
                    <w14:srgbClr w14:val="000000">
                      <w14:alpha w14:val="100000"/>
                    </w14:srgbClr>
                  </w14:solidFill>
                </w14:textFill>
              </w:rPr>
              <w:t>|</w:t>
            </w:r>
            <w:r w:rsidR="00DF294A" w:rsidRPr="00DF294A">
              <w:rPr>
                <w:rFonts w:hint="eastAsia"/>
                <w:color w:val="000000"/>
                <w:spacing w:val="3"/>
                <w:w w:val="22"/>
                <w:shd w:val="solid" w:color="000000" w:fill="000000"/>
                <w:fitText w:val="100" w:id="-664010736"/>
                <w14:textFill>
                  <w14:solidFill>
                    <w14:srgbClr w14:val="000000">
                      <w14:alpha w14:val="100000"/>
                    </w14:srgbClr>
                  </w14:solidFill>
                </w14:textFill>
              </w:rPr>
              <w:t xml:space="preserve">　</w:t>
            </w:r>
            <w:r w:rsidR="00BB2BCA" w:rsidRPr="00792EB7">
              <w:rPr>
                <w:rFonts w:cstheme="minorHAnsi"/>
                <w:i/>
                <w:iCs/>
                <w:sz w:val="18"/>
                <w:szCs w:val="18"/>
                <w:vertAlign w:val="superscript"/>
              </w:rPr>
              <w:t>3</w:t>
            </w:r>
            <w:r w:rsidR="000D083B">
              <w:rPr>
                <w:rFonts w:cstheme="minorHAnsi"/>
                <w:i/>
                <w:iCs/>
                <w:sz w:val="18"/>
                <w:szCs w:val="18"/>
                <w:vertAlign w:val="superscript"/>
              </w:rPr>
              <w:t xml:space="preserve"> </w:t>
            </w:r>
          </w:p>
        </w:tc>
        <w:tc>
          <w:tcPr>
            <w:tcW w:w="611" w:type="pct"/>
            <w:shd w:val="clear" w:color="auto" w:fill="auto"/>
            <w:vAlign w:val="bottom"/>
          </w:tcPr>
          <w:p w14:paraId="5C62835D" w14:textId="57C709A7" w:rsidR="001E76A3" w:rsidRPr="00615D25" w:rsidRDefault="001E76A3">
            <w:pPr>
              <w:pStyle w:val="TableText0"/>
              <w:jc w:val="center"/>
            </w:pPr>
            <w:r w:rsidRPr="00615D25">
              <w:t>$</w:t>
            </w:r>
            <w:r w:rsidR="00DF294A" w:rsidRPr="00DF294A">
              <w:rPr>
                <w:rFonts w:hint="eastAsia"/>
                <w:color w:val="000000"/>
                <w:w w:val="22"/>
                <w:shd w:val="solid" w:color="000000" w:fill="000000"/>
                <w:fitText w:val="100" w:id="-664010752"/>
                <w14:textFill>
                  <w14:solidFill>
                    <w14:srgbClr w14:val="000000">
                      <w14:alpha w14:val="100000"/>
                    </w14:srgbClr>
                  </w14:solidFill>
                </w14:textFill>
              </w:rPr>
              <w:t xml:space="preserve">　</w:t>
            </w:r>
            <w:r w:rsidR="00DF294A" w:rsidRPr="00DF294A">
              <w:rPr>
                <w:color w:val="000000"/>
                <w:w w:val="22"/>
                <w:shd w:val="solid" w:color="000000" w:fill="000000"/>
                <w:fitText w:val="100" w:id="-664010752"/>
                <w14:textFill>
                  <w14:solidFill>
                    <w14:srgbClr w14:val="000000">
                      <w14:alpha w14:val="100000"/>
                    </w14:srgbClr>
                  </w14:solidFill>
                </w14:textFill>
              </w:rPr>
              <w:t>|</w:t>
            </w:r>
            <w:r w:rsidR="00DF294A" w:rsidRPr="00DF294A">
              <w:rPr>
                <w:rFonts w:hint="eastAsia"/>
                <w:color w:val="000000"/>
                <w:spacing w:val="3"/>
                <w:w w:val="22"/>
                <w:shd w:val="solid" w:color="000000" w:fill="000000"/>
                <w:fitText w:val="100" w:id="-664010752"/>
                <w14:textFill>
                  <w14:solidFill>
                    <w14:srgbClr w14:val="000000">
                      <w14:alpha w14:val="100000"/>
                    </w14:srgbClr>
                  </w14:solidFill>
                </w14:textFill>
              </w:rPr>
              <w:t xml:space="preserve">　</w:t>
            </w:r>
            <w:r w:rsidR="00BB2BCA" w:rsidRPr="00792EB7">
              <w:rPr>
                <w:rFonts w:cstheme="minorHAnsi"/>
                <w:i/>
                <w:iCs/>
                <w:sz w:val="18"/>
                <w:szCs w:val="18"/>
                <w:vertAlign w:val="superscript"/>
              </w:rPr>
              <w:t>3</w:t>
            </w:r>
            <w:r w:rsidR="000D083B">
              <w:rPr>
                <w:rFonts w:cstheme="minorHAnsi"/>
                <w:i/>
                <w:iCs/>
                <w:sz w:val="18"/>
                <w:szCs w:val="18"/>
                <w:vertAlign w:val="superscript"/>
              </w:rPr>
              <w:t xml:space="preserve"> </w:t>
            </w:r>
          </w:p>
        </w:tc>
        <w:tc>
          <w:tcPr>
            <w:tcW w:w="611" w:type="pct"/>
            <w:vAlign w:val="bottom"/>
          </w:tcPr>
          <w:p w14:paraId="4A565B61" w14:textId="353D818A" w:rsidR="001E76A3" w:rsidRPr="00615D25" w:rsidRDefault="001E76A3">
            <w:pPr>
              <w:pStyle w:val="TableText0"/>
              <w:jc w:val="center"/>
            </w:pPr>
            <w:r w:rsidRPr="00615D25">
              <w:t>$</w:t>
            </w:r>
            <w:r w:rsidR="00DF294A" w:rsidRPr="00DF294A">
              <w:rPr>
                <w:rFonts w:hint="eastAsia"/>
                <w:color w:val="000000"/>
                <w:w w:val="22"/>
                <w:shd w:val="solid" w:color="000000" w:fill="000000"/>
                <w:fitText w:val="100" w:id="-664010751"/>
                <w14:textFill>
                  <w14:solidFill>
                    <w14:srgbClr w14:val="000000">
                      <w14:alpha w14:val="100000"/>
                    </w14:srgbClr>
                  </w14:solidFill>
                </w14:textFill>
              </w:rPr>
              <w:t xml:space="preserve">　</w:t>
            </w:r>
            <w:r w:rsidR="00DF294A" w:rsidRPr="00DF294A">
              <w:rPr>
                <w:color w:val="000000"/>
                <w:w w:val="22"/>
                <w:shd w:val="solid" w:color="000000" w:fill="000000"/>
                <w:fitText w:val="100" w:id="-664010751"/>
                <w14:textFill>
                  <w14:solidFill>
                    <w14:srgbClr w14:val="000000">
                      <w14:alpha w14:val="100000"/>
                    </w14:srgbClr>
                  </w14:solidFill>
                </w14:textFill>
              </w:rPr>
              <w:t>|</w:t>
            </w:r>
            <w:r w:rsidR="00DF294A" w:rsidRPr="00DF294A">
              <w:rPr>
                <w:rFonts w:hint="eastAsia"/>
                <w:color w:val="000000"/>
                <w:spacing w:val="3"/>
                <w:w w:val="22"/>
                <w:shd w:val="solid" w:color="000000" w:fill="000000"/>
                <w:fitText w:val="100" w:id="-664010751"/>
                <w14:textFill>
                  <w14:solidFill>
                    <w14:srgbClr w14:val="000000">
                      <w14:alpha w14:val="100000"/>
                    </w14:srgbClr>
                  </w14:solidFill>
                </w14:textFill>
              </w:rPr>
              <w:t xml:space="preserve">　</w:t>
            </w:r>
            <w:r w:rsidR="00BB2BCA" w:rsidRPr="00792EB7">
              <w:rPr>
                <w:rFonts w:cstheme="minorHAnsi"/>
                <w:i/>
                <w:iCs/>
                <w:sz w:val="18"/>
                <w:szCs w:val="18"/>
                <w:vertAlign w:val="superscript"/>
              </w:rPr>
              <w:t>3</w:t>
            </w:r>
            <w:r w:rsidR="000D083B">
              <w:rPr>
                <w:rFonts w:cstheme="minorHAnsi"/>
                <w:i/>
                <w:iCs/>
                <w:sz w:val="18"/>
                <w:szCs w:val="18"/>
                <w:vertAlign w:val="superscript"/>
              </w:rPr>
              <w:t xml:space="preserve"> </w:t>
            </w:r>
          </w:p>
        </w:tc>
      </w:tr>
      <w:tr w:rsidR="001E76A3" w:rsidRPr="00615D25" w14:paraId="025C309C" w14:textId="77777777">
        <w:tc>
          <w:tcPr>
            <w:tcW w:w="5000" w:type="pct"/>
            <w:gridSpan w:val="7"/>
            <w:shd w:val="clear" w:color="auto" w:fill="auto"/>
            <w:vAlign w:val="center"/>
          </w:tcPr>
          <w:p w14:paraId="091B9628" w14:textId="77777777" w:rsidR="001E76A3" w:rsidRPr="00615D25" w:rsidRDefault="001E76A3">
            <w:pPr>
              <w:pStyle w:val="TableText0"/>
            </w:pPr>
            <w:r w:rsidRPr="00615D25">
              <w:t xml:space="preserve">Estimated financial implications for </w:t>
            </w:r>
            <w:proofErr w:type="spellStart"/>
            <w:r w:rsidRPr="00615D25">
              <w:t>atezo</w:t>
            </w:r>
            <w:proofErr w:type="spellEnd"/>
            <w:r>
              <w:t xml:space="preserve"> </w:t>
            </w:r>
            <w:r w:rsidRPr="00615D25">
              <w:t>+</w:t>
            </w:r>
            <w:r>
              <w:t xml:space="preserve"> </w:t>
            </w:r>
            <w:r w:rsidRPr="00615D25">
              <w:t>b</w:t>
            </w:r>
          </w:p>
        </w:tc>
      </w:tr>
      <w:tr w:rsidR="001E76A3" w:rsidRPr="00615D25" w14:paraId="36C21058" w14:textId="77777777">
        <w:tc>
          <w:tcPr>
            <w:tcW w:w="1334" w:type="pct"/>
            <w:shd w:val="clear" w:color="auto" w:fill="auto"/>
            <w:vAlign w:val="center"/>
          </w:tcPr>
          <w:p w14:paraId="25C18D5E" w14:textId="77777777" w:rsidR="001E76A3" w:rsidRPr="00615D25" w:rsidRDefault="001E76A3">
            <w:pPr>
              <w:pStyle w:val="TableText0"/>
            </w:pPr>
            <w:r w:rsidRPr="00615D25">
              <w:t>Cost to PBS/RPBS less copayments</w:t>
            </w:r>
          </w:p>
        </w:tc>
        <w:tc>
          <w:tcPr>
            <w:tcW w:w="611" w:type="pct"/>
            <w:shd w:val="clear" w:color="auto" w:fill="auto"/>
            <w:vAlign w:val="bottom"/>
          </w:tcPr>
          <w:p w14:paraId="0D590793" w14:textId="21B6AF4B"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50"/>
                <w14:textFill>
                  <w14:solidFill>
                    <w14:srgbClr w14:val="000000">
                      <w14:alpha w14:val="100000"/>
                    </w14:srgbClr>
                  </w14:solidFill>
                </w14:textFill>
              </w:rPr>
              <w:t xml:space="preserve">　</w:t>
            </w:r>
            <w:r w:rsidR="00DF294A" w:rsidRPr="00DF294A">
              <w:rPr>
                <w:color w:val="000000"/>
                <w:w w:val="29"/>
                <w:shd w:val="solid" w:color="000000" w:fill="000000"/>
                <w:fitText w:val="130" w:id="-664010750"/>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50"/>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vAlign w:val="bottom"/>
          </w:tcPr>
          <w:p w14:paraId="2B845444" w14:textId="0F124F76"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9"/>
                <w14:textFill>
                  <w14:solidFill>
                    <w14:srgbClr w14:val="000000">
                      <w14:alpha w14:val="100000"/>
                    </w14:srgbClr>
                  </w14:solidFill>
                </w14:textFill>
              </w:rPr>
              <w:t xml:space="preserve">　</w:t>
            </w:r>
            <w:r w:rsidR="00DF294A" w:rsidRPr="00DF294A">
              <w:rPr>
                <w:color w:val="000000"/>
                <w:w w:val="29"/>
                <w:shd w:val="solid" w:color="000000" w:fill="000000"/>
                <w:fitText w:val="130" w:id="-664010749"/>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9"/>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vAlign w:val="bottom"/>
          </w:tcPr>
          <w:p w14:paraId="0EA18195" w14:textId="3A4CCFE0"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8"/>
                <w14:textFill>
                  <w14:solidFill>
                    <w14:srgbClr w14:val="000000">
                      <w14:alpha w14:val="100000"/>
                    </w14:srgbClr>
                  </w14:solidFill>
                </w14:textFill>
              </w:rPr>
              <w:t xml:space="preserve">　</w:t>
            </w:r>
            <w:r w:rsidR="00DF294A" w:rsidRPr="00DF294A">
              <w:rPr>
                <w:color w:val="000000"/>
                <w:w w:val="29"/>
                <w:shd w:val="solid" w:color="000000" w:fill="000000"/>
                <w:fitText w:val="130" w:id="-664010748"/>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8"/>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vAlign w:val="bottom"/>
          </w:tcPr>
          <w:p w14:paraId="64F4F28A" w14:textId="22C82373"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7"/>
                <w14:textFill>
                  <w14:solidFill>
                    <w14:srgbClr w14:val="000000">
                      <w14:alpha w14:val="100000"/>
                    </w14:srgbClr>
                  </w14:solidFill>
                </w14:textFill>
              </w:rPr>
              <w:t xml:space="preserve">　</w:t>
            </w:r>
            <w:r w:rsidR="00DF294A" w:rsidRPr="00DF294A">
              <w:rPr>
                <w:color w:val="000000"/>
                <w:w w:val="29"/>
                <w:shd w:val="solid" w:color="000000" w:fill="000000"/>
                <w:fitText w:val="130" w:id="-664010747"/>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7"/>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vAlign w:val="bottom"/>
          </w:tcPr>
          <w:p w14:paraId="240987EE" w14:textId="6B77720A"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6"/>
                <w14:textFill>
                  <w14:solidFill>
                    <w14:srgbClr w14:val="000000">
                      <w14:alpha w14:val="100000"/>
                    </w14:srgbClr>
                  </w14:solidFill>
                </w14:textFill>
              </w:rPr>
              <w:t xml:space="preserve">　</w:t>
            </w:r>
            <w:r w:rsidR="00DF294A" w:rsidRPr="00DF294A">
              <w:rPr>
                <w:color w:val="000000"/>
                <w:w w:val="29"/>
                <w:shd w:val="solid" w:color="000000" w:fill="000000"/>
                <w:fitText w:val="130" w:id="-664010746"/>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6"/>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vAlign w:val="bottom"/>
          </w:tcPr>
          <w:p w14:paraId="1CB0693D" w14:textId="56337DB3"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5"/>
                <w14:textFill>
                  <w14:solidFill>
                    <w14:srgbClr w14:val="000000">
                      <w14:alpha w14:val="100000"/>
                    </w14:srgbClr>
                  </w14:solidFill>
                </w14:textFill>
              </w:rPr>
              <w:t xml:space="preserve">　</w:t>
            </w:r>
            <w:r w:rsidR="00DF294A" w:rsidRPr="00DF294A">
              <w:rPr>
                <w:color w:val="000000"/>
                <w:w w:val="29"/>
                <w:shd w:val="solid" w:color="000000" w:fill="000000"/>
                <w:fitText w:val="130" w:id="-664010745"/>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5"/>
                <w14:textFill>
                  <w14:solidFill>
                    <w14:srgbClr w14:val="000000">
                      <w14:alpha w14:val="100000"/>
                    </w14:srgbClr>
                  </w14:solidFill>
                </w14:textFill>
              </w:rPr>
              <w:t xml:space="preserve">　</w:t>
            </w:r>
            <w:r w:rsidR="00A9654F">
              <w:rPr>
                <w:rFonts w:cstheme="minorHAnsi"/>
                <w:i/>
                <w:iCs/>
                <w:sz w:val="18"/>
                <w:szCs w:val="18"/>
                <w:vertAlign w:val="superscript"/>
              </w:rPr>
              <w:t>4</w:t>
            </w:r>
          </w:p>
        </w:tc>
      </w:tr>
      <w:tr w:rsidR="001E76A3" w:rsidRPr="00615D25" w14:paraId="029C091A" w14:textId="77777777">
        <w:tc>
          <w:tcPr>
            <w:tcW w:w="5000" w:type="pct"/>
            <w:gridSpan w:val="7"/>
            <w:shd w:val="clear" w:color="auto" w:fill="auto"/>
            <w:vAlign w:val="center"/>
          </w:tcPr>
          <w:p w14:paraId="4DF9C8E0" w14:textId="77777777" w:rsidR="001E76A3" w:rsidRPr="00615D25" w:rsidRDefault="001E76A3">
            <w:pPr>
              <w:pStyle w:val="In-tableHeading"/>
            </w:pPr>
            <w:r w:rsidRPr="00615D25">
              <w:t>Net financial implications</w:t>
            </w:r>
          </w:p>
        </w:tc>
      </w:tr>
      <w:tr w:rsidR="001E76A3" w:rsidRPr="00615D25" w14:paraId="16799FCA" w14:textId="77777777">
        <w:tc>
          <w:tcPr>
            <w:tcW w:w="1334" w:type="pct"/>
            <w:shd w:val="clear" w:color="auto" w:fill="auto"/>
            <w:vAlign w:val="center"/>
          </w:tcPr>
          <w:p w14:paraId="3715E81D" w14:textId="77777777" w:rsidR="001E76A3" w:rsidRPr="00615D25" w:rsidRDefault="001E76A3">
            <w:pPr>
              <w:pStyle w:val="TableText0"/>
            </w:pPr>
            <w:r w:rsidRPr="00615D25">
              <w:t>Net cost to PBS/RPBS</w:t>
            </w:r>
          </w:p>
        </w:tc>
        <w:tc>
          <w:tcPr>
            <w:tcW w:w="611" w:type="pct"/>
            <w:shd w:val="clear" w:color="auto" w:fill="auto"/>
          </w:tcPr>
          <w:p w14:paraId="5E7666D2" w14:textId="04249477"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4"/>
                <w14:textFill>
                  <w14:solidFill>
                    <w14:srgbClr w14:val="000000">
                      <w14:alpha w14:val="100000"/>
                    </w14:srgbClr>
                  </w14:solidFill>
                </w14:textFill>
              </w:rPr>
              <w:t xml:space="preserve">　</w:t>
            </w:r>
            <w:r w:rsidR="00DF294A" w:rsidRPr="00DF294A">
              <w:rPr>
                <w:color w:val="000000"/>
                <w:w w:val="29"/>
                <w:shd w:val="solid" w:color="000000" w:fill="000000"/>
                <w:fitText w:val="130" w:id="-664010744"/>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4"/>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7F535F4D" w14:textId="3340D47C"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3"/>
                <w14:textFill>
                  <w14:solidFill>
                    <w14:srgbClr w14:val="000000">
                      <w14:alpha w14:val="100000"/>
                    </w14:srgbClr>
                  </w14:solidFill>
                </w14:textFill>
              </w:rPr>
              <w:t xml:space="preserve">　</w:t>
            </w:r>
            <w:r w:rsidR="00DF294A" w:rsidRPr="00DF294A">
              <w:rPr>
                <w:color w:val="000000"/>
                <w:w w:val="29"/>
                <w:shd w:val="solid" w:color="000000" w:fill="000000"/>
                <w:fitText w:val="130" w:id="-664010743"/>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3"/>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3C7C0515" w14:textId="5D370D37"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2"/>
                <w14:textFill>
                  <w14:solidFill>
                    <w14:srgbClr w14:val="000000">
                      <w14:alpha w14:val="100000"/>
                    </w14:srgbClr>
                  </w14:solidFill>
                </w14:textFill>
              </w:rPr>
              <w:t xml:space="preserve">　</w:t>
            </w:r>
            <w:r w:rsidR="00DF294A" w:rsidRPr="00DF294A">
              <w:rPr>
                <w:color w:val="000000"/>
                <w:w w:val="29"/>
                <w:shd w:val="solid" w:color="000000" w:fill="000000"/>
                <w:fitText w:val="130" w:id="-664010742"/>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2"/>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7CDBD70F" w14:textId="631D09C3"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1"/>
                <w14:textFill>
                  <w14:solidFill>
                    <w14:srgbClr w14:val="000000">
                      <w14:alpha w14:val="100000"/>
                    </w14:srgbClr>
                  </w14:solidFill>
                </w14:textFill>
              </w:rPr>
              <w:t xml:space="preserve">　</w:t>
            </w:r>
            <w:r w:rsidR="00DF294A" w:rsidRPr="00DF294A">
              <w:rPr>
                <w:color w:val="000000"/>
                <w:w w:val="29"/>
                <w:shd w:val="solid" w:color="000000" w:fill="000000"/>
                <w:fitText w:val="130" w:id="-664010741"/>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1"/>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18D651E3" w14:textId="669578F5"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0"/>
                <w14:textFill>
                  <w14:solidFill>
                    <w14:srgbClr w14:val="000000">
                      <w14:alpha w14:val="100000"/>
                    </w14:srgbClr>
                  </w14:solidFill>
                </w14:textFill>
              </w:rPr>
              <w:t xml:space="preserve">　</w:t>
            </w:r>
            <w:r w:rsidR="00DF294A" w:rsidRPr="00DF294A">
              <w:rPr>
                <w:color w:val="000000"/>
                <w:w w:val="29"/>
                <w:shd w:val="solid" w:color="000000" w:fill="000000"/>
                <w:fitText w:val="130" w:id="-664010740"/>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0"/>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tcPr>
          <w:p w14:paraId="71103978" w14:textId="1CF5A476"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39"/>
                <w14:textFill>
                  <w14:solidFill>
                    <w14:srgbClr w14:val="000000">
                      <w14:alpha w14:val="100000"/>
                    </w14:srgbClr>
                  </w14:solidFill>
                </w14:textFill>
              </w:rPr>
              <w:t xml:space="preserve">　</w:t>
            </w:r>
            <w:r w:rsidR="00DF294A" w:rsidRPr="00DF294A">
              <w:rPr>
                <w:color w:val="000000"/>
                <w:w w:val="29"/>
                <w:shd w:val="solid" w:color="000000" w:fill="000000"/>
                <w:fitText w:val="130" w:id="-664010739"/>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39"/>
                <w14:textFill>
                  <w14:solidFill>
                    <w14:srgbClr w14:val="000000">
                      <w14:alpha w14:val="100000"/>
                    </w14:srgbClr>
                  </w14:solidFill>
                </w14:textFill>
              </w:rPr>
              <w:t xml:space="preserve">　</w:t>
            </w:r>
            <w:r w:rsidR="00A9654F">
              <w:rPr>
                <w:rFonts w:cstheme="minorHAnsi"/>
                <w:i/>
                <w:iCs/>
                <w:sz w:val="18"/>
                <w:szCs w:val="18"/>
                <w:vertAlign w:val="superscript"/>
              </w:rPr>
              <w:t>4</w:t>
            </w:r>
          </w:p>
        </w:tc>
      </w:tr>
      <w:tr w:rsidR="001E76A3" w:rsidRPr="00615D25" w14:paraId="54EC27FB" w14:textId="77777777">
        <w:tc>
          <w:tcPr>
            <w:tcW w:w="1334" w:type="pct"/>
            <w:shd w:val="clear" w:color="auto" w:fill="auto"/>
            <w:vAlign w:val="center"/>
          </w:tcPr>
          <w:p w14:paraId="52F3D123" w14:textId="77777777" w:rsidR="001E76A3" w:rsidRPr="00615D25" w:rsidRDefault="001E76A3">
            <w:pPr>
              <w:pStyle w:val="TableText0"/>
              <w:rPr>
                <w:rFonts w:ascii="Times" w:hAnsi="Times"/>
              </w:rPr>
            </w:pPr>
            <w:r w:rsidRPr="00615D25">
              <w:t>Net cost to MBS</w:t>
            </w:r>
          </w:p>
        </w:tc>
        <w:tc>
          <w:tcPr>
            <w:tcW w:w="611" w:type="pct"/>
            <w:shd w:val="clear" w:color="auto" w:fill="auto"/>
          </w:tcPr>
          <w:p w14:paraId="6EAB13DD" w14:textId="5FB56FBC"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38"/>
                <w14:textFill>
                  <w14:solidFill>
                    <w14:srgbClr w14:val="000000">
                      <w14:alpha w14:val="100000"/>
                    </w14:srgbClr>
                  </w14:solidFill>
                </w14:textFill>
              </w:rPr>
              <w:t xml:space="preserve">　</w:t>
            </w:r>
            <w:r w:rsidR="00DF294A" w:rsidRPr="00DF294A">
              <w:rPr>
                <w:color w:val="000000"/>
                <w:w w:val="29"/>
                <w:shd w:val="solid" w:color="000000" w:fill="000000"/>
                <w:fitText w:val="130" w:id="-664010738"/>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38"/>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3425F18F" w14:textId="4145D90A"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37"/>
                <w14:textFill>
                  <w14:solidFill>
                    <w14:srgbClr w14:val="000000">
                      <w14:alpha w14:val="100000"/>
                    </w14:srgbClr>
                  </w14:solidFill>
                </w14:textFill>
              </w:rPr>
              <w:t xml:space="preserve">　</w:t>
            </w:r>
            <w:r w:rsidR="00DF294A" w:rsidRPr="00DF294A">
              <w:rPr>
                <w:color w:val="000000"/>
                <w:w w:val="29"/>
                <w:shd w:val="solid" w:color="000000" w:fill="000000"/>
                <w:fitText w:val="130" w:id="-664010737"/>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37"/>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2EB0C08F" w14:textId="7F255E40"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36"/>
                <w14:textFill>
                  <w14:solidFill>
                    <w14:srgbClr w14:val="000000">
                      <w14:alpha w14:val="100000"/>
                    </w14:srgbClr>
                  </w14:solidFill>
                </w14:textFill>
              </w:rPr>
              <w:t xml:space="preserve">　</w:t>
            </w:r>
            <w:r w:rsidR="00DF294A" w:rsidRPr="00DF294A">
              <w:rPr>
                <w:color w:val="000000"/>
                <w:w w:val="29"/>
                <w:shd w:val="solid" w:color="000000" w:fill="000000"/>
                <w:fitText w:val="130" w:id="-664010736"/>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36"/>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4DD7FDF9" w14:textId="53846BCB"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52"/>
                <w14:textFill>
                  <w14:solidFill>
                    <w14:srgbClr w14:val="000000">
                      <w14:alpha w14:val="100000"/>
                    </w14:srgbClr>
                  </w14:solidFill>
                </w14:textFill>
              </w:rPr>
              <w:t xml:space="preserve">　</w:t>
            </w:r>
            <w:r w:rsidR="00DF294A" w:rsidRPr="00DF294A">
              <w:rPr>
                <w:color w:val="000000"/>
                <w:w w:val="29"/>
                <w:shd w:val="solid" w:color="000000" w:fill="000000"/>
                <w:fitText w:val="130" w:id="-664010752"/>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52"/>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723712FE" w14:textId="01687E86"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51"/>
                <w14:textFill>
                  <w14:solidFill>
                    <w14:srgbClr w14:val="000000">
                      <w14:alpha w14:val="100000"/>
                    </w14:srgbClr>
                  </w14:solidFill>
                </w14:textFill>
              </w:rPr>
              <w:t xml:space="preserve">　</w:t>
            </w:r>
            <w:r w:rsidR="00DF294A" w:rsidRPr="00DF294A">
              <w:rPr>
                <w:color w:val="000000"/>
                <w:w w:val="29"/>
                <w:shd w:val="solid" w:color="000000" w:fill="000000"/>
                <w:fitText w:val="130" w:id="-664010751"/>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51"/>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tcPr>
          <w:p w14:paraId="45E09CCC" w14:textId="3E4704C4"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50"/>
                <w14:textFill>
                  <w14:solidFill>
                    <w14:srgbClr w14:val="000000">
                      <w14:alpha w14:val="100000"/>
                    </w14:srgbClr>
                  </w14:solidFill>
                </w14:textFill>
              </w:rPr>
              <w:t xml:space="preserve">　</w:t>
            </w:r>
            <w:r w:rsidR="00DF294A" w:rsidRPr="00DF294A">
              <w:rPr>
                <w:color w:val="000000"/>
                <w:w w:val="29"/>
                <w:shd w:val="solid" w:color="000000" w:fill="000000"/>
                <w:fitText w:val="130" w:id="-664010750"/>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50"/>
                <w14:textFill>
                  <w14:solidFill>
                    <w14:srgbClr w14:val="000000">
                      <w14:alpha w14:val="100000"/>
                    </w14:srgbClr>
                  </w14:solidFill>
                </w14:textFill>
              </w:rPr>
              <w:t xml:space="preserve">　</w:t>
            </w:r>
            <w:r w:rsidR="00A9654F">
              <w:rPr>
                <w:rFonts w:cstheme="minorHAnsi"/>
                <w:i/>
                <w:iCs/>
                <w:sz w:val="18"/>
                <w:szCs w:val="18"/>
                <w:vertAlign w:val="superscript"/>
              </w:rPr>
              <w:t>4</w:t>
            </w:r>
          </w:p>
        </w:tc>
      </w:tr>
      <w:tr w:rsidR="001E76A3" w:rsidRPr="00615D25" w14:paraId="1BC03B45" w14:textId="77777777">
        <w:tc>
          <w:tcPr>
            <w:tcW w:w="1334" w:type="pct"/>
            <w:shd w:val="clear" w:color="auto" w:fill="auto"/>
            <w:vAlign w:val="center"/>
          </w:tcPr>
          <w:p w14:paraId="02C6BB47" w14:textId="77777777" w:rsidR="001E76A3" w:rsidRPr="00814CCD" w:rsidRDefault="001E76A3">
            <w:pPr>
              <w:pStyle w:val="TableText0"/>
            </w:pPr>
            <w:r w:rsidRPr="00814CCD">
              <w:t xml:space="preserve">Net cost to Government </w:t>
            </w:r>
          </w:p>
        </w:tc>
        <w:tc>
          <w:tcPr>
            <w:tcW w:w="611" w:type="pct"/>
            <w:shd w:val="clear" w:color="auto" w:fill="auto"/>
          </w:tcPr>
          <w:p w14:paraId="1D0B4645" w14:textId="32516640"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9"/>
                <w14:textFill>
                  <w14:solidFill>
                    <w14:srgbClr w14:val="000000">
                      <w14:alpha w14:val="100000"/>
                    </w14:srgbClr>
                  </w14:solidFill>
                </w14:textFill>
              </w:rPr>
              <w:t xml:space="preserve">　</w:t>
            </w:r>
            <w:r w:rsidR="00DF294A" w:rsidRPr="00DF294A">
              <w:rPr>
                <w:color w:val="000000"/>
                <w:w w:val="29"/>
                <w:shd w:val="solid" w:color="000000" w:fill="000000"/>
                <w:fitText w:val="130" w:id="-664010749"/>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9"/>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549396BD" w14:textId="2FF25D09"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8"/>
                <w14:textFill>
                  <w14:solidFill>
                    <w14:srgbClr w14:val="000000">
                      <w14:alpha w14:val="100000"/>
                    </w14:srgbClr>
                  </w14:solidFill>
                </w14:textFill>
              </w:rPr>
              <w:t xml:space="preserve">　</w:t>
            </w:r>
            <w:r w:rsidR="00DF294A" w:rsidRPr="00DF294A">
              <w:rPr>
                <w:color w:val="000000"/>
                <w:w w:val="29"/>
                <w:shd w:val="solid" w:color="000000" w:fill="000000"/>
                <w:fitText w:val="130" w:id="-664010748"/>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8"/>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3D0AC10E" w14:textId="54A41816"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7"/>
                <w14:textFill>
                  <w14:solidFill>
                    <w14:srgbClr w14:val="000000">
                      <w14:alpha w14:val="100000"/>
                    </w14:srgbClr>
                  </w14:solidFill>
                </w14:textFill>
              </w:rPr>
              <w:t xml:space="preserve">　</w:t>
            </w:r>
            <w:r w:rsidR="00DF294A" w:rsidRPr="00DF294A">
              <w:rPr>
                <w:color w:val="000000"/>
                <w:w w:val="29"/>
                <w:shd w:val="solid" w:color="000000" w:fill="000000"/>
                <w:fitText w:val="130" w:id="-664010747"/>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7"/>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609CFB3E" w14:textId="6BD3B9B9"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6"/>
                <w14:textFill>
                  <w14:solidFill>
                    <w14:srgbClr w14:val="000000">
                      <w14:alpha w14:val="100000"/>
                    </w14:srgbClr>
                  </w14:solidFill>
                </w14:textFill>
              </w:rPr>
              <w:t xml:space="preserve">　</w:t>
            </w:r>
            <w:r w:rsidR="00DF294A" w:rsidRPr="00DF294A">
              <w:rPr>
                <w:color w:val="000000"/>
                <w:w w:val="29"/>
                <w:shd w:val="solid" w:color="000000" w:fill="000000"/>
                <w:fitText w:val="130" w:id="-664010746"/>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6"/>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shd w:val="clear" w:color="auto" w:fill="auto"/>
          </w:tcPr>
          <w:p w14:paraId="015F6C78" w14:textId="464D0751" w:rsidR="001E76A3" w:rsidRPr="00615D25" w:rsidRDefault="001E76A3">
            <w:pPr>
              <w:pStyle w:val="TableText0"/>
              <w:jc w:val="center"/>
            </w:pPr>
            <w:r w:rsidRPr="00615D25">
              <w:t>-$</w:t>
            </w:r>
            <w:r w:rsidR="00DF294A" w:rsidRPr="00DF294A">
              <w:rPr>
                <w:rFonts w:hint="eastAsia"/>
                <w:color w:val="000000"/>
                <w:w w:val="29"/>
                <w:shd w:val="solid" w:color="000000" w:fill="000000"/>
                <w:fitText w:val="130" w:id="-664010745"/>
                <w14:textFill>
                  <w14:solidFill>
                    <w14:srgbClr w14:val="000000">
                      <w14:alpha w14:val="100000"/>
                    </w14:srgbClr>
                  </w14:solidFill>
                </w14:textFill>
              </w:rPr>
              <w:t xml:space="preserve">　</w:t>
            </w:r>
            <w:r w:rsidR="00DF294A" w:rsidRPr="00DF294A">
              <w:rPr>
                <w:color w:val="000000"/>
                <w:w w:val="29"/>
                <w:shd w:val="solid" w:color="000000" w:fill="000000"/>
                <w:fitText w:val="130" w:id="-664010745"/>
                <w14:textFill>
                  <w14:solidFill>
                    <w14:srgbClr w14:val="000000">
                      <w14:alpha w14:val="100000"/>
                    </w14:srgbClr>
                  </w14:solidFill>
                </w14:textFill>
              </w:rPr>
              <w:t>|</w:t>
            </w:r>
            <w:r w:rsidR="00DF294A" w:rsidRPr="00DF294A">
              <w:rPr>
                <w:rFonts w:hint="eastAsia"/>
                <w:color w:val="000000"/>
                <w:spacing w:val="2"/>
                <w:w w:val="29"/>
                <w:shd w:val="solid" w:color="000000" w:fill="000000"/>
                <w:fitText w:val="130" w:id="-664010745"/>
                <w14:textFill>
                  <w14:solidFill>
                    <w14:srgbClr w14:val="000000">
                      <w14:alpha w14:val="100000"/>
                    </w14:srgbClr>
                  </w14:solidFill>
                </w14:textFill>
              </w:rPr>
              <w:t xml:space="preserve">　</w:t>
            </w:r>
            <w:r w:rsidR="00A9654F">
              <w:rPr>
                <w:rFonts w:cstheme="minorHAnsi"/>
                <w:i/>
                <w:iCs/>
                <w:sz w:val="18"/>
                <w:szCs w:val="18"/>
                <w:vertAlign w:val="superscript"/>
              </w:rPr>
              <w:t>4</w:t>
            </w:r>
          </w:p>
        </w:tc>
        <w:tc>
          <w:tcPr>
            <w:tcW w:w="611" w:type="pct"/>
          </w:tcPr>
          <w:p w14:paraId="44D0DD22" w14:textId="1A43EC0C" w:rsidR="001E76A3" w:rsidRPr="00615D25" w:rsidRDefault="001E76A3">
            <w:pPr>
              <w:pStyle w:val="TableText0"/>
              <w:jc w:val="center"/>
            </w:pPr>
            <w:r w:rsidRPr="00615D25">
              <w:t>-$</w:t>
            </w:r>
            <w:r w:rsidR="00DF294A" w:rsidRPr="00DC656D">
              <w:rPr>
                <w:rFonts w:hint="eastAsia"/>
                <w:color w:val="000000"/>
                <w:w w:val="29"/>
                <w:shd w:val="solid" w:color="000000" w:fill="000000"/>
                <w:fitText w:val="130" w:id="-664010744"/>
                <w14:textFill>
                  <w14:solidFill>
                    <w14:srgbClr w14:val="000000">
                      <w14:alpha w14:val="100000"/>
                    </w14:srgbClr>
                  </w14:solidFill>
                </w14:textFill>
              </w:rPr>
              <w:t xml:space="preserve">　</w:t>
            </w:r>
            <w:r w:rsidR="00DF294A" w:rsidRPr="00DC656D">
              <w:rPr>
                <w:color w:val="000000"/>
                <w:w w:val="29"/>
                <w:shd w:val="solid" w:color="000000" w:fill="000000"/>
                <w:fitText w:val="130" w:id="-664010744"/>
                <w14:textFill>
                  <w14:solidFill>
                    <w14:srgbClr w14:val="000000">
                      <w14:alpha w14:val="100000"/>
                    </w14:srgbClr>
                  </w14:solidFill>
                </w14:textFill>
              </w:rPr>
              <w:t>|</w:t>
            </w:r>
            <w:r w:rsidR="00DF294A" w:rsidRPr="00DC656D">
              <w:rPr>
                <w:rFonts w:hint="eastAsia"/>
                <w:color w:val="000000"/>
                <w:spacing w:val="2"/>
                <w:w w:val="29"/>
                <w:shd w:val="solid" w:color="000000" w:fill="000000"/>
                <w:fitText w:val="130" w:id="-664010744"/>
                <w14:textFill>
                  <w14:solidFill>
                    <w14:srgbClr w14:val="000000">
                      <w14:alpha w14:val="100000"/>
                    </w14:srgbClr>
                  </w14:solidFill>
                </w14:textFill>
              </w:rPr>
              <w:t xml:space="preserve">　</w:t>
            </w:r>
            <w:r w:rsidR="00A9654F">
              <w:rPr>
                <w:rFonts w:cstheme="minorHAnsi"/>
                <w:i/>
                <w:iCs/>
                <w:sz w:val="18"/>
                <w:szCs w:val="18"/>
                <w:vertAlign w:val="superscript"/>
              </w:rPr>
              <w:t>4</w:t>
            </w:r>
          </w:p>
        </w:tc>
      </w:tr>
    </w:tbl>
    <w:p w14:paraId="1A85C395" w14:textId="77777777" w:rsidR="000D083B" w:rsidRDefault="001E76A3" w:rsidP="001E76A3">
      <w:pPr>
        <w:pStyle w:val="FooterTableFigure"/>
      </w:pPr>
      <w:r w:rsidRPr="00615D25">
        <w:t xml:space="preserve">Source: </w:t>
      </w:r>
      <w:r w:rsidRPr="00615D25">
        <w:rPr>
          <w:bCs/>
        </w:rPr>
        <w:t>Table 4-10 p166</w:t>
      </w:r>
      <w:r>
        <w:rPr>
          <w:bCs/>
        </w:rPr>
        <w:t xml:space="preserve">, </w:t>
      </w:r>
      <w:r w:rsidRPr="00615D25">
        <w:t>Table 4-18 p172</w:t>
      </w:r>
      <w:r>
        <w:t xml:space="preserve">, </w:t>
      </w:r>
      <w:r w:rsidRPr="00615D25">
        <w:t xml:space="preserve">Table 4-22 p175 </w:t>
      </w:r>
      <w:r>
        <w:t>of the submission.</w:t>
      </w:r>
    </w:p>
    <w:p w14:paraId="1A036974" w14:textId="218C32CE" w:rsidR="001E76A3" w:rsidRDefault="001E76A3" w:rsidP="00A40BA2">
      <w:pPr>
        <w:pStyle w:val="FooterTableFigure"/>
        <w:spacing w:after="0"/>
        <w:rPr>
          <w:szCs w:val="18"/>
        </w:rPr>
      </w:pPr>
      <w:proofErr w:type="spellStart"/>
      <w:r>
        <w:t>atezo</w:t>
      </w:r>
      <w:proofErr w:type="spellEnd"/>
      <w:r>
        <w:t xml:space="preserve"> + b = atezolizumab + bevacizumab; </w:t>
      </w:r>
      <w:r w:rsidRPr="00615D25">
        <w:t>MBS = Medicare Benefits Schedule; PBS = Pharmaceutical Benefit</w:t>
      </w:r>
      <w:r>
        <w:t>s</w:t>
      </w:r>
      <w:r w:rsidRPr="00615D25">
        <w:t xml:space="preserve"> Scheme; RPBS = Repatriation Pharmaceutical Benefit</w:t>
      </w:r>
      <w:r>
        <w:t>s</w:t>
      </w:r>
      <w:r w:rsidRPr="00615D25">
        <w:t xml:space="preserve"> Scheme</w:t>
      </w:r>
      <w:r>
        <w:t xml:space="preserve">; STRIDE = </w:t>
      </w:r>
      <w:r>
        <w:rPr>
          <w:szCs w:val="18"/>
        </w:rPr>
        <w:t>S</w:t>
      </w:r>
      <w:r w:rsidRPr="00615D25">
        <w:rPr>
          <w:szCs w:val="18"/>
        </w:rPr>
        <w:t xml:space="preserve">ingle </w:t>
      </w:r>
      <w:r>
        <w:rPr>
          <w:szCs w:val="18"/>
        </w:rPr>
        <w:t>T</w:t>
      </w:r>
      <w:r w:rsidRPr="00615D25">
        <w:rPr>
          <w:szCs w:val="18"/>
        </w:rPr>
        <w:t xml:space="preserve">remelimumab </w:t>
      </w:r>
      <w:r>
        <w:rPr>
          <w:szCs w:val="18"/>
        </w:rPr>
        <w:t>R</w:t>
      </w:r>
      <w:r w:rsidRPr="00615D25">
        <w:rPr>
          <w:szCs w:val="18"/>
        </w:rPr>
        <w:t xml:space="preserve">egular </w:t>
      </w:r>
      <w:r>
        <w:rPr>
          <w:szCs w:val="18"/>
        </w:rPr>
        <w:t>I</w:t>
      </w:r>
      <w:r w:rsidRPr="00615D25">
        <w:rPr>
          <w:szCs w:val="18"/>
        </w:rPr>
        <w:t xml:space="preserve">nterval </w:t>
      </w:r>
      <w:r>
        <w:rPr>
          <w:szCs w:val="18"/>
        </w:rPr>
        <w:t>D</w:t>
      </w:r>
      <w:r w:rsidRPr="00615D25">
        <w:rPr>
          <w:szCs w:val="18"/>
        </w:rPr>
        <w:t>urvalumab</w:t>
      </w:r>
      <w:r>
        <w:rPr>
          <w:szCs w:val="18"/>
        </w:rPr>
        <w:t>.</w:t>
      </w:r>
    </w:p>
    <w:p w14:paraId="4B38D6CD" w14:textId="77777777" w:rsidR="000D083B" w:rsidRDefault="00B07E2E" w:rsidP="00B07E2E">
      <w:pPr>
        <w:jc w:val="left"/>
        <w:rPr>
          <w:rFonts w:ascii="Arial Narrow" w:hAnsi="Arial Narrow" w:cstheme="minorHAnsi"/>
          <w:bCs/>
          <w:i/>
          <w:iCs/>
          <w:sz w:val="18"/>
          <w:szCs w:val="18"/>
        </w:rPr>
      </w:pPr>
      <w:r w:rsidRPr="00F56B14">
        <w:rPr>
          <w:rFonts w:ascii="Arial Narrow" w:hAnsi="Arial Narrow" w:cstheme="minorHAnsi"/>
          <w:bCs/>
          <w:i/>
          <w:iCs/>
          <w:sz w:val="18"/>
          <w:szCs w:val="18"/>
        </w:rPr>
        <w:t>The redacted values correspond to the following ranges:</w:t>
      </w:r>
    </w:p>
    <w:p w14:paraId="6051D9E3" w14:textId="0BC2CCD6" w:rsidR="00231564" w:rsidRDefault="00B07E2E" w:rsidP="00D81317">
      <w:pPr>
        <w:pStyle w:val="TableText0"/>
        <w:keepLines/>
        <w:rPr>
          <w:rFonts w:cstheme="minorHAnsi"/>
          <w:i/>
          <w:iCs/>
          <w:sz w:val="18"/>
          <w:szCs w:val="18"/>
        </w:rPr>
      </w:pPr>
      <w:r w:rsidRPr="00792EB7">
        <w:rPr>
          <w:rFonts w:cstheme="minorHAnsi"/>
          <w:i/>
          <w:iCs/>
          <w:sz w:val="18"/>
          <w:szCs w:val="18"/>
          <w:vertAlign w:val="superscript"/>
        </w:rPr>
        <w:t>1</w:t>
      </w:r>
      <w:r w:rsidRPr="00D81317">
        <w:rPr>
          <w:rFonts w:cstheme="minorHAnsi"/>
          <w:i/>
          <w:iCs/>
          <w:sz w:val="18"/>
          <w:szCs w:val="18"/>
          <w:vertAlign w:val="superscript"/>
        </w:rPr>
        <w:t xml:space="preserve"> </w:t>
      </w:r>
      <w:r w:rsidR="003955FE" w:rsidRPr="00A40BA2">
        <w:rPr>
          <w:rFonts w:cstheme="minorHAnsi"/>
          <w:i/>
          <w:iCs/>
          <w:sz w:val="18"/>
          <w:szCs w:val="18"/>
        </w:rPr>
        <w:t>&lt; 500</w:t>
      </w:r>
    </w:p>
    <w:p w14:paraId="63AC8495" w14:textId="4A2AA03B" w:rsidR="00D81317" w:rsidRPr="00D81317" w:rsidRDefault="00B07E2E" w:rsidP="00D81317">
      <w:pPr>
        <w:pStyle w:val="TableText0"/>
        <w:keepLines/>
        <w:rPr>
          <w:rFonts w:cstheme="minorHAnsi"/>
          <w:i/>
          <w:iCs/>
          <w:sz w:val="18"/>
          <w:szCs w:val="18"/>
          <w:vertAlign w:val="superscript"/>
        </w:rPr>
      </w:pPr>
      <w:r w:rsidRPr="00792EB7">
        <w:rPr>
          <w:rFonts w:cstheme="minorHAnsi"/>
          <w:i/>
          <w:iCs/>
          <w:sz w:val="18"/>
          <w:szCs w:val="18"/>
          <w:vertAlign w:val="superscript"/>
        </w:rPr>
        <w:t>2</w:t>
      </w:r>
      <w:r w:rsidRPr="00D81317">
        <w:rPr>
          <w:rFonts w:cstheme="minorHAnsi"/>
          <w:i/>
          <w:iCs/>
          <w:sz w:val="18"/>
          <w:szCs w:val="18"/>
          <w:vertAlign w:val="superscript"/>
        </w:rPr>
        <w:t xml:space="preserve"> </w:t>
      </w:r>
      <w:r w:rsidR="00D81317" w:rsidRPr="00A40BA2">
        <w:rPr>
          <w:rFonts w:cstheme="minorHAnsi"/>
          <w:i/>
          <w:iCs/>
          <w:sz w:val="18"/>
          <w:szCs w:val="18"/>
        </w:rPr>
        <w:t>500 to &lt; 5,000</w:t>
      </w:r>
    </w:p>
    <w:p w14:paraId="602130A2" w14:textId="31E88080" w:rsidR="00BB2BCA" w:rsidRPr="00BB2BCA" w:rsidRDefault="00B07E2E" w:rsidP="00BB2BCA">
      <w:pPr>
        <w:pStyle w:val="TableText0"/>
        <w:keepLines/>
        <w:rPr>
          <w:rFonts w:cstheme="minorHAnsi"/>
          <w:i/>
          <w:iCs/>
          <w:sz w:val="18"/>
          <w:szCs w:val="18"/>
          <w:vertAlign w:val="superscript"/>
        </w:rPr>
      </w:pPr>
      <w:r w:rsidRPr="00792EB7">
        <w:rPr>
          <w:rFonts w:cstheme="minorHAnsi"/>
          <w:i/>
          <w:iCs/>
          <w:sz w:val="18"/>
          <w:szCs w:val="18"/>
          <w:vertAlign w:val="superscript"/>
        </w:rPr>
        <w:t>3</w:t>
      </w:r>
      <w:r w:rsidR="000D083B">
        <w:rPr>
          <w:rFonts w:cstheme="minorHAnsi"/>
          <w:i/>
          <w:iCs/>
          <w:sz w:val="18"/>
          <w:szCs w:val="18"/>
          <w:vertAlign w:val="superscript"/>
        </w:rPr>
        <w:t xml:space="preserve"> </w:t>
      </w:r>
      <w:r w:rsidR="00BB2BCA" w:rsidRPr="00A40BA2">
        <w:rPr>
          <w:rFonts w:cstheme="minorHAnsi"/>
          <w:i/>
          <w:iCs/>
          <w:sz w:val="18"/>
          <w:szCs w:val="18"/>
        </w:rPr>
        <w:t>$0 to &lt; $10 million</w:t>
      </w:r>
    </w:p>
    <w:p w14:paraId="71EF0A80" w14:textId="08BAB42B" w:rsidR="00935440" w:rsidRPr="00A9654F" w:rsidRDefault="00A9654F" w:rsidP="00A40BA2">
      <w:pPr>
        <w:pStyle w:val="TableText0"/>
        <w:keepLines/>
        <w:spacing w:after="120"/>
        <w:rPr>
          <w:rFonts w:cstheme="minorHAnsi"/>
          <w:i/>
          <w:iCs/>
          <w:sz w:val="18"/>
          <w:szCs w:val="18"/>
          <w:vertAlign w:val="superscript"/>
        </w:rPr>
      </w:pPr>
      <w:r>
        <w:rPr>
          <w:rFonts w:cstheme="minorHAnsi"/>
          <w:i/>
          <w:iCs/>
          <w:sz w:val="18"/>
          <w:szCs w:val="18"/>
          <w:vertAlign w:val="superscript"/>
        </w:rPr>
        <w:t>4</w:t>
      </w:r>
      <w:r w:rsidR="000D083B">
        <w:rPr>
          <w:rFonts w:cstheme="minorHAnsi"/>
          <w:i/>
          <w:iCs/>
          <w:sz w:val="18"/>
          <w:szCs w:val="18"/>
          <w:vertAlign w:val="superscript"/>
        </w:rPr>
        <w:t xml:space="preserve"> </w:t>
      </w:r>
      <w:r w:rsidRPr="00A40BA2">
        <w:rPr>
          <w:rFonts w:cstheme="minorHAnsi"/>
          <w:i/>
          <w:iCs/>
          <w:sz w:val="18"/>
          <w:szCs w:val="18"/>
        </w:rPr>
        <w:t>net cost saving</w:t>
      </w:r>
    </w:p>
    <w:p w14:paraId="560AB8B4" w14:textId="77777777" w:rsidR="00EE250F" w:rsidRDefault="00EE250F" w:rsidP="00EE250F">
      <w:pPr>
        <w:pStyle w:val="3-BodyText"/>
        <w:numPr>
          <w:ilvl w:val="0"/>
          <w:numId w:val="0"/>
        </w:numPr>
        <w:rPr>
          <w:i/>
          <w:iCs/>
        </w:rPr>
      </w:pPr>
      <w:r w:rsidRPr="00661CDD">
        <w:rPr>
          <w:i/>
          <w:iCs/>
        </w:rPr>
        <w:t>For more detail on PBAC’s view, see section 7 PBAC outcome.</w:t>
      </w:r>
    </w:p>
    <w:p w14:paraId="6C732E53" w14:textId="77777777" w:rsidR="00453BF2" w:rsidRPr="00453BF2" w:rsidRDefault="00453BF2" w:rsidP="00177D10">
      <w:pPr>
        <w:keepNext/>
        <w:numPr>
          <w:ilvl w:val="0"/>
          <w:numId w:val="1"/>
        </w:numPr>
        <w:spacing w:before="240" w:after="120"/>
        <w:outlineLvl w:val="0"/>
        <w:rPr>
          <w:rFonts w:asciiTheme="minorHAnsi" w:hAnsiTheme="minorHAnsi" w:cs="Arial"/>
          <w:b/>
          <w:snapToGrid w:val="0"/>
          <w:sz w:val="32"/>
          <w:szCs w:val="32"/>
        </w:rPr>
      </w:pPr>
      <w:bookmarkStart w:id="43" w:name="_Hlk76381249"/>
      <w:r w:rsidRPr="00453BF2">
        <w:rPr>
          <w:rFonts w:asciiTheme="minorHAnsi" w:hAnsiTheme="minorHAnsi" w:cs="Arial"/>
          <w:b/>
          <w:snapToGrid w:val="0"/>
          <w:sz w:val="32"/>
          <w:szCs w:val="32"/>
        </w:rPr>
        <w:t>PBAC Outcome</w:t>
      </w:r>
    </w:p>
    <w:p w14:paraId="560CC520" w14:textId="77777777" w:rsidR="000D083B" w:rsidRDefault="00741769" w:rsidP="00637B1D">
      <w:pPr>
        <w:pStyle w:val="3-BodyText"/>
        <w:rPr>
          <w:snapToGrid w:val="0"/>
          <w:lang w:val="en-GB" w:eastAsia="en-US"/>
        </w:rPr>
      </w:pPr>
      <w:bookmarkStart w:id="44" w:name="_Hlk111543188"/>
      <w:r w:rsidRPr="7F0BD753">
        <w:rPr>
          <w:snapToGrid w:val="0"/>
          <w:lang w:val="en-GB" w:eastAsia="en-US"/>
        </w:rPr>
        <w:t>The PBAC recommended the</w:t>
      </w:r>
      <w:r w:rsidR="006135D7" w:rsidRPr="7F0BD753">
        <w:rPr>
          <w:snapToGrid w:val="0"/>
          <w:lang w:val="en-GB" w:eastAsia="en-US"/>
        </w:rPr>
        <w:t xml:space="preserve"> Section 100</w:t>
      </w:r>
      <w:r w:rsidR="005E2668" w:rsidRPr="7F0BD753">
        <w:rPr>
          <w:snapToGrid w:val="0"/>
          <w:lang w:val="en-GB" w:eastAsia="en-US"/>
        </w:rPr>
        <w:t xml:space="preserve"> (Efficient Funding of Chemotherapy)</w:t>
      </w:r>
      <w:r w:rsidR="006135D7" w:rsidRPr="7F0BD753">
        <w:rPr>
          <w:snapToGrid w:val="0"/>
          <w:lang w:val="en-GB" w:eastAsia="en-US"/>
        </w:rPr>
        <w:t>, Authority Required (Streamlined)</w:t>
      </w:r>
      <w:r w:rsidRPr="7F0BD753">
        <w:rPr>
          <w:snapToGrid w:val="0"/>
          <w:lang w:val="en-GB" w:eastAsia="en-US"/>
        </w:rPr>
        <w:t xml:space="preserve"> listing of </w:t>
      </w:r>
      <w:r w:rsidR="000C6FAB" w:rsidRPr="7F0BD753">
        <w:rPr>
          <w:snapToGrid w:val="0"/>
          <w:lang w:val="en-GB" w:eastAsia="en-US"/>
        </w:rPr>
        <w:t>durvalumab</w:t>
      </w:r>
      <w:r w:rsidR="005E2668" w:rsidRPr="7F0BD753">
        <w:rPr>
          <w:snapToGrid w:val="0"/>
          <w:lang w:val="en-GB" w:eastAsia="en-US"/>
        </w:rPr>
        <w:t xml:space="preserve"> </w:t>
      </w:r>
      <w:r w:rsidR="00582DB8">
        <w:rPr>
          <w:snapToGrid w:val="0"/>
          <w:lang w:val="en-GB" w:eastAsia="en-US"/>
        </w:rPr>
        <w:t>and</w:t>
      </w:r>
      <w:r w:rsidR="00582DB8" w:rsidRPr="7F0BD753">
        <w:rPr>
          <w:snapToGrid w:val="0"/>
          <w:lang w:val="en-GB" w:eastAsia="en-US"/>
        </w:rPr>
        <w:t xml:space="preserve"> </w:t>
      </w:r>
      <w:r w:rsidR="005E2668" w:rsidRPr="7F0BD753">
        <w:rPr>
          <w:snapToGrid w:val="0"/>
          <w:lang w:val="en-GB" w:eastAsia="en-US"/>
        </w:rPr>
        <w:t xml:space="preserve">single dose </w:t>
      </w:r>
      <w:r w:rsidR="00173C0F" w:rsidRPr="7F0BD753">
        <w:rPr>
          <w:snapToGrid w:val="0"/>
          <w:lang w:val="en-GB" w:eastAsia="en-US"/>
        </w:rPr>
        <w:t>tremelimumab</w:t>
      </w:r>
      <w:r w:rsidR="0003503C" w:rsidRPr="7F0BD753">
        <w:rPr>
          <w:snapToGrid w:val="0"/>
          <w:lang w:val="en-GB" w:eastAsia="en-US"/>
        </w:rPr>
        <w:t xml:space="preserve"> (a.k</w:t>
      </w:r>
      <w:r w:rsidR="0028410B" w:rsidRPr="7F0BD753">
        <w:rPr>
          <w:snapToGrid w:val="0"/>
          <w:lang w:val="en-GB" w:eastAsia="en-US"/>
        </w:rPr>
        <w:t>.</w:t>
      </w:r>
      <w:r w:rsidR="0003503C" w:rsidRPr="7F0BD753">
        <w:rPr>
          <w:snapToGrid w:val="0"/>
          <w:lang w:val="en-GB" w:eastAsia="en-US"/>
        </w:rPr>
        <w:t xml:space="preserve">a. </w:t>
      </w:r>
      <w:r w:rsidR="006E3DC0" w:rsidRPr="7F0BD753">
        <w:rPr>
          <w:snapToGrid w:val="0"/>
          <w:lang w:val="en-GB" w:eastAsia="en-US"/>
        </w:rPr>
        <w:t xml:space="preserve">STRIDE) for the treatment </w:t>
      </w:r>
      <w:r w:rsidR="0028410B" w:rsidRPr="7F0BD753">
        <w:rPr>
          <w:rFonts w:eastAsiaTheme="minorEastAsia"/>
        </w:rPr>
        <w:t>of patients with advanced (unresectable) Barcelona Clinic Liver Cancer (BCLC) Stage B or Stage C hepatocellular carcinoma (HCC)</w:t>
      </w:r>
      <w:r w:rsidR="00262A0B" w:rsidRPr="7F0BD753">
        <w:rPr>
          <w:snapToGrid w:val="0"/>
          <w:lang w:val="en-GB" w:eastAsia="en-US"/>
        </w:rPr>
        <w:t xml:space="preserve">. </w:t>
      </w:r>
      <w:r w:rsidR="00B52D86" w:rsidRPr="7F0BD753">
        <w:rPr>
          <w:lang w:val="en-GB" w:eastAsia="en-US"/>
        </w:rPr>
        <w:t xml:space="preserve">The PBAC’s recommendation for listing was based on, among other matters, its </w:t>
      </w:r>
      <w:r w:rsidR="00B52D86" w:rsidRPr="7F0BD753">
        <w:rPr>
          <w:snapToGrid w:val="0"/>
          <w:lang w:val="en-GB" w:eastAsia="en-US"/>
        </w:rPr>
        <w:t>assessment</w:t>
      </w:r>
      <w:r w:rsidR="00D45B8E" w:rsidRPr="7F0BD753">
        <w:rPr>
          <w:snapToGrid w:val="0"/>
          <w:lang w:val="en-GB" w:eastAsia="en-US"/>
        </w:rPr>
        <w:t xml:space="preserve"> </w:t>
      </w:r>
      <w:r w:rsidR="00D15921" w:rsidRPr="7F0BD753">
        <w:rPr>
          <w:lang w:val="en-GB" w:eastAsia="en-US"/>
        </w:rPr>
        <w:t>that</w:t>
      </w:r>
      <w:r w:rsidR="00D15921" w:rsidRPr="7F0BD753">
        <w:rPr>
          <w:snapToGrid w:val="0"/>
          <w:lang w:val="en-GB" w:eastAsia="en-US"/>
        </w:rPr>
        <w:t xml:space="preserve"> the cost effectiveness of </w:t>
      </w:r>
      <w:r w:rsidR="00366362" w:rsidRPr="7F0BD753">
        <w:rPr>
          <w:snapToGrid w:val="0"/>
          <w:lang w:val="en-GB" w:eastAsia="en-US"/>
        </w:rPr>
        <w:t>STRIDE</w:t>
      </w:r>
      <w:r w:rsidR="00025A95" w:rsidRPr="7F0BD753">
        <w:rPr>
          <w:snapToGrid w:val="0"/>
          <w:lang w:val="en-GB" w:eastAsia="en-US"/>
        </w:rPr>
        <w:t xml:space="preserve"> would be acceptable if it were cost minimised to </w:t>
      </w:r>
      <w:r w:rsidR="00C54DBB" w:rsidRPr="7F0BD753">
        <w:rPr>
          <w:snapToGrid w:val="0"/>
          <w:lang w:val="en-GB" w:eastAsia="en-US"/>
        </w:rPr>
        <w:t>atezolizumab + bevacizumab for this indication.</w:t>
      </w:r>
    </w:p>
    <w:p w14:paraId="49986AF1" w14:textId="34F5D583" w:rsidR="003215E6" w:rsidRDefault="008E3606" w:rsidP="00637B1D">
      <w:pPr>
        <w:pStyle w:val="3-BodyText"/>
        <w:rPr>
          <w:snapToGrid w:val="0"/>
          <w:lang w:val="en-GB" w:eastAsia="en-US"/>
        </w:rPr>
      </w:pPr>
      <w:bookmarkStart w:id="45" w:name="_Ref198909932"/>
      <w:bookmarkEnd w:id="44"/>
      <w:r w:rsidRPr="008E3606">
        <w:rPr>
          <w:snapToGrid w:val="0"/>
          <w:lang w:val="en-GB" w:eastAsia="en-US"/>
        </w:rPr>
        <w:t>The PBAC considered the equi-effective doses were:</w:t>
      </w:r>
      <w:bookmarkEnd w:id="45"/>
    </w:p>
    <w:p w14:paraId="1B054176" w14:textId="1F2A6B51" w:rsidR="00C92AAC" w:rsidRPr="00C92AAC" w:rsidRDefault="00C92AAC" w:rsidP="00177D10">
      <w:pPr>
        <w:pStyle w:val="ListParagraph"/>
        <w:widowControl w:val="0"/>
        <w:numPr>
          <w:ilvl w:val="0"/>
          <w:numId w:val="18"/>
        </w:numPr>
        <w:ind w:left="1134"/>
        <w:rPr>
          <w:lang w:val="en-GB" w:eastAsia="en-US"/>
        </w:rPr>
      </w:pPr>
      <w:r w:rsidRPr="00C92AAC">
        <w:rPr>
          <w:lang w:val="en-GB" w:eastAsia="en-US"/>
        </w:rPr>
        <w:t xml:space="preserve">A single dose of tremelimumab 300 mg + durvalumab 1,500 mg given at the start of Cycle 1 + ongoing durvalumab at a dose of 1,500 mg once every four weeks for </w:t>
      </w:r>
      <w:r>
        <w:rPr>
          <w:lang w:val="en-GB" w:eastAsia="en-US"/>
        </w:rPr>
        <w:t xml:space="preserve">a </w:t>
      </w:r>
      <w:r w:rsidRPr="00C92AAC">
        <w:rPr>
          <w:lang w:val="en-GB" w:eastAsia="en-US"/>
        </w:rPr>
        <w:t>duration of 11.6 months (based on the mean treatment duration in HIMALAYA over 5 years' follow-up); and</w:t>
      </w:r>
    </w:p>
    <w:p w14:paraId="125EBB85" w14:textId="34E5F35E" w:rsidR="00C92AAC" w:rsidRPr="00C92AAC" w:rsidRDefault="00C92AAC" w:rsidP="00F54E36">
      <w:pPr>
        <w:pStyle w:val="ListParagraph"/>
        <w:ind w:left="1134" w:hanging="357"/>
        <w:rPr>
          <w:lang w:val="en-GB" w:eastAsia="en-US"/>
        </w:rPr>
      </w:pPr>
      <w:r w:rsidRPr="7F0BD753">
        <w:rPr>
          <w:lang w:val="en-GB" w:eastAsia="en-US"/>
        </w:rPr>
        <w:t>Ongoing atezolizumab at a dose of 1,</w:t>
      </w:r>
      <w:r w:rsidR="00DE573F">
        <w:rPr>
          <w:lang w:val="en-GB" w:eastAsia="en-US"/>
        </w:rPr>
        <w:t>2</w:t>
      </w:r>
      <w:r w:rsidRPr="7F0BD753">
        <w:rPr>
          <w:lang w:val="en-GB" w:eastAsia="en-US"/>
        </w:rPr>
        <w:t xml:space="preserve">00 mg + bevacizumab 15 mg/kg once every 3 weeks for a duration of </w:t>
      </w:r>
      <w:r w:rsidR="005D7B8B">
        <w:rPr>
          <w:lang w:val="en-GB" w:eastAsia="en-US"/>
        </w:rPr>
        <w:t>10.2 months</w:t>
      </w:r>
      <w:r w:rsidRPr="7F0BD753">
        <w:rPr>
          <w:lang w:val="en-GB" w:eastAsia="en-US"/>
        </w:rPr>
        <w:t xml:space="preserve"> (based on PBS utilisation data for </w:t>
      </w:r>
      <w:r w:rsidRPr="7F0BD753">
        <w:rPr>
          <w:lang w:val="en-GB" w:eastAsia="en-US"/>
        </w:rPr>
        <w:lastRenderedPageBreak/>
        <w:t xml:space="preserve">atezolizumab over approximately </w:t>
      </w:r>
      <w:r w:rsidR="008E3EB2" w:rsidRPr="7F0BD753">
        <w:rPr>
          <w:lang w:val="en-GB" w:eastAsia="en-US"/>
        </w:rPr>
        <w:t>4 years</w:t>
      </w:r>
      <w:r w:rsidR="00D413F3" w:rsidRPr="7F0BD753">
        <w:rPr>
          <w:lang w:val="en-GB" w:eastAsia="en-US"/>
        </w:rPr>
        <w:t xml:space="preserve"> and</w:t>
      </w:r>
      <w:r w:rsidR="008E3EB2" w:rsidRPr="7F0BD753">
        <w:rPr>
          <w:lang w:val="en-GB" w:eastAsia="en-US"/>
        </w:rPr>
        <w:t xml:space="preserve"> 4 months</w:t>
      </w:r>
      <w:r w:rsidRPr="7F0BD753">
        <w:rPr>
          <w:lang w:val="en-GB" w:eastAsia="en-US"/>
        </w:rPr>
        <w:t xml:space="preserve"> years' follow-up</w:t>
      </w:r>
      <w:r w:rsidR="00F54E36">
        <w:rPr>
          <w:lang w:val="en-GB" w:eastAsia="en-US"/>
        </w:rPr>
        <w:t xml:space="preserve"> </w:t>
      </w:r>
      <w:r w:rsidR="009379EB">
        <w:rPr>
          <w:lang w:val="en-GB" w:eastAsia="en-US"/>
        </w:rPr>
        <w:t xml:space="preserve">(paragraph </w:t>
      </w:r>
      <w:r w:rsidR="009379EB">
        <w:rPr>
          <w:lang w:val="en-GB" w:eastAsia="en-US"/>
        </w:rPr>
        <w:fldChar w:fldCharType="begin"/>
      </w:r>
      <w:r w:rsidR="009379EB">
        <w:rPr>
          <w:lang w:val="en-GB" w:eastAsia="en-US"/>
        </w:rPr>
        <w:instrText xml:space="preserve"> REF _Ref198798287 \r \h </w:instrText>
      </w:r>
      <w:r w:rsidR="009379EB">
        <w:rPr>
          <w:lang w:val="en-GB" w:eastAsia="en-US"/>
        </w:rPr>
      </w:r>
      <w:r w:rsidR="009379EB">
        <w:rPr>
          <w:lang w:val="en-GB" w:eastAsia="en-US"/>
        </w:rPr>
        <w:fldChar w:fldCharType="separate"/>
      </w:r>
      <w:r w:rsidR="00AC295B">
        <w:rPr>
          <w:lang w:val="en-GB" w:eastAsia="en-US"/>
        </w:rPr>
        <w:t>6.44</w:t>
      </w:r>
      <w:r w:rsidR="009379EB">
        <w:rPr>
          <w:lang w:val="en-GB" w:eastAsia="en-US"/>
        </w:rPr>
        <w:fldChar w:fldCharType="end"/>
      </w:r>
      <w:r w:rsidRPr="7F0BD753">
        <w:rPr>
          <w:lang w:val="en-GB" w:eastAsia="en-US"/>
        </w:rPr>
        <w:t>).</w:t>
      </w:r>
    </w:p>
    <w:p w14:paraId="7A5E0FC8" w14:textId="19B369C7" w:rsidR="00C92AAC" w:rsidRDefault="00C92AAC" w:rsidP="00C92AAC">
      <w:pPr>
        <w:widowControl w:val="0"/>
        <w:spacing w:after="120"/>
        <w:ind w:left="720"/>
        <w:rPr>
          <w:rFonts w:asciiTheme="minorHAnsi" w:hAnsiTheme="minorHAnsi" w:cs="Arial"/>
          <w:snapToGrid w:val="0"/>
          <w:lang w:val="en-GB" w:eastAsia="en-US"/>
        </w:rPr>
      </w:pPr>
      <w:r w:rsidRPr="00C92AAC">
        <w:rPr>
          <w:rFonts w:asciiTheme="minorHAnsi" w:hAnsiTheme="minorHAnsi" w:cs="Arial"/>
          <w:snapToGrid w:val="0"/>
          <w:lang w:val="en-GB" w:eastAsia="en-US"/>
        </w:rPr>
        <w:t>The PBAC acknowledged it is standard practice for treatment durations for equi-effective doses and cost minimisation approaches for chemotherapy and/or immunotherapy treatments to be based on the mean treatment durations from the clinical trials. However, in this case the Committee considered an alternative approach was justified due to the substantial imbalance in available follow-up duration between STRIDE and atezolizumab + bevacizumab and considered that given the availability of PBS utilisation data beyond 4 years, relying on this data resulted in a more balanced approach for determining the equi-effective doses.</w:t>
      </w:r>
    </w:p>
    <w:p w14:paraId="14DEE2BF" w14:textId="77777777" w:rsidR="000D083B" w:rsidRDefault="00F5602E" w:rsidP="00637B1D">
      <w:pPr>
        <w:pStyle w:val="3-BodyText"/>
        <w:rPr>
          <w:snapToGrid w:val="0"/>
          <w:lang w:val="en-GB" w:eastAsia="en-US"/>
        </w:rPr>
      </w:pPr>
      <w:r w:rsidRPr="7F0BD753">
        <w:rPr>
          <w:snapToGrid w:val="0"/>
          <w:lang w:val="en-GB" w:eastAsia="en-US"/>
        </w:rPr>
        <w:t>The PBAC</w:t>
      </w:r>
      <w:r w:rsidR="0043596C" w:rsidRPr="7F0BD753">
        <w:rPr>
          <w:snapToGrid w:val="0"/>
          <w:lang w:val="en-GB" w:eastAsia="en-US"/>
        </w:rPr>
        <w:t xml:space="preserve"> considered there was a place in therapy for STRIDE as an alternative to atezolizumab + bevacizumab</w:t>
      </w:r>
      <w:r w:rsidR="007A7644" w:rsidRPr="7F0BD753">
        <w:rPr>
          <w:snapToGrid w:val="0"/>
          <w:lang w:val="en-GB" w:eastAsia="en-US"/>
        </w:rPr>
        <w:t xml:space="preserve"> and that STRIDE represented a </w:t>
      </w:r>
      <w:r w:rsidR="00B50164" w:rsidRPr="7F0BD753">
        <w:rPr>
          <w:snapToGrid w:val="0"/>
          <w:lang w:val="en-GB" w:eastAsia="en-US"/>
        </w:rPr>
        <w:t>useful therapy for patients with risk of bleeding and thrombosis where a VEGF inhibitor</w:t>
      </w:r>
      <w:r w:rsidR="00AD227B" w:rsidRPr="7F0BD753">
        <w:rPr>
          <w:snapToGrid w:val="0"/>
          <w:lang w:val="en-GB" w:eastAsia="en-US"/>
        </w:rPr>
        <w:t xml:space="preserve"> containing regimen</w:t>
      </w:r>
      <w:r w:rsidR="00AB4A43" w:rsidRPr="7F0BD753">
        <w:rPr>
          <w:snapToGrid w:val="0"/>
          <w:lang w:val="en-GB" w:eastAsia="en-US"/>
        </w:rPr>
        <w:t xml:space="preserve"> </w:t>
      </w:r>
      <w:r w:rsidR="00AD227B" w:rsidRPr="7F0BD753">
        <w:rPr>
          <w:snapToGrid w:val="0"/>
          <w:lang w:val="en-GB" w:eastAsia="en-US"/>
        </w:rPr>
        <w:t>may carry additional patient risks</w:t>
      </w:r>
      <w:r w:rsidR="00AB4A43" w:rsidRPr="7F0BD753">
        <w:rPr>
          <w:snapToGrid w:val="0"/>
          <w:lang w:val="en-GB" w:eastAsia="en-US"/>
        </w:rPr>
        <w:t>. The PBAC also</w:t>
      </w:r>
      <w:r w:rsidRPr="7F0BD753">
        <w:rPr>
          <w:snapToGrid w:val="0"/>
          <w:lang w:val="en-GB" w:eastAsia="en-US"/>
        </w:rPr>
        <w:t xml:space="preserve"> acknowledged the input from consumer organisations and health professionals that described the poor prognosis of HCC and the limited treatment options with reports of many patients experiencing serious side effects. The Committee </w:t>
      </w:r>
      <w:r w:rsidR="00FB374B" w:rsidRPr="7F0BD753">
        <w:rPr>
          <w:snapToGrid w:val="0"/>
          <w:lang w:val="en-GB" w:eastAsia="en-US"/>
        </w:rPr>
        <w:t xml:space="preserve">further </w:t>
      </w:r>
      <w:r w:rsidRPr="7F0BD753">
        <w:rPr>
          <w:snapToGrid w:val="0"/>
          <w:lang w:val="en-GB" w:eastAsia="en-US"/>
        </w:rPr>
        <w:t xml:space="preserve">noted that </w:t>
      </w:r>
      <w:r w:rsidR="00366362" w:rsidRPr="7F0BD753">
        <w:rPr>
          <w:snapToGrid w:val="0"/>
          <w:lang w:val="en-GB" w:eastAsia="en-US"/>
        </w:rPr>
        <w:t>STRIDE</w:t>
      </w:r>
      <w:r w:rsidR="00AB4A43" w:rsidRPr="7F0BD753">
        <w:rPr>
          <w:snapToGrid w:val="0"/>
          <w:lang w:val="en-GB" w:eastAsia="en-US"/>
        </w:rPr>
        <w:t xml:space="preserve"> may</w:t>
      </w:r>
      <w:r w:rsidRPr="7F0BD753">
        <w:rPr>
          <w:snapToGrid w:val="0"/>
          <w:lang w:val="en-GB" w:eastAsia="en-US"/>
        </w:rPr>
        <w:t xml:space="preserve"> offer improved treatment access to patients living in rural areas because it eliminates the need for endoscopic screening to assess risk of bleeding and </w:t>
      </w:r>
      <w:r w:rsidR="006F41D7" w:rsidRPr="7F0BD753">
        <w:rPr>
          <w:snapToGrid w:val="0"/>
          <w:lang w:val="en-GB" w:eastAsia="en-US"/>
        </w:rPr>
        <w:t>a less frequent dosing schedule</w:t>
      </w:r>
      <w:r w:rsidRPr="7F0BD753">
        <w:rPr>
          <w:snapToGrid w:val="0"/>
          <w:lang w:val="en-GB" w:eastAsia="en-US"/>
        </w:rPr>
        <w:t xml:space="preserve">. </w:t>
      </w:r>
      <w:r w:rsidR="006F41D7" w:rsidRPr="7F0BD753">
        <w:rPr>
          <w:snapToGrid w:val="0"/>
          <w:lang w:val="en-GB" w:eastAsia="en-US"/>
        </w:rPr>
        <w:t>In addition, the PBAC noted</w:t>
      </w:r>
      <w:r w:rsidRPr="7F0BD753">
        <w:rPr>
          <w:snapToGrid w:val="0"/>
          <w:lang w:val="en-GB" w:eastAsia="en-US"/>
        </w:rPr>
        <w:t xml:space="preserve"> the strong support from MOGA which categorised </w:t>
      </w:r>
      <w:r w:rsidR="00366362" w:rsidRPr="7F0BD753">
        <w:rPr>
          <w:snapToGrid w:val="0"/>
          <w:lang w:val="en-GB" w:eastAsia="en-US"/>
        </w:rPr>
        <w:t>STRIDE</w:t>
      </w:r>
      <w:r w:rsidRPr="7F0BD753">
        <w:rPr>
          <w:snapToGrid w:val="0"/>
          <w:lang w:val="en-GB" w:eastAsia="en-US"/>
        </w:rPr>
        <w:t xml:space="preserve"> as a therapy of highest priority for PBS listing based on the results of the HIMAL</w:t>
      </w:r>
      <w:r w:rsidR="00E21579">
        <w:rPr>
          <w:snapToGrid w:val="0"/>
          <w:lang w:val="en-GB" w:eastAsia="en-US"/>
        </w:rPr>
        <w:t>A</w:t>
      </w:r>
      <w:r w:rsidRPr="7F0BD753">
        <w:rPr>
          <w:snapToGrid w:val="0"/>
          <w:lang w:val="en-GB" w:eastAsia="en-US"/>
        </w:rPr>
        <w:t>YA trial.</w:t>
      </w:r>
    </w:p>
    <w:p w14:paraId="41810A7B" w14:textId="77777777" w:rsidR="000D083B" w:rsidRDefault="003026AF" w:rsidP="00637B1D">
      <w:pPr>
        <w:pStyle w:val="3-BodyText"/>
        <w:rPr>
          <w:snapToGrid w:val="0"/>
          <w:lang w:val="en-GB" w:eastAsia="en-US"/>
        </w:rPr>
      </w:pPr>
      <w:r>
        <w:rPr>
          <w:snapToGrid w:val="0"/>
          <w:lang w:val="en-GB" w:eastAsia="en-US"/>
        </w:rPr>
        <w:t>With respect to the r</w:t>
      </w:r>
      <w:r w:rsidRPr="00453BF2">
        <w:rPr>
          <w:snapToGrid w:val="0"/>
          <w:lang w:val="en-GB" w:eastAsia="en-US"/>
        </w:rPr>
        <w:t xml:space="preserve">equested listing and restriction </w:t>
      </w:r>
      <w:r>
        <w:rPr>
          <w:snapToGrid w:val="0"/>
          <w:lang w:val="en-GB" w:eastAsia="en-US"/>
        </w:rPr>
        <w:t xml:space="preserve">the </w:t>
      </w:r>
      <w:r w:rsidRPr="00453BF2">
        <w:rPr>
          <w:snapToGrid w:val="0"/>
          <w:lang w:val="en-GB" w:eastAsia="en-US"/>
        </w:rPr>
        <w:t xml:space="preserve">PBAC </w:t>
      </w:r>
      <w:r>
        <w:rPr>
          <w:snapToGrid w:val="0"/>
          <w:lang w:val="en-GB" w:eastAsia="en-US"/>
        </w:rPr>
        <w:t>noted the r</w:t>
      </w:r>
      <w:r w:rsidRPr="00B0470A">
        <w:rPr>
          <w:snapToGrid w:val="0"/>
          <w:lang w:val="en-GB" w:eastAsia="en-US"/>
        </w:rPr>
        <w:t xml:space="preserve">equest </w:t>
      </w:r>
      <w:r>
        <w:rPr>
          <w:snapToGrid w:val="0"/>
          <w:lang w:val="en-GB" w:eastAsia="en-US"/>
        </w:rPr>
        <w:t xml:space="preserve">for </w:t>
      </w:r>
      <w:r w:rsidRPr="00B0470A">
        <w:rPr>
          <w:snapToGrid w:val="0"/>
          <w:lang w:val="en-GB" w:eastAsia="en-US"/>
        </w:rPr>
        <w:t xml:space="preserve">use in patients naïve to systemic treatment </w:t>
      </w:r>
      <w:r>
        <w:rPr>
          <w:snapToGrid w:val="0"/>
          <w:lang w:val="en-GB" w:eastAsia="en-US"/>
        </w:rPr>
        <w:t>or with</w:t>
      </w:r>
      <w:r w:rsidRPr="00B0470A">
        <w:rPr>
          <w:snapToGrid w:val="0"/>
          <w:lang w:val="en-GB" w:eastAsia="en-US"/>
        </w:rPr>
        <w:t xml:space="preserve"> intolerance to atezolizumab or VEGF inhibitor but </w:t>
      </w:r>
      <w:r>
        <w:rPr>
          <w:snapToGrid w:val="0"/>
          <w:lang w:val="en-GB" w:eastAsia="en-US"/>
        </w:rPr>
        <w:t xml:space="preserve">considered that this was inappropriate and </w:t>
      </w:r>
      <w:r w:rsidRPr="00B0470A">
        <w:rPr>
          <w:snapToGrid w:val="0"/>
          <w:lang w:val="en-GB" w:eastAsia="en-US"/>
        </w:rPr>
        <w:t xml:space="preserve">inconsistent with </w:t>
      </w:r>
      <w:r>
        <w:rPr>
          <w:snapToGrid w:val="0"/>
          <w:lang w:val="en-GB" w:eastAsia="en-US"/>
        </w:rPr>
        <w:t xml:space="preserve">the </w:t>
      </w:r>
      <w:r w:rsidRPr="00B0470A">
        <w:rPr>
          <w:snapToGrid w:val="0"/>
          <w:lang w:val="en-GB" w:eastAsia="en-US"/>
        </w:rPr>
        <w:t xml:space="preserve">TGA indication </w:t>
      </w:r>
      <w:r>
        <w:rPr>
          <w:snapToGrid w:val="0"/>
          <w:lang w:val="en-GB" w:eastAsia="en-US"/>
        </w:rPr>
        <w:t>which</w:t>
      </w:r>
      <w:r w:rsidRPr="00B0470A">
        <w:rPr>
          <w:snapToGrid w:val="0"/>
          <w:lang w:val="en-GB" w:eastAsia="en-US"/>
        </w:rPr>
        <w:t xml:space="preserve"> states the</w:t>
      </w:r>
      <w:r>
        <w:rPr>
          <w:snapToGrid w:val="0"/>
          <w:lang w:val="en-GB" w:eastAsia="en-US"/>
        </w:rPr>
        <w:t xml:space="preserve"> patient</w:t>
      </w:r>
      <w:r w:rsidRPr="00B0470A">
        <w:rPr>
          <w:snapToGrid w:val="0"/>
          <w:lang w:val="en-GB" w:eastAsia="en-US"/>
        </w:rPr>
        <w:t xml:space="preserve"> must not have received prior treatment with </w:t>
      </w:r>
      <w:r>
        <w:rPr>
          <w:snapToGrid w:val="0"/>
          <w:lang w:val="en-GB" w:eastAsia="en-US"/>
        </w:rPr>
        <w:t xml:space="preserve">a </w:t>
      </w:r>
      <w:r w:rsidRPr="00B0470A">
        <w:rPr>
          <w:snapToGrid w:val="0"/>
          <w:lang w:val="en-GB" w:eastAsia="en-US"/>
        </w:rPr>
        <w:t>PD-1/PD-L1 inhibitor</w:t>
      </w:r>
      <w:r>
        <w:rPr>
          <w:snapToGrid w:val="0"/>
          <w:lang w:val="en-GB" w:eastAsia="en-US"/>
        </w:rPr>
        <w:t>. The PBAC further noted the pivotal trial allowed for patients to be rechallenged with STRIDE after progression, however considered it was appropriate for the listing to be consistent with the existing listing of atezolizumab + bevacizumab and not permit further treatment after disease progression.</w:t>
      </w:r>
    </w:p>
    <w:p w14:paraId="1D3C17BB" w14:textId="05F92159" w:rsidR="00DC048B" w:rsidRPr="00E21579" w:rsidRDefault="00F624A3" w:rsidP="00637B1D">
      <w:pPr>
        <w:pStyle w:val="3-BodyText"/>
        <w:rPr>
          <w:snapToGrid w:val="0"/>
          <w:lang w:val="en-GB" w:eastAsia="en-US"/>
        </w:rPr>
      </w:pPr>
      <w:r w:rsidRPr="7F0BD753">
        <w:rPr>
          <w:snapToGrid w:val="0"/>
          <w:lang w:val="en-GB" w:eastAsia="en-US"/>
        </w:rPr>
        <w:t xml:space="preserve">The PBAC considered that the nominated comparator of atezolizumab + bevacizumab was reasonable, however noted the tyrosine kinase inhibitors sorafenib and lenvatinib are also listed for this indication, and that a submission for nivolumab + ipilimumab had also been submitted for consideration </w:t>
      </w:r>
      <w:r w:rsidR="00C74526">
        <w:rPr>
          <w:snapToGrid w:val="0"/>
          <w:lang w:val="en-GB" w:eastAsia="en-US"/>
        </w:rPr>
        <w:t>to</w:t>
      </w:r>
      <w:r w:rsidRPr="7F0BD753">
        <w:rPr>
          <w:snapToGrid w:val="0"/>
          <w:lang w:val="en-GB" w:eastAsia="en-US"/>
        </w:rPr>
        <w:t xml:space="preserve"> the July 2025 meeting.</w:t>
      </w:r>
    </w:p>
    <w:p w14:paraId="230106A8" w14:textId="77777777" w:rsidR="000D083B" w:rsidRDefault="00905374" w:rsidP="00637B1D">
      <w:pPr>
        <w:pStyle w:val="3-BodyText"/>
        <w:rPr>
          <w:snapToGrid w:val="0"/>
          <w:lang w:val="en-GB" w:eastAsia="en-US"/>
        </w:rPr>
      </w:pPr>
      <w:r w:rsidRPr="00905374">
        <w:rPr>
          <w:snapToGrid w:val="0"/>
          <w:lang w:val="en-GB" w:eastAsia="en-US"/>
        </w:rPr>
        <w:t xml:space="preserve">The PBAC noted the submission was supported by the pivotal HIMALAYA trial (N = 782), a randomised controlled trial comparing STRIDE to sorafenib, and the comparator of atezolizumab + bevacizumab was informed by the IMBRAVE150 trial (N = 501), which it had previously considered in the original atezolizumab + bevacizumab submission. The Committee noted the clinical claims were supported primarily by </w:t>
      </w:r>
      <w:r w:rsidR="005E4709">
        <w:rPr>
          <w:snapToGrid w:val="0"/>
          <w:lang w:val="en-GB" w:eastAsia="en-US"/>
        </w:rPr>
        <w:t xml:space="preserve">an anchored </w:t>
      </w:r>
      <w:r w:rsidRPr="00905374">
        <w:rPr>
          <w:snapToGrid w:val="0"/>
          <w:lang w:val="en-GB" w:eastAsia="en-US"/>
        </w:rPr>
        <w:t>indirect treatment comparison</w:t>
      </w:r>
      <w:r w:rsidR="005E4709">
        <w:rPr>
          <w:snapToGrid w:val="0"/>
          <w:lang w:val="en-GB" w:eastAsia="en-US"/>
        </w:rPr>
        <w:t xml:space="preserve"> (ITC)</w:t>
      </w:r>
      <w:r w:rsidRPr="00905374">
        <w:rPr>
          <w:snapToGrid w:val="0"/>
          <w:lang w:val="en-GB" w:eastAsia="en-US"/>
        </w:rPr>
        <w:t xml:space="preserve"> of these two trials (including a matching-adjusted comparison presented in the PSCR) with sorafenib as the common </w:t>
      </w:r>
      <w:r w:rsidRPr="00905374">
        <w:rPr>
          <w:snapToGrid w:val="0"/>
          <w:lang w:val="en-GB" w:eastAsia="en-US"/>
        </w:rPr>
        <w:lastRenderedPageBreak/>
        <w:t>comparator</w:t>
      </w:r>
      <w:r w:rsidR="006A3EB8">
        <w:rPr>
          <w:snapToGrid w:val="0"/>
          <w:lang w:val="en-GB" w:eastAsia="en-US"/>
        </w:rPr>
        <w:t>. The PBAC</w:t>
      </w:r>
      <w:r w:rsidRPr="00905374">
        <w:rPr>
          <w:snapToGrid w:val="0"/>
          <w:lang w:val="en-GB" w:eastAsia="en-US"/>
        </w:rPr>
        <w:t xml:space="preserve"> </w:t>
      </w:r>
      <w:r w:rsidR="006A3EB8">
        <w:rPr>
          <w:snapToGrid w:val="0"/>
          <w:lang w:val="en-GB" w:eastAsia="en-US"/>
        </w:rPr>
        <w:t xml:space="preserve">further </w:t>
      </w:r>
      <w:r w:rsidRPr="00905374">
        <w:rPr>
          <w:snapToGrid w:val="0"/>
          <w:lang w:val="en-GB" w:eastAsia="en-US"/>
        </w:rPr>
        <w:t xml:space="preserve">considered that while there were some differences between the trials (as described in paragraph 6.9), the trials were likely sufficiently </w:t>
      </w:r>
      <w:r w:rsidR="00785318">
        <w:rPr>
          <w:snapToGrid w:val="0"/>
          <w:lang w:val="en-GB" w:eastAsia="en-US"/>
        </w:rPr>
        <w:t>similar</w:t>
      </w:r>
      <w:r w:rsidR="00785318" w:rsidRPr="00905374">
        <w:rPr>
          <w:snapToGrid w:val="0"/>
          <w:lang w:val="en-GB" w:eastAsia="en-US"/>
        </w:rPr>
        <w:t xml:space="preserve"> </w:t>
      </w:r>
      <w:r w:rsidR="00AD411F">
        <w:rPr>
          <w:snapToGrid w:val="0"/>
          <w:lang w:val="en-GB" w:eastAsia="en-US"/>
        </w:rPr>
        <w:t xml:space="preserve">for </w:t>
      </w:r>
      <w:r w:rsidRPr="00905374">
        <w:rPr>
          <w:snapToGrid w:val="0"/>
          <w:lang w:val="en-GB" w:eastAsia="en-US"/>
        </w:rPr>
        <w:t>this purpose</w:t>
      </w:r>
      <w:r w:rsidR="00544AC5">
        <w:rPr>
          <w:snapToGrid w:val="0"/>
          <w:lang w:val="en-GB" w:eastAsia="en-US"/>
        </w:rPr>
        <w:t xml:space="preserve"> in terms of design and </w:t>
      </w:r>
      <w:r w:rsidR="003B49A6">
        <w:rPr>
          <w:snapToGrid w:val="0"/>
          <w:lang w:val="en-GB" w:eastAsia="en-US"/>
        </w:rPr>
        <w:t xml:space="preserve">the </w:t>
      </w:r>
      <w:r w:rsidR="00544AC5">
        <w:rPr>
          <w:snapToGrid w:val="0"/>
          <w:lang w:val="en-GB" w:eastAsia="en-US"/>
        </w:rPr>
        <w:t>populations recruited</w:t>
      </w:r>
      <w:r w:rsidR="00255D4C">
        <w:rPr>
          <w:snapToGrid w:val="0"/>
          <w:lang w:val="en-GB" w:eastAsia="en-US"/>
        </w:rPr>
        <w:t xml:space="preserve">, but </w:t>
      </w:r>
      <w:r w:rsidR="00170A2D">
        <w:rPr>
          <w:snapToGrid w:val="0"/>
          <w:lang w:val="en-GB" w:eastAsia="en-US"/>
        </w:rPr>
        <w:t xml:space="preserve">agreed that </w:t>
      </w:r>
      <w:r w:rsidR="00255D4C">
        <w:rPr>
          <w:snapToGrid w:val="0"/>
          <w:lang w:val="en-GB" w:eastAsia="en-US"/>
        </w:rPr>
        <w:t xml:space="preserve">the substantial difference in available follow up (~5 years for STRIDE compared to ~15 months for atezolizumab + bevacizumab) </w:t>
      </w:r>
      <w:r w:rsidR="00544AC5">
        <w:rPr>
          <w:snapToGrid w:val="0"/>
          <w:lang w:val="en-GB" w:eastAsia="en-US"/>
        </w:rPr>
        <w:t>created challenges for interpreting the comparisons</w:t>
      </w:r>
      <w:r w:rsidRPr="00905374">
        <w:rPr>
          <w:snapToGrid w:val="0"/>
          <w:lang w:val="en-GB" w:eastAsia="en-US"/>
        </w:rPr>
        <w:t>.</w:t>
      </w:r>
    </w:p>
    <w:p w14:paraId="5DBF5A19" w14:textId="2FF69D65" w:rsidR="00810875" w:rsidRPr="00810875" w:rsidRDefault="00810875" w:rsidP="00637B1D">
      <w:pPr>
        <w:pStyle w:val="3-BodyText"/>
        <w:rPr>
          <w:snapToGrid w:val="0"/>
          <w:lang w:val="en-GB" w:eastAsia="en-US"/>
        </w:rPr>
      </w:pPr>
      <w:r>
        <w:rPr>
          <w:snapToGrid w:val="0"/>
          <w:lang w:val="en-GB" w:eastAsia="en-US"/>
        </w:rPr>
        <w:t xml:space="preserve">In addition to these issues, the PBAC </w:t>
      </w:r>
      <w:r w:rsidRPr="00810875">
        <w:rPr>
          <w:snapToGrid w:val="0"/>
          <w:lang w:val="en-GB" w:eastAsia="en-US"/>
        </w:rPr>
        <w:t>noted the HIMAL</w:t>
      </w:r>
      <w:r w:rsidR="005F3369">
        <w:rPr>
          <w:snapToGrid w:val="0"/>
          <w:lang w:val="en-GB" w:eastAsia="en-US"/>
        </w:rPr>
        <w:t>A</w:t>
      </w:r>
      <w:r w:rsidRPr="00810875">
        <w:rPr>
          <w:snapToGrid w:val="0"/>
          <w:lang w:val="en-GB" w:eastAsia="en-US"/>
        </w:rPr>
        <w:t xml:space="preserve">YA trial allowed for treatment rechallenge for eligible patients at the time of disease progression and that this subgroup (n=30, 7.6%) had approximately double the median </w:t>
      </w:r>
      <w:r>
        <w:rPr>
          <w:snapToGrid w:val="0"/>
          <w:lang w:val="en-GB" w:eastAsia="en-US"/>
        </w:rPr>
        <w:t>overall survival (OS)</w:t>
      </w:r>
      <w:r w:rsidRPr="00810875">
        <w:rPr>
          <w:snapToGrid w:val="0"/>
          <w:lang w:val="en-GB" w:eastAsia="en-US"/>
        </w:rPr>
        <w:t xml:space="preserve"> compared to the full analysis population (30.42 months vs 16.43 months respectively). The PBAC further noted that efficacy data for the treatment arm of HIMALAYA excluding the rechallenge subgroup were not provided</w:t>
      </w:r>
      <w:r>
        <w:rPr>
          <w:snapToGrid w:val="0"/>
          <w:lang w:val="en-GB" w:eastAsia="en-US"/>
        </w:rPr>
        <w:t>, so the impact of this could not be further explored</w:t>
      </w:r>
      <w:r w:rsidRPr="00810875">
        <w:rPr>
          <w:snapToGrid w:val="0"/>
          <w:lang w:val="en-GB" w:eastAsia="en-US"/>
        </w:rPr>
        <w:t>.</w:t>
      </w:r>
    </w:p>
    <w:p w14:paraId="65FC2D61" w14:textId="7F137FE8" w:rsidR="005E4709" w:rsidRDefault="005E4709" w:rsidP="00637B1D">
      <w:pPr>
        <w:pStyle w:val="3-BodyText"/>
        <w:rPr>
          <w:snapToGrid w:val="0"/>
          <w:lang w:val="en-GB" w:eastAsia="en-US"/>
        </w:rPr>
      </w:pPr>
      <w:r w:rsidRPr="00094AEA">
        <w:rPr>
          <w:snapToGrid w:val="0"/>
          <w:lang w:val="en-GB" w:eastAsia="en-US"/>
        </w:rPr>
        <w:t xml:space="preserve">The PBAC noted the results of the pivotal HIMALAYA trial of STRIDE versus sorafenib found a statistically significant benefit in terms of overall survival (HR 0.76, 95% CI 0.65, 0.89) and the Kaplan-Meier curves favoured STRIDE over the duration of follow-up from approximately 6 months onwards. Whilst there was no statistically significant difference observed in terms of progression free survival, the PBAC was satisfied that STRIDE provides, for some patients, a significant improvement in effectiveness over sorafenib, and by extension, is also likely to be superior to lenvatinib, based on the </w:t>
      </w:r>
      <w:r w:rsidR="009654D4">
        <w:rPr>
          <w:snapToGrid w:val="0"/>
          <w:lang w:val="en-GB" w:eastAsia="en-US"/>
        </w:rPr>
        <w:t xml:space="preserve">previously </w:t>
      </w:r>
      <w:r w:rsidRPr="00094AEA">
        <w:rPr>
          <w:snapToGrid w:val="0"/>
          <w:lang w:val="en-GB" w:eastAsia="en-US"/>
        </w:rPr>
        <w:t>established non-inferiority of these agents (paragraph 11.2, lenvatinib PSD, July 2018 PBAC meeting).</w:t>
      </w:r>
    </w:p>
    <w:p w14:paraId="35D02944" w14:textId="77777777" w:rsidR="000D083B" w:rsidRDefault="00390CBF" w:rsidP="00637B1D">
      <w:pPr>
        <w:pStyle w:val="3-BodyText"/>
        <w:rPr>
          <w:snapToGrid w:val="0"/>
          <w:lang w:val="en-GB" w:eastAsia="en-US"/>
        </w:rPr>
      </w:pPr>
      <w:r>
        <w:rPr>
          <w:snapToGrid w:val="0"/>
          <w:lang w:val="en-GB" w:eastAsia="en-US"/>
        </w:rPr>
        <w:t xml:space="preserve">The PBAC noted that the claim </w:t>
      </w:r>
      <w:r w:rsidRPr="00F10821">
        <w:rPr>
          <w:snapToGrid w:val="0"/>
          <w:lang w:val="en-GB" w:eastAsia="en-US"/>
        </w:rPr>
        <w:t>of non-inferior</w:t>
      </w:r>
      <w:r>
        <w:rPr>
          <w:snapToGrid w:val="0"/>
          <w:lang w:val="en-GB" w:eastAsia="en-US"/>
        </w:rPr>
        <w:t xml:space="preserve"> comparative effectiveness was based on a single-step</w:t>
      </w:r>
      <w:r w:rsidRPr="00F10821">
        <w:rPr>
          <w:snapToGrid w:val="0"/>
          <w:lang w:val="en-GB" w:eastAsia="en-US"/>
        </w:rPr>
        <w:t xml:space="preserve"> </w:t>
      </w:r>
      <w:r>
        <w:rPr>
          <w:snapToGrid w:val="0"/>
          <w:lang w:val="en-GB" w:eastAsia="en-US"/>
        </w:rPr>
        <w:t xml:space="preserve">ITC of STRIDE and atezolizumab + bevacizumab based on the HIMALAYA and IMBRAVE150 trials, with sorafenib as the common comparator. The PBAC noted </w:t>
      </w:r>
      <w:r w:rsidRPr="001D659E">
        <w:rPr>
          <w:snapToGrid w:val="0"/>
          <w:lang w:val="en-GB" w:eastAsia="en-US"/>
        </w:rPr>
        <w:t xml:space="preserve">the claim of non-inferiority in the submission was based on a lack of a statistically significant difference in </w:t>
      </w:r>
      <w:r>
        <w:rPr>
          <w:snapToGrid w:val="0"/>
          <w:lang w:val="en-GB" w:eastAsia="en-US"/>
        </w:rPr>
        <w:t>OS</w:t>
      </w:r>
      <w:r w:rsidRPr="001D659E">
        <w:rPr>
          <w:snapToGrid w:val="0"/>
          <w:lang w:val="en-GB" w:eastAsia="en-US"/>
        </w:rPr>
        <w:t xml:space="preserve"> outcomes</w:t>
      </w:r>
      <w:r>
        <w:rPr>
          <w:snapToGrid w:val="0"/>
          <w:lang w:val="en-GB" w:eastAsia="en-US"/>
        </w:rPr>
        <w:t xml:space="preserve"> and no non-inferiority margin was nominated; and further noted there did not appear to be a margin established in </w:t>
      </w:r>
      <w:r w:rsidR="00AC5F68">
        <w:rPr>
          <w:snapToGrid w:val="0"/>
          <w:lang w:val="en-GB" w:eastAsia="en-US"/>
        </w:rPr>
        <w:t xml:space="preserve">the </w:t>
      </w:r>
      <w:r>
        <w:rPr>
          <w:snapToGrid w:val="0"/>
          <w:lang w:val="en-GB" w:eastAsia="en-US"/>
        </w:rPr>
        <w:t xml:space="preserve">literature for ITCs in BCLC/HCC. The PBAC </w:t>
      </w:r>
      <w:r w:rsidR="0086397E">
        <w:rPr>
          <w:snapToGrid w:val="0"/>
          <w:lang w:val="en-GB" w:eastAsia="en-US"/>
        </w:rPr>
        <w:t>considered</w:t>
      </w:r>
      <w:r>
        <w:rPr>
          <w:snapToGrid w:val="0"/>
          <w:lang w:val="en-GB" w:eastAsia="en-US"/>
        </w:rPr>
        <w:t xml:space="preserve"> that despite the difference in follow up, the comparator arm in the two trials performed similarly, providing some additional confidence that populations in the trials were likely to be comparable. </w:t>
      </w:r>
      <w:r w:rsidRPr="000902BC">
        <w:rPr>
          <w:snapToGrid w:val="0"/>
          <w:lang w:val="en-GB" w:eastAsia="en-US"/>
        </w:rPr>
        <w:t xml:space="preserve">The PBAC noted the results of the ITC for OS did not find a statistically significant difference between STRIDE and atezolizumab + bevacizumab (HR 1.152, 95% CI 0.86, 1.541) and expressed concern that the upper limit of the 95% CI exceeded 1.5 </w:t>
      </w:r>
      <w:r w:rsidR="00C64804">
        <w:rPr>
          <w:snapToGrid w:val="0"/>
          <w:lang w:val="en-GB" w:eastAsia="en-US"/>
        </w:rPr>
        <w:t>and raise</w:t>
      </w:r>
      <w:r w:rsidR="006A2FFD">
        <w:rPr>
          <w:snapToGrid w:val="0"/>
          <w:lang w:val="en-GB" w:eastAsia="en-US"/>
        </w:rPr>
        <w:t>d</w:t>
      </w:r>
      <w:r w:rsidR="00C64804">
        <w:rPr>
          <w:snapToGrid w:val="0"/>
          <w:lang w:val="en-GB" w:eastAsia="en-US"/>
        </w:rPr>
        <w:t xml:space="preserve"> the possibility </w:t>
      </w:r>
      <w:r w:rsidRPr="000902BC">
        <w:rPr>
          <w:snapToGrid w:val="0"/>
          <w:lang w:val="en-GB" w:eastAsia="en-US"/>
        </w:rPr>
        <w:t xml:space="preserve">that </w:t>
      </w:r>
      <w:r w:rsidR="005401BF">
        <w:rPr>
          <w:snapToGrid w:val="0"/>
          <w:lang w:val="en-GB" w:eastAsia="en-US"/>
        </w:rPr>
        <w:t xml:space="preserve">treatment outcome with </w:t>
      </w:r>
      <w:r w:rsidRPr="000902BC">
        <w:rPr>
          <w:snapToGrid w:val="0"/>
          <w:lang w:val="en-GB" w:eastAsia="en-US"/>
        </w:rPr>
        <w:t xml:space="preserve">STRIDE could </w:t>
      </w:r>
      <w:r w:rsidR="00C96EEC">
        <w:rPr>
          <w:snapToGrid w:val="0"/>
          <w:lang w:val="en-GB" w:eastAsia="en-US"/>
        </w:rPr>
        <w:t xml:space="preserve">be </w:t>
      </w:r>
      <w:r w:rsidRPr="000902BC">
        <w:rPr>
          <w:snapToGrid w:val="0"/>
          <w:lang w:val="en-GB" w:eastAsia="en-US"/>
        </w:rPr>
        <w:t xml:space="preserve">worse than </w:t>
      </w:r>
      <w:r w:rsidR="005401BF">
        <w:rPr>
          <w:snapToGrid w:val="0"/>
          <w:lang w:val="en-GB" w:eastAsia="en-US"/>
        </w:rPr>
        <w:t xml:space="preserve">for </w:t>
      </w:r>
      <w:r w:rsidRPr="000902BC">
        <w:rPr>
          <w:snapToGrid w:val="0"/>
          <w:lang w:val="en-GB" w:eastAsia="en-US"/>
        </w:rPr>
        <w:t>atezolizumab + bevacizumab. However, the Committee considered the substantial difference in follow-up between the trials complicated interpretation of the results of the anchored ITC and considered the matching-adjusted indirect comparison (MAIC) presented in the PSCR was informative and additionally supportive.</w:t>
      </w:r>
    </w:p>
    <w:p w14:paraId="26AC1655" w14:textId="77777777" w:rsidR="000D083B" w:rsidRDefault="00390CBF" w:rsidP="00637B1D">
      <w:pPr>
        <w:pStyle w:val="3-BodyText"/>
        <w:rPr>
          <w:snapToGrid w:val="0"/>
          <w:lang w:val="en-GB" w:eastAsia="en-US"/>
        </w:rPr>
      </w:pPr>
      <w:r w:rsidRPr="000902BC">
        <w:rPr>
          <w:snapToGrid w:val="0"/>
          <w:lang w:val="en-GB" w:eastAsia="en-US"/>
        </w:rPr>
        <w:t>The PBAC noted the results of the MAIC, which used a Cox proportional hazards model and piecewise analyses to stratify groups by treatment duration of less than 9 months or 9</w:t>
      </w:r>
      <w:r w:rsidR="00C86CCD">
        <w:rPr>
          <w:snapToGrid w:val="0"/>
          <w:lang w:val="en-GB" w:eastAsia="en-US"/>
        </w:rPr>
        <w:t xml:space="preserve"> to</w:t>
      </w:r>
      <w:r w:rsidRPr="000902BC">
        <w:rPr>
          <w:snapToGrid w:val="0"/>
          <w:lang w:val="en-GB" w:eastAsia="en-US"/>
        </w:rPr>
        <w:t>26.9 months (Table 8)</w:t>
      </w:r>
      <w:r w:rsidR="00A45E67">
        <w:rPr>
          <w:snapToGrid w:val="0"/>
          <w:lang w:val="en-GB" w:eastAsia="en-US"/>
        </w:rPr>
        <w:t>,</w:t>
      </w:r>
      <w:r w:rsidRPr="000902BC">
        <w:rPr>
          <w:snapToGrid w:val="0"/>
          <w:lang w:val="en-GB" w:eastAsia="en-US"/>
        </w:rPr>
        <w:t xml:space="preserve"> suggested </w:t>
      </w:r>
      <w:r w:rsidR="00A45E67">
        <w:rPr>
          <w:snapToGrid w:val="0"/>
          <w:lang w:val="en-GB" w:eastAsia="en-US"/>
        </w:rPr>
        <w:t>an</w:t>
      </w:r>
      <w:r w:rsidR="00A45E67" w:rsidRPr="000902BC">
        <w:rPr>
          <w:snapToGrid w:val="0"/>
          <w:lang w:val="en-GB" w:eastAsia="en-US"/>
        </w:rPr>
        <w:t xml:space="preserve"> </w:t>
      </w:r>
      <w:r w:rsidRPr="000902BC">
        <w:rPr>
          <w:snapToGrid w:val="0"/>
          <w:lang w:val="en-GB" w:eastAsia="en-US"/>
        </w:rPr>
        <w:t xml:space="preserve">improvement in the HR of OS in the longer </w:t>
      </w:r>
      <w:r w:rsidRPr="000902BC">
        <w:rPr>
          <w:snapToGrid w:val="0"/>
          <w:lang w:val="en-GB" w:eastAsia="en-US"/>
        </w:rPr>
        <w:lastRenderedPageBreak/>
        <w:t>term (MAIC &lt;9 mths</w:t>
      </w:r>
      <w:r w:rsidR="000439B0">
        <w:rPr>
          <w:snapToGrid w:val="0"/>
          <w:lang w:val="en-GB" w:eastAsia="en-US"/>
        </w:rPr>
        <w:t>,</w:t>
      </w:r>
      <w:r w:rsidRPr="000902BC">
        <w:rPr>
          <w:snapToGrid w:val="0"/>
          <w:lang w:val="en-GB" w:eastAsia="en-US"/>
        </w:rPr>
        <w:t xml:space="preserve"> HR 1.19, 95% CI 0.76, 1.87; versus 9</w:t>
      </w:r>
      <w:r w:rsidR="009B0051">
        <w:rPr>
          <w:snapToGrid w:val="0"/>
          <w:lang w:val="en-GB" w:eastAsia="en-US"/>
        </w:rPr>
        <w:t xml:space="preserve"> to </w:t>
      </w:r>
      <w:r w:rsidRPr="000902BC">
        <w:rPr>
          <w:snapToGrid w:val="0"/>
          <w:lang w:val="en-GB" w:eastAsia="en-US"/>
        </w:rPr>
        <w:t>26.9 mths</w:t>
      </w:r>
      <w:r w:rsidR="000439B0">
        <w:rPr>
          <w:snapToGrid w:val="0"/>
          <w:lang w:val="en-GB" w:eastAsia="en-US"/>
        </w:rPr>
        <w:t>,</w:t>
      </w:r>
      <w:r w:rsidRPr="000902BC">
        <w:rPr>
          <w:snapToGrid w:val="0"/>
          <w:lang w:val="en-GB" w:eastAsia="en-US"/>
        </w:rPr>
        <w:t xml:space="preserve"> HR 0.96, 95% CI 0.61, 1.51). Overall, the PBAC agreed with the ESC and considered the results of the MAIC were generally similar to the unadjusted ITC and provided some additional support for the claim of non-inferior comparative effectiveness, and considered that whilst some uncertainty remained, the claim was likely to be reasonable.</w:t>
      </w:r>
    </w:p>
    <w:p w14:paraId="4A1B851C" w14:textId="77777777" w:rsidR="000D083B" w:rsidRDefault="009D3A19" w:rsidP="00637B1D">
      <w:pPr>
        <w:pStyle w:val="3-BodyText"/>
        <w:rPr>
          <w:snapToGrid w:val="0"/>
          <w:lang w:val="en-GB" w:eastAsia="en-US"/>
        </w:rPr>
      </w:pPr>
      <w:r w:rsidRPr="009D3A19">
        <w:rPr>
          <w:snapToGrid w:val="0"/>
          <w:lang w:val="en-GB" w:eastAsia="en-US"/>
        </w:rPr>
        <w:t>With regards to comparative safety, the PBAC noted the results of the ITC did not suggest any major differences in safety and considered the claim of non-inferiority was overall supported. Furthermore, the PBAC acknowledged the longer follow-up for STRIDE and noted that safety profile appeared to be consistent over the longer term.</w:t>
      </w:r>
    </w:p>
    <w:p w14:paraId="53020573" w14:textId="77777777" w:rsidR="000D083B" w:rsidRDefault="005866BD" w:rsidP="00637B1D">
      <w:pPr>
        <w:pStyle w:val="3-BodyText"/>
        <w:rPr>
          <w:snapToGrid w:val="0"/>
          <w:lang w:val="en-GB" w:eastAsia="en-US"/>
        </w:rPr>
      </w:pPr>
      <w:r w:rsidRPr="7F0BD753">
        <w:rPr>
          <w:snapToGrid w:val="0"/>
          <w:lang w:val="en-GB" w:eastAsia="en-US"/>
        </w:rPr>
        <w:t>The PBAC noted the submission requested the listing of STRIDE on a cost minimisation basis with atezolizumab with bevacizumab</w:t>
      </w:r>
      <w:r w:rsidR="00CD28F8">
        <w:rPr>
          <w:snapToGrid w:val="0"/>
          <w:lang w:val="en-GB" w:eastAsia="en-US"/>
        </w:rPr>
        <w:t xml:space="preserve"> </w:t>
      </w:r>
      <w:r w:rsidR="00000FAB">
        <w:rPr>
          <w:snapToGrid w:val="0"/>
          <w:lang w:val="en-GB" w:eastAsia="en-US"/>
        </w:rPr>
        <w:t xml:space="preserve">and </w:t>
      </w:r>
      <w:r w:rsidRPr="7F0BD753">
        <w:rPr>
          <w:snapToGrid w:val="0"/>
          <w:lang w:val="en-GB" w:eastAsia="en-US"/>
        </w:rPr>
        <w:t>considered this was reasonable</w:t>
      </w:r>
      <w:r w:rsidR="00000FAB">
        <w:rPr>
          <w:snapToGrid w:val="0"/>
          <w:lang w:val="en-GB" w:eastAsia="en-US"/>
        </w:rPr>
        <w:t>.</w:t>
      </w:r>
      <w:r w:rsidRPr="7F0BD753">
        <w:rPr>
          <w:snapToGrid w:val="0"/>
          <w:lang w:val="en-GB" w:eastAsia="en-US"/>
        </w:rPr>
        <w:t xml:space="preserve"> </w:t>
      </w:r>
      <w:r w:rsidR="00146B2D">
        <w:rPr>
          <w:snapToGrid w:val="0"/>
          <w:lang w:val="en-GB" w:eastAsia="en-US"/>
        </w:rPr>
        <w:t>T</w:t>
      </w:r>
      <w:r w:rsidRPr="7F0BD753">
        <w:rPr>
          <w:snapToGrid w:val="0"/>
          <w:lang w:val="en-GB" w:eastAsia="en-US"/>
        </w:rPr>
        <w:t xml:space="preserve">he Committee considered it was inappropriate for the median treatment duration (durvalumab = 5.5 mths, atezolizumab = 8.4 mths, bevacizumab = 7.0 mths) to be used for determining the treatment durations and equi-effective doses for the cost minimisation approach (CMA), but considered other aspects of the approach, including the use of direct medicine costs (albeit based on </w:t>
      </w:r>
      <w:r w:rsidR="00BE6975">
        <w:rPr>
          <w:snapToGrid w:val="0"/>
          <w:lang w:val="en-GB" w:eastAsia="en-US"/>
        </w:rPr>
        <w:t>assumed effective</w:t>
      </w:r>
      <w:r w:rsidRPr="7F0BD753">
        <w:rPr>
          <w:snapToGrid w:val="0"/>
          <w:lang w:val="en-GB" w:eastAsia="en-US"/>
        </w:rPr>
        <w:t xml:space="preserve"> prices</w:t>
      </w:r>
      <w:r w:rsidR="00CD28F8">
        <w:rPr>
          <w:snapToGrid w:val="0"/>
          <w:lang w:val="en-GB" w:eastAsia="en-US"/>
        </w:rPr>
        <w:t xml:space="preserve"> in the submission</w:t>
      </w:r>
      <w:r w:rsidRPr="7F0BD753">
        <w:rPr>
          <w:snapToGrid w:val="0"/>
          <w:lang w:val="en-GB" w:eastAsia="en-US"/>
        </w:rPr>
        <w:t xml:space="preserve">), dose intensity and MBS costs/offsets were reasonable. The PBAC also considered that it was reasonable to include STRIDE rechallenge patient data in the CMA, as </w:t>
      </w:r>
      <w:r w:rsidR="000A24D6">
        <w:rPr>
          <w:snapToGrid w:val="0"/>
          <w:lang w:val="en-GB" w:eastAsia="en-US"/>
        </w:rPr>
        <w:t>the impact of excluding these patients from the clinical co</w:t>
      </w:r>
      <w:r w:rsidR="00DB3CDC">
        <w:rPr>
          <w:snapToGrid w:val="0"/>
          <w:lang w:val="en-GB" w:eastAsia="en-US"/>
        </w:rPr>
        <w:t>mparison</w:t>
      </w:r>
      <w:r w:rsidR="000A24D6">
        <w:rPr>
          <w:snapToGrid w:val="0"/>
          <w:lang w:val="en-GB" w:eastAsia="en-US"/>
        </w:rPr>
        <w:t xml:space="preserve"> was unable to be assessed.</w:t>
      </w:r>
    </w:p>
    <w:p w14:paraId="7492EE5C" w14:textId="77777777" w:rsidR="000D083B" w:rsidRDefault="005866BD" w:rsidP="00637B1D">
      <w:pPr>
        <w:pStyle w:val="3-BodyText"/>
        <w:rPr>
          <w:snapToGrid w:val="0"/>
          <w:lang w:val="en-GB" w:eastAsia="en-US"/>
        </w:rPr>
      </w:pPr>
      <w:r w:rsidRPr="7F0BD753">
        <w:rPr>
          <w:snapToGrid w:val="0"/>
          <w:lang w:val="en-GB" w:eastAsia="en-US"/>
        </w:rPr>
        <w:t xml:space="preserve">The PBAC considered it was established practice for CMAs for therapies </w:t>
      </w:r>
      <w:r w:rsidR="00AD33B5">
        <w:rPr>
          <w:snapToGrid w:val="0"/>
          <w:lang w:val="en-GB" w:eastAsia="en-US"/>
        </w:rPr>
        <w:t xml:space="preserve">of </w:t>
      </w:r>
      <w:r w:rsidRPr="7F0BD753">
        <w:rPr>
          <w:snapToGrid w:val="0"/>
          <w:lang w:val="en-GB" w:eastAsia="en-US"/>
        </w:rPr>
        <w:t>this type to use mean treatment durations from the clinical trials to determine equi-effective doses</w:t>
      </w:r>
      <w:r w:rsidR="00D845A9">
        <w:rPr>
          <w:snapToGrid w:val="0"/>
          <w:lang w:val="en-GB" w:eastAsia="en-US"/>
        </w:rPr>
        <w:t>.</w:t>
      </w:r>
      <w:r w:rsidRPr="7F0BD753">
        <w:rPr>
          <w:snapToGrid w:val="0"/>
          <w:lang w:val="en-GB" w:eastAsia="en-US"/>
        </w:rPr>
        <w:t xml:space="preserve"> </w:t>
      </w:r>
      <w:r w:rsidR="00D845A9">
        <w:rPr>
          <w:snapToGrid w:val="0"/>
          <w:lang w:val="en-GB" w:eastAsia="en-US"/>
        </w:rPr>
        <w:t>H</w:t>
      </w:r>
      <w:r w:rsidRPr="7F0BD753">
        <w:rPr>
          <w:snapToGrid w:val="0"/>
          <w:lang w:val="en-GB" w:eastAsia="en-US"/>
        </w:rPr>
        <w:t>owever</w:t>
      </w:r>
      <w:r w:rsidR="00F8708F">
        <w:rPr>
          <w:snapToGrid w:val="0"/>
          <w:lang w:val="en-GB" w:eastAsia="en-US"/>
        </w:rPr>
        <w:t>, the Committee</w:t>
      </w:r>
      <w:r w:rsidRPr="7F0BD753">
        <w:rPr>
          <w:snapToGrid w:val="0"/>
          <w:lang w:val="en-GB" w:eastAsia="en-US"/>
        </w:rPr>
        <w:t xml:space="preserve"> </w:t>
      </w:r>
      <w:r w:rsidR="001F427C">
        <w:rPr>
          <w:snapToGrid w:val="0"/>
          <w:lang w:val="en-GB" w:eastAsia="en-US"/>
        </w:rPr>
        <w:t xml:space="preserve">also </w:t>
      </w:r>
      <w:r w:rsidR="00F8708F">
        <w:rPr>
          <w:snapToGrid w:val="0"/>
          <w:lang w:val="en-GB" w:eastAsia="en-US"/>
        </w:rPr>
        <w:t>acknow</w:t>
      </w:r>
      <w:r w:rsidR="004350C6">
        <w:rPr>
          <w:snapToGrid w:val="0"/>
          <w:lang w:val="en-GB" w:eastAsia="en-US"/>
        </w:rPr>
        <w:t>l</w:t>
      </w:r>
      <w:r w:rsidR="00F8708F">
        <w:rPr>
          <w:snapToGrid w:val="0"/>
          <w:lang w:val="en-GB" w:eastAsia="en-US"/>
        </w:rPr>
        <w:t>edged</w:t>
      </w:r>
      <w:r w:rsidR="001F427C">
        <w:rPr>
          <w:snapToGrid w:val="0"/>
          <w:lang w:val="en-GB" w:eastAsia="en-US"/>
        </w:rPr>
        <w:t xml:space="preserve"> </w:t>
      </w:r>
      <w:r w:rsidRPr="7F0BD753">
        <w:rPr>
          <w:snapToGrid w:val="0"/>
          <w:lang w:val="en-GB" w:eastAsia="en-US"/>
        </w:rPr>
        <w:t xml:space="preserve">the substantial difference in follow-up duration between the STRIDE and atezolizumab + bevacizumab trials has a substantial impact on the </w:t>
      </w:r>
      <w:r w:rsidR="009D097D">
        <w:rPr>
          <w:snapToGrid w:val="0"/>
          <w:lang w:val="en-GB" w:eastAsia="en-US"/>
        </w:rPr>
        <w:t xml:space="preserve">CMA </w:t>
      </w:r>
      <w:r w:rsidRPr="7F0BD753">
        <w:rPr>
          <w:snapToGrid w:val="0"/>
          <w:lang w:val="en-GB" w:eastAsia="en-US"/>
        </w:rPr>
        <w:t>results, and the mean treatment duration from IMBRAVE150 for atezolizumab (6.8 mths) + bevacizumab (6.5 mths) is likely to be artificially low due to the substantially shorter duration of follow-up, which would disadvantage STRIDE. The PBAC noted atezolizumab + bevacizumab has been listed on the PBS for BCLC/HCC for more than 4 years, and</w:t>
      </w:r>
      <w:r w:rsidR="00B175AE">
        <w:rPr>
          <w:snapToGrid w:val="0"/>
          <w:lang w:val="en-GB" w:eastAsia="en-US"/>
        </w:rPr>
        <w:t xml:space="preserve"> considered</w:t>
      </w:r>
      <w:r w:rsidRPr="7F0BD753">
        <w:rPr>
          <w:snapToGrid w:val="0"/>
          <w:lang w:val="en-GB" w:eastAsia="en-US"/>
        </w:rPr>
        <w:t xml:space="preserve"> the mean treatment duration on the PBS may provide an alternative </w:t>
      </w:r>
      <w:r w:rsidR="001506E0">
        <w:rPr>
          <w:snapToGrid w:val="0"/>
          <w:lang w:val="en-GB" w:eastAsia="en-US"/>
        </w:rPr>
        <w:t>source to inform</w:t>
      </w:r>
      <w:r w:rsidRPr="7F0BD753">
        <w:rPr>
          <w:snapToGrid w:val="0"/>
          <w:lang w:val="en-GB" w:eastAsia="en-US"/>
        </w:rPr>
        <w:t xml:space="preserve"> the CMA, </w:t>
      </w:r>
      <w:r w:rsidR="0018258F">
        <w:rPr>
          <w:snapToGrid w:val="0"/>
          <w:lang w:val="en-GB" w:eastAsia="en-US"/>
        </w:rPr>
        <w:t>that</w:t>
      </w:r>
      <w:r w:rsidRPr="7F0BD753">
        <w:rPr>
          <w:snapToGrid w:val="0"/>
          <w:lang w:val="en-GB" w:eastAsia="en-US"/>
        </w:rPr>
        <w:t xml:space="preserve"> would be </w:t>
      </w:r>
      <w:r w:rsidR="007402B2">
        <w:rPr>
          <w:snapToGrid w:val="0"/>
          <w:lang w:val="en-GB" w:eastAsia="en-US"/>
        </w:rPr>
        <w:t>more comparable</w:t>
      </w:r>
      <w:r w:rsidR="007402B2" w:rsidRPr="7F0BD753">
        <w:rPr>
          <w:snapToGrid w:val="0"/>
          <w:lang w:val="en-GB" w:eastAsia="en-US"/>
        </w:rPr>
        <w:t xml:space="preserve"> </w:t>
      </w:r>
      <w:r w:rsidRPr="7F0BD753">
        <w:rPr>
          <w:snapToGrid w:val="0"/>
          <w:lang w:val="en-GB" w:eastAsia="en-US"/>
        </w:rPr>
        <w:t xml:space="preserve">to the duration of follow-up available for STRIDE from the HIMALAYA trial. The PBAC noted an analysis undertaken by the Department, based on approximately </w:t>
      </w:r>
      <w:r w:rsidR="00D413F3" w:rsidRPr="7F0BD753">
        <w:rPr>
          <w:snapToGrid w:val="0"/>
          <w:lang w:val="en-GB" w:eastAsia="en-US"/>
        </w:rPr>
        <w:t>4 years and 4 months</w:t>
      </w:r>
      <w:r w:rsidRPr="7F0BD753">
        <w:rPr>
          <w:snapToGrid w:val="0"/>
          <w:lang w:val="en-GB" w:eastAsia="en-US"/>
        </w:rPr>
        <w:t xml:space="preserve"> years of PBS listing data, found a mean treatment duration of 307 days for atezolizumab (not reported for bevacizumab) and considered this was a more reasonable treatment duration input for determining the equi-effective doses of STRIDE and atezolizumab + bevacizumab, and also considered the input for STRIDE should remain based on the HIMALAYA trial (durvalumab = 11.6</w:t>
      </w:r>
      <w:r w:rsidR="0025273A">
        <w:rPr>
          <w:snapToGrid w:val="0"/>
          <w:lang w:val="en-GB" w:eastAsia="en-US"/>
        </w:rPr>
        <w:t> </w:t>
      </w:r>
      <w:r w:rsidRPr="7F0BD753">
        <w:rPr>
          <w:snapToGrid w:val="0"/>
          <w:lang w:val="en-GB" w:eastAsia="en-US"/>
        </w:rPr>
        <w:t>mths).</w:t>
      </w:r>
    </w:p>
    <w:p w14:paraId="1DDB6E84" w14:textId="7AF28B63" w:rsidR="00C911D7" w:rsidRDefault="00C911D7" w:rsidP="00637B1D">
      <w:pPr>
        <w:pStyle w:val="3-BodyText"/>
        <w:rPr>
          <w:lang w:val="en-GB" w:eastAsia="en-US"/>
        </w:rPr>
      </w:pPr>
      <w:r w:rsidRPr="7F0BD753">
        <w:rPr>
          <w:snapToGrid w:val="0"/>
          <w:lang w:val="en-GB" w:eastAsia="en-US"/>
        </w:rPr>
        <w:t>The PBAC noted the submission estimated the listing of STRIDE would result in a net sav</w:t>
      </w:r>
      <w:r w:rsidR="34E3B148" w:rsidRPr="7F0BD753">
        <w:rPr>
          <w:lang w:val="en-GB" w:eastAsia="en-US"/>
        </w:rPr>
        <w:t>ing</w:t>
      </w:r>
      <w:r w:rsidRPr="7F0BD753">
        <w:rPr>
          <w:snapToGrid w:val="0"/>
          <w:lang w:val="en-GB" w:eastAsia="en-US"/>
        </w:rPr>
        <w:t xml:space="preserve"> to the PBS over 6 years, however </w:t>
      </w:r>
      <w:r w:rsidR="00E16138">
        <w:rPr>
          <w:snapToGrid w:val="0"/>
          <w:lang w:val="en-GB" w:eastAsia="en-US"/>
        </w:rPr>
        <w:t>noted</w:t>
      </w:r>
      <w:r w:rsidRPr="7F0BD753">
        <w:rPr>
          <w:snapToGrid w:val="0"/>
          <w:lang w:val="en-GB" w:eastAsia="en-US"/>
        </w:rPr>
        <w:t xml:space="preserve"> these </w:t>
      </w:r>
      <w:r w:rsidR="6910D77A" w:rsidRPr="7F0BD753">
        <w:rPr>
          <w:snapToGrid w:val="0"/>
          <w:lang w:val="en-GB" w:eastAsia="en-US"/>
        </w:rPr>
        <w:t xml:space="preserve">analyses </w:t>
      </w:r>
      <w:r w:rsidRPr="7F0BD753">
        <w:rPr>
          <w:snapToGrid w:val="0"/>
          <w:lang w:val="en-GB" w:eastAsia="en-US"/>
        </w:rPr>
        <w:t xml:space="preserve">were based on assumed effective prices. However, the PBAC noted the inputs to the estimates (outlined in </w:t>
      </w:r>
      <w:r w:rsidR="00E16138" w:rsidRPr="00E16138">
        <w:rPr>
          <w:rFonts w:cstheme="minorHAnsi"/>
          <w:snapToGrid w:val="0"/>
          <w:lang w:val="en-GB" w:eastAsia="en-US"/>
        </w:rPr>
        <w:fldChar w:fldCharType="begin"/>
      </w:r>
      <w:r w:rsidR="00E16138" w:rsidRPr="00E16138">
        <w:rPr>
          <w:rFonts w:cstheme="minorHAnsi"/>
          <w:snapToGrid w:val="0"/>
          <w:lang w:val="en-GB" w:eastAsia="en-US"/>
        </w:rPr>
        <w:instrText xml:space="preserve"> REF _Ref104805262 \h </w:instrText>
      </w:r>
      <w:r w:rsidR="00E16138">
        <w:rPr>
          <w:rFonts w:cstheme="minorHAnsi"/>
          <w:snapToGrid w:val="0"/>
          <w:lang w:val="en-GB" w:eastAsia="en-US"/>
        </w:rPr>
        <w:instrText xml:space="preserve"> \* MERGEFORMAT </w:instrText>
      </w:r>
      <w:r w:rsidR="00E16138" w:rsidRPr="00E16138">
        <w:rPr>
          <w:rFonts w:cstheme="minorHAnsi"/>
          <w:snapToGrid w:val="0"/>
          <w:lang w:val="en-GB" w:eastAsia="en-US"/>
        </w:rPr>
      </w:r>
      <w:r w:rsidR="00E16138" w:rsidRPr="00E16138">
        <w:rPr>
          <w:rFonts w:cstheme="minorHAnsi"/>
          <w:snapToGrid w:val="0"/>
          <w:lang w:val="en-GB" w:eastAsia="en-US"/>
        </w:rPr>
        <w:fldChar w:fldCharType="separate"/>
      </w:r>
      <w:r w:rsidR="00AC295B" w:rsidRPr="00AC295B">
        <w:rPr>
          <w:rFonts w:cstheme="minorHAnsi"/>
        </w:rPr>
        <w:t xml:space="preserve">Table </w:t>
      </w:r>
      <w:r w:rsidR="00AC295B" w:rsidRPr="00AC295B">
        <w:rPr>
          <w:rFonts w:cstheme="minorHAnsi"/>
          <w:noProof/>
        </w:rPr>
        <w:t>12</w:t>
      </w:r>
      <w:r w:rsidR="00E16138" w:rsidRPr="00E16138">
        <w:rPr>
          <w:rFonts w:cstheme="minorHAnsi"/>
          <w:snapToGrid w:val="0"/>
          <w:lang w:val="en-GB" w:eastAsia="en-US"/>
        </w:rPr>
        <w:fldChar w:fldCharType="end"/>
      </w:r>
      <w:r w:rsidRPr="7F0BD753">
        <w:rPr>
          <w:snapToGrid w:val="0"/>
          <w:lang w:val="en-GB" w:eastAsia="en-US"/>
        </w:rPr>
        <w:t xml:space="preserve">) were generally reasonable </w:t>
      </w:r>
      <w:r w:rsidR="0047718C">
        <w:rPr>
          <w:snapToGrid w:val="0"/>
          <w:lang w:val="en-GB" w:eastAsia="en-US"/>
        </w:rPr>
        <w:t xml:space="preserve">(but would need to be updated to align with the </w:t>
      </w:r>
      <w:r w:rsidR="0047718C">
        <w:rPr>
          <w:snapToGrid w:val="0"/>
          <w:lang w:val="en-GB" w:eastAsia="en-US"/>
        </w:rPr>
        <w:lastRenderedPageBreak/>
        <w:t xml:space="preserve">equi-effective </w:t>
      </w:r>
      <w:r w:rsidR="002F2E05">
        <w:rPr>
          <w:snapToGrid w:val="0"/>
          <w:lang w:val="en-GB" w:eastAsia="en-US"/>
        </w:rPr>
        <w:t xml:space="preserve">doses and treatment durations described in paragraph </w:t>
      </w:r>
      <w:r w:rsidR="002F2E05">
        <w:rPr>
          <w:snapToGrid w:val="0"/>
          <w:lang w:val="en-GB" w:eastAsia="en-US"/>
        </w:rPr>
        <w:fldChar w:fldCharType="begin"/>
      </w:r>
      <w:r w:rsidR="002F2E05">
        <w:rPr>
          <w:snapToGrid w:val="0"/>
          <w:lang w:val="en-GB" w:eastAsia="en-US"/>
        </w:rPr>
        <w:instrText xml:space="preserve"> REF _Ref198909932 \r \h </w:instrText>
      </w:r>
      <w:r w:rsidR="00637B1D">
        <w:rPr>
          <w:snapToGrid w:val="0"/>
          <w:lang w:val="en-GB" w:eastAsia="en-US"/>
        </w:rPr>
        <w:instrText xml:space="preserve"> \* MERGEFORMAT </w:instrText>
      </w:r>
      <w:r w:rsidR="002F2E05">
        <w:rPr>
          <w:snapToGrid w:val="0"/>
          <w:lang w:val="en-GB" w:eastAsia="en-US"/>
        </w:rPr>
      </w:r>
      <w:r w:rsidR="002F2E05">
        <w:rPr>
          <w:snapToGrid w:val="0"/>
          <w:lang w:val="en-GB" w:eastAsia="en-US"/>
        </w:rPr>
        <w:fldChar w:fldCharType="separate"/>
      </w:r>
      <w:r w:rsidR="00AC295B">
        <w:rPr>
          <w:snapToGrid w:val="0"/>
          <w:lang w:val="en-GB" w:eastAsia="en-US"/>
        </w:rPr>
        <w:t>7.2</w:t>
      </w:r>
      <w:r w:rsidR="002F2E05">
        <w:rPr>
          <w:snapToGrid w:val="0"/>
          <w:lang w:val="en-GB" w:eastAsia="en-US"/>
        </w:rPr>
        <w:fldChar w:fldCharType="end"/>
      </w:r>
      <w:r w:rsidR="002F2E05">
        <w:rPr>
          <w:snapToGrid w:val="0"/>
          <w:lang w:val="en-GB" w:eastAsia="en-US"/>
        </w:rPr>
        <w:t>)</w:t>
      </w:r>
      <w:r w:rsidRPr="7F0BD753">
        <w:rPr>
          <w:snapToGrid w:val="0"/>
          <w:lang w:val="en-GB" w:eastAsia="en-US"/>
        </w:rPr>
        <w:t xml:space="preserve"> and considered that, if listed on a cost minimisation basis with atezolizumab + bevacizumab, that the listing would likely be cost neutral to the PBS.</w:t>
      </w:r>
      <w:r w:rsidR="000862C0" w:rsidRPr="7F0BD753">
        <w:rPr>
          <w:snapToGrid w:val="0"/>
          <w:lang w:val="en-GB" w:eastAsia="en-US"/>
        </w:rPr>
        <w:t xml:space="preserve"> </w:t>
      </w:r>
      <w:r w:rsidR="004821A7">
        <w:rPr>
          <w:snapToGrid w:val="0"/>
          <w:lang w:val="en-GB" w:eastAsia="en-US"/>
        </w:rPr>
        <w:t>The PBAC considered it was appropriate for STRIDE to join the existing Risk Sharing Arrangement for atezolizumab</w:t>
      </w:r>
      <w:r w:rsidR="007D5271">
        <w:rPr>
          <w:snapToGrid w:val="0"/>
          <w:lang w:val="en-GB" w:eastAsia="en-US"/>
        </w:rPr>
        <w:t xml:space="preserve"> for </w:t>
      </w:r>
      <w:r w:rsidR="00036229">
        <w:rPr>
          <w:snapToGrid w:val="0"/>
          <w:lang w:val="en-GB" w:eastAsia="en-US"/>
        </w:rPr>
        <w:t>this indication</w:t>
      </w:r>
      <w:r w:rsidR="00890505">
        <w:rPr>
          <w:snapToGrid w:val="0"/>
          <w:lang w:val="en-GB" w:eastAsia="en-US"/>
        </w:rPr>
        <w:t xml:space="preserve"> with no </w:t>
      </w:r>
      <w:r w:rsidR="00036229">
        <w:rPr>
          <w:snapToGrid w:val="0"/>
          <w:lang w:val="en-GB" w:eastAsia="en-US"/>
        </w:rPr>
        <w:t>increase</w:t>
      </w:r>
      <w:r w:rsidR="00890505">
        <w:rPr>
          <w:snapToGrid w:val="0"/>
          <w:lang w:val="en-GB" w:eastAsia="en-US"/>
        </w:rPr>
        <w:t xml:space="preserve"> to existing cap</w:t>
      </w:r>
      <w:r w:rsidR="00257624">
        <w:rPr>
          <w:snapToGrid w:val="0"/>
          <w:lang w:val="en-GB" w:eastAsia="en-US"/>
        </w:rPr>
        <w:t>s</w:t>
      </w:r>
      <w:r w:rsidR="004821A7">
        <w:rPr>
          <w:snapToGrid w:val="0"/>
          <w:lang w:val="en-GB" w:eastAsia="en-US"/>
        </w:rPr>
        <w:t>.</w:t>
      </w:r>
    </w:p>
    <w:p w14:paraId="08BD0F54" w14:textId="0C335695" w:rsidR="000862C0" w:rsidRDefault="00DB1D87" w:rsidP="00637B1D">
      <w:pPr>
        <w:pStyle w:val="3-BodyText"/>
        <w:rPr>
          <w:snapToGrid w:val="0"/>
          <w:lang w:val="en-GB" w:eastAsia="en-US"/>
        </w:rPr>
      </w:pPr>
      <w:r w:rsidRPr="00DB1D87">
        <w:rPr>
          <w:snapToGrid w:val="0"/>
          <w:lang w:val="en-GB" w:eastAsia="en-US"/>
        </w:rPr>
        <w:t xml:space="preserve">The PBAC advised that, under Section 101(3BA) of the </w:t>
      </w:r>
      <w:r w:rsidRPr="00354CCD">
        <w:rPr>
          <w:i/>
          <w:iCs/>
          <w:snapToGrid w:val="0"/>
          <w:lang w:val="en-GB" w:eastAsia="en-US"/>
        </w:rPr>
        <w:t>National Health Act 1953</w:t>
      </w:r>
      <w:r w:rsidRPr="00DB1D87">
        <w:rPr>
          <w:snapToGrid w:val="0"/>
          <w:lang w:val="en-GB" w:eastAsia="en-US"/>
        </w:rPr>
        <w:t>, that tremelimumab should not be treated as interchangeable with any other drugs.</w:t>
      </w:r>
    </w:p>
    <w:p w14:paraId="74915886" w14:textId="77777777" w:rsidR="000D083B" w:rsidRDefault="00DB1D87" w:rsidP="00637B1D">
      <w:pPr>
        <w:pStyle w:val="3-BodyText"/>
        <w:rPr>
          <w:bCs/>
          <w:snapToGrid w:val="0"/>
          <w:lang w:val="en-GB" w:eastAsia="en-US"/>
        </w:rPr>
      </w:pPr>
      <w:r w:rsidRPr="00453BF2">
        <w:rPr>
          <w:bCs/>
          <w:snapToGrid w:val="0"/>
          <w:lang w:val="en-GB" w:eastAsia="en-US"/>
        </w:rPr>
        <w:t xml:space="preserve">The PBAC advised that </w:t>
      </w:r>
      <w:r>
        <w:rPr>
          <w:bCs/>
          <w:snapToGrid w:val="0"/>
          <w:lang w:val="en-GB" w:eastAsia="en-US"/>
        </w:rPr>
        <w:t>STRIDE</w:t>
      </w:r>
      <w:r w:rsidRPr="00453BF2">
        <w:rPr>
          <w:bCs/>
          <w:snapToGrid w:val="0"/>
          <w:lang w:val="en-GB" w:eastAsia="en-US"/>
        </w:rPr>
        <w:t xml:space="preserve"> is not suitable for prescribing by nurse practitioners.</w:t>
      </w:r>
    </w:p>
    <w:p w14:paraId="277060FD" w14:textId="77777777" w:rsidR="000D083B" w:rsidRDefault="00DB1D87" w:rsidP="00637B1D">
      <w:pPr>
        <w:pStyle w:val="3-BodyText"/>
        <w:rPr>
          <w:snapToGrid w:val="0"/>
          <w:lang w:val="en-GB" w:eastAsia="en-US"/>
        </w:rPr>
      </w:pPr>
      <w:r w:rsidRPr="00DB1D87">
        <w:rPr>
          <w:snapToGrid w:val="0"/>
          <w:lang w:val="en-GB" w:eastAsia="en-US"/>
        </w:rPr>
        <w:t>The PBAC recommended that the Early Supply Rule should not apply as it currently cannot be applied to Section 100 - Efficient Funding of Chemotherapy listings.</w:t>
      </w:r>
    </w:p>
    <w:p w14:paraId="4CD17388" w14:textId="7506F84C" w:rsidR="00DB1D87" w:rsidRPr="00DB1D87" w:rsidRDefault="00DB1D87" w:rsidP="00637B1D">
      <w:pPr>
        <w:pStyle w:val="3-BodyText"/>
        <w:rPr>
          <w:snapToGrid w:val="0"/>
          <w:lang w:val="en-GB" w:eastAsia="en-US"/>
        </w:rPr>
      </w:pPr>
      <w:r w:rsidRPr="006171B5">
        <w:rPr>
          <w:snapToGrid w:val="0"/>
          <w:lang w:val="en-GB" w:eastAsia="en-US"/>
        </w:rPr>
        <w:t xml:space="preserve">The PBAC noted that its recommendation was on a cost-minimisation basis and advised that, because </w:t>
      </w:r>
      <w:r>
        <w:rPr>
          <w:snapToGrid w:val="0"/>
          <w:lang w:val="en-GB" w:eastAsia="en-US"/>
        </w:rPr>
        <w:t xml:space="preserve">durvalumab + </w:t>
      </w:r>
      <w:proofErr w:type="spellStart"/>
      <w:r>
        <w:rPr>
          <w:snapToGrid w:val="0"/>
          <w:lang w:val="en-GB" w:eastAsia="en-US"/>
        </w:rPr>
        <w:t>tremelimumab</w:t>
      </w:r>
      <w:proofErr w:type="spellEnd"/>
      <w:r>
        <w:rPr>
          <w:snapToGrid w:val="0"/>
          <w:lang w:val="en-GB" w:eastAsia="en-US"/>
        </w:rPr>
        <w:t xml:space="preserve"> (</w:t>
      </w:r>
      <w:proofErr w:type="spellStart"/>
      <w:r>
        <w:rPr>
          <w:snapToGrid w:val="0"/>
          <w:lang w:val="en-GB" w:eastAsia="en-US"/>
        </w:rPr>
        <w:t>a.k.a</w:t>
      </w:r>
      <w:proofErr w:type="spellEnd"/>
      <w:r>
        <w:rPr>
          <w:snapToGrid w:val="0"/>
          <w:lang w:val="en-GB" w:eastAsia="en-US"/>
        </w:rPr>
        <w:t xml:space="preserve"> STRIDE) </w:t>
      </w:r>
      <w:r w:rsidRPr="006171B5">
        <w:rPr>
          <w:snapToGrid w:val="0"/>
          <w:lang w:val="en-GB" w:eastAsia="en-US"/>
        </w:rPr>
        <w:t xml:space="preserve">is not expected to provide a substantial and clinically relevant improvement in efficacy, or reduction of toxicity, over </w:t>
      </w:r>
      <w:r>
        <w:rPr>
          <w:snapToGrid w:val="0"/>
          <w:lang w:val="en-GB" w:eastAsia="en-US"/>
        </w:rPr>
        <w:t>atezolizumab + bevacizumab</w:t>
      </w:r>
      <w:r w:rsidRPr="006171B5">
        <w:rPr>
          <w:snapToGrid w:val="0"/>
          <w:lang w:val="en-GB" w:eastAsia="en-US"/>
        </w:rPr>
        <w:t xml:space="preserve">, the criteria prescribed by the </w:t>
      </w:r>
      <w:r w:rsidRPr="005F46F4">
        <w:rPr>
          <w:i/>
          <w:iCs/>
          <w:snapToGrid w:val="0"/>
          <w:lang w:val="en-GB" w:eastAsia="en-US"/>
        </w:rPr>
        <w:t>National Health (Pharmaceuticals and Vaccines – Cost Recovery) Regulations 2022</w:t>
      </w:r>
      <w:r w:rsidRPr="006171B5">
        <w:rPr>
          <w:snapToGrid w:val="0"/>
          <w:lang w:val="en-GB" w:eastAsia="en-US"/>
        </w:rPr>
        <w:t xml:space="preserve"> for Pricing Pathway A were not met.</w:t>
      </w:r>
    </w:p>
    <w:p w14:paraId="132A9994" w14:textId="1FEE208D" w:rsidR="00453BF2" w:rsidRPr="00E16138" w:rsidDel="000F0A3A" w:rsidRDefault="00DB1D87" w:rsidP="00637B1D">
      <w:pPr>
        <w:pStyle w:val="3-BodyText"/>
        <w:rPr>
          <w:bCs/>
          <w:snapToGrid w:val="0"/>
          <w:lang w:val="en-GB" w:eastAsia="en-US"/>
        </w:rPr>
      </w:pPr>
      <w:r w:rsidRPr="000C2198">
        <w:rPr>
          <w:bCs/>
          <w:snapToGrid w:val="0"/>
          <w:lang w:val="en-GB" w:eastAsia="en-US"/>
        </w:rPr>
        <w:t>The PBAC noted that this submission is not eligible for an Independent Review as it received a positive recommendation.</w:t>
      </w:r>
    </w:p>
    <w:p w14:paraId="64528D2B" w14:textId="77777777" w:rsidR="00453BF2" w:rsidRPr="00453BF2" w:rsidRDefault="00453BF2" w:rsidP="00453BF2">
      <w:pPr>
        <w:spacing w:before="240"/>
        <w:rPr>
          <w:rFonts w:asciiTheme="minorHAnsi" w:hAnsiTheme="minorHAnsi" w:cs="Arial"/>
          <w:b/>
          <w:bCs/>
          <w:snapToGrid w:val="0"/>
          <w:lang w:val="en-GB" w:eastAsia="en-US"/>
        </w:rPr>
      </w:pPr>
      <w:r w:rsidRPr="00453BF2">
        <w:rPr>
          <w:rFonts w:asciiTheme="minorHAnsi" w:hAnsiTheme="minorHAnsi" w:cs="Arial"/>
          <w:b/>
          <w:bCs/>
          <w:snapToGrid w:val="0"/>
          <w:lang w:val="en-GB" w:eastAsia="en-US"/>
        </w:rPr>
        <w:t>Outcome:</w:t>
      </w:r>
    </w:p>
    <w:p w14:paraId="18B6738A" w14:textId="77777777" w:rsidR="000D083B" w:rsidRDefault="00453BF2" w:rsidP="00453BF2">
      <w:pPr>
        <w:spacing w:after="120"/>
        <w:rPr>
          <w:rFonts w:asciiTheme="minorHAnsi" w:hAnsiTheme="minorHAnsi" w:cs="Arial"/>
          <w:bCs/>
          <w:snapToGrid w:val="0"/>
          <w:lang w:val="en-GB" w:eastAsia="en-US"/>
        </w:rPr>
      </w:pPr>
      <w:r w:rsidRPr="00453BF2">
        <w:rPr>
          <w:rFonts w:asciiTheme="minorHAnsi" w:hAnsiTheme="minorHAnsi" w:cs="Arial"/>
          <w:bCs/>
          <w:snapToGrid w:val="0"/>
          <w:lang w:val="en-GB" w:eastAsia="en-US"/>
        </w:rPr>
        <w:t>Recommended</w:t>
      </w:r>
    </w:p>
    <w:bookmarkEnd w:id="43"/>
    <w:p w14:paraId="2B920361" w14:textId="07887328" w:rsidR="00453BF2" w:rsidRPr="00453BF2" w:rsidRDefault="00453BF2" w:rsidP="00177D10">
      <w:pPr>
        <w:keepNext/>
        <w:numPr>
          <w:ilvl w:val="0"/>
          <w:numId w:val="1"/>
        </w:numPr>
        <w:spacing w:before="240" w:after="120"/>
        <w:outlineLvl w:val="0"/>
        <w:rPr>
          <w:rFonts w:asciiTheme="minorHAnsi" w:hAnsiTheme="minorHAnsi" w:cs="Arial"/>
          <w:b/>
          <w:snapToGrid w:val="0"/>
          <w:sz w:val="32"/>
          <w:szCs w:val="32"/>
        </w:rPr>
      </w:pPr>
      <w:r w:rsidRPr="00453BF2">
        <w:rPr>
          <w:rFonts w:asciiTheme="minorHAnsi" w:hAnsiTheme="minorHAnsi" w:cs="Arial"/>
          <w:b/>
          <w:snapToGrid w:val="0"/>
          <w:sz w:val="32"/>
          <w:szCs w:val="32"/>
        </w:rPr>
        <w:t>Recommended listing</w:t>
      </w:r>
    </w:p>
    <w:p w14:paraId="55738F31" w14:textId="5BC7EDE4" w:rsidR="002F042C" w:rsidRPr="002F042C" w:rsidRDefault="00453BF2" w:rsidP="006D1FB9">
      <w:pPr>
        <w:pStyle w:val="3-BodyText"/>
        <w:rPr>
          <w:b/>
          <w:snapToGrid w:val="0"/>
          <w:lang w:eastAsia="en-US"/>
        </w:rPr>
      </w:pPr>
      <w:r w:rsidRPr="002F042C">
        <w:rPr>
          <w:snapToGrid w:val="0"/>
          <w:lang w:eastAsia="en-US"/>
        </w:rPr>
        <w:t>Add new item:</w:t>
      </w:r>
    </w:p>
    <w:p w14:paraId="663BED58" w14:textId="44261726" w:rsidR="002F042C" w:rsidRPr="009B708C" w:rsidRDefault="002F042C" w:rsidP="0025273A">
      <w:pPr>
        <w:pStyle w:val="5-SubsectionSubheading"/>
        <w:keepNext w:val="0"/>
        <w:spacing w:before="0" w:after="120"/>
        <w:outlineLvl w:val="9"/>
        <w:rPr>
          <w:u w:val="none"/>
        </w:rPr>
      </w:pPr>
      <w:r w:rsidRPr="009B708C">
        <w:rPr>
          <w:u w:val="none"/>
        </w:rPr>
        <w:t>Tremelimumab – initial once-off treatment</w:t>
      </w:r>
      <w:r w:rsidR="000D083B">
        <w:rPr>
          <w:u w: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973"/>
        <w:gridCol w:w="1973"/>
        <w:gridCol w:w="1969"/>
        <w:gridCol w:w="7"/>
      </w:tblGrid>
      <w:tr w:rsidR="009B708C" w:rsidRPr="00D7733D" w14:paraId="774177F8" w14:textId="77777777" w:rsidTr="0034363B">
        <w:trPr>
          <w:cantSplit/>
          <w:trHeight w:val="20"/>
        </w:trPr>
        <w:tc>
          <w:tcPr>
            <w:tcW w:w="1716" w:type="pct"/>
            <w:vAlign w:val="center"/>
          </w:tcPr>
          <w:p w14:paraId="51786A18" w14:textId="77777777" w:rsidR="009B708C" w:rsidRPr="00D7733D" w:rsidRDefault="009B708C" w:rsidP="0025273A">
            <w:pPr>
              <w:rPr>
                <w:rFonts w:ascii="Arial Narrow" w:hAnsi="Arial Narrow"/>
                <w:b/>
                <w:bCs/>
                <w:sz w:val="20"/>
                <w:szCs w:val="20"/>
              </w:rPr>
            </w:pPr>
            <w:r w:rsidRPr="00D7733D">
              <w:rPr>
                <w:rFonts w:ascii="Arial Narrow" w:hAnsi="Arial Narrow"/>
                <w:b/>
                <w:bCs/>
                <w:sz w:val="20"/>
                <w:szCs w:val="20"/>
              </w:rPr>
              <w:t>MEDICINAL PRODUCT</w:t>
            </w:r>
          </w:p>
          <w:p w14:paraId="138AEDF8" w14:textId="77777777" w:rsidR="009B708C" w:rsidRPr="00D7733D" w:rsidRDefault="009B708C" w:rsidP="0025273A">
            <w:pPr>
              <w:rPr>
                <w:rFonts w:ascii="Arial Narrow" w:hAnsi="Arial Narrow" w:cs="Arial"/>
                <w:b/>
                <w:sz w:val="20"/>
                <w:szCs w:val="20"/>
              </w:rPr>
            </w:pPr>
            <w:r w:rsidRPr="00D7733D">
              <w:rPr>
                <w:rFonts w:ascii="Arial Narrow" w:hAnsi="Arial Narrow" w:cs="Arial"/>
                <w:b/>
                <w:sz w:val="20"/>
                <w:szCs w:val="20"/>
              </w:rPr>
              <w:t>Form</w:t>
            </w:r>
          </w:p>
        </w:tc>
        <w:tc>
          <w:tcPr>
            <w:tcW w:w="1094" w:type="pct"/>
            <w:vAlign w:val="center"/>
          </w:tcPr>
          <w:p w14:paraId="53D7EF00" w14:textId="77777777" w:rsidR="009B708C" w:rsidRPr="00D7733D" w:rsidRDefault="009B708C" w:rsidP="0025273A">
            <w:pPr>
              <w:jc w:val="center"/>
              <w:rPr>
                <w:rFonts w:ascii="Arial Narrow" w:hAnsi="Arial Narrow" w:cs="Arial"/>
                <w:b/>
                <w:sz w:val="20"/>
                <w:szCs w:val="20"/>
              </w:rPr>
            </w:pPr>
            <w:r w:rsidRPr="00D7733D">
              <w:rPr>
                <w:rFonts w:ascii="Arial Narrow" w:hAnsi="Arial Narrow" w:cs="Arial"/>
                <w:b/>
                <w:sz w:val="20"/>
                <w:szCs w:val="20"/>
              </w:rPr>
              <w:t>PBS item code</w:t>
            </w:r>
          </w:p>
        </w:tc>
        <w:tc>
          <w:tcPr>
            <w:tcW w:w="1094" w:type="pct"/>
            <w:vAlign w:val="center"/>
          </w:tcPr>
          <w:p w14:paraId="1DF8BDC6" w14:textId="77777777" w:rsidR="009B708C" w:rsidRPr="00D7733D" w:rsidRDefault="009B708C" w:rsidP="0025273A">
            <w:pPr>
              <w:jc w:val="center"/>
              <w:rPr>
                <w:rFonts w:ascii="Arial Narrow" w:hAnsi="Arial Narrow" w:cs="Arial"/>
                <w:b/>
                <w:sz w:val="20"/>
                <w:szCs w:val="20"/>
              </w:rPr>
            </w:pPr>
            <w:r w:rsidRPr="00D7733D">
              <w:rPr>
                <w:rFonts w:ascii="Arial Narrow" w:hAnsi="Arial Narrow" w:cs="Arial"/>
                <w:b/>
                <w:sz w:val="20"/>
                <w:szCs w:val="20"/>
              </w:rPr>
              <w:t>Max. Amount</w:t>
            </w:r>
          </w:p>
        </w:tc>
        <w:tc>
          <w:tcPr>
            <w:tcW w:w="1096" w:type="pct"/>
            <w:gridSpan w:val="2"/>
            <w:vAlign w:val="center"/>
          </w:tcPr>
          <w:p w14:paraId="6A95288C" w14:textId="77777777" w:rsidR="009B708C" w:rsidRPr="00D7733D" w:rsidRDefault="009B708C" w:rsidP="0025273A">
            <w:pPr>
              <w:jc w:val="center"/>
              <w:rPr>
                <w:rFonts w:ascii="Arial Narrow" w:hAnsi="Arial Narrow" w:cs="Arial"/>
                <w:b/>
                <w:bCs/>
                <w:sz w:val="20"/>
                <w:szCs w:val="20"/>
              </w:rPr>
            </w:pPr>
            <w:r w:rsidRPr="00D7733D">
              <w:rPr>
                <w:rFonts w:ascii="Arial Narrow" w:hAnsi="Arial Narrow" w:cs="Arial"/>
                <w:b/>
                <w:bCs/>
                <w:sz w:val="20"/>
                <w:szCs w:val="20"/>
              </w:rPr>
              <w:t>№.of Rpts</w:t>
            </w:r>
          </w:p>
        </w:tc>
      </w:tr>
      <w:tr w:rsidR="009B708C" w:rsidRPr="00D7733D" w14:paraId="48486CB0" w14:textId="77777777" w:rsidTr="0034363B">
        <w:trPr>
          <w:cantSplit/>
          <w:trHeight w:val="20"/>
        </w:trPr>
        <w:tc>
          <w:tcPr>
            <w:tcW w:w="1716" w:type="pct"/>
            <w:vAlign w:val="center"/>
          </w:tcPr>
          <w:p w14:paraId="25A461A0" w14:textId="77777777" w:rsidR="009B708C" w:rsidRPr="00D7733D" w:rsidRDefault="009B708C" w:rsidP="0025273A">
            <w:pPr>
              <w:rPr>
                <w:rFonts w:ascii="Arial Narrow" w:hAnsi="Arial Narrow" w:cs="Arial"/>
                <w:sz w:val="20"/>
                <w:szCs w:val="20"/>
              </w:rPr>
            </w:pPr>
            <w:r w:rsidRPr="00D7733D">
              <w:rPr>
                <w:rFonts w:ascii="Arial Narrow" w:hAnsi="Arial Narrow" w:cs="Arial"/>
                <w:sz w:val="20"/>
                <w:szCs w:val="20"/>
              </w:rPr>
              <w:t>TREMELIMUMAB</w:t>
            </w:r>
          </w:p>
          <w:p w14:paraId="2E420CC5" w14:textId="77777777" w:rsidR="009B708C" w:rsidRPr="00D7733D" w:rsidRDefault="009B708C" w:rsidP="0025273A">
            <w:pPr>
              <w:rPr>
                <w:rFonts w:ascii="Arial Narrow" w:hAnsi="Arial Narrow" w:cs="Arial"/>
                <w:sz w:val="20"/>
                <w:szCs w:val="20"/>
              </w:rPr>
            </w:pPr>
            <w:r w:rsidRPr="00D7733D">
              <w:rPr>
                <w:rFonts w:ascii="Arial Narrow" w:hAnsi="Arial Narrow" w:cs="Arial"/>
                <w:sz w:val="20"/>
                <w:szCs w:val="20"/>
              </w:rPr>
              <w:t>Injection</w:t>
            </w:r>
          </w:p>
        </w:tc>
        <w:tc>
          <w:tcPr>
            <w:tcW w:w="1094" w:type="pct"/>
            <w:vAlign w:val="center"/>
          </w:tcPr>
          <w:p w14:paraId="36F0ACA5" w14:textId="77777777" w:rsidR="009B708C" w:rsidRPr="00D7733D" w:rsidRDefault="009B708C" w:rsidP="0025273A">
            <w:pPr>
              <w:jc w:val="center"/>
              <w:rPr>
                <w:rFonts w:ascii="Arial Narrow" w:hAnsi="Arial Narrow" w:cs="Arial"/>
                <w:sz w:val="20"/>
                <w:szCs w:val="20"/>
              </w:rPr>
            </w:pPr>
            <w:r w:rsidRPr="00D7733D">
              <w:rPr>
                <w:rFonts w:ascii="Arial Narrow" w:hAnsi="Arial Narrow" w:cs="Arial"/>
                <w:sz w:val="20"/>
                <w:szCs w:val="20"/>
              </w:rPr>
              <w:t>{NEW (Public)}</w:t>
            </w:r>
            <w:r w:rsidRPr="00D7733D">
              <w:rPr>
                <w:rFonts w:ascii="Arial Narrow" w:hAnsi="Arial Narrow" w:cs="Arial"/>
                <w:sz w:val="20"/>
                <w:szCs w:val="20"/>
              </w:rPr>
              <w:br/>
              <w:t>{NEW (Private)}</w:t>
            </w:r>
          </w:p>
        </w:tc>
        <w:tc>
          <w:tcPr>
            <w:tcW w:w="1094" w:type="pct"/>
            <w:vAlign w:val="center"/>
          </w:tcPr>
          <w:p w14:paraId="4A1C0FEE" w14:textId="77777777" w:rsidR="009B708C" w:rsidRPr="00D7733D" w:rsidRDefault="009B708C" w:rsidP="0025273A">
            <w:pPr>
              <w:jc w:val="center"/>
              <w:rPr>
                <w:rFonts w:ascii="Arial Narrow" w:hAnsi="Arial Narrow" w:cs="Arial"/>
                <w:sz w:val="20"/>
                <w:szCs w:val="20"/>
              </w:rPr>
            </w:pPr>
            <w:r w:rsidRPr="00D7733D">
              <w:rPr>
                <w:rFonts w:ascii="Arial Narrow" w:hAnsi="Arial Narrow" w:cs="Arial"/>
                <w:sz w:val="20"/>
                <w:szCs w:val="20"/>
              </w:rPr>
              <w:t>300mg</w:t>
            </w:r>
          </w:p>
        </w:tc>
        <w:tc>
          <w:tcPr>
            <w:tcW w:w="1096" w:type="pct"/>
            <w:gridSpan w:val="2"/>
            <w:vAlign w:val="center"/>
          </w:tcPr>
          <w:p w14:paraId="319BFD12" w14:textId="77777777" w:rsidR="009B708C" w:rsidRPr="00D7733D" w:rsidRDefault="009B708C" w:rsidP="0025273A">
            <w:pPr>
              <w:jc w:val="center"/>
              <w:rPr>
                <w:rFonts w:ascii="Arial Narrow" w:hAnsi="Arial Narrow" w:cs="Arial"/>
                <w:sz w:val="20"/>
                <w:szCs w:val="20"/>
              </w:rPr>
            </w:pPr>
            <w:r w:rsidRPr="00D7733D">
              <w:rPr>
                <w:rFonts w:ascii="Arial Narrow" w:hAnsi="Arial Narrow" w:cs="Arial"/>
                <w:sz w:val="20"/>
                <w:szCs w:val="20"/>
              </w:rPr>
              <w:t>0</w:t>
            </w:r>
          </w:p>
        </w:tc>
      </w:tr>
      <w:tr w:rsidR="009B708C" w:rsidRPr="00D7733D" w14:paraId="15D857B8" w14:textId="77777777" w:rsidTr="0034363B">
        <w:trPr>
          <w:cantSplit/>
          <w:trHeight w:val="20"/>
        </w:trPr>
        <w:tc>
          <w:tcPr>
            <w:tcW w:w="5000" w:type="pct"/>
            <w:gridSpan w:val="5"/>
            <w:vAlign w:val="center"/>
          </w:tcPr>
          <w:p w14:paraId="1D7E6AEA" w14:textId="77777777" w:rsidR="009B708C" w:rsidRPr="00D7733D" w:rsidRDefault="009B708C" w:rsidP="0025273A">
            <w:pPr>
              <w:rPr>
                <w:rFonts w:ascii="Arial Narrow" w:hAnsi="Arial Narrow"/>
                <w:b/>
                <w:sz w:val="20"/>
                <w:szCs w:val="20"/>
              </w:rPr>
            </w:pPr>
            <w:r w:rsidRPr="00D7733D">
              <w:rPr>
                <w:rFonts w:ascii="Arial Narrow" w:hAnsi="Arial Narrow"/>
                <w:b/>
                <w:sz w:val="20"/>
                <w:szCs w:val="20"/>
              </w:rPr>
              <w:t xml:space="preserve">Available brands </w:t>
            </w:r>
          </w:p>
        </w:tc>
      </w:tr>
      <w:tr w:rsidR="009B708C" w:rsidRPr="00D7733D" w14:paraId="193B8AA9" w14:textId="77777777" w:rsidTr="0034363B">
        <w:trPr>
          <w:cantSplit/>
          <w:trHeight w:val="20"/>
        </w:trPr>
        <w:tc>
          <w:tcPr>
            <w:tcW w:w="5000" w:type="pct"/>
            <w:gridSpan w:val="5"/>
            <w:vAlign w:val="center"/>
          </w:tcPr>
          <w:p w14:paraId="27A9F6FA" w14:textId="77777777" w:rsidR="009B708C" w:rsidRPr="00D7733D" w:rsidRDefault="009B708C" w:rsidP="0025273A">
            <w:pPr>
              <w:rPr>
                <w:rFonts w:ascii="Arial Narrow" w:hAnsi="Arial Narrow" w:cs="Arial"/>
                <w:sz w:val="20"/>
                <w:szCs w:val="20"/>
              </w:rPr>
            </w:pPr>
            <w:proofErr w:type="spellStart"/>
            <w:r w:rsidRPr="00D7733D">
              <w:rPr>
                <w:rFonts w:ascii="Arial Narrow" w:hAnsi="Arial Narrow" w:cs="Arial"/>
                <w:sz w:val="20"/>
                <w:szCs w:val="20"/>
              </w:rPr>
              <w:t>Imjudo</w:t>
            </w:r>
            <w:proofErr w:type="spellEnd"/>
          </w:p>
          <w:p w14:paraId="3E749316" w14:textId="77777777" w:rsidR="009B708C" w:rsidRPr="00D7733D" w:rsidRDefault="009B708C" w:rsidP="0025273A">
            <w:pPr>
              <w:rPr>
                <w:rFonts w:ascii="Arial Narrow" w:hAnsi="Arial Narrow" w:cs="Arial"/>
                <w:sz w:val="20"/>
                <w:szCs w:val="20"/>
              </w:rPr>
            </w:pPr>
            <w:r w:rsidRPr="00D7733D">
              <w:rPr>
                <w:rFonts w:ascii="Arial Narrow" w:hAnsi="Arial Narrow" w:cs="Arial"/>
                <w:sz w:val="20"/>
                <w:szCs w:val="20"/>
              </w:rPr>
              <w:t>(300 mg/15mL injection, 15 mL vial)</w:t>
            </w:r>
          </w:p>
        </w:tc>
      </w:tr>
      <w:tr w:rsidR="009B708C" w:rsidRPr="00D7733D" w14:paraId="5A806248" w14:textId="77777777" w:rsidTr="0034363B">
        <w:trPr>
          <w:cantSplit/>
          <w:trHeight w:val="20"/>
        </w:trPr>
        <w:tc>
          <w:tcPr>
            <w:tcW w:w="5000" w:type="pct"/>
            <w:gridSpan w:val="5"/>
            <w:vAlign w:val="center"/>
          </w:tcPr>
          <w:p w14:paraId="1C433CCE" w14:textId="77777777" w:rsidR="009B708C" w:rsidRPr="00D7733D" w:rsidRDefault="009B708C" w:rsidP="0025273A">
            <w:pPr>
              <w:rPr>
                <w:rFonts w:ascii="Arial Narrow" w:hAnsi="Arial Narrow" w:cs="Arial"/>
                <w:sz w:val="20"/>
                <w:szCs w:val="20"/>
              </w:rPr>
            </w:pPr>
          </w:p>
        </w:tc>
      </w:tr>
      <w:tr w:rsidR="009B708C" w:rsidRPr="00D7733D" w14:paraId="6C8395E4" w14:textId="77777777" w:rsidTr="0034363B">
        <w:trPr>
          <w:cantSplit/>
          <w:trHeight w:val="20"/>
        </w:trPr>
        <w:tc>
          <w:tcPr>
            <w:tcW w:w="5000" w:type="pct"/>
            <w:gridSpan w:val="5"/>
            <w:vAlign w:val="center"/>
          </w:tcPr>
          <w:p w14:paraId="0A474DE2" w14:textId="77777777" w:rsidR="009B708C" w:rsidRPr="00D7733D" w:rsidRDefault="009B708C" w:rsidP="0025273A">
            <w:pPr>
              <w:rPr>
                <w:rFonts w:ascii="Arial Narrow" w:hAnsi="Arial Narrow" w:cs="Arial"/>
                <w:color w:val="FF0000"/>
                <w:sz w:val="20"/>
                <w:szCs w:val="20"/>
              </w:rPr>
            </w:pPr>
            <w:r w:rsidRPr="00D7733D">
              <w:rPr>
                <w:rFonts w:ascii="Arial Narrow" w:hAnsi="Arial Narrow"/>
                <w:b/>
                <w:sz w:val="20"/>
                <w:szCs w:val="20"/>
              </w:rPr>
              <w:t>Restriction Summary [new1]/ Treatment of Concept: [new1A]</w:t>
            </w:r>
          </w:p>
        </w:tc>
      </w:tr>
      <w:tr w:rsidR="00531585" w:rsidRPr="00D7733D" w14:paraId="5304BEFA"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7A6014A4" w14:textId="77777777" w:rsidR="00531585" w:rsidRPr="00D7733D" w:rsidRDefault="00531585" w:rsidP="0034363B">
            <w:pPr>
              <w:keepNext/>
              <w:rPr>
                <w:rFonts w:ascii="Arial Narrow" w:hAnsi="Arial Narrow" w:cs="Arial"/>
                <w:sz w:val="20"/>
                <w:szCs w:val="20"/>
              </w:rPr>
            </w:pPr>
            <w:r w:rsidRPr="00D7733D">
              <w:rPr>
                <w:rFonts w:ascii="Arial Narrow" w:hAnsi="Arial Narrow" w:cs="Arial"/>
                <w:b/>
                <w:bCs/>
                <w:sz w:val="20"/>
                <w:szCs w:val="20"/>
              </w:rPr>
              <w:t xml:space="preserve">Category / Program: </w:t>
            </w:r>
            <w:r w:rsidRPr="00D7733D">
              <w:rPr>
                <w:rFonts w:ascii="Arial Narrow" w:hAnsi="Arial Narrow" w:cs="Arial"/>
                <w:sz w:val="20"/>
                <w:szCs w:val="20"/>
              </w:rPr>
              <w:t xml:space="preserve">Section 100 – Efficient Funding of Chemotherapy Public/Private hospitals </w:t>
            </w:r>
          </w:p>
        </w:tc>
      </w:tr>
      <w:tr w:rsidR="00531585" w:rsidRPr="00D7733D" w14:paraId="3405FF8B"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691DB718" w14:textId="77777777" w:rsidR="00531585" w:rsidRPr="00D7733D" w:rsidRDefault="00531585" w:rsidP="0034363B">
            <w:pPr>
              <w:keepNext/>
              <w:rPr>
                <w:rFonts w:ascii="Arial Narrow" w:hAnsi="Arial Narrow" w:cs="Arial"/>
                <w:b/>
                <w:bCs/>
                <w:sz w:val="20"/>
                <w:szCs w:val="20"/>
              </w:rPr>
            </w:pPr>
            <w:r w:rsidRPr="00D7733D">
              <w:rPr>
                <w:rFonts w:ascii="Arial Narrow" w:hAnsi="Arial Narrow" w:cs="Arial"/>
                <w:b/>
                <w:bCs/>
                <w:sz w:val="20"/>
                <w:szCs w:val="20"/>
              </w:rPr>
              <w:t xml:space="preserve">Prescriber type: </w:t>
            </w:r>
            <w:r w:rsidRPr="00D7733D">
              <w:rPr>
                <w:rFonts w:ascii="Arial Narrow" w:hAnsi="Arial Narrow" w:cs="Arial"/>
                <w:sz w:val="20"/>
                <w:szCs w:val="20"/>
              </w:rPr>
              <w:fldChar w:fldCharType="begin">
                <w:ffData>
                  <w:name w:val=""/>
                  <w:enabled/>
                  <w:calcOnExit w:val="0"/>
                  <w:checkBox>
                    <w:sizeAuto/>
                    <w:default w:val="1"/>
                  </w:checkBox>
                </w:ffData>
              </w:fldChar>
            </w:r>
            <w:r w:rsidRPr="00D7733D">
              <w:rPr>
                <w:rFonts w:ascii="Arial Narrow" w:hAnsi="Arial Narrow" w:cs="Arial"/>
                <w:sz w:val="20"/>
                <w:szCs w:val="20"/>
              </w:rPr>
              <w:instrText xml:space="preserve"> FORMCHECKBOX </w:instrText>
            </w:r>
            <w:r w:rsidRPr="00D7733D">
              <w:rPr>
                <w:rFonts w:ascii="Arial Narrow" w:hAnsi="Arial Narrow" w:cs="Arial"/>
                <w:sz w:val="20"/>
                <w:szCs w:val="20"/>
              </w:rPr>
            </w:r>
            <w:r w:rsidRPr="00D7733D">
              <w:rPr>
                <w:rFonts w:ascii="Arial Narrow" w:hAnsi="Arial Narrow" w:cs="Arial"/>
                <w:sz w:val="20"/>
                <w:szCs w:val="20"/>
              </w:rPr>
              <w:fldChar w:fldCharType="separate"/>
            </w:r>
            <w:r w:rsidRPr="00D7733D">
              <w:rPr>
                <w:rFonts w:ascii="Arial Narrow" w:hAnsi="Arial Narrow" w:cs="Arial"/>
                <w:sz w:val="20"/>
                <w:szCs w:val="20"/>
              </w:rPr>
              <w:fldChar w:fldCharType="end"/>
            </w:r>
            <w:r w:rsidRPr="00D7733D">
              <w:rPr>
                <w:rFonts w:ascii="Arial Narrow" w:hAnsi="Arial Narrow" w:cs="Arial"/>
                <w:sz w:val="20"/>
                <w:szCs w:val="20"/>
              </w:rPr>
              <w:t xml:space="preserve">Medical Practitioners </w:t>
            </w:r>
          </w:p>
        </w:tc>
      </w:tr>
      <w:tr w:rsidR="00531585" w:rsidRPr="00D7733D" w14:paraId="144AC80F"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7992EAE8" w14:textId="77777777" w:rsidR="00531585" w:rsidRPr="00D7733D" w:rsidRDefault="00531585" w:rsidP="0034363B">
            <w:pPr>
              <w:rPr>
                <w:rFonts w:ascii="Arial Narrow" w:eastAsia="Calibri" w:hAnsi="Arial Narrow" w:cs="Arial"/>
                <w:sz w:val="20"/>
                <w:szCs w:val="20"/>
              </w:rPr>
            </w:pPr>
            <w:r w:rsidRPr="00D7733D">
              <w:rPr>
                <w:rFonts w:ascii="Arial Narrow" w:hAnsi="Arial Narrow" w:cs="Arial"/>
                <w:b/>
                <w:sz w:val="20"/>
                <w:szCs w:val="20"/>
              </w:rPr>
              <w:t xml:space="preserve">Restriction type: </w:t>
            </w:r>
            <w:r w:rsidRPr="00D7733D">
              <w:rPr>
                <w:rFonts w:ascii="Arial Narrow" w:eastAsia="Calibri" w:hAnsi="Arial Narrow" w:cs="Arial"/>
                <w:sz w:val="20"/>
                <w:szCs w:val="20"/>
              </w:rPr>
              <w:fldChar w:fldCharType="begin">
                <w:ffData>
                  <w:name w:val=""/>
                  <w:enabled/>
                  <w:calcOnExit w:val="0"/>
                  <w:checkBox>
                    <w:sizeAuto/>
                    <w:default w:val="1"/>
                  </w:checkBox>
                </w:ffData>
              </w:fldChar>
            </w:r>
            <w:r w:rsidRPr="00D7733D">
              <w:rPr>
                <w:rFonts w:ascii="Arial Narrow" w:eastAsia="Calibri" w:hAnsi="Arial Narrow" w:cs="Arial"/>
                <w:sz w:val="20"/>
                <w:szCs w:val="20"/>
              </w:rPr>
              <w:instrText xml:space="preserve"> FORMCHECKBOX </w:instrText>
            </w:r>
            <w:r w:rsidRPr="00D7733D">
              <w:rPr>
                <w:rFonts w:ascii="Arial Narrow" w:eastAsia="Calibri" w:hAnsi="Arial Narrow" w:cs="Arial"/>
                <w:sz w:val="20"/>
                <w:szCs w:val="20"/>
              </w:rPr>
            </w:r>
            <w:r w:rsidRPr="00D7733D">
              <w:rPr>
                <w:rFonts w:ascii="Arial Narrow" w:eastAsia="Calibri" w:hAnsi="Arial Narrow" w:cs="Arial"/>
                <w:sz w:val="20"/>
                <w:szCs w:val="20"/>
              </w:rPr>
              <w:fldChar w:fldCharType="separate"/>
            </w:r>
            <w:r w:rsidRPr="00D7733D">
              <w:rPr>
                <w:rFonts w:ascii="Arial Narrow" w:eastAsia="Calibri" w:hAnsi="Arial Narrow" w:cs="Arial"/>
                <w:sz w:val="20"/>
                <w:szCs w:val="20"/>
              </w:rPr>
              <w:fldChar w:fldCharType="end"/>
            </w:r>
            <w:r w:rsidRPr="00D7733D">
              <w:rPr>
                <w:rFonts w:ascii="Arial Narrow" w:eastAsia="Calibri" w:hAnsi="Arial Narrow" w:cs="Arial"/>
                <w:sz w:val="20"/>
                <w:szCs w:val="20"/>
              </w:rPr>
              <w:t>Authority Required (STREAMLINED) [NEW]</w:t>
            </w:r>
            <w:r w:rsidRPr="00D7733D">
              <w:rPr>
                <w:rFonts w:ascii="Arial Narrow" w:eastAsia="Calibri" w:hAnsi="Arial Narrow" w:cs="Arial"/>
                <w:color w:val="FF0000"/>
                <w:sz w:val="20"/>
                <w:szCs w:val="20"/>
              </w:rPr>
              <w:t xml:space="preserve"> </w:t>
            </w:r>
          </w:p>
        </w:tc>
      </w:tr>
      <w:tr w:rsidR="00531585" w:rsidRPr="00D7733D" w14:paraId="650442D6" w14:textId="77777777" w:rsidTr="00531585">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542A9047" w14:textId="77777777" w:rsidR="00531585" w:rsidRPr="00D7733D" w:rsidRDefault="00531585" w:rsidP="0034363B">
            <w:pPr>
              <w:keepLines/>
              <w:contextualSpacing/>
              <w:rPr>
                <w:rFonts w:ascii="Arial Narrow" w:hAnsi="Arial Narrow"/>
                <w:sz w:val="20"/>
                <w:szCs w:val="20"/>
              </w:rPr>
            </w:pPr>
            <w:r w:rsidRPr="00D7733D">
              <w:rPr>
                <w:rFonts w:ascii="Arial Narrow" w:hAnsi="Arial Narrow"/>
                <w:b/>
                <w:bCs/>
                <w:sz w:val="20"/>
                <w:szCs w:val="20"/>
              </w:rPr>
              <w:t>Administrative Advice:</w:t>
            </w:r>
          </w:p>
          <w:p w14:paraId="7FEDE8AD" w14:textId="77777777" w:rsidR="00531585" w:rsidRPr="00D7733D" w:rsidRDefault="00531585" w:rsidP="0034363B">
            <w:pPr>
              <w:keepLines/>
              <w:contextualSpacing/>
              <w:rPr>
                <w:rFonts w:ascii="Arial Narrow" w:hAnsi="Arial Narrow"/>
                <w:sz w:val="20"/>
                <w:szCs w:val="20"/>
              </w:rPr>
            </w:pPr>
            <w:r w:rsidRPr="00D7733D">
              <w:rPr>
                <w:rFonts w:ascii="Arial Narrow" w:hAnsi="Arial Narrow"/>
                <w:sz w:val="20"/>
                <w:szCs w:val="20"/>
              </w:rPr>
              <w:t>No increase in the maximum amount or number of units may be authorised.</w:t>
            </w:r>
          </w:p>
        </w:tc>
      </w:tr>
      <w:tr w:rsidR="00531585" w:rsidRPr="00D7733D" w14:paraId="41BA5FFA" w14:textId="77777777" w:rsidTr="00531585">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3B8B7C34" w14:textId="77777777" w:rsidR="00531585" w:rsidRPr="00D7733D" w:rsidRDefault="00531585" w:rsidP="0034363B">
            <w:pPr>
              <w:keepLines/>
              <w:contextualSpacing/>
              <w:rPr>
                <w:rFonts w:ascii="Arial Narrow" w:hAnsi="Arial Narrow"/>
                <w:b/>
                <w:bCs/>
                <w:sz w:val="20"/>
                <w:szCs w:val="20"/>
              </w:rPr>
            </w:pPr>
            <w:r w:rsidRPr="00D7733D">
              <w:rPr>
                <w:rFonts w:ascii="Arial Narrow" w:hAnsi="Arial Narrow"/>
                <w:b/>
                <w:bCs/>
                <w:sz w:val="20"/>
                <w:szCs w:val="20"/>
              </w:rPr>
              <w:t>Administrative Advice:</w:t>
            </w:r>
          </w:p>
          <w:p w14:paraId="7128B526" w14:textId="77777777" w:rsidR="00531585" w:rsidRPr="00D7733D" w:rsidRDefault="00531585" w:rsidP="0034363B">
            <w:pPr>
              <w:keepLines/>
              <w:contextualSpacing/>
              <w:rPr>
                <w:rFonts w:ascii="Arial Narrow" w:hAnsi="Arial Narrow"/>
                <w:sz w:val="20"/>
                <w:szCs w:val="20"/>
              </w:rPr>
            </w:pPr>
            <w:r w:rsidRPr="00D7733D">
              <w:rPr>
                <w:rFonts w:ascii="Arial Narrow" w:hAnsi="Arial Narrow"/>
                <w:sz w:val="20"/>
                <w:szCs w:val="20"/>
              </w:rPr>
              <w:t>No increase in the maximum number of repeats may be authorised.</w:t>
            </w:r>
          </w:p>
        </w:tc>
      </w:tr>
      <w:tr w:rsidR="00531585" w:rsidRPr="00D7733D" w14:paraId="01F45AFE" w14:textId="77777777" w:rsidTr="00531585">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53DFE107" w14:textId="77777777" w:rsidR="00531585" w:rsidRPr="00D7733D" w:rsidRDefault="00531585" w:rsidP="0034363B">
            <w:pPr>
              <w:keepLines/>
              <w:contextualSpacing/>
              <w:rPr>
                <w:rFonts w:ascii="Arial Narrow" w:hAnsi="Arial Narrow"/>
                <w:b/>
                <w:bCs/>
                <w:sz w:val="20"/>
                <w:szCs w:val="20"/>
              </w:rPr>
            </w:pPr>
            <w:r w:rsidRPr="00D7733D">
              <w:rPr>
                <w:rFonts w:ascii="Arial Narrow" w:hAnsi="Arial Narrow"/>
                <w:b/>
                <w:bCs/>
                <w:sz w:val="20"/>
                <w:szCs w:val="20"/>
              </w:rPr>
              <w:t>Administrative Advice:</w:t>
            </w:r>
          </w:p>
          <w:p w14:paraId="4EC8A1CF" w14:textId="77777777" w:rsidR="00531585" w:rsidRPr="00D7733D" w:rsidRDefault="00531585" w:rsidP="0034363B">
            <w:pPr>
              <w:keepLines/>
              <w:contextualSpacing/>
              <w:rPr>
                <w:rFonts w:ascii="Arial Narrow" w:hAnsi="Arial Narrow"/>
                <w:sz w:val="20"/>
                <w:szCs w:val="20"/>
              </w:rPr>
            </w:pPr>
            <w:r w:rsidRPr="00D7733D">
              <w:rPr>
                <w:rFonts w:ascii="Arial Narrow" w:hAnsi="Arial Narrow"/>
                <w:sz w:val="20"/>
                <w:szCs w:val="20"/>
              </w:rPr>
              <w:t>Special Pricing Arrangements apply.</w:t>
            </w:r>
          </w:p>
        </w:tc>
      </w:tr>
      <w:tr w:rsidR="00531585" w:rsidRPr="00D7733D" w14:paraId="6DEC8BF5"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C406843" w14:textId="77777777" w:rsidR="00531585" w:rsidRPr="00D7733D" w:rsidRDefault="00531585" w:rsidP="0034363B">
            <w:pPr>
              <w:keepLines/>
              <w:rPr>
                <w:rFonts w:ascii="Arial Narrow" w:hAnsi="Arial Narrow"/>
                <w:b/>
                <w:bCs/>
                <w:sz w:val="20"/>
                <w:szCs w:val="20"/>
              </w:rPr>
            </w:pPr>
            <w:r w:rsidRPr="00D7733D">
              <w:rPr>
                <w:rFonts w:ascii="Arial Narrow" w:hAnsi="Arial Narrow"/>
                <w:b/>
                <w:bCs/>
                <w:sz w:val="20"/>
                <w:szCs w:val="20"/>
              </w:rPr>
              <w:lastRenderedPageBreak/>
              <w:t xml:space="preserve">Severity: </w:t>
            </w:r>
            <w:r w:rsidRPr="00D7733D">
              <w:rPr>
                <w:rFonts w:ascii="Arial Narrow" w:hAnsi="Arial Narrow"/>
                <w:bCs/>
                <w:sz w:val="20"/>
                <w:szCs w:val="20"/>
              </w:rPr>
              <w:t xml:space="preserve">Advanced (unresectable) Barcelona Clinic Liver Cancer Stage B or Stage C </w:t>
            </w:r>
            <w:r w:rsidRPr="00D7733D">
              <w:rPr>
                <w:rFonts w:ascii="Arial Narrow" w:hAnsi="Arial Narrow"/>
                <w:bCs/>
                <w:strike/>
                <w:sz w:val="20"/>
                <w:szCs w:val="20"/>
              </w:rPr>
              <w:t>hepatocellular carcinoma</w:t>
            </w:r>
          </w:p>
        </w:tc>
      </w:tr>
      <w:tr w:rsidR="00531585" w:rsidRPr="00D7733D" w14:paraId="6A0BD14F"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1D1D603" w14:textId="77777777" w:rsidR="00531585" w:rsidRPr="00D7733D" w:rsidRDefault="00531585" w:rsidP="0034363B">
            <w:pPr>
              <w:keepLines/>
              <w:rPr>
                <w:rFonts w:ascii="Arial Narrow" w:hAnsi="Arial Narrow"/>
                <w:b/>
                <w:bCs/>
                <w:sz w:val="20"/>
                <w:szCs w:val="20"/>
              </w:rPr>
            </w:pPr>
            <w:r w:rsidRPr="00D7733D">
              <w:rPr>
                <w:rFonts w:ascii="Arial Narrow" w:hAnsi="Arial Narrow"/>
                <w:b/>
                <w:bCs/>
                <w:sz w:val="20"/>
                <w:szCs w:val="20"/>
              </w:rPr>
              <w:t xml:space="preserve">Condition: </w:t>
            </w:r>
            <w:r w:rsidRPr="00D7733D">
              <w:rPr>
                <w:rFonts w:ascii="Arial Narrow" w:hAnsi="Arial Narrow"/>
                <w:bCs/>
                <w:sz w:val="20"/>
                <w:szCs w:val="20"/>
              </w:rPr>
              <w:t>Hepatocellular carcinoma</w:t>
            </w:r>
          </w:p>
        </w:tc>
      </w:tr>
      <w:tr w:rsidR="00531585" w:rsidRPr="00D7733D" w14:paraId="1652EE9F"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0968D8D4" w14:textId="77777777" w:rsidR="00531585" w:rsidRPr="00D7733D" w:rsidRDefault="00531585" w:rsidP="0034363B">
            <w:pPr>
              <w:keepLines/>
              <w:rPr>
                <w:rFonts w:ascii="Arial Narrow" w:hAnsi="Arial Narrow"/>
                <w:sz w:val="20"/>
                <w:szCs w:val="20"/>
              </w:rPr>
            </w:pPr>
            <w:r w:rsidRPr="00D7733D">
              <w:rPr>
                <w:rFonts w:ascii="Arial Narrow" w:hAnsi="Arial Narrow"/>
                <w:b/>
                <w:bCs/>
                <w:sz w:val="20"/>
                <w:szCs w:val="20"/>
              </w:rPr>
              <w:t>Indication:</w:t>
            </w:r>
            <w:r w:rsidRPr="00D7733D">
              <w:rPr>
                <w:rFonts w:ascii="Arial Narrow" w:hAnsi="Arial Narrow"/>
                <w:sz w:val="20"/>
                <w:szCs w:val="20"/>
              </w:rPr>
              <w:t xml:space="preserve"> Advanced (unresectable) Barcelona Clinic Liver Cancer Stage B or Stage C hepatocellular carcinoma</w:t>
            </w:r>
          </w:p>
        </w:tc>
      </w:tr>
      <w:tr w:rsidR="00531585" w:rsidRPr="00D7733D" w14:paraId="5F1488FE"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37A20E8A" w14:textId="77777777" w:rsidR="00531585" w:rsidRPr="00D7733D" w:rsidRDefault="00531585" w:rsidP="0034363B">
            <w:pPr>
              <w:rPr>
                <w:rFonts w:ascii="Arial Narrow" w:hAnsi="Arial Narrow"/>
                <w:sz w:val="20"/>
                <w:szCs w:val="20"/>
              </w:rPr>
            </w:pPr>
            <w:r w:rsidRPr="00D7733D">
              <w:rPr>
                <w:rFonts w:ascii="Arial Narrow" w:hAnsi="Arial Narrow"/>
                <w:b/>
                <w:bCs/>
                <w:sz w:val="20"/>
                <w:szCs w:val="20"/>
              </w:rPr>
              <w:t>Treatment Phase:</w:t>
            </w:r>
            <w:r w:rsidRPr="00D7733D">
              <w:rPr>
                <w:rFonts w:ascii="Arial Narrow" w:hAnsi="Arial Narrow"/>
                <w:sz w:val="20"/>
                <w:szCs w:val="20"/>
              </w:rPr>
              <w:t xml:space="preserve"> Initial </w:t>
            </w:r>
            <w:r w:rsidRPr="00D7733D">
              <w:rPr>
                <w:rFonts w:ascii="Arial Narrow" w:hAnsi="Arial Narrow"/>
                <w:i/>
                <w:iCs/>
                <w:sz w:val="20"/>
                <w:szCs w:val="20"/>
              </w:rPr>
              <w:t>(once-off)</w:t>
            </w:r>
            <w:r w:rsidRPr="00D7733D">
              <w:rPr>
                <w:rFonts w:ascii="Arial Narrow" w:hAnsi="Arial Narrow"/>
                <w:sz w:val="20"/>
                <w:szCs w:val="20"/>
              </w:rPr>
              <w:t xml:space="preserve"> treatment </w:t>
            </w:r>
          </w:p>
        </w:tc>
      </w:tr>
      <w:tr w:rsidR="00531585" w:rsidRPr="00D7733D" w14:paraId="11C220B1"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526898FE" w14:textId="77777777" w:rsidR="00531585" w:rsidRPr="00D7733D" w:rsidRDefault="00531585" w:rsidP="0034363B">
            <w:pPr>
              <w:rPr>
                <w:rFonts w:ascii="Arial Narrow" w:hAnsi="Arial Narrow"/>
                <w:sz w:val="20"/>
                <w:szCs w:val="20"/>
              </w:rPr>
            </w:pPr>
            <w:r w:rsidRPr="00D7733D">
              <w:rPr>
                <w:rFonts w:ascii="Arial Narrow" w:hAnsi="Arial Narrow"/>
                <w:b/>
                <w:bCs/>
                <w:color w:val="333333"/>
                <w:sz w:val="20"/>
                <w:szCs w:val="20"/>
              </w:rPr>
              <w:t xml:space="preserve">Clinical criteria: </w:t>
            </w:r>
          </w:p>
        </w:tc>
      </w:tr>
      <w:tr w:rsidR="00531585" w:rsidRPr="00D7733D" w14:paraId="14DB9A51"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FD9E2B8" w14:textId="77777777" w:rsidR="00531585" w:rsidRPr="00D7733D" w:rsidRDefault="00531585" w:rsidP="0034363B">
            <w:pPr>
              <w:rPr>
                <w:rFonts w:ascii="Arial Narrow" w:hAnsi="Arial Narrow"/>
                <w:b/>
                <w:bCs/>
                <w:color w:val="333333"/>
                <w:sz w:val="20"/>
                <w:szCs w:val="20"/>
              </w:rPr>
            </w:pPr>
            <w:r w:rsidRPr="00D7733D">
              <w:rPr>
                <w:rFonts w:ascii="Arial Narrow" w:hAnsi="Arial Narrow"/>
                <w:color w:val="333333"/>
                <w:sz w:val="20"/>
                <w:szCs w:val="20"/>
              </w:rPr>
              <w:t xml:space="preserve">Patient must be undergoing combination treatment with </w:t>
            </w:r>
            <w:r w:rsidRPr="00D7733D">
              <w:rPr>
                <w:rFonts w:ascii="Arial Narrow" w:hAnsi="Arial Narrow"/>
                <w:i/>
                <w:color w:val="333333"/>
                <w:sz w:val="20"/>
                <w:szCs w:val="20"/>
              </w:rPr>
              <w:t>PBS subsidised</w:t>
            </w:r>
            <w:r w:rsidRPr="00D7733D">
              <w:rPr>
                <w:rFonts w:ascii="Arial Narrow" w:hAnsi="Arial Narrow"/>
                <w:color w:val="333333"/>
                <w:sz w:val="20"/>
                <w:szCs w:val="20"/>
              </w:rPr>
              <w:t xml:space="preserve"> durvalumab.</w:t>
            </w:r>
          </w:p>
        </w:tc>
      </w:tr>
      <w:tr w:rsidR="00531585" w:rsidRPr="00D7733D" w14:paraId="444D1409"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C44BE81"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3F3F4AB6"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CBB79DF"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445C2AA1"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3B7FC71" w14:textId="77777777" w:rsidR="00531585" w:rsidRPr="00D7733D" w:rsidRDefault="00531585" w:rsidP="0034363B">
            <w:pPr>
              <w:rPr>
                <w:rFonts w:ascii="Arial Narrow" w:hAnsi="Arial Narrow"/>
                <w:b/>
                <w:bCs/>
                <w:color w:val="333333"/>
                <w:sz w:val="20"/>
                <w:szCs w:val="20"/>
              </w:rPr>
            </w:pPr>
            <w:r w:rsidRPr="00D7733D">
              <w:rPr>
                <w:rFonts w:ascii="Arial Narrow" w:hAnsi="Arial Narrow"/>
                <w:color w:val="333333"/>
                <w:sz w:val="20"/>
                <w:szCs w:val="20"/>
              </w:rPr>
              <w:t>Patient must have a WHO performance status of 0 or 1</w:t>
            </w:r>
            <w:r w:rsidRPr="00D7733D">
              <w:rPr>
                <w:rFonts w:ascii="Arial Narrow" w:hAnsi="Arial Narrow"/>
                <w:b/>
                <w:bCs/>
                <w:color w:val="333333"/>
                <w:sz w:val="20"/>
                <w:szCs w:val="20"/>
              </w:rPr>
              <w:t>,</w:t>
            </w:r>
          </w:p>
        </w:tc>
      </w:tr>
      <w:tr w:rsidR="00531585" w:rsidRPr="00D7733D" w14:paraId="321851B2"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3FA3D8F"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7E8D3B65"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ADA94DB"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7628ABDF"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65641D7" w14:textId="77777777" w:rsidR="00531585" w:rsidRPr="00D7733D" w:rsidRDefault="00531585" w:rsidP="0034363B">
            <w:pPr>
              <w:pStyle w:val="TableText0"/>
              <w:ind w:left="32"/>
            </w:pPr>
            <w:r w:rsidRPr="00D7733D">
              <w:t xml:space="preserve">Patient must not be suitable for </w:t>
            </w:r>
            <w:proofErr w:type="spellStart"/>
            <w:r w:rsidRPr="00D7733D">
              <w:t>transarterial</w:t>
            </w:r>
            <w:proofErr w:type="spellEnd"/>
            <w:r w:rsidRPr="00D7733D">
              <w:t xml:space="preserve"> </w:t>
            </w:r>
            <w:proofErr w:type="spellStart"/>
            <w:r w:rsidRPr="00D7733D">
              <w:t>chemoembolisation</w:t>
            </w:r>
            <w:proofErr w:type="spellEnd"/>
          </w:p>
        </w:tc>
      </w:tr>
      <w:tr w:rsidR="00531585" w:rsidRPr="00D7733D" w14:paraId="6FE5BDE2"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C359D71"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4FFBAEC9"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6E73C28"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373E35A4"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8DF3D44"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have Child Pugh class A</w:t>
            </w:r>
          </w:p>
        </w:tc>
      </w:tr>
      <w:tr w:rsidR="00531585" w:rsidRPr="00D7733D" w14:paraId="5E929AFE"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D2138F3"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1C430526"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E751211"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42A1CEC0"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225790E"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 xml:space="preserve">The condition must be untreated with systemic therapy; </w:t>
            </w:r>
            <w:r w:rsidRPr="00D7733D">
              <w:rPr>
                <w:rFonts w:ascii="Arial Narrow" w:hAnsi="Arial Narrow"/>
                <w:b/>
                <w:bCs/>
                <w:color w:val="333333"/>
                <w:sz w:val="20"/>
                <w:szCs w:val="20"/>
              </w:rPr>
              <w:t>OR</w:t>
            </w:r>
          </w:p>
        </w:tc>
      </w:tr>
      <w:tr w:rsidR="00531585" w:rsidRPr="00D7733D" w14:paraId="23D85635"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0B5A71A"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have developed intolerance</w:t>
            </w:r>
            <w:r w:rsidRPr="00D7733D">
              <w:rPr>
                <w:rFonts w:ascii="Arial Narrow" w:hAnsi="Arial Narrow"/>
                <w:i/>
                <w:iCs/>
                <w:color w:val="333333"/>
                <w:sz w:val="20"/>
                <w:szCs w:val="20"/>
              </w:rPr>
              <w:t xml:space="preserve"> of a severity necessitating permanent treatment withdrawal, in the absence of disease progression</w:t>
            </w:r>
            <w:r w:rsidRPr="00D7733D">
              <w:rPr>
                <w:rFonts w:ascii="Arial Narrow" w:hAnsi="Arial Narrow"/>
                <w:color w:val="333333"/>
                <w:sz w:val="20"/>
                <w:szCs w:val="20"/>
              </w:rPr>
              <w:t xml:space="preserve"> to</w:t>
            </w:r>
            <w:r>
              <w:rPr>
                <w:rFonts w:ascii="Arial Narrow" w:hAnsi="Arial Narrow"/>
                <w:color w:val="333333"/>
                <w:sz w:val="20"/>
                <w:szCs w:val="20"/>
              </w:rPr>
              <w:t xml:space="preserve"> </w:t>
            </w:r>
            <w:r w:rsidRPr="00D7733D">
              <w:rPr>
                <w:rFonts w:ascii="Arial Narrow" w:hAnsi="Arial Narrow"/>
                <w:color w:val="333333"/>
                <w:sz w:val="20"/>
                <w:szCs w:val="20"/>
              </w:rPr>
              <w:t xml:space="preserve">a vascular endothelial growth factor (VEGF) </w:t>
            </w:r>
            <w:r w:rsidRPr="00D7733D">
              <w:rPr>
                <w:rFonts w:ascii="Arial Narrow" w:hAnsi="Arial Narrow"/>
                <w:i/>
                <w:iCs/>
                <w:color w:val="333333"/>
                <w:sz w:val="20"/>
                <w:szCs w:val="20"/>
              </w:rPr>
              <w:t>tyrosine kinase inhibitor (TKI)</w:t>
            </w:r>
            <w:r w:rsidRPr="00D7733D">
              <w:rPr>
                <w:rFonts w:ascii="Arial Narrow" w:hAnsi="Arial Narrow"/>
                <w:color w:val="333333"/>
                <w:sz w:val="20"/>
                <w:szCs w:val="20"/>
              </w:rPr>
              <w:t xml:space="preserve"> </w:t>
            </w:r>
            <w:r w:rsidRPr="00D7733D">
              <w:rPr>
                <w:rFonts w:ascii="Arial Narrow" w:hAnsi="Arial Narrow"/>
                <w:strike/>
                <w:color w:val="333333"/>
                <w:sz w:val="20"/>
                <w:szCs w:val="20"/>
              </w:rPr>
              <w:t>of a severity necessitating permanent treatment withdrawal.</w:t>
            </w:r>
          </w:p>
        </w:tc>
      </w:tr>
      <w:tr w:rsidR="00531585" w:rsidRPr="00D7733D" w14:paraId="2EB760B0"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8F80A7F" w14:textId="77777777" w:rsidR="00531585" w:rsidRPr="00D7733D" w:rsidRDefault="00531585" w:rsidP="0034363B">
            <w:pPr>
              <w:rPr>
                <w:rFonts w:ascii="Arial Narrow" w:hAnsi="Arial Narrow"/>
                <w:i/>
                <w:iCs/>
                <w:color w:val="333333"/>
                <w:sz w:val="20"/>
                <w:szCs w:val="20"/>
              </w:rPr>
            </w:pPr>
            <w:r w:rsidRPr="00D7733D">
              <w:rPr>
                <w:rFonts w:ascii="Arial Narrow" w:hAnsi="Arial Narrow"/>
                <w:b/>
                <w:bCs/>
                <w:i/>
                <w:iCs/>
                <w:color w:val="333333"/>
                <w:sz w:val="20"/>
                <w:szCs w:val="20"/>
              </w:rPr>
              <w:t>AND</w:t>
            </w:r>
          </w:p>
        </w:tc>
      </w:tr>
      <w:tr w:rsidR="00531585" w:rsidRPr="00D7733D" w14:paraId="0C848FFC"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653EBA8" w14:textId="77777777" w:rsidR="00531585" w:rsidRPr="00D7733D" w:rsidRDefault="00531585" w:rsidP="0034363B">
            <w:pPr>
              <w:rPr>
                <w:rFonts w:ascii="Arial Narrow" w:hAnsi="Arial Narrow"/>
                <w:i/>
                <w:iCs/>
                <w:color w:val="333333"/>
                <w:sz w:val="20"/>
                <w:szCs w:val="20"/>
              </w:rPr>
            </w:pPr>
            <w:r w:rsidRPr="00D7733D">
              <w:rPr>
                <w:rFonts w:ascii="Arial Narrow" w:hAnsi="Arial Narrow"/>
                <w:b/>
                <w:bCs/>
                <w:i/>
                <w:iCs/>
                <w:color w:val="333333"/>
                <w:sz w:val="20"/>
                <w:szCs w:val="20"/>
              </w:rPr>
              <w:t>Treatment criteria:</w:t>
            </w:r>
          </w:p>
        </w:tc>
      </w:tr>
      <w:tr w:rsidR="00531585" w:rsidRPr="00D7733D" w14:paraId="1AF4ECCE"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BF68263" w14:textId="77777777" w:rsidR="00531585" w:rsidRPr="00DF5E9F" w:rsidRDefault="00531585" w:rsidP="0034363B">
            <w:pPr>
              <w:rPr>
                <w:rFonts w:ascii="Arial Narrow" w:hAnsi="Arial Narrow"/>
                <w:color w:val="333333"/>
                <w:sz w:val="20"/>
                <w:szCs w:val="20"/>
              </w:rPr>
            </w:pPr>
            <w:r w:rsidRPr="00DF5E9F">
              <w:rPr>
                <w:rFonts w:ascii="Arial Narrow" w:hAnsi="Arial Narrow"/>
                <w:color w:val="333333"/>
                <w:sz w:val="20"/>
                <w:szCs w:val="20"/>
              </w:rPr>
              <w:t xml:space="preserve">Patient must not receive PBS-subsidised treatment with this drug for this indication more than once per lifetime </w:t>
            </w:r>
          </w:p>
        </w:tc>
      </w:tr>
    </w:tbl>
    <w:p w14:paraId="26A1532A" w14:textId="77777777" w:rsidR="002F042C" w:rsidRPr="00A611D6" w:rsidRDefault="002F042C" w:rsidP="0025273A">
      <w:pPr>
        <w:pStyle w:val="5-SubsectionSubheading"/>
        <w:keepNext w:val="0"/>
        <w:spacing w:before="120" w:after="120"/>
        <w:outlineLvl w:val="9"/>
        <w:rPr>
          <w:u w:val="none"/>
        </w:rPr>
      </w:pPr>
      <w:r w:rsidRPr="00A611D6">
        <w:rPr>
          <w:u w:val="none"/>
        </w:rPr>
        <w:t xml:space="preserve">Durvalumab – initial and continuing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973"/>
        <w:gridCol w:w="1973"/>
        <w:gridCol w:w="1969"/>
        <w:gridCol w:w="7"/>
      </w:tblGrid>
      <w:tr w:rsidR="004B3B83" w:rsidRPr="00D7733D" w14:paraId="623C66F6" w14:textId="77777777" w:rsidTr="0034363B">
        <w:trPr>
          <w:cantSplit/>
          <w:trHeight w:val="20"/>
        </w:trPr>
        <w:tc>
          <w:tcPr>
            <w:tcW w:w="1716" w:type="pct"/>
            <w:vAlign w:val="center"/>
          </w:tcPr>
          <w:p w14:paraId="43721A9D" w14:textId="77777777" w:rsidR="004B3B83" w:rsidRPr="00D7733D" w:rsidRDefault="004B3B83" w:rsidP="0025273A">
            <w:pPr>
              <w:rPr>
                <w:rFonts w:ascii="Arial Narrow" w:hAnsi="Arial Narrow"/>
                <w:b/>
                <w:bCs/>
                <w:sz w:val="20"/>
                <w:szCs w:val="20"/>
              </w:rPr>
            </w:pPr>
            <w:r w:rsidRPr="00D7733D">
              <w:rPr>
                <w:rFonts w:ascii="Arial Narrow" w:hAnsi="Arial Narrow"/>
                <w:b/>
                <w:bCs/>
                <w:sz w:val="20"/>
                <w:szCs w:val="20"/>
              </w:rPr>
              <w:t>MEDICINAL PRODUCT</w:t>
            </w:r>
          </w:p>
          <w:p w14:paraId="0B73D5CD" w14:textId="77777777" w:rsidR="004B3B83" w:rsidRPr="00D7733D" w:rsidRDefault="004B3B83" w:rsidP="0025273A">
            <w:pPr>
              <w:rPr>
                <w:rFonts w:ascii="Arial Narrow" w:hAnsi="Arial Narrow" w:cs="Arial"/>
                <w:b/>
                <w:sz w:val="20"/>
                <w:szCs w:val="20"/>
              </w:rPr>
            </w:pPr>
            <w:r w:rsidRPr="00D7733D">
              <w:rPr>
                <w:rFonts w:ascii="Arial Narrow" w:hAnsi="Arial Narrow" w:cs="Arial"/>
                <w:b/>
                <w:sz w:val="20"/>
                <w:szCs w:val="20"/>
              </w:rPr>
              <w:t>Form</w:t>
            </w:r>
          </w:p>
        </w:tc>
        <w:tc>
          <w:tcPr>
            <w:tcW w:w="1094" w:type="pct"/>
            <w:vAlign w:val="center"/>
          </w:tcPr>
          <w:p w14:paraId="75DDC800" w14:textId="77777777" w:rsidR="004B3B83" w:rsidRPr="00D7733D" w:rsidRDefault="004B3B83" w:rsidP="0025273A">
            <w:pPr>
              <w:jc w:val="center"/>
              <w:rPr>
                <w:rFonts w:ascii="Arial Narrow" w:hAnsi="Arial Narrow" w:cs="Arial"/>
                <w:b/>
                <w:sz w:val="20"/>
                <w:szCs w:val="20"/>
              </w:rPr>
            </w:pPr>
            <w:r w:rsidRPr="00D7733D">
              <w:rPr>
                <w:rFonts w:ascii="Arial Narrow" w:hAnsi="Arial Narrow" w:cs="Arial"/>
                <w:b/>
                <w:sz w:val="20"/>
                <w:szCs w:val="20"/>
              </w:rPr>
              <w:t>PBS item code</w:t>
            </w:r>
          </w:p>
        </w:tc>
        <w:tc>
          <w:tcPr>
            <w:tcW w:w="1094" w:type="pct"/>
            <w:vAlign w:val="center"/>
          </w:tcPr>
          <w:p w14:paraId="584EA07C" w14:textId="77777777" w:rsidR="004B3B83" w:rsidRPr="00D7733D" w:rsidRDefault="004B3B83" w:rsidP="0025273A">
            <w:pPr>
              <w:jc w:val="center"/>
              <w:rPr>
                <w:rFonts w:ascii="Arial Narrow" w:hAnsi="Arial Narrow" w:cs="Arial"/>
                <w:b/>
                <w:sz w:val="20"/>
                <w:szCs w:val="20"/>
              </w:rPr>
            </w:pPr>
            <w:r w:rsidRPr="00D7733D">
              <w:rPr>
                <w:rFonts w:ascii="Arial Narrow" w:hAnsi="Arial Narrow" w:cs="Arial"/>
                <w:b/>
                <w:sz w:val="20"/>
                <w:szCs w:val="20"/>
              </w:rPr>
              <w:t>Max. Amount</w:t>
            </w:r>
          </w:p>
        </w:tc>
        <w:tc>
          <w:tcPr>
            <w:tcW w:w="1096" w:type="pct"/>
            <w:gridSpan w:val="2"/>
            <w:vAlign w:val="center"/>
          </w:tcPr>
          <w:p w14:paraId="5B6F91E2" w14:textId="77777777" w:rsidR="004B3B83" w:rsidRPr="00D7733D" w:rsidRDefault="004B3B83" w:rsidP="0025273A">
            <w:pPr>
              <w:jc w:val="center"/>
              <w:rPr>
                <w:rFonts w:ascii="Arial Narrow" w:hAnsi="Arial Narrow" w:cs="Arial"/>
                <w:b/>
                <w:bCs/>
                <w:sz w:val="20"/>
                <w:szCs w:val="20"/>
              </w:rPr>
            </w:pPr>
            <w:r w:rsidRPr="00D7733D">
              <w:rPr>
                <w:rFonts w:ascii="Arial Narrow" w:hAnsi="Arial Narrow" w:cs="Arial"/>
                <w:b/>
                <w:bCs/>
                <w:sz w:val="20"/>
                <w:szCs w:val="20"/>
              </w:rPr>
              <w:t>№.of Rpts</w:t>
            </w:r>
          </w:p>
        </w:tc>
      </w:tr>
      <w:tr w:rsidR="004B3B83" w:rsidRPr="00D7733D" w14:paraId="4E21F7F4" w14:textId="77777777" w:rsidTr="0034363B">
        <w:trPr>
          <w:cantSplit/>
          <w:trHeight w:val="20"/>
        </w:trPr>
        <w:tc>
          <w:tcPr>
            <w:tcW w:w="1716" w:type="pct"/>
            <w:vAlign w:val="center"/>
          </w:tcPr>
          <w:p w14:paraId="4246DFBB" w14:textId="77777777" w:rsidR="004B3B83" w:rsidRPr="00D7733D" w:rsidRDefault="004B3B83" w:rsidP="0025273A">
            <w:pPr>
              <w:rPr>
                <w:rFonts w:ascii="Arial Narrow" w:hAnsi="Arial Narrow" w:cs="Arial"/>
                <w:sz w:val="20"/>
                <w:szCs w:val="20"/>
              </w:rPr>
            </w:pPr>
            <w:r w:rsidRPr="00D7733D">
              <w:rPr>
                <w:rFonts w:ascii="Arial Narrow" w:hAnsi="Arial Narrow" w:cs="Arial"/>
                <w:sz w:val="20"/>
                <w:szCs w:val="20"/>
              </w:rPr>
              <w:t>DURVALUMAB</w:t>
            </w:r>
          </w:p>
          <w:p w14:paraId="3401E625" w14:textId="77777777" w:rsidR="004B3B83" w:rsidRPr="00D7733D" w:rsidRDefault="004B3B83" w:rsidP="0025273A">
            <w:pPr>
              <w:rPr>
                <w:rFonts w:ascii="Arial Narrow" w:hAnsi="Arial Narrow" w:cs="Arial"/>
                <w:sz w:val="20"/>
                <w:szCs w:val="20"/>
              </w:rPr>
            </w:pPr>
            <w:r w:rsidRPr="00D7733D">
              <w:rPr>
                <w:rFonts w:ascii="Arial Narrow" w:hAnsi="Arial Narrow" w:cs="Arial"/>
                <w:sz w:val="20"/>
                <w:szCs w:val="20"/>
              </w:rPr>
              <w:t>Injection</w:t>
            </w:r>
          </w:p>
        </w:tc>
        <w:tc>
          <w:tcPr>
            <w:tcW w:w="1094" w:type="pct"/>
            <w:vAlign w:val="center"/>
          </w:tcPr>
          <w:p w14:paraId="47E6F1C8" w14:textId="77777777" w:rsidR="004B3B83" w:rsidRPr="00D7733D" w:rsidRDefault="004B3B83" w:rsidP="0025273A">
            <w:pPr>
              <w:jc w:val="center"/>
              <w:rPr>
                <w:rFonts w:ascii="Arial Narrow" w:hAnsi="Arial Narrow" w:cs="Arial"/>
                <w:sz w:val="20"/>
                <w:szCs w:val="20"/>
              </w:rPr>
            </w:pPr>
            <w:r w:rsidRPr="00D7733D">
              <w:rPr>
                <w:rFonts w:ascii="Arial Narrow" w:hAnsi="Arial Narrow" w:cs="Arial"/>
                <w:sz w:val="20"/>
                <w:szCs w:val="20"/>
              </w:rPr>
              <w:t>{NEW (Public)}</w:t>
            </w:r>
            <w:r w:rsidRPr="00D7733D">
              <w:rPr>
                <w:rFonts w:ascii="Arial Narrow" w:hAnsi="Arial Narrow" w:cs="Arial"/>
                <w:sz w:val="20"/>
                <w:szCs w:val="20"/>
              </w:rPr>
              <w:br/>
              <w:t>{NEW (Private)}</w:t>
            </w:r>
          </w:p>
        </w:tc>
        <w:tc>
          <w:tcPr>
            <w:tcW w:w="1094" w:type="pct"/>
            <w:vAlign w:val="center"/>
          </w:tcPr>
          <w:p w14:paraId="01D6656B" w14:textId="77777777" w:rsidR="004B3B83" w:rsidRPr="00D7733D" w:rsidRDefault="004B3B83" w:rsidP="0025273A">
            <w:pPr>
              <w:jc w:val="center"/>
              <w:rPr>
                <w:rFonts w:ascii="Arial Narrow" w:hAnsi="Arial Narrow" w:cs="Arial"/>
                <w:sz w:val="20"/>
                <w:szCs w:val="20"/>
              </w:rPr>
            </w:pPr>
            <w:r w:rsidRPr="00D7733D">
              <w:rPr>
                <w:rFonts w:ascii="Arial Narrow" w:hAnsi="Arial Narrow" w:cs="Arial"/>
                <w:sz w:val="20"/>
                <w:szCs w:val="20"/>
              </w:rPr>
              <w:t>1500mg</w:t>
            </w:r>
          </w:p>
        </w:tc>
        <w:tc>
          <w:tcPr>
            <w:tcW w:w="1096" w:type="pct"/>
            <w:gridSpan w:val="2"/>
            <w:vAlign w:val="center"/>
          </w:tcPr>
          <w:p w14:paraId="18FD7298" w14:textId="77777777" w:rsidR="004B3B83" w:rsidRPr="00D7733D" w:rsidRDefault="004B3B83" w:rsidP="0025273A">
            <w:pPr>
              <w:jc w:val="center"/>
              <w:rPr>
                <w:rFonts w:ascii="Arial Narrow" w:hAnsi="Arial Narrow" w:cs="Arial"/>
                <w:sz w:val="20"/>
                <w:szCs w:val="20"/>
              </w:rPr>
            </w:pPr>
            <w:r w:rsidRPr="00D7733D">
              <w:rPr>
                <w:rFonts w:ascii="Arial Narrow" w:hAnsi="Arial Narrow" w:cs="Arial"/>
                <w:sz w:val="20"/>
                <w:szCs w:val="20"/>
              </w:rPr>
              <w:t>5</w:t>
            </w:r>
          </w:p>
        </w:tc>
      </w:tr>
      <w:tr w:rsidR="004B3B83" w:rsidRPr="00D7733D" w14:paraId="07394CD5" w14:textId="77777777" w:rsidTr="0034363B">
        <w:trPr>
          <w:cantSplit/>
          <w:trHeight w:val="20"/>
        </w:trPr>
        <w:tc>
          <w:tcPr>
            <w:tcW w:w="5000" w:type="pct"/>
            <w:gridSpan w:val="5"/>
            <w:vAlign w:val="center"/>
          </w:tcPr>
          <w:p w14:paraId="0832281B" w14:textId="77777777" w:rsidR="004B3B83" w:rsidRPr="00D7733D" w:rsidRDefault="004B3B83" w:rsidP="0025273A">
            <w:pPr>
              <w:rPr>
                <w:rFonts w:ascii="Arial Narrow" w:hAnsi="Arial Narrow"/>
                <w:b/>
                <w:sz w:val="20"/>
                <w:szCs w:val="20"/>
              </w:rPr>
            </w:pPr>
            <w:r w:rsidRPr="00D7733D">
              <w:rPr>
                <w:rFonts w:ascii="Arial Narrow" w:hAnsi="Arial Narrow"/>
                <w:b/>
                <w:sz w:val="20"/>
                <w:szCs w:val="20"/>
              </w:rPr>
              <w:t xml:space="preserve">Available brands </w:t>
            </w:r>
          </w:p>
        </w:tc>
      </w:tr>
      <w:tr w:rsidR="004B3B83" w:rsidRPr="00D7733D" w14:paraId="5B36D708" w14:textId="77777777" w:rsidTr="0034363B">
        <w:trPr>
          <w:cantSplit/>
          <w:trHeight w:val="20"/>
        </w:trPr>
        <w:tc>
          <w:tcPr>
            <w:tcW w:w="5000" w:type="pct"/>
            <w:gridSpan w:val="5"/>
            <w:vAlign w:val="center"/>
          </w:tcPr>
          <w:p w14:paraId="3C45439F" w14:textId="77777777" w:rsidR="004B3B83" w:rsidRPr="00D7733D" w:rsidRDefault="004B3B83" w:rsidP="0025273A">
            <w:pPr>
              <w:rPr>
                <w:rFonts w:ascii="Arial Narrow" w:hAnsi="Arial Narrow" w:cs="Arial"/>
                <w:sz w:val="20"/>
                <w:szCs w:val="20"/>
              </w:rPr>
            </w:pPr>
            <w:r w:rsidRPr="00D7733D">
              <w:rPr>
                <w:rFonts w:ascii="Arial Narrow" w:hAnsi="Arial Narrow" w:cs="Arial"/>
                <w:sz w:val="20"/>
                <w:szCs w:val="20"/>
              </w:rPr>
              <w:t>Imfinzi</w:t>
            </w:r>
          </w:p>
          <w:p w14:paraId="48400619" w14:textId="77777777" w:rsidR="004B3B83" w:rsidRPr="00D7733D" w:rsidRDefault="004B3B83" w:rsidP="0025273A">
            <w:pPr>
              <w:rPr>
                <w:rFonts w:ascii="Arial Narrow" w:hAnsi="Arial Narrow" w:cs="Arial"/>
                <w:sz w:val="20"/>
                <w:szCs w:val="20"/>
              </w:rPr>
            </w:pPr>
            <w:r w:rsidRPr="00D7733D">
              <w:rPr>
                <w:rFonts w:ascii="Arial Narrow" w:hAnsi="Arial Narrow" w:cs="Arial"/>
                <w:sz w:val="20"/>
                <w:szCs w:val="20"/>
              </w:rPr>
              <w:t>500 mg/10 mL injection, 10 mL vial</w:t>
            </w:r>
          </w:p>
        </w:tc>
      </w:tr>
      <w:tr w:rsidR="004B3B83" w:rsidRPr="00D7733D" w14:paraId="3342D9CE" w14:textId="77777777" w:rsidTr="0034363B">
        <w:trPr>
          <w:cantSplit/>
          <w:trHeight w:val="20"/>
        </w:trPr>
        <w:tc>
          <w:tcPr>
            <w:tcW w:w="5000" w:type="pct"/>
            <w:gridSpan w:val="5"/>
            <w:vAlign w:val="center"/>
          </w:tcPr>
          <w:p w14:paraId="4C1B0771" w14:textId="77777777" w:rsidR="000D083B" w:rsidRDefault="004B3B83" w:rsidP="0025273A">
            <w:pPr>
              <w:rPr>
                <w:rFonts w:ascii="Arial Narrow" w:hAnsi="Arial Narrow" w:cs="Arial"/>
                <w:sz w:val="20"/>
                <w:szCs w:val="20"/>
              </w:rPr>
            </w:pPr>
            <w:r w:rsidRPr="00D7733D">
              <w:rPr>
                <w:rFonts w:ascii="Arial Narrow" w:hAnsi="Arial Narrow" w:cs="Arial"/>
                <w:sz w:val="20"/>
                <w:szCs w:val="20"/>
              </w:rPr>
              <w:t>Imfinzi</w:t>
            </w:r>
          </w:p>
          <w:p w14:paraId="07E9E6AB" w14:textId="1BC76930" w:rsidR="004B3B83" w:rsidRPr="00D7733D" w:rsidRDefault="004B3B83" w:rsidP="0025273A">
            <w:pPr>
              <w:rPr>
                <w:rFonts w:ascii="Arial Narrow" w:hAnsi="Arial Narrow" w:cs="Arial"/>
                <w:sz w:val="20"/>
                <w:szCs w:val="20"/>
              </w:rPr>
            </w:pPr>
            <w:r w:rsidRPr="00D7733D">
              <w:rPr>
                <w:rFonts w:ascii="Arial Narrow" w:hAnsi="Arial Narrow" w:cs="Arial"/>
                <w:sz w:val="20"/>
                <w:szCs w:val="20"/>
              </w:rPr>
              <w:t>120 mg/2.4 mL injection, 2.4 mL vial</w:t>
            </w:r>
          </w:p>
        </w:tc>
      </w:tr>
      <w:tr w:rsidR="004B3B83" w:rsidRPr="00D7733D" w14:paraId="77719E5F" w14:textId="77777777" w:rsidTr="0034363B">
        <w:trPr>
          <w:cantSplit/>
          <w:trHeight w:val="20"/>
        </w:trPr>
        <w:tc>
          <w:tcPr>
            <w:tcW w:w="5000" w:type="pct"/>
            <w:gridSpan w:val="5"/>
            <w:vAlign w:val="center"/>
          </w:tcPr>
          <w:p w14:paraId="26AA89B5" w14:textId="77777777" w:rsidR="004B3B83" w:rsidRPr="00D7733D" w:rsidRDefault="004B3B83" w:rsidP="0025273A">
            <w:pPr>
              <w:rPr>
                <w:rFonts w:ascii="Arial Narrow" w:hAnsi="Arial Narrow" w:cs="Arial"/>
                <w:sz w:val="20"/>
                <w:szCs w:val="20"/>
              </w:rPr>
            </w:pPr>
          </w:p>
        </w:tc>
      </w:tr>
      <w:tr w:rsidR="004B3B83" w:rsidRPr="00D7733D" w14:paraId="08FB8D3C" w14:textId="77777777" w:rsidTr="0034363B">
        <w:trPr>
          <w:cantSplit/>
          <w:trHeight w:val="20"/>
        </w:trPr>
        <w:tc>
          <w:tcPr>
            <w:tcW w:w="5000" w:type="pct"/>
            <w:gridSpan w:val="5"/>
            <w:vAlign w:val="center"/>
          </w:tcPr>
          <w:p w14:paraId="5CD59680" w14:textId="77777777" w:rsidR="004B3B83" w:rsidRPr="00D7733D" w:rsidRDefault="004B3B83" w:rsidP="0025273A">
            <w:pPr>
              <w:rPr>
                <w:rFonts w:ascii="Arial Narrow" w:hAnsi="Arial Narrow" w:cs="Arial"/>
                <w:color w:val="FF0000"/>
                <w:sz w:val="20"/>
                <w:szCs w:val="20"/>
              </w:rPr>
            </w:pPr>
            <w:r w:rsidRPr="00D7733D">
              <w:rPr>
                <w:rFonts w:ascii="Arial Narrow" w:hAnsi="Arial Narrow"/>
                <w:b/>
                <w:sz w:val="20"/>
                <w:szCs w:val="20"/>
              </w:rPr>
              <w:t>Restriction Summary [new2]/ Treatment of Concept: [new2A]</w:t>
            </w:r>
          </w:p>
        </w:tc>
      </w:tr>
      <w:tr w:rsidR="00531585" w:rsidRPr="00D7733D" w14:paraId="012CA5F5"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24B65020" w14:textId="77777777" w:rsidR="00531585" w:rsidRPr="00D7733D" w:rsidRDefault="00531585" w:rsidP="0025273A">
            <w:pPr>
              <w:rPr>
                <w:rFonts w:ascii="Arial Narrow" w:hAnsi="Arial Narrow" w:cs="Arial"/>
                <w:sz w:val="20"/>
                <w:szCs w:val="20"/>
              </w:rPr>
            </w:pPr>
            <w:r w:rsidRPr="00D7733D">
              <w:rPr>
                <w:rFonts w:ascii="Arial Narrow" w:hAnsi="Arial Narrow" w:cs="Arial"/>
                <w:b/>
                <w:sz w:val="20"/>
                <w:szCs w:val="20"/>
              </w:rPr>
              <w:t xml:space="preserve">Category / Program: </w:t>
            </w:r>
            <w:r w:rsidRPr="00D7733D">
              <w:rPr>
                <w:rFonts w:ascii="Arial Narrow" w:hAnsi="Arial Narrow" w:cs="Arial"/>
                <w:sz w:val="20"/>
                <w:szCs w:val="20"/>
              </w:rPr>
              <w:t xml:space="preserve">Section 100 – Efficient Funding of Chemotherapy Public/Private hospitals </w:t>
            </w:r>
          </w:p>
        </w:tc>
      </w:tr>
      <w:tr w:rsidR="00531585" w:rsidRPr="00D7733D" w14:paraId="4431F074"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4FC142F1" w14:textId="77777777" w:rsidR="00531585" w:rsidRPr="00D7733D" w:rsidRDefault="00531585" w:rsidP="0025273A">
            <w:pPr>
              <w:rPr>
                <w:rFonts w:ascii="Arial Narrow" w:hAnsi="Arial Narrow" w:cs="Arial"/>
                <w:b/>
                <w:sz w:val="20"/>
                <w:szCs w:val="20"/>
              </w:rPr>
            </w:pPr>
            <w:r w:rsidRPr="00D7733D">
              <w:rPr>
                <w:rFonts w:ascii="Arial Narrow" w:hAnsi="Arial Narrow" w:cs="Arial"/>
                <w:b/>
                <w:sz w:val="20"/>
                <w:szCs w:val="20"/>
              </w:rPr>
              <w:t xml:space="preserve">Prescriber type: </w:t>
            </w:r>
            <w:r w:rsidRPr="00D7733D">
              <w:rPr>
                <w:rFonts w:ascii="Arial Narrow" w:hAnsi="Arial Narrow" w:cs="Arial"/>
                <w:sz w:val="20"/>
                <w:szCs w:val="20"/>
              </w:rPr>
              <w:fldChar w:fldCharType="begin">
                <w:ffData>
                  <w:name w:val=""/>
                  <w:enabled/>
                  <w:calcOnExit w:val="0"/>
                  <w:checkBox>
                    <w:sizeAuto/>
                    <w:default w:val="1"/>
                  </w:checkBox>
                </w:ffData>
              </w:fldChar>
            </w:r>
            <w:r w:rsidRPr="00D7733D">
              <w:rPr>
                <w:rFonts w:ascii="Arial Narrow" w:hAnsi="Arial Narrow" w:cs="Arial"/>
                <w:sz w:val="20"/>
                <w:szCs w:val="20"/>
              </w:rPr>
              <w:instrText xml:space="preserve"> FORMCHECKBOX </w:instrText>
            </w:r>
            <w:r w:rsidRPr="00D7733D">
              <w:rPr>
                <w:rFonts w:ascii="Arial Narrow" w:hAnsi="Arial Narrow" w:cs="Arial"/>
                <w:sz w:val="20"/>
                <w:szCs w:val="20"/>
              </w:rPr>
            </w:r>
            <w:r w:rsidRPr="00D7733D">
              <w:rPr>
                <w:rFonts w:ascii="Arial Narrow" w:hAnsi="Arial Narrow" w:cs="Arial"/>
                <w:sz w:val="20"/>
                <w:szCs w:val="20"/>
              </w:rPr>
              <w:fldChar w:fldCharType="separate"/>
            </w:r>
            <w:r w:rsidRPr="00D7733D">
              <w:rPr>
                <w:rFonts w:ascii="Arial Narrow" w:hAnsi="Arial Narrow" w:cs="Arial"/>
                <w:sz w:val="20"/>
                <w:szCs w:val="20"/>
              </w:rPr>
              <w:fldChar w:fldCharType="end"/>
            </w:r>
            <w:r w:rsidRPr="00D7733D">
              <w:rPr>
                <w:rFonts w:ascii="Arial Narrow" w:hAnsi="Arial Narrow" w:cs="Arial"/>
                <w:sz w:val="20"/>
                <w:szCs w:val="20"/>
              </w:rPr>
              <w:t xml:space="preserve">Medical Practitioners </w:t>
            </w:r>
          </w:p>
        </w:tc>
      </w:tr>
      <w:tr w:rsidR="00531585" w:rsidRPr="00D7733D" w14:paraId="23125CF7"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tcPr>
          <w:p w14:paraId="6B6F2CB0" w14:textId="77777777" w:rsidR="00531585" w:rsidRPr="00D7733D" w:rsidRDefault="00531585" w:rsidP="0025273A">
            <w:pPr>
              <w:pStyle w:val="TableText0"/>
              <w:keepNext w:val="0"/>
              <w:ind w:left="32"/>
            </w:pPr>
            <w:r w:rsidRPr="00D7733D">
              <w:rPr>
                <w:b/>
              </w:rPr>
              <w:t xml:space="preserve">Restriction type: </w:t>
            </w:r>
            <w:r w:rsidRPr="00D7733D">
              <w:rPr>
                <w:rFonts w:eastAsia="Calibri"/>
              </w:rPr>
              <w:fldChar w:fldCharType="begin">
                <w:ffData>
                  <w:name w:val=""/>
                  <w:enabled/>
                  <w:calcOnExit w:val="0"/>
                  <w:checkBox>
                    <w:sizeAuto/>
                    <w:default w:val="1"/>
                  </w:checkBox>
                </w:ffData>
              </w:fldChar>
            </w:r>
            <w:r w:rsidRPr="00D7733D">
              <w:rPr>
                <w:rFonts w:eastAsia="Calibri"/>
              </w:rPr>
              <w:instrText xml:space="preserve"> FORMCHECKBOX </w:instrText>
            </w:r>
            <w:r w:rsidRPr="00D7733D">
              <w:rPr>
                <w:rFonts w:eastAsia="Calibri"/>
              </w:rPr>
            </w:r>
            <w:r w:rsidRPr="00D7733D">
              <w:rPr>
                <w:rFonts w:eastAsia="Calibri"/>
              </w:rPr>
              <w:fldChar w:fldCharType="separate"/>
            </w:r>
            <w:r w:rsidRPr="00D7733D">
              <w:rPr>
                <w:rFonts w:eastAsia="Calibri"/>
              </w:rPr>
              <w:fldChar w:fldCharType="end"/>
            </w:r>
            <w:r w:rsidRPr="00D7733D">
              <w:rPr>
                <w:rFonts w:eastAsia="Calibri"/>
              </w:rPr>
              <w:t>Authority Required (STREAMLINED) [NEW]</w:t>
            </w:r>
            <w:r w:rsidRPr="00D7733D">
              <w:rPr>
                <w:rFonts w:eastAsia="Calibri"/>
                <w:color w:val="FF0000"/>
              </w:rPr>
              <w:t xml:space="preserve"> </w:t>
            </w:r>
          </w:p>
        </w:tc>
      </w:tr>
      <w:tr w:rsidR="00531585" w:rsidRPr="00D7733D" w14:paraId="3F24410B" w14:textId="77777777" w:rsidTr="00531585">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00056E52" w14:textId="77777777" w:rsidR="00531585" w:rsidRPr="00D7733D" w:rsidRDefault="00531585" w:rsidP="0025273A">
            <w:pPr>
              <w:keepLines/>
              <w:contextualSpacing/>
              <w:rPr>
                <w:rFonts w:ascii="Arial Narrow" w:hAnsi="Arial Narrow"/>
                <w:sz w:val="20"/>
                <w:szCs w:val="20"/>
              </w:rPr>
            </w:pPr>
            <w:r w:rsidRPr="00D7733D">
              <w:rPr>
                <w:rFonts w:ascii="Arial Narrow" w:hAnsi="Arial Narrow"/>
                <w:b/>
                <w:bCs/>
                <w:sz w:val="20"/>
                <w:szCs w:val="20"/>
              </w:rPr>
              <w:t>Administrative Advice:</w:t>
            </w:r>
          </w:p>
          <w:p w14:paraId="6B65E58D" w14:textId="77777777" w:rsidR="00531585" w:rsidRPr="00D7733D" w:rsidRDefault="00531585" w:rsidP="0025273A">
            <w:pPr>
              <w:keepLines/>
              <w:contextualSpacing/>
              <w:rPr>
                <w:rFonts w:ascii="Arial Narrow" w:hAnsi="Arial Narrow"/>
                <w:sz w:val="20"/>
                <w:szCs w:val="20"/>
              </w:rPr>
            </w:pPr>
            <w:r w:rsidRPr="00D7733D">
              <w:rPr>
                <w:rFonts w:ascii="Arial Narrow" w:hAnsi="Arial Narrow"/>
                <w:sz w:val="20"/>
                <w:szCs w:val="20"/>
              </w:rPr>
              <w:t>No increase in the maximum amount or number of units may be authorised.</w:t>
            </w:r>
          </w:p>
        </w:tc>
      </w:tr>
      <w:tr w:rsidR="00531585" w:rsidRPr="00D7733D" w14:paraId="3BB9048A" w14:textId="77777777" w:rsidTr="00531585">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31D8D69C" w14:textId="77777777" w:rsidR="00531585" w:rsidRPr="00D7733D" w:rsidRDefault="00531585" w:rsidP="0025273A">
            <w:pPr>
              <w:keepLines/>
              <w:contextualSpacing/>
              <w:rPr>
                <w:rFonts w:ascii="Arial Narrow" w:hAnsi="Arial Narrow"/>
                <w:b/>
                <w:bCs/>
                <w:sz w:val="20"/>
                <w:szCs w:val="20"/>
              </w:rPr>
            </w:pPr>
            <w:r w:rsidRPr="00D7733D">
              <w:rPr>
                <w:rFonts w:ascii="Arial Narrow" w:hAnsi="Arial Narrow"/>
                <w:b/>
                <w:bCs/>
                <w:sz w:val="20"/>
                <w:szCs w:val="20"/>
              </w:rPr>
              <w:t>Administrative Advice:</w:t>
            </w:r>
          </w:p>
          <w:p w14:paraId="66ADFC68" w14:textId="77777777" w:rsidR="00531585" w:rsidRPr="00D7733D" w:rsidRDefault="00531585" w:rsidP="0025273A">
            <w:pPr>
              <w:keepLines/>
              <w:contextualSpacing/>
              <w:rPr>
                <w:rFonts w:ascii="Arial Narrow" w:hAnsi="Arial Narrow"/>
                <w:sz w:val="20"/>
                <w:szCs w:val="20"/>
              </w:rPr>
            </w:pPr>
            <w:r w:rsidRPr="00D7733D">
              <w:rPr>
                <w:rFonts w:ascii="Arial Narrow" w:hAnsi="Arial Narrow"/>
                <w:sz w:val="20"/>
                <w:szCs w:val="20"/>
              </w:rPr>
              <w:t>No increase in the maximum number of repeats may be authorised.</w:t>
            </w:r>
          </w:p>
        </w:tc>
      </w:tr>
      <w:tr w:rsidR="00531585" w:rsidRPr="00D7733D" w14:paraId="0D00C513" w14:textId="77777777" w:rsidTr="00531585">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4"/>
            <w:vAlign w:val="center"/>
          </w:tcPr>
          <w:p w14:paraId="65E4A5D5" w14:textId="77777777" w:rsidR="00531585" w:rsidRPr="00D7733D" w:rsidRDefault="00531585" w:rsidP="0025273A">
            <w:pPr>
              <w:keepLines/>
              <w:contextualSpacing/>
              <w:rPr>
                <w:rFonts w:ascii="Arial Narrow" w:hAnsi="Arial Narrow"/>
                <w:b/>
                <w:bCs/>
                <w:sz w:val="20"/>
                <w:szCs w:val="20"/>
              </w:rPr>
            </w:pPr>
            <w:r w:rsidRPr="00D7733D">
              <w:rPr>
                <w:rFonts w:ascii="Arial Narrow" w:hAnsi="Arial Narrow"/>
                <w:b/>
                <w:bCs/>
                <w:sz w:val="20"/>
                <w:szCs w:val="20"/>
              </w:rPr>
              <w:t>Administrative Advice:</w:t>
            </w:r>
          </w:p>
          <w:p w14:paraId="0FBAD16C" w14:textId="77777777" w:rsidR="00531585" w:rsidRPr="00D7733D" w:rsidRDefault="00531585" w:rsidP="0025273A">
            <w:pPr>
              <w:keepLines/>
              <w:contextualSpacing/>
              <w:rPr>
                <w:rFonts w:ascii="Arial Narrow" w:hAnsi="Arial Narrow"/>
                <w:sz w:val="20"/>
                <w:szCs w:val="20"/>
              </w:rPr>
            </w:pPr>
            <w:r w:rsidRPr="00D7733D">
              <w:rPr>
                <w:rFonts w:ascii="Arial Narrow" w:hAnsi="Arial Narrow"/>
                <w:sz w:val="20"/>
                <w:szCs w:val="20"/>
              </w:rPr>
              <w:t>Special Pricing Arrangements apply.</w:t>
            </w:r>
          </w:p>
        </w:tc>
      </w:tr>
      <w:tr w:rsidR="00531585" w:rsidRPr="00D7733D" w14:paraId="2024FD70"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008C444D" w14:textId="77777777" w:rsidR="00531585" w:rsidRPr="00D7733D" w:rsidRDefault="00531585" w:rsidP="0025273A">
            <w:pPr>
              <w:keepLines/>
              <w:rPr>
                <w:rFonts w:ascii="Arial Narrow" w:hAnsi="Arial Narrow"/>
                <w:b/>
                <w:bCs/>
                <w:sz w:val="20"/>
                <w:szCs w:val="20"/>
              </w:rPr>
            </w:pPr>
            <w:r w:rsidRPr="00D7733D">
              <w:rPr>
                <w:rFonts w:ascii="Arial Narrow" w:hAnsi="Arial Narrow"/>
                <w:b/>
                <w:bCs/>
                <w:sz w:val="20"/>
                <w:szCs w:val="20"/>
              </w:rPr>
              <w:t xml:space="preserve">Severity: </w:t>
            </w:r>
            <w:r w:rsidRPr="00D7733D">
              <w:rPr>
                <w:rFonts w:ascii="Arial Narrow" w:hAnsi="Arial Narrow"/>
                <w:bCs/>
                <w:sz w:val="20"/>
                <w:szCs w:val="20"/>
              </w:rPr>
              <w:t>Advanced (unresectable) Barcelona Clinic Liver Cancer Stage B or Stage C hepatocellular carcinoma</w:t>
            </w:r>
          </w:p>
        </w:tc>
      </w:tr>
      <w:tr w:rsidR="00531585" w:rsidRPr="00D7733D" w14:paraId="4ABC2779"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8E7412D" w14:textId="77777777" w:rsidR="00531585" w:rsidRPr="00D7733D" w:rsidRDefault="00531585" w:rsidP="0025273A">
            <w:pPr>
              <w:keepLines/>
              <w:rPr>
                <w:rFonts w:ascii="Arial Narrow" w:hAnsi="Arial Narrow"/>
                <w:b/>
                <w:bCs/>
                <w:sz w:val="20"/>
                <w:szCs w:val="20"/>
              </w:rPr>
            </w:pPr>
            <w:r w:rsidRPr="00D7733D">
              <w:rPr>
                <w:rFonts w:ascii="Arial Narrow" w:hAnsi="Arial Narrow"/>
                <w:b/>
                <w:bCs/>
                <w:sz w:val="20"/>
                <w:szCs w:val="20"/>
              </w:rPr>
              <w:t xml:space="preserve">Condition: </w:t>
            </w:r>
            <w:r w:rsidRPr="00D7733D">
              <w:rPr>
                <w:rFonts w:ascii="Arial Narrow" w:hAnsi="Arial Narrow"/>
                <w:bCs/>
                <w:sz w:val="20"/>
                <w:szCs w:val="20"/>
              </w:rPr>
              <w:t>Hepatocellular carcinoma</w:t>
            </w:r>
          </w:p>
        </w:tc>
      </w:tr>
      <w:tr w:rsidR="00531585" w:rsidRPr="00D7733D" w14:paraId="106A706F"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41590D92" w14:textId="77777777" w:rsidR="00531585" w:rsidRPr="00D7733D" w:rsidRDefault="00531585" w:rsidP="0025273A">
            <w:pPr>
              <w:keepLines/>
              <w:rPr>
                <w:rFonts w:ascii="Arial Narrow" w:hAnsi="Arial Narrow"/>
                <w:sz w:val="20"/>
                <w:szCs w:val="20"/>
              </w:rPr>
            </w:pPr>
            <w:r w:rsidRPr="00D7733D">
              <w:rPr>
                <w:rFonts w:ascii="Arial Narrow" w:hAnsi="Arial Narrow"/>
                <w:b/>
                <w:bCs/>
                <w:sz w:val="20"/>
                <w:szCs w:val="20"/>
              </w:rPr>
              <w:t>Indication:</w:t>
            </w:r>
            <w:r w:rsidRPr="00D7733D">
              <w:rPr>
                <w:rFonts w:ascii="Arial Narrow" w:hAnsi="Arial Narrow"/>
                <w:sz w:val="20"/>
                <w:szCs w:val="20"/>
              </w:rPr>
              <w:t xml:space="preserve"> Advanced (unresectable) Barcelona Clinic Liver Cancer Stage B or Stage C hepatocellular carcinoma</w:t>
            </w:r>
          </w:p>
        </w:tc>
      </w:tr>
      <w:tr w:rsidR="00531585" w:rsidRPr="00D7733D" w14:paraId="4985DDAB"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5A2E9E90" w14:textId="77777777" w:rsidR="00531585" w:rsidRPr="00D7733D" w:rsidRDefault="00531585" w:rsidP="0025273A">
            <w:pPr>
              <w:rPr>
                <w:rFonts w:ascii="Arial Narrow" w:hAnsi="Arial Narrow"/>
                <w:sz w:val="20"/>
                <w:szCs w:val="20"/>
              </w:rPr>
            </w:pPr>
            <w:r w:rsidRPr="00D7733D">
              <w:rPr>
                <w:rFonts w:ascii="Arial Narrow" w:hAnsi="Arial Narrow"/>
                <w:b/>
                <w:bCs/>
                <w:sz w:val="20"/>
                <w:szCs w:val="20"/>
              </w:rPr>
              <w:lastRenderedPageBreak/>
              <w:t>Treatment Phase:</w:t>
            </w:r>
            <w:r w:rsidRPr="00D7733D">
              <w:rPr>
                <w:rFonts w:ascii="Arial Narrow" w:hAnsi="Arial Narrow"/>
                <w:sz w:val="20"/>
                <w:szCs w:val="20"/>
              </w:rPr>
              <w:t xml:space="preserve"> Initial treatment</w:t>
            </w:r>
          </w:p>
        </w:tc>
      </w:tr>
      <w:tr w:rsidR="00531585" w:rsidRPr="00D7733D" w14:paraId="2689A21D"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hideMark/>
          </w:tcPr>
          <w:p w14:paraId="1E90729D" w14:textId="77777777" w:rsidR="00531585" w:rsidRPr="00D7733D" w:rsidRDefault="00531585" w:rsidP="0025273A">
            <w:pPr>
              <w:rPr>
                <w:rFonts w:ascii="Arial Narrow" w:hAnsi="Arial Narrow"/>
                <w:sz w:val="20"/>
                <w:szCs w:val="20"/>
              </w:rPr>
            </w:pPr>
            <w:r w:rsidRPr="00D7733D">
              <w:rPr>
                <w:rFonts w:ascii="Arial Narrow" w:hAnsi="Arial Narrow"/>
                <w:b/>
                <w:bCs/>
                <w:color w:val="333333"/>
                <w:sz w:val="20"/>
                <w:szCs w:val="20"/>
              </w:rPr>
              <w:t xml:space="preserve">Clinical criteria: </w:t>
            </w:r>
          </w:p>
        </w:tc>
      </w:tr>
      <w:tr w:rsidR="00531585" w:rsidRPr="00D7733D" w14:paraId="71D2C3AB"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A4B323B" w14:textId="77777777" w:rsidR="00531585" w:rsidRPr="00D7733D" w:rsidRDefault="00531585" w:rsidP="0025273A">
            <w:pPr>
              <w:rPr>
                <w:rFonts w:ascii="Arial Narrow" w:hAnsi="Arial Narrow"/>
                <w:b/>
                <w:bCs/>
                <w:color w:val="333333"/>
                <w:sz w:val="20"/>
                <w:szCs w:val="20"/>
              </w:rPr>
            </w:pPr>
            <w:r w:rsidRPr="00D7733D">
              <w:rPr>
                <w:rFonts w:ascii="Arial Narrow" w:hAnsi="Arial Narrow"/>
                <w:color w:val="333333"/>
                <w:sz w:val="20"/>
                <w:szCs w:val="20"/>
              </w:rPr>
              <w:t>Patient must be undergoing combination treatment with tremelimumab for the first dose of treatment.</w:t>
            </w:r>
          </w:p>
        </w:tc>
      </w:tr>
      <w:tr w:rsidR="00531585" w:rsidRPr="00D7733D" w14:paraId="3E6863F8"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6DB195A" w14:textId="77777777" w:rsidR="00531585" w:rsidRPr="00D7733D" w:rsidRDefault="00531585" w:rsidP="0025273A">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6309B8CB"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3A4597B" w14:textId="77777777" w:rsidR="00531585" w:rsidRPr="00D7733D" w:rsidRDefault="00531585" w:rsidP="0025273A">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16620907"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2C5B94A" w14:textId="77777777" w:rsidR="00531585" w:rsidRPr="00D7733D" w:rsidRDefault="00531585" w:rsidP="0025273A">
            <w:pPr>
              <w:rPr>
                <w:rFonts w:ascii="Arial Narrow" w:hAnsi="Arial Narrow"/>
                <w:b/>
                <w:bCs/>
                <w:color w:val="333333"/>
                <w:sz w:val="20"/>
                <w:szCs w:val="20"/>
              </w:rPr>
            </w:pPr>
            <w:r w:rsidRPr="00D7733D">
              <w:rPr>
                <w:rFonts w:ascii="Arial Narrow" w:hAnsi="Arial Narrow"/>
                <w:color w:val="333333"/>
                <w:sz w:val="20"/>
                <w:szCs w:val="20"/>
              </w:rPr>
              <w:t>Patient must have a WHO performance status of 0 or 1</w:t>
            </w:r>
            <w:r w:rsidRPr="00D7733D">
              <w:rPr>
                <w:rFonts w:ascii="Arial Narrow" w:hAnsi="Arial Narrow"/>
                <w:b/>
                <w:bCs/>
                <w:color w:val="333333"/>
                <w:sz w:val="20"/>
                <w:szCs w:val="20"/>
              </w:rPr>
              <w:t>,</w:t>
            </w:r>
          </w:p>
        </w:tc>
      </w:tr>
      <w:tr w:rsidR="00531585" w:rsidRPr="00D7733D" w14:paraId="47DF828E"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256C5401"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7B208C27"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5ACA41B"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33DC6194" w14:textId="77777777" w:rsidTr="00531585">
        <w:tblPrEx>
          <w:tblCellMar>
            <w:top w:w="15" w:type="dxa"/>
            <w:bottom w:w="15" w:type="dxa"/>
          </w:tblCellMar>
          <w:tblLook w:val="04A0" w:firstRow="1" w:lastRow="0" w:firstColumn="1" w:lastColumn="0" w:noHBand="0" w:noVBand="1"/>
        </w:tblPrEx>
        <w:trPr>
          <w:gridAfter w:val="1"/>
          <w:wAfter w:w="4" w:type="pct"/>
          <w:cantSplit/>
          <w:trHeight w:val="103"/>
        </w:trPr>
        <w:tc>
          <w:tcPr>
            <w:tcW w:w="4996" w:type="pct"/>
            <w:gridSpan w:val="4"/>
            <w:vAlign w:val="center"/>
          </w:tcPr>
          <w:p w14:paraId="62F38905" w14:textId="77777777" w:rsidR="00531585" w:rsidRPr="00D7733D" w:rsidRDefault="00531585" w:rsidP="0034363B">
            <w:pPr>
              <w:pStyle w:val="TableText0"/>
              <w:ind w:left="32"/>
            </w:pPr>
            <w:r w:rsidRPr="00D7733D">
              <w:t xml:space="preserve">Patient must not be suitable for </w:t>
            </w:r>
            <w:proofErr w:type="spellStart"/>
            <w:r w:rsidRPr="00D7733D">
              <w:t>transarterial</w:t>
            </w:r>
            <w:proofErr w:type="spellEnd"/>
            <w:r w:rsidRPr="00D7733D">
              <w:t xml:space="preserve"> </w:t>
            </w:r>
            <w:proofErr w:type="spellStart"/>
            <w:r w:rsidRPr="00D7733D">
              <w:t>chemoembolisation</w:t>
            </w:r>
            <w:proofErr w:type="spellEnd"/>
          </w:p>
        </w:tc>
      </w:tr>
      <w:tr w:rsidR="00531585" w:rsidRPr="00D7733D" w14:paraId="68868CCA"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3CF0883"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AND</w:t>
            </w:r>
          </w:p>
        </w:tc>
      </w:tr>
      <w:tr w:rsidR="00531585" w:rsidRPr="00D7733D" w14:paraId="04F87692"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BAA07C2"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Clinical criteria:</w:t>
            </w:r>
          </w:p>
        </w:tc>
      </w:tr>
      <w:tr w:rsidR="00531585" w:rsidRPr="00D7733D" w14:paraId="0F06B628"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78AFE590"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have Child Pugh class A</w:t>
            </w:r>
          </w:p>
        </w:tc>
      </w:tr>
      <w:tr w:rsidR="00531585" w:rsidRPr="00D7733D" w14:paraId="1FDAD165"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51709AB"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72BA3848"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6C3DB21"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07191437"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293B1CE"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 xml:space="preserve">The condition must be untreated with systemic therapy; </w:t>
            </w:r>
            <w:r w:rsidRPr="00D7733D">
              <w:rPr>
                <w:rFonts w:ascii="Arial Narrow" w:hAnsi="Arial Narrow"/>
                <w:b/>
                <w:bCs/>
                <w:color w:val="333333"/>
                <w:sz w:val="20"/>
                <w:szCs w:val="20"/>
              </w:rPr>
              <w:t>OR</w:t>
            </w:r>
          </w:p>
        </w:tc>
      </w:tr>
      <w:tr w:rsidR="00531585" w:rsidRPr="00D7733D" w14:paraId="470DC185"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F854751"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 xml:space="preserve">Patient must have developed intolerance </w:t>
            </w:r>
            <w:r w:rsidRPr="005C6A3A">
              <w:rPr>
                <w:rFonts w:ascii="Arial Narrow" w:hAnsi="Arial Narrow"/>
                <w:color w:val="333333"/>
                <w:sz w:val="20"/>
                <w:szCs w:val="20"/>
              </w:rPr>
              <w:t>of a severity necessitating permanent treatment withdrawal, in the absence of disease progression</w:t>
            </w:r>
            <w:r w:rsidRPr="00D7733D">
              <w:rPr>
                <w:rFonts w:ascii="Arial Narrow" w:hAnsi="Arial Narrow"/>
                <w:color w:val="333333"/>
                <w:sz w:val="20"/>
                <w:szCs w:val="20"/>
              </w:rPr>
              <w:t xml:space="preserve"> to a vascular endothelial growth factor (VEGF) </w:t>
            </w:r>
            <w:r>
              <w:rPr>
                <w:rFonts w:ascii="Arial Narrow" w:hAnsi="Arial Narrow"/>
                <w:color w:val="333333"/>
                <w:sz w:val="20"/>
                <w:szCs w:val="20"/>
              </w:rPr>
              <w:t xml:space="preserve">tyrosine kinase </w:t>
            </w:r>
            <w:r w:rsidRPr="00D7733D">
              <w:rPr>
                <w:rFonts w:ascii="Arial Narrow" w:hAnsi="Arial Narrow"/>
                <w:color w:val="333333"/>
                <w:sz w:val="20"/>
                <w:szCs w:val="20"/>
              </w:rPr>
              <w:t xml:space="preserve">inhibitor </w:t>
            </w:r>
            <w:r>
              <w:rPr>
                <w:rFonts w:ascii="Arial Narrow" w:hAnsi="Arial Narrow"/>
                <w:color w:val="333333"/>
                <w:sz w:val="20"/>
                <w:szCs w:val="20"/>
              </w:rPr>
              <w:t xml:space="preserve">(TKI) </w:t>
            </w:r>
            <w:r w:rsidRPr="00D7733D">
              <w:rPr>
                <w:rFonts w:ascii="Arial Narrow" w:hAnsi="Arial Narrow"/>
                <w:color w:val="333333"/>
                <w:sz w:val="20"/>
                <w:szCs w:val="20"/>
              </w:rPr>
              <w:t>.</w:t>
            </w:r>
          </w:p>
        </w:tc>
      </w:tr>
      <w:tr w:rsidR="00531585" w:rsidRPr="00D7733D" w14:paraId="151F12C2"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67BC41B" w14:textId="77777777" w:rsidR="00531585" w:rsidRPr="00D7733D" w:rsidRDefault="00531585" w:rsidP="0034363B">
            <w:pPr>
              <w:rPr>
                <w:rFonts w:ascii="Arial Narrow" w:hAnsi="Arial Narrow"/>
                <w:color w:val="333333"/>
                <w:sz w:val="20"/>
                <w:szCs w:val="20"/>
              </w:rPr>
            </w:pPr>
          </w:p>
        </w:tc>
      </w:tr>
      <w:tr w:rsidR="004B3B83" w:rsidRPr="00D7733D" w14:paraId="20BB3045" w14:textId="77777777" w:rsidTr="0034363B">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41F52DF" w14:textId="77777777" w:rsidR="004B3B83" w:rsidRPr="00D7733D" w:rsidRDefault="004B3B83" w:rsidP="0034363B">
            <w:pPr>
              <w:rPr>
                <w:rFonts w:ascii="Arial Narrow" w:hAnsi="Arial Narrow"/>
                <w:color w:val="333333"/>
                <w:sz w:val="20"/>
                <w:szCs w:val="20"/>
              </w:rPr>
            </w:pPr>
            <w:r w:rsidRPr="00D7733D">
              <w:rPr>
                <w:rFonts w:ascii="Arial Narrow" w:hAnsi="Arial Narrow"/>
                <w:b/>
                <w:sz w:val="20"/>
                <w:szCs w:val="20"/>
              </w:rPr>
              <w:t>Restriction Summary [new3]/ Treatment of Concept: [new3A]</w:t>
            </w:r>
          </w:p>
        </w:tc>
      </w:tr>
      <w:tr w:rsidR="00531585" w:rsidRPr="00D7733D" w14:paraId="5210904A"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7FCA347" w14:textId="77777777" w:rsidR="00531585" w:rsidRPr="00D7733D" w:rsidRDefault="00531585" w:rsidP="0034363B">
            <w:pPr>
              <w:rPr>
                <w:rFonts w:ascii="Arial Narrow" w:hAnsi="Arial Narrow"/>
                <w:color w:val="333333"/>
                <w:sz w:val="20"/>
                <w:szCs w:val="20"/>
              </w:rPr>
            </w:pPr>
            <w:r w:rsidRPr="00D7733D">
              <w:rPr>
                <w:rFonts w:ascii="Arial Narrow" w:hAnsi="Arial Narrow"/>
                <w:b/>
                <w:bCs/>
                <w:sz w:val="20"/>
                <w:szCs w:val="20"/>
              </w:rPr>
              <w:t xml:space="preserve">Severity: </w:t>
            </w:r>
            <w:r w:rsidRPr="00D7733D">
              <w:rPr>
                <w:rFonts w:ascii="Arial Narrow" w:hAnsi="Arial Narrow"/>
                <w:bCs/>
                <w:sz w:val="20"/>
                <w:szCs w:val="20"/>
              </w:rPr>
              <w:t>Advanced (unresectable) Barcelona Clinic Liver Cancer Stage B or Stage C hepatocellular carcinoma</w:t>
            </w:r>
          </w:p>
        </w:tc>
      </w:tr>
      <w:tr w:rsidR="00531585" w:rsidRPr="00D7733D" w14:paraId="3791606C"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DC55D1A" w14:textId="77777777" w:rsidR="00531585" w:rsidRPr="00D7733D" w:rsidRDefault="00531585" w:rsidP="0034363B">
            <w:pPr>
              <w:rPr>
                <w:rFonts w:ascii="Arial Narrow" w:hAnsi="Arial Narrow"/>
                <w:color w:val="333333"/>
                <w:sz w:val="20"/>
                <w:szCs w:val="20"/>
              </w:rPr>
            </w:pPr>
            <w:r w:rsidRPr="00D7733D">
              <w:rPr>
                <w:rFonts w:ascii="Arial Narrow" w:hAnsi="Arial Narrow"/>
                <w:b/>
                <w:bCs/>
                <w:sz w:val="20"/>
                <w:szCs w:val="20"/>
              </w:rPr>
              <w:t xml:space="preserve">Condition: </w:t>
            </w:r>
            <w:r w:rsidRPr="00D7733D">
              <w:rPr>
                <w:rFonts w:ascii="Arial Narrow" w:hAnsi="Arial Narrow"/>
                <w:bCs/>
                <w:sz w:val="20"/>
                <w:szCs w:val="20"/>
              </w:rPr>
              <w:t>Hepatocellular carcinoma</w:t>
            </w:r>
          </w:p>
        </w:tc>
      </w:tr>
      <w:tr w:rsidR="00531585" w:rsidRPr="00D7733D" w14:paraId="04124128"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59D9655B" w14:textId="77777777" w:rsidR="00531585" w:rsidRPr="00D7733D" w:rsidRDefault="00531585" w:rsidP="0034363B">
            <w:pPr>
              <w:rPr>
                <w:rFonts w:ascii="Arial Narrow" w:hAnsi="Arial Narrow"/>
                <w:color w:val="333333"/>
                <w:sz w:val="20"/>
                <w:szCs w:val="20"/>
              </w:rPr>
            </w:pPr>
            <w:r w:rsidRPr="00D7733D">
              <w:rPr>
                <w:rFonts w:ascii="Arial Narrow" w:hAnsi="Arial Narrow"/>
                <w:b/>
                <w:bCs/>
                <w:sz w:val="20"/>
                <w:szCs w:val="20"/>
              </w:rPr>
              <w:t>Indication:</w:t>
            </w:r>
            <w:r w:rsidRPr="00D7733D">
              <w:rPr>
                <w:rFonts w:ascii="Arial Narrow" w:hAnsi="Arial Narrow"/>
                <w:sz w:val="20"/>
                <w:szCs w:val="20"/>
              </w:rPr>
              <w:t xml:space="preserve"> Advanced (unresectable) Barcelona Clinic Liver Cancer Stage B or Stage C hepatocellular carcinoma</w:t>
            </w:r>
          </w:p>
        </w:tc>
      </w:tr>
      <w:tr w:rsidR="00531585" w:rsidRPr="00D7733D" w14:paraId="0A925535"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6547B25C" w14:textId="77777777" w:rsidR="00531585" w:rsidRPr="00D7733D" w:rsidRDefault="00531585" w:rsidP="0034363B">
            <w:pPr>
              <w:rPr>
                <w:rFonts w:ascii="Arial Narrow" w:hAnsi="Arial Narrow"/>
                <w:color w:val="333333"/>
                <w:sz w:val="20"/>
                <w:szCs w:val="20"/>
              </w:rPr>
            </w:pPr>
            <w:r w:rsidRPr="00D7733D">
              <w:rPr>
                <w:rFonts w:ascii="Arial Narrow" w:hAnsi="Arial Narrow"/>
                <w:b/>
                <w:bCs/>
                <w:sz w:val="20"/>
                <w:szCs w:val="20"/>
              </w:rPr>
              <w:t>Treatment Phase:</w:t>
            </w:r>
            <w:r w:rsidRPr="00D7733D">
              <w:rPr>
                <w:rFonts w:ascii="Arial Narrow" w:hAnsi="Arial Narrow"/>
                <w:sz w:val="20"/>
                <w:szCs w:val="20"/>
              </w:rPr>
              <w:t xml:space="preserve"> Continuing treatment</w:t>
            </w:r>
          </w:p>
        </w:tc>
      </w:tr>
      <w:tr w:rsidR="00531585" w:rsidRPr="00D7733D" w14:paraId="07374B68"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42E285E4"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 xml:space="preserve">Clinical criteria: </w:t>
            </w:r>
          </w:p>
        </w:tc>
      </w:tr>
      <w:tr w:rsidR="00531585" w:rsidRPr="00D7733D" w14:paraId="1149942A"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86C641E"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have previously received PBS-subsidised treatment with this drug for this condition</w:t>
            </w:r>
          </w:p>
        </w:tc>
      </w:tr>
      <w:tr w:rsidR="00531585" w:rsidRPr="00D7733D" w14:paraId="3D9180C9"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5000A22"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5FF9440A"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1BDBF2AB"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7AE8E919" w14:textId="77777777" w:rsidTr="00531585">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4"/>
            <w:vAlign w:val="center"/>
          </w:tcPr>
          <w:p w14:paraId="30CE719A"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not have developed disease progression while being treated with this drug for this condition.</w:t>
            </w:r>
          </w:p>
        </w:tc>
      </w:tr>
    </w:tbl>
    <w:p w14:paraId="74235D1B" w14:textId="542E53DA" w:rsidR="00CF3F5F" w:rsidRDefault="00E037F8" w:rsidP="0025273A">
      <w:pPr>
        <w:spacing w:before="120" w:after="120"/>
        <w:rPr>
          <w:rFonts w:asciiTheme="minorHAnsi" w:hAnsiTheme="minorHAnsi" w:cs="Arial"/>
          <w:b/>
          <w:snapToGrid w:val="0"/>
          <w:lang w:val="en-GB" w:eastAsia="en-US"/>
        </w:rPr>
      </w:pPr>
      <w:r>
        <w:rPr>
          <w:rFonts w:asciiTheme="minorHAnsi" w:hAnsiTheme="minorHAnsi" w:cs="Arial"/>
          <w:b/>
          <w:snapToGrid w:val="0"/>
          <w:lang w:val="en-GB" w:eastAsia="en-US"/>
        </w:rPr>
        <w:t>Flow-on changes</w:t>
      </w:r>
    </w:p>
    <w:p w14:paraId="74EC52D5" w14:textId="77777777" w:rsidR="00E037F8" w:rsidRPr="006A7B45" w:rsidRDefault="00E037F8" w:rsidP="0025273A">
      <w:pPr>
        <w:pStyle w:val="5-SubsectionSubheading"/>
        <w:spacing w:before="120" w:after="120"/>
        <w:outlineLvl w:val="9"/>
        <w:rPr>
          <w:u w:val="none"/>
        </w:rPr>
      </w:pPr>
      <w:r w:rsidRPr="006A7B45">
        <w:rPr>
          <w:u w:val="none"/>
        </w:rPr>
        <w:t>Lenvatinib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24"/>
        <w:gridCol w:w="7"/>
      </w:tblGrid>
      <w:tr w:rsidR="009C4B31" w:rsidRPr="00D7733D" w14:paraId="43E1A631" w14:textId="77777777" w:rsidTr="00531585">
        <w:trPr>
          <w:cantSplit/>
          <w:trHeight w:val="20"/>
        </w:trPr>
        <w:tc>
          <w:tcPr>
            <w:tcW w:w="3940" w:type="dxa"/>
            <w:vAlign w:val="center"/>
          </w:tcPr>
          <w:p w14:paraId="2DD55501" w14:textId="77777777" w:rsidR="009C4B31" w:rsidRPr="00D7733D" w:rsidRDefault="009C4B31" w:rsidP="0034363B">
            <w:pPr>
              <w:keepLines/>
              <w:rPr>
                <w:rFonts w:ascii="Arial Narrow" w:hAnsi="Arial Narrow" w:cs="Arial"/>
                <w:b/>
                <w:bCs/>
                <w:sz w:val="20"/>
                <w:szCs w:val="20"/>
              </w:rPr>
            </w:pPr>
            <w:r w:rsidRPr="00D7733D">
              <w:rPr>
                <w:rFonts w:ascii="Arial Narrow" w:hAnsi="Arial Narrow" w:cs="Arial"/>
                <w:b/>
                <w:bCs/>
                <w:sz w:val="20"/>
                <w:szCs w:val="20"/>
              </w:rPr>
              <w:t>MEDICINAL PRODUCT</w:t>
            </w:r>
          </w:p>
          <w:p w14:paraId="6C2ADBBB" w14:textId="77777777" w:rsidR="009C4B31" w:rsidRPr="00D7733D" w:rsidRDefault="009C4B31" w:rsidP="0034363B">
            <w:pPr>
              <w:keepLines/>
              <w:rPr>
                <w:rFonts w:ascii="Arial Narrow" w:hAnsi="Arial Narrow" w:cs="Arial"/>
                <w:b/>
                <w:sz w:val="20"/>
                <w:szCs w:val="20"/>
              </w:rPr>
            </w:pPr>
            <w:r w:rsidRPr="00D7733D">
              <w:rPr>
                <w:rFonts w:ascii="Arial Narrow" w:hAnsi="Arial Narrow" w:cs="Arial"/>
                <w:b/>
                <w:bCs/>
                <w:sz w:val="20"/>
                <w:szCs w:val="20"/>
              </w:rPr>
              <w:t>medicinal product pack</w:t>
            </w:r>
          </w:p>
        </w:tc>
        <w:tc>
          <w:tcPr>
            <w:tcW w:w="811" w:type="dxa"/>
            <w:vAlign w:val="center"/>
          </w:tcPr>
          <w:p w14:paraId="433C8301" w14:textId="77777777" w:rsidR="009C4B31" w:rsidRPr="00D7733D" w:rsidRDefault="009C4B31" w:rsidP="0034363B">
            <w:pPr>
              <w:keepLines/>
              <w:jc w:val="center"/>
              <w:rPr>
                <w:rFonts w:ascii="Arial Narrow" w:hAnsi="Arial Narrow" w:cs="Arial"/>
                <w:b/>
                <w:sz w:val="20"/>
                <w:szCs w:val="20"/>
              </w:rPr>
            </w:pPr>
            <w:r w:rsidRPr="00D7733D">
              <w:rPr>
                <w:rFonts w:ascii="Arial Narrow" w:hAnsi="Arial Narrow" w:cs="Arial"/>
                <w:b/>
                <w:sz w:val="20"/>
                <w:szCs w:val="20"/>
              </w:rPr>
              <w:t>PBS item code</w:t>
            </w:r>
          </w:p>
        </w:tc>
        <w:tc>
          <w:tcPr>
            <w:tcW w:w="812" w:type="dxa"/>
            <w:vAlign w:val="center"/>
          </w:tcPr>
          <w:p w14:paraId="037A90C3" w14:textId="77777777" w:rsidR="009C4B31" w:rsidRPr="00D7733D" w:rsidRDefault="009C4B31" w:rsidP="0034363B">
            <w:pPr>
              <w:keepLines/>
              <w:jc w:val="center"/>
              <w:rPr>
                <w:rFonts w:ascii="Arial Narrow" w:hAnsi="Arial Narrow" w:cs="Arial"/>
                <w:b/>
                <w:sz w:val="20"/>
                <w:szCs w:val="20"/>
              </w:rPr>
            </w:pPr>
            <w:r w:rsidRPr="00D7733D">
              <w:rPr>
                <w:rFonts w:ascii="Arial Narrow" w:hAnsi="Arial Narrow" w:cs="Arial"/>
                <w:b/>
                <w:sz w:val="20"/>
                <w:szCs w:val="20"/>
              </w:rPr>
              <w:t>Max. qty packs</w:t>
            </w:r>
          </w:p>
        </w:tc>
        <w:tc>
          <w:tcPr>
            <w:tcW w:w="811" w:type="dxa"/>
            <w:vAlign w:val="center"/>
          </w:tcPr>
          <w:p w14:paraId="101042B0" w14:textId="77777777" w:rsidR="009C4B31" w:rsidRPr="00D7733D" w:rsidRDefault="009C4B31" w:rsidP="0034363B">
            <w:pPr>
              <w:keepLines/>
              <w:jc w:val="center"/>
              <w:rPr>
                <w:rFonts w:ascii="Arial Narrow" w:hAnsi="Arial Narrow" w:cs="Arial"/>
                <w:b/>
                <w:sz w:val="20"/>
                <w:szCs w:val="20"/>
              </w:rPr>
            </w:pPr>
            <w:r w:rsidRPr="00D7733D">
              <w:rPr>
                <w:rFonts w:ascii="Arial Narrow" w:hAnsi="Arial Narrow" w:cs="Arial"/>
                <w:b/>
                <w:sz w:val="20"/>
                <w:szCs w:val="20"/>
              </w:rPr>
              <w:t>Max. qty units</w:t>
            </w:r>
          </w:p>
        </w:tc>
        <w:tc>
          <w:tcPr>
            <w:tcW w:w="812" w:type="dxa"/>
            <w:vAlign w:val="center"/>
          </w:tcPr>
          <w:p w14:paraId="5ADB161B" w14:textId="77777777" w:rsidR="009C4B31" w:rsidRPr="00D7733D" w:rsidRDefault="009C4B31" w:rsidP="0034363B">
            <w:pPr>
              <w:keepLines/>
              <w:jc w:val="center"/>
              <w:rPr>
                <w:rFonts w:ascii="Arial Narrow" w:hAnsi="Arial Narrow" w:cs="Arial"/>
                <w:b/>
                <w:bCs/>
                <w:sz w:val="20"/>
                <w:szCs w:val="20"/>
              </w:rPr>
            </w:pPr>
            <w:r w:rsidRPr="00D7733D">
              <w:rPr>
                <w:rFonts w:ascii="Arial Narrow" w:hAnsi="Arial Narrow" w:cs="Arial"/>
                <w:b/>
                <w:bCs/>
                <w:sz w:val="20"/>
                <w:szCs w:val="20"/>
              </w:rPr>
              <w:t>№.of</w:t>
            </w:r>
          </w:p>
          <w:p w14:paraId="21EBDE2E" w14:textId="77777777" w:rsidR="009C4B31" w:rsidRPr="00D7733D" w:rsidRDefault="009C4B31" w:rsidP="0034363B">
            <w:pPr>
              <w:keepLines/>
              <w:jc w:val="center"/>
              <w:rPr>
                <w:rFonts w:ascii="Arial Narrow" w:hAnsi="Arial Narrow" w:cs="Arial"/>
                <w:b/>
                <w:bCs/>
                <w:sz w:val="20"/>
                <w:szCs w:val="20"/>
              </w:rPr>
            </w:pPr>
            <w:r w:rsidRPr="00D7733D">
              <w:rPr>
                <w:rFonts w:ascii="Arial Narrow" w:hAnsi="Arial Narrow" w:cs="Arial"/>
                <w:b/>
                <w:bCs/>
                <w:sz w:val="20"/>
                <w:szCs w:val="20"/>
              </w:rPr>
              <w:t>Rpts</w:t>
            </w:r>
          </w:p>
        </w:tc>
        <w:tc>
          <w:tcPr>
            <w:tcW w:w="1831" w:type="dxa"/>
            <w:gridSpan w:val="2"/>
            <w:vAlign w:val="center"/>
          </w:tcPr>
          <w:p w14:paraId="70B7526A" w14:textId="77777777" w:rsidR="009C4B31" w:rsidRPr="00D7733D" w:rsidRDefault="009C4B31" w:rsidP="0034363B">
            <w:pPr>
              <w:keepLines/>
              <w:rPr>
                <w:rFonts w:ascii="Arial Narrow" w:hAnsi="Arial Narrow" w:cs="Arial"/>
                <w:b/>
                <w:sz w:val="20"/>
                <w:szCs w:val="20"/>
                <w:lang w:val="fr-FR"/>
              </w:rPr>
            </w:pPr>
            <w:r w:rsidRPr="00D7733D">
              <w:rPr>
                <w:rFonts w:ascii="Arial Narrow" w:hAnsi="Arial Narrow" w:cs="Arial"/>
                <w:b/>
                <w:sz w:val="20"/>
                <w:szCs w:val="20"/>
              </w:rPr>
              <w:t>Available brands</w:t>
            </w:r>
          </w:p>
        </w:tc>
      </w:tr>
      <w:tr w:rsidR="009C4B31" w:rsidRPr="00D7733D" w14:paraId="2E638949" w14:textId="77777777" w:rsidTr="00531585">
        <w:trPr>
          <w:cantSplit/>
          <w:trHeight w:val="20"/>
        </w:trPr>
        <w:tc>
          <w:tcPr>
            <w:tcW w:w="9017" w:type="dxa"/>
            <w:gridSpan w:val="7"/>
            <w:vAlign w:val="center"/>
          </w:tcPr>
          <w:p w14:paraId="42B17F0A" w14:textId="77777777" w:rsidR="009C4B31" w:rsidRPr="00D7733D" w:rsidRDefault="009C4B31" w:rsidP="0034363B">
            <w:pPr>
              <w:keepLines/>
              <w:rPr>
                <w:rFonts w:ascii="Arial Narrow" w:hAnsi="Arial Narrow" w:cs="Arial"/>
                <w:sz w:val="20"/>
                <w:szCs w:val="20"/>
              </w:rPr>
            </w:pPr>
            <w:r w:rsidRPr="00D7733D">
              <w:rPr>
                <w:rFonts w:ascii="Arial Narrow" w:hAnsi="Arial Narrow" w:cs="Arial"/>
                <w:sz w:val="20"/>
                <w:szCs w:val="20"/>
              </w:rPr>
              <w:t>LENVATINIB</w:t>
            </w:r>
          </w:p>
        </w:tc>
      </w:tr>
      <w:tr w:rsidR="009C4B31" w:rsidRPr="00D7733D" w14:paraId="79080FF6" w14:textId="77777777" w:rsidTr="00531585">
        <w:trPr>
          <w:cantSplit/>
          <w:trHeight w:val="20"/>
        </w:trPr>
        <w:tc>
          <w:tcPr>
            <w:tcW w:w="3940" w:type="dxa"/>
            <w:vAlign w:val="center"/>
          </w:tcPr>
          <w:p w14:paraId="3B968984" w14:textId="77777777" w:rsidR="009C4B31" w:rsidRPr="00D7733D" w:rsidRDefault="009C4B31" w:rsidP="0034363B">
            <w:pPr>
              <w:keepLines/>
              <w:rPr>
                <w:rFonts w:ascii="Arial Narrow" w:hAnsi="Arial Narrow" w:cs="Arial"/>
                <w:sz w:val="20"/>
                <w:szCs w:val="20"/>
              </w:rPr>
            </w:pPr>
            <w:r w:rsidRPr="00D7733D">
              <w:rPr>
                <w:rFonts w:ascii="Arial Narrow" w:hAnsi="Arial Narrow" w:cs="Arial"/>
                <w:sz w:val="20"/>
                <w:szCs w:val="20"/>
              </w:rPr>
              <w:t>lenvatinib 4 mg capsule, 30</w:t>
            </w:r>
          </w:p>
        </w:tc>
        <w:tc>
          <w:tcPr>
            <w:tcW w:w="811" w:type="dxa"/>
            <w:vAlign w:val="center"/>
          </w:tcPr>
          <w:p w14:paraId="1926582F" w14:textId="77777777" w:rsidR="009C4B31" w:rsidRPr="00D7733D" w:rsidRDefault="009C4B31" w:rsidP="0034363B">
            <w:pPr>
              <w:keepLines/>
              <w:jc w:val="center"/>
              <w:rPr>
                <w:rFonts w:ascii="Arial Narrow" w:hAnsi="Arial Narrow" w:cs="Arial"/>
                <w:sz w:val="20"/>
                <w:szCs w:val="20"/>
              </w:rPr>
            </w:pPr>
            <w:r w:rsidRPr="00D7733D">
              <w:rPr>
                <w:rFonts w:ascii="Arial Narrow" w:hAnsi="Arial Narrow" w:cs="Arial"/>
                <w:sz w:val="20"/>
                <w:szCs w:val="20"/>
              </w:rPr>
              <w:t>11638M</w:t>
            </w:r>
          </w:p>
        </w:tc>
        <w:tc>
          <w:tcPr>
            <w:tcW w:w="812" w:type="dxa"/>
            <w:vAlign w:val="center"/>
          </w:tcPr>
          <w:p w14:paraId="6F11C4A2" w14:textId="77777777" w:rsidR="009C4B31" w:rsidRPr="00D7733D" w:rsidRDefault="009C4B31" w:rsidP="0034363B">
            <w:pPr>
              <w:keepLines/>
              <w:jc w:val="center"/>
              <w:rPr>
                <w:rFonts w:ascii="Arial Narrow" w:hAnsi="Arial Narrow" w:cs="Arial"/>
                <w:sz w:val="20"/>
                <w:szCs w:val="20"/>
              </w:rPr>
            </w:pPr>
            <w:r w:rsidRPr="00D7733D">
              <w:rPr>
                <w:rFonts w:ascii="Arial Narrow" w:hAnsi="Arial Narrow" w:cs="Arial"/>
                <w:sz w:val="20"/>
                <w:szCs w:val="20"/>
              </w:rPr>
              <w:t>3</w:t>
            </w:r>
          </w:p>
        </w:tc>
        <w:tc>
          <w:tcPr>
            <w:tcW w:w="811" w:type="dxa"/>
            <w:vAlign w:val="center"/>
          </w:tcPr>
          <w:p w14:paraId="17B17896" w14:textId="77777777" w:rsidR="009C4B31" w:rsidRPr="00D7733D" w:rsidRDefault="009C4B31" w:rsidP="0034363B">
            <w:pPr>
              <w:keepLines/>
              <w:jc w:val="center"/>
              <w:rPr>
                <w:rFonts w:ascii="Arial Narrow" w:hAnsi="Arial Narrow" w:cs="Arial"/>
                <w:sz w:val="20"/>
                <w:szCs w:val="20"/>
              </w:rPr>
            </w:pPr>
            <w:r w:rsidRPr="00D7733D">
              <w:rPr>
                <w:rFonts w:ascii="Arial Narrow" w:hAnsi="Arial Narrow" w:cs="Arial"/>
                <w:sz w:val="20"/>
                <w:szCs w:val="20"/>
              </w:rPr>
              <w:t>90</w:t>
            </w:r>
          </w:p>
        </w:tc>
        <w:tc>
          <w:tcPr>
            <w:tcW w:w="812" w:type="dxa"/>
            <w:vAlign w:val="center"/>
          </w:tcPr>
          <w:p w14:paraId="0E6BBE2E" w14:textId="77777777" w:rsidR="009C4B31" w:rsidRPr="00D7733D" w:rsidRDefault="009C4B31" w:rsidP="0034363B">
            <w:pPr>
              <w:keepLines/>
              <w:jc w:val="center"/>
              <w:rPr>
                <w:rFonts w:ascii="Arial Narrow" w:hAnsi="Arial Narrow" w:cs="Arial"/>
                <w:sz w:val="20"/>
                <w:szCs w:val="20"/>
              </w:rPr>
            </w:pPr>
            <w:r w:rsidRPr="00D7733D">
              <w:rPr>
                <w:rFonts w:ascii="Arial Narrow" w:hAnsi="Arial Narrow" w:cs="Arial"/>
                <w:sz w:val="20"/>
                <w:szCs w:val="20"/>
              </w:rPr>
              <w:t>2</w:t>
            </w:r>
          </w:p>
        </w:tc>
        <w:tc>
          <w:tcPr>
            <w:tcW w:w="1831" w:type="dxa"/>
            <w:gridSpan w:val="2"/>
            <w:vAlign w:val="center"/>
          </w:tcPr>
          <w:p w14:paraId="566B9A37" w14:textId="77777777" w:rsidR="009C4B31" w:rsidRPr="00D7733D" w:rsidRDefault="009C4B31" w:rsidP="0034363B">
            <w:pPr>
              <w:keepLines/>
              <w:rPr>
                <w:rFonts w:ascii="Arial Narrow" w:hAnsi="Arial Narrow" w:cs="Arial"/>
                <w:sz w:val="20"/>
                <w:szCs w:val="20"/>
              </w:rPr>
            </w:pPr>
            <w:proofErr w:type="spellStart"/>
            <w:r w:rsidRPr="00D7733D">
              <w:rPr>
                <w:rFonts w:ascii="Arial Narrow" w:hAnsi="Arial Narrow" w:cs="Arial"/>
                <w:sz w:val="20"/>
                <w:szCs w:val="20"/>
              </w:rPr>
              <w:t>lenvima</w:t>
            </w:r>
            <w:proofErr w:type="spellEnd"/>
          </w:p>
        </w:tc>
      </w:tr>
      <w:tr w:rsidR="009C4B31" w:rsidRPr="00D7733D" w14:paraId="0CA037CB" w14:textId="77777777" w:rsidTr="00531585">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559445B" w14:textId="77777777" w:rsidR="009C4B31" w:rsidRPr="00D7733D" w:rsidRDefault="009C4B31" w:rsidP="0034363B">
            <w:pPr>
              <w:rPr>
                <w:rFonts w:ascii="Arial Narrow" w:hAnsi="Arial Narrow" w:cs="Arial"/>
                <w:sz w:val="20"/>
                <w:szCs w:val="20"/>
              </w:rPr>
            </w:pPr>
          </w:p>
        </w:tc>
      </w:tr>
      <w:tr w:rsidR="009C4B31" w:rsidRPr="00D7733D" w14:paraId="1E9CCD67" w14:textId="77777777" w:rsidTr="00531585">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79892D53" w14:textId="77777777" w:rsidR="009C4B31" w:rsidRPr="00D7733D" w:rsidRDefault="009C4B31" w:rsidP="0034363B">
            <w:pPr>
              <w:keepLines/>
              <w:rPr>
                <w:rFonts w:ascii="Arial Narrow" w:hAnsi="Arial Narrow" w:cs="Arial"/>
                <w:b/>
                <w:sz w:val="20"/>
                <w:szCs w:val="20"/>
              </w:rPr>
            </w:pPr>
            <w:r w:rsidRPr="00D7733D">
              <w:rPr>
                <w:rFonts w:ascii="Arial Narrow" w:hAnsi="Arial Narrow"/>
                <w:b/>
                <w:sz w:val="20"/>
                <w:szCs w:val="20"/>
              </w:rPr>
              <w:t>Restriction Summary [11167]</w:t>
            </w:r>
            <w:r w:rsidRPr="00D7733D">
              <w:rPr>
                <w:rFonts w:ascii="Arial Narrow" w:hAnsi="Arial Narrow"/>
                <w:b/>
                <w:color w:val="FF0000"/>
                <w:sz w:val="20"/>
                <w:szCs w:val="20"/>
              </w:rPr>
              <w:t xml:space="preserve"> </w:t>
            </w:r>
            <w:r w:rsidRPr="00D7733D">
              <w:rPr>
                <w:rFonts w:ascii="Arial Narrow" w:hAnsi="Arial Narrow"/>
                <w:b/>
                <w:sz w:val="20"/>
                <w:szCs w:val="20"/>
              </w:rPr>
              <w:t>/ Treatment of Concept: [11168]</w:t>
            </w:r>
          </w:p>
        </w:tc>
      </w:tr>
      <w:tr w:rsidR="00531585" w:rsidRPr="00D7733D" w14:paraId="46EC9738"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4590A4A" w14:textId="77777777" w:rsidR="00531585" w:rsidRPr="00D7733D" w:rsidRDefault="00531585" w:rsidP="0034363B">
            <w:pPr>
              <w:keepLines/>
              <w:rPr>
                <w:rFonts w:ascii="Arial Narrow" w:hAnsi="Arial Narrow" w:cs="Arial"/>
                <w:sz w:val="20"/>
                <w:szCs w:val="20"/>
              </w:rPr>
            </w:pPr>
            <w:r w:rsidRPr="00D7733D">
              <w:rPr>
                <w:rFonts w:ascii="Arial Narrow" w:hAnsi="Arial Narrow" w:cs="Arial"/>
                <w:b/>
                <w:sz w:val="20"/>
                <w:szCs w:val="20"/>
              </w:rPr>
              <w:t xml:space="preserve">Category / Program: </w:t>
            </w:r>
            <w:r w:rsidRPr="00D7733D">
              <w:rPr>
                <w:rFonts w:ascii="Arial Narrow" w:hAnsi="Arial Narrow" w:cs="Arial"/>
                <w:sz w:val="20"/>
                <w:szCs w:val="20"/>
              </w:rPr>
              <w:t>GENERAL – General Schedule (Code GE)</w:t>
            </w:r>
          </w:p>
        </w:tc>
      </w:tr>
      <w:tr w:rsidR="00531585" w:rsidRPr="00D7733D" w14:paraId="53DFB6CD"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D25F2C8" w14:textId="77777777" w:rsidR="00531585" w:rsidRPr="00D7733D" w:rsidRDefault="00531585" w:rsidP="0034363B">
            <w:pPr>
              <w:keepLines/>
              <w:rPr>
                <w:rFonts w:ascii="Arial Narrow" w:hAnsi="Arial Narrow" w:cs="Arial"/>
                <w:b/>
                <w:sz w:val="20"/>
                <w:szCs w:val="20"/>
              </w:rPr>
            </w:pPr>
            <w:r w:rsidRPr="00D7733D">
              <w:rPr>
                <w:rFonts w:ascii="Arial Narrow" w:hAnsi="Arial Narrow" w:cs="Arial"/>
                <w:b/>
                <w:sz w:val="20"/>
                <w:szCs w:val="20"/>
              </w:rPr>
              <w:t xml:space="preserve">Prescriber type: </w:t>
            </w:r>
            <w:r w:rsidRPr="00D7733D">
              <w:rPr>
                <w:rFonts w:ascii="Arial Narrow" w:hAnsi="Arial Narrow" w:cs="Arial"/>
                <w:sz w:val="20"/>
                <w:szCs w:val="20"/>
              </w:rPr>
              <w:fldChar w:fldCharType="begin">
                <w:ffData>
                  <w:name w:val=""/>
                  <w:enabled/>
                  <w:calcOnExit w:val="0"/>
                  <w:checkBox>
                    <w:sizeAuto/>
                    <w:default w:val="1"/>
                  </w:checkBox>
                </w:ffData>
              </w:fldChar>
            </w:r>
            <w:r w:rsidRPr="00D7733D">
              <w:rPr>
                <w:rFonts w:ascii="Arial Narrow" w:hAnsi="Arial Narrow" w:cs="Arial"/>
                <w:sz w:val="20"/>
                <w:szCs w:val="20"/>
              </w:rPr>
              <w:instrText xml:space="preserve"> FORMCHECKBOX </w:instrText>
            </w:r>
            <w:r w:rsidRPr="00D7733D">
              <w:rPr>
                <w:rFonts w:ascii="Arial Narrow" w:hAnsi="Arial Narrow" w:cs="Arial"/>
                <w:sz w:val="20"/>
                <w:szCs w:val="20"/>
              </w:rPr>
            </w:r>
            <w:r w:rsidRPr="00D7733D">
              <w:rPr>
                <w:rFonts w:ascii="Arial Narrow" w:hAnsi="Arial Narrow" w:cs="Arial"/>
                <w:sz w:val="20"/>
                <w:szCs w:val="20"/>
              </w:rPr>
              <w:fldChar w:fldCharType="separate"/>
            </w:r>
            <w:r w:rsidRPr="00D7733D">
              <w:rPr>
                <w:rFonts w:ascii="Arial Narrow" w:hAnsi="Arial Narrow" w:cs="Arial"/>
                <w:sz w:val="20"/>
                <w:szCs w:val="20"/>
              </w:rPr>
              <w:fldChar w:fldCharType="end"/>
            </w:r>
            <w:r w:rsidRPr="00D7733D">
              <w:rPr>
                <w:rFonts w:ascii="Arial Narrow" w:hAnsi="Arial Narrow" w:cs="Arial"/>
                <w:sz w:val="20"/>
                <w:szCs w:val="20"/>
              </w:rPr>
              <w:t>Medical Practitioners</w:t>
            </w:r>
          </w:p>
        </w:tc>
      </w:tr>
      <w:tr w:rsidR="00531585" w:rsidRPr="00D7733D" w14:paraId="1AD452AC"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3F82DFE6" w14:textId="77777777" w:rsidR="00531585" w:rsidRPr="00D7733D" w:rsidRDefault="00531585" w:rsidP="0034363B">
            <w:pPr>
              <w:keepLines/>
              <w:rPr>
                <w:rFonts w:ascii="Arial Narrow" w:eastAsia="Calibri" w:hAnsi="Arial Narrow" w:cs="Arial"/>
                <w:color w:val="FF0000"/>
                <w:sz w:val="20"/>
                <w:szCs w:val="20"/>
              </w:rPr>
            </w:pPr>
            <w:r w:rsidRPr="00D7733D">
              <w:rPr>
                <w:rFonts w:ascii="Arial Narrow" w:hAnsi="Arial Narrow" w:cs="Arial"/>
                <w:b/>
                <w:sz w:val="20"/>
                <w:szCs w:val="20"/>
              </w:rPr>
              <w:t xml:space="preserve">Restriction type: </w:t>
            </w:r>
            <w:r w:rsidRPr="00D7733D">
              <w:rPr>
                <w:rFonts w:ascii="Arial Narrow" w:eastAsia="Calibri" w:hAnsi="Arial Narrow" w:cs="Arial"/>
                <w:sz w:val="20"/>
                <w:szCs w:val="20"/>
              </w:rPr>
              <w:fldChar w:fldCharType="begin">
                <w:ffData>
                  <w:name w:val=""/>
                  <w:enabled/>
                  <w:calcOnExit w:val="0"/>
                  <w:checkBox>
                    <w:sizeAuto/>
                    <w:default w:val="1"/>
                  </w:checkBox>
                </w:ffData>
              </w:fldChar>
            </w:r>
            <w:r w:rsidRPr="00D7733D">
              <w:rPr>
                <w:rFonts w:ascii="Arial Narrow" w:eastAsia="Calibri" w:hAnsi="Arial Narrow" w:cs="Arial"/>
                <w:sz w:val="20"/>
                <w:szCs w:val="20"/>
              </w:rPr>
              <w:instrText xml:space="preserve"> FORMCHECKBOX </w:instrText>
            </w:r>
            <w:r w:rsidRPr="00D7733D">
              <w:rPr>
                <w:rFonts w:ascii="Arial Narrow" w:eastAsia="Calibri" w:hAnsi="Arial Narrow" w:cs="Arial"/>
                <w:sz w:val="20"/>
                <w:szCs w:val="20"/>
              </w:rPr>
            </w:r>
            <w:r w:rsidRPr="00D7733D">
              <w:rPr>
                <w:rFonts w:ascii="Arial Narrow" w:eastAsia="Calibri" w:hAnsi="Arial Narrow" w:cs="Arial"/>
                <w:sz w:val="20"/>
                <w:szCs w:val="20"/>
              </w:rPr>
              <w:fldChar w:fldCharType="separate"/>
            </w:r>
            <w:r w:rsidRPr="00D7733D">
              <w:rPr>
                <w:rFonts w:ascii="Arial Narrow" w:eastAsia="Calibri" w:hAnsi="Arial Narrow" w:cs="Arial"/>
                <w:sz w:val="20"/>
                <w:szCs w:val="20"/>
              </w:rPr>
              <w:fldChar w:fldCharType="end"/>
            </w:r>
            <w:r w:rsidRPr="00D7733D">
              <w:rPr>
                <w:rFonts w:ascii="Arial Narrow" w:eastAsia="Calibri" w:hAnsi="Arial Narrow" w:cs="Arial"/>
                <w:sz w:val="20"/>
                <w:szCs w:val="20"/>
              </w:rPr>
              <w:t>Authority Required (Streamlined) [11168]</w:t>
            </w:r>
          </w:p>
        </w:tc>
      </w:tr>
      <w:tr w:rsidR="00531585" w:rsidRPr="00D7733D" w14:paraId="144E7EAC"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3DA594E9"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Administrative Advice:</w:t>
            </w:r>
            <w:r w:rsidRPr="00D7733D">
              <w:t xml:space="preserve"> </w:t>
            </w:r>
            <w:r w:rsidRPr="00D7733D">
              <w:rPr>
                <w:rFonts w:ascii="Arial Narrow" w:hAnsi="Arial Narrow"/>
                <w:color w:val="333333"/>
                <w:sz w:val="20"/>
                <w:szCs w:val="20"/>
              </w:rPr>
              <w:t>No increase in the maximum number of repeats may be authorised.</w:t>
            </w:r>
          </w:p>
        </w:tc>
      </w:tr>
      <w:tr w:rsidR="00531585" w:rsidRPr="00D7733D" w14:paraId="568D6A98"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347DBB76"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 xml:space="preserve">Administrative Advice: </w:t>
            </w:r>
            <w:r w:rsidRPr="00D7733D">
              <w:rPr>
                <w:rFonts w:ascii="Arial Narrow" w:hAnsi="Arial Narrow"/>
                <w:color w:val="333333"/>
                <w:sz w:val="20"/>
                <w:szCs w:val="20"/>
              </w:rPr>
              <w:t>Special Pricing Arrangements apply.</w:t>
            </w:r>
          </w:p>
        </w:tc>
      </w:tr>
      <w:tr w:rsidR="00531585" w:rsidRPr="00D7733D" w14:paraId="717A26A6"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3330C81F" w14:textId="77777777" w:rsidR="00531585" w:rsidRPr="00D7733D" w:rsidRDefault="00531585" w:rsidP="0034363B">
            <w:pPr>
              <w:keepLines/>
              <w:rPr>
                <w:rFonts w:ascii="Arial Narrow" w:hAnsi="Arial Narrow"/>
                <w:color w:val="333333"/>
                <w:sz w:val="20"/>
                <w:szCs w:val="20"/>
              </w:rPr>
            </w:pPr>
            <w:r w:rsidRPr="00D7733D">
              <w:rPr>
                <w:rFonts w:ascii="Arial Narrow" w:hAnsi="Arial Narrow"/>
                <w:b/>
                <w:bCs/>
                <w:color w:val="333333"/>
                <w:sz w:val="20"/>
                <w:szCs w:val="20"/>
              </w:rPr>
              <w:t>Indication:</w:t>
            </w:r>
            <w:r w:rsidRPr="00D7733D">
              <w:rPr>
                <w:rFonts w:ascii="Arial Narrow" w:hAnsi="Arial Narrow"/>
                <w:color w:val="333333"/>
                <w:sz w:val="20"/>
                <w:szCs w:val="20"/>
              </w:rPr>
              <w:t xml:space="preserve"> Advanced (unresectable) Barcelona Clinic Liver Cancer Stage B or Stage C hepatocellular carcinoma</w:t>
            </w:r>
          </w:p>
        </w:tc>
      </w:tr>
      <w:tr w:rsidR="00531585" w:rsidRPr="00D7733D" w14:paraId="5AC06DF7"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365AF6F2" w14:textId="77777777" w:rsidR="00531585" w:rsidRPr="00D7733D" w:rsidRDefault="00531585" w:rsidP="0034363B">
            <w:pPr>
              <w:rPr>
                <w:rFonts w:ascii="Arial Narrow" w:hAnsi="Arial Narrow"/>
                <w:sz w:val="20"/>
                <w:szCs w:val="20"/>
              </w:rPr>
            </w:pPr>
            <w:r w:rsidRPr="00D7733D">
              <w:rPr>
                <w:rFonts w:ascii="Arial Narrow" w:hAnsi="Arial Narrow"/>
                <w:b/>
                <w:bCs/>
                <w:color w:val="333333"/>
                <w:sz w:val="20"/>
                <w:szCs w:val="20"/>
              </w:rPr>
              <w:t>Treatment Phase:</w:t>
            </w:r>
            <w:r w:rsidRPr="00D7733D">
              <w:rPr>
                <w:rFonts w:ascii="Arial Narrow" w:hAnsi="Arial Narrow"/>
                <w:color w:val="FF0000"/>
                <w:sz w:val="20"/>
                <w:szCs w:val="20"/>
              </w:rPr>
              <w:t xml:space="preserve"> </w:t>
            </w:r>
            <w:r w:rsidRPr="00D7733D">
              <w:rPr>
                <w:rFonts w:ascii="Arial Narrow" w:hAnsi="Arial Narrow"/>
                <w:sz w:val="20"/>
                <w:szCs w:val="20"/>
              </w:rPr>
              <w:t>Initial treatment</w:t>
            </w:r>
          </w:p>
        </w:tc>
      </w:tr>
      <w:tr w:rsidR="00531585" w:rsidRPr="00D7733D" w14:paraId="29D7C910"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09B61888" w14:textId="77777777" w:rsidR="00531585" w:rsidRPr="00D7733D" w:rsidRDefault="00531585" w:rsidP="0034363B">
            <w:pPr>
              <w:rPr>
                <w:rFonts w:ascii="Arial Narrow" w:hAnsi="Arial Narrow"/>
                <w:sz w:val="20"/>
                <w:szCs w:val="20"/>
              </w:rPr>
            </w:pPr>
            <w:r w:rsidRPr="00D7733D">
              <w:rPr>
                <w:rFonts w:ascii="Arial Narrow" w:hAnsi="Arial Narrow"/>
                <w:b/>
                <w:bCs/>
                <w:color w:val="333333"/>
                <w:sz w:val="20"/>
                <w:szCs w:val="20"/>
              </w:rPr>
              <w:t xml:space="preserve">Clinical criteria: </w:t>
            </w:r>
          </w:p>
        </w:tc>
      </w:tr>
      <w:tr w:rsidR="00531585" w:rsidRPr="00D7733D" w14:paraId="0D86D1AD"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11E2BE5" w14:textId="77777777" w:rsidR="00531585" w:rsidRPr="00D7733D" w:rsidRDefault="00531585" w:rsidP="0034363B">
            <w:pPr>
              <w:rPr>
                <w:rFonts w:ascii="Arial Narrow" w:hAnsi="Arial Narrow"/>
                <w:b/>
                <w:bCs/>
                <w:color w:val="333333"/>
                <w:sz w:val="20"/>
                <w:szCs w:val="20"/>
              </w:rPr>
            </w:pPr>
            <w:r w:rsidRPr="00D7733D">
              <w:rPr>
                <w:rFonts w:ascii="Arial Narrow" w:hAnsi="Arial Narrow"/>
                <w:color w:val="333333"/>
                <w:sz w:val="20"/>
                <w:szCs w:val="20"/>
              </w:rPr>
              <w:t>The treatment must be the sole PBS-subsidised therapy for this condition</w:t>
            </w:r>
          </w:p>
        </w:tc>
      </w:tr>
      <w:tr w:rsidR="00531585" w:rsidRPr="00D7733D" w14:paraId="1CA56271"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4BD74601"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lastRenderedPageBreak/>
              <w:t>AND</w:t>
            </w:r>
          </w:p>
        </w:tc>
      </w:tr>
      <w:tr w:rsidR="00531585" w:rsidRPr="00D7733D" w14:paraId="628FD2C8"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11B186DF"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16CF3314"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41222D6"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 xml:space="preserve">Patient must not be suitable for </w:t>
            </w:r>
            <w:proofErr w:type="spellStart"/>
            <w:r w:rsidRPr="00D7733D">
              <w:rPr>
                <w:rFonts w:ascii="Arial Narrow" w:hAnsi="Arial Narrow"/>
                <w:color w:val="333333"/>
                <w:sz w:val="20"/>
                <w:szCs w:val="20"/>
              </w:rPr>
              <w:t>transarterial</w:t>
            </w:r>
            <w:proofErr w:type="spellEnd"/>
            <w:r w:rsidRPr="00D7733D">
              <w:rPr>
                <w:rFonts w:ascii="Arial Narrow" w:hAnsi="Arial Narrow"/>
                <w:color w:val="333333"/>
                <w:sz w:val="20"/>
                <w:szCs w:val="20"/>
              </w:rPr>
              <w:t xml:space="preserve"> </w:t>
            </w:r>
            <w:proofErr w:type="spellStart"/>
            <w:r w:rsidRPr="00D7733D">
              <w:rPr>
                <w:rFonts w:ascii="Arial Narrow" w:hAnsi="Arial Narrow"/>
                <w:color w:val="333333"/>
                <w:sz w:val="20"/>
                <w:szCs w:val="20"/>
              </w:rPr>
              <w:t>chemoembolisation</w:t>
            </w:r>
            <w:proofErr w:type="spellEnd"/>
          </w:p>
        </w:tc>
      </w:tr>
      <w:tr w:rsidR="00531585" w:rsidRPr="00D7733D" w14:paraId="5DC39D6D"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22C04DF"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6FFD7DA5"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7F43E0D"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004830BC"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634C46E2"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have a WHO performance status of 2 or less</w:t>
            </w:r>
          </w:p>
        </w:tc>
      </w:tr>
      <w:tr w:rsidR="00531585" w:rsidRPr="00D7733D" w14:paraId="21CA6CF8"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DE7D45A"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4C1C1A3B"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36D888A"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4ED58FDD"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2D9F696"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have Child Pugh class A</w:t>
            </w:r>
          </w:p>
        </w:tc>
      </w:tr>
      <w:tr w:rsidR="00531585" w:rsidRPr="00D7733D" w14:paraId="5E9B0210"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02B0CE9"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3BC28BC6"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6974AA9F"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742D85D8"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0B3465AE"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The condition must be untreated with systemic therapy; or</w:t>
            </w:r>
          </w:p>
        </w:tc>
      </w:tr>
      <w:tr w:rsidR="00531585" w:rsidRPr="00D7733D" w14:paraId="65A04004"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5FC283A"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 xml:space="preserve">Patient must have developed intolerance of a severity necessitating permanent treatment withdrawal, in the absence of disease progression, to any of the following: (i) a vascular endothelial growth factor (VEGF) tyrosine kinase inhibitor (TKI), (ii) atezolizumab/bevacizumab combination therapy, </w:t>
            </w:r>
            <w:r w:rsidRPr="00D7733D">
              <w:rPr>
                <w:rFonts w:ascii="Arial Narrow" w:hAnsi="Arial Narrow"/>
                <w:i/>
                <w:iCs/>
                <w:color w:val="333333"/>
                <w:sz w:val="20"/>
                <w:szCs w:val="20"/>
              </w:rPr>
              <w:t>(iii) durvalumab/tremelimumab combination therapy.</w:t>
            </w:r>
          </w:p>
        </w:tc>
      </w:tr>
    </w:tbl>
    <w:p w14:paraId="058C8145" w14:textId="77777777" w:rsidR="00E037F8" w:rsidRPr="009C4B31" w:rsidRDefault="00E037F8" w:rsidP="0025273A">
      <w:pPr>
        <w:pStyle w:val="5-SubsectionSubheading"/>
        <w:spacing w:before="120" w:after="120"/>
        <w:outlineLvl w:val="9"/>
        <w:rPr>
          <w:u w:val="none"/>
        </w:rPr>
      </w:pPr>
      <w:r w:rsidRPr="009C4B31">
        <w:rPr>
          <w:u w:val="none"/>
        </w:rPr>
        <w:t>Sorafenib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24"/>
        <w:gridCol w:w="7"/>
      </w:tblGrid>
      <w:tr w:rsidR="007B7E51" w:rsidRPr="00D7733D" w14:paraId="455D7BA5" w14:textId="77777777" w:rsidTr="007B7E51">
        <w:trPr>
          <w:cantSplit/>
          <w:trHeight w:val="20"/>
        </w:trPr>
        <w:tc>
          <w:tcPr>
            <w:tcW w:w="3940" w:type="dxa"/>
            <w:vAlign w:val="center"/>
          </w:tcPr>
          <w:p w14:paraId="1254907B" w14:textId="77777777" w:rsidR="007B7E51" w:rsidRPr="00D7733D" w:rsidRDefault="007B7E51" w:rsidP="0034363B">
            <w:pPr>
              <w:keepLines/>
              <w:rPr>
                <w:rFonts w:ascii="Arial Narrow" w:hAnsi="Arial Narrow" w:cs="Arial"/>
                <w:b/>
                <w:bCs/>
                <w:sz w:val="20"/>
                <w:szCs w:val="20"/>
              </w:rPr>
            </w:pPr>
            <w:r w:rsidRPr="00D7733D">
              <w:rPr>
                <w:rFonts w:ascii="Arial Narrow" w:hAnsi="Arial Narrow" w:cs="Arial"/>
                <w:b/>
                <w:bCs/>
                <w:sz w:val="20"/>
                <w:szCs w:val="20"/>
              </w:rPr>
              <w:t>MEDICINAL PRODUCT</w:t>
            </w:r>
          </w:p>
          <w:p w14:paraId="51378531" w14:textId="77777777" w:rsidR="007B7E51" w:rsidRPr="00D7733D" w:rsidRDefault="007B7E51" w:rsidP="0034363B">
            <w:pPr>
              <w:keepLines/>
              <w:rPr>
                <w:rFonts w:ascii="Arial Narrow" w:hAnsi="Arial Narrow" w:cs="Arial"/>
                <w:b/>
                <w:sz w:val="20"/>
                <w:szCs w:val="20"/>
              </w:rPr>
            </w:pPr>
            <w:r w:rsidRPr="00D7733D">
              <w:rPr>
                <w:rFonts w:ascii="Arial Narrow" w:hAnsi="Arial Narrow" w:cs="Arial"/>
                <w:b/>
                <w:bCs/>
                <w:sz w:val="20"/>
                <w:szCs w:val="20"/>
              </w:rPr>
              <w:t>medicinal product pack</w:t>
            </w:r>
          </w:p>
        </w:tc>
        <w:tc>
          <w:tcPr>
            <w:tcW w:w="811" w:type="dxa"/>
            <w:vAlign w:val="center"/>
          </w:tcPr>
          <w:p w14:paraId="59FD7FB7" w14:textId="77777777" w:rsidR="007B7E51" w:rsidRPr="00D7733D" w:rsidRDefault="007B7E51" w:rsidP="0034363B">
            <w:pPr>
              <w:keepLines/>
              <w:jc w:val="center"/>
              <w:rPr>
                <w:rFonts w:ascii="Arial Narrow" w:hAnsi="Arial Narrow" w:cs="Arial"/>
                <w:b/>
                <w:sz w:val="20"/>
                <w:szCs w:val="20"/>
              </w:rPr>
            </w:pPr>
            <w:r w:rsidRPr="00D7733D">
              <w:rPr>
                <w:rFonts w:ascii="Arial Narrow" w:hAnsi="Arial Narrow" w:cs="Arial"/>
                <w:b/>
                <w:sz w:val="20"/>
                <w:szCs w:val="20"/>
              </w:rPr>
              <w:t>PBS item code</w:t>
            </w:r>
          </w:p>
        </w:tc>
        <w:tc>
          <w:tcPr>
            <w:tcW w:w="812" w:type="dxa"/>
            <w:vAlign w:val="center"/>
          </w:tcPr>
          <w:p w14:paraId="6D19844B" w14:textId="77777777" w:rsidR="007B7E51" w:rsidRPr="00D7733D" w:rsidRDefault="007B7E51" w:rsidP="0034363B">
            <w:pPr>
              <w:keepLines/>
              <w:jc w:val="center"/>
              <w:rPr>
                <w:rFonts w:ascii="Arial Narrow" w:hAnsi="Arial Narrow" w:cs="Arial"/>
                <w:b/>
                <w:sz w:val="20"/>
                <w:szCs w:val="20"/>
              </w:rPr>
            </w:pPr>
            <w:r w:rsidRPr="00D7733D">
              <w:rPr>
                <w:rFonts w:ascii="Arial Narrow" w:hAnsi="Arial Narrow" w:cs="Arial"/>
                <w:b/>
                <w:sz w:val="20"/>
                <w:szCs w:val="20"/>
              </w:rPr>
              <w:t>Max. qty packs</w:t>
            </w:r>
          </w:p>
        </w:tc>
        <w:tc>
          <w:tcPr>
            <w:tcW w:w="811" w:type="dxa"/>
            <w:vAlign w:val="center"/>
          </w:tcPr>
          <w:p w14:paraId="06F511E8" w14:textId="77777777" w:rsidR="007B7E51" w:rsidRPr="00D7733D" w:rsidRDefault="007B7E51" w:rsidP="0034363B">
            <w:pPr>
              <w:keepLines/>
              <w:jc w:val="center"/>
              <w:rPr>
                <w:rFonts w:ascii="Arial Narrow" w:hAnsi="Arial Narrow" w:cs="Arial"/>
                <w:b/>
                <w:sz w:val="20"/>
                <w:szCs w:val="20"/>
              </w:rPr>
            </w:pPr>
            <w:r w:rsidRPr="00D7733D">
              <w:rPr>
                <w:rFonts w:ascii="Arial Narrow" w:hAnsi="Arial Narrow" w:cs="Arial"/>
                <w:b/>
                <w:sz w:val="20"/>
                <w:szCs w:val="20"/>
              </w:rPr>
              <w:t>Max. qty units</w:t>
            </w:r>
          </w:p>
        </w:tc>
        <w:tc>
          <w:tcPr>
            <w:tcW w:w="812" w:type="dxa"/>
            <w:vAlign w:val="center"/>
          </w:tcPr>
          <w:p w14:paraId="02BCB10D" w14:textId="77777777" w:rsidR="007B7E51" w:rsidRPr="00D7733D" w:rsidRDefault="007B7E51" w:rsidP="0034363B">
            <w:pPr>
              <w:keepLines/>
              <w:jc w:val="center"/>
              <w:rPr>
                <w:rFonts w:ascii="Arial Narrow" w:hAnsi="Arial Narrow" w:cs="Arial"/>
                <w:b/>
                <w:bCs/>
                <w:sz w:val="20"/>
                <w:szCs w:val="20"/>
              </w:rPr>
            </w:pPr>
            <w:r w:rsidRPr="00D7733D">
              <w:rPr>
                <w:rFonts w:ascii="Arial Narrow" w:hAnsi="Arial Narrow" w:cs="Arial"/>
                <w:b/>
                <w:bCs/>
                <w:sz w:val="20"/>
                <w:szCs w:val="20"/>
              </w:rPr>
              <w:t>№.of</w:t>
            </w:r>
          </w:p>
          <w:p w14:paraId="1BE0E2F1" w14:textId="77777777" w:rsidR="007B7E51" w:rsidRPr="00D7733D" w:rsidRDefault="007B7E51" w:rsidP="0034363B">
            <w:pPr>
              <w:keepLines/>
              <w:jc w:val="center"/>
              <w:rPr>
                <w:rFonts w:ascii="Arial Narrow" w:hAnsi="Arial Narrow" w:cs="Arial"/>
                <w:b/>
                <w:bCs/>
                <w:sz w:val="20"/>
                <w:szCs w:val="20"/>
              </w:rPr>
            </w:pPr>
            <w:r w:rsidRPr="00D7733D">
              <w:rPr>
                <w:rFonts w:ascii="Arial Narrow" w:hAnsi="Arial Narrow" w:cs="Arial"/>
                <w:b/>
                <w:bCs/>
                <w:sz w:val="20"/>
                <w:szCs w:val="20"/>
              </w:rPr>
              <w:t>Rpts</w:t>
            </w:r>
          </w:p>
        </w:tc>
        <w:tc>
          <w:tcPr>
            <w:tcW w:w="1831" w:type="dxa"/>
            <w:gridSpan w:val="2"/>
            <w:vAlign w:val="center"/>
          </w:tcPr>
          <w:p w14:paraId="1D6EF945" w14:textId="77777777" w:rsidR="007B7E51" w:rsidRPr="00D7733D" w:rsidRDefault="007B7E51" w:rsidP="0034363B">
            <w:pPr>
              <w:keepLines/>
              <w:rPr>
                <w:rFonts w:ascii="Arial Narrow" w:hAnsi="Arial Narrow" w:cs="Arial"/>
                <w:b/>
                <w:sz w:val="20"/>
                <w:szCs w:val="20"/>
                <w:lang w:val="fr-FR"/>
              </w:rPr>
            </w:pPr>
            <w:r w:rsidRPr="00D7733D">
              <w:rPr>
                <w:rFonts w:ascii="Arial Narrow" w:hAnsi="Arial Narrow" w:cs="Arial"/>
                <w:b/>
                <w:sz w:val="20"/>
                <w:szCs w:val="20"/>
              </w:rPr>
              <w:t>Available brands</w:t>
            </w:r>
          </w:p>
        </w:tc>
      </w:tr>
      <w:tr w:rsidR="007B7E51" w:rsidRPr="00D7733D" w14:paraId="4CCECDB2" w14:textId="77777777" w:rsidTr="007B7E51">
        <w:trPr>
          <w:cantSplit/>
          <w:trHeight w:val="20"/>
        </w:trPr>
        <w:tc>
          <w:tcPr>
            <w:tcW w:w="9017" w:type="dxa"/>
            <w:gridSpan w:val="7"/>
            <w:vAlign w:val="center"/>
          </w:tcPr>
          <w:p w14:paraId="2E5D4FE5" w14:textId="77777777" w:rsidR="007B7E51" w:rsidRPr="00D7733D" w:rsidRDefault="007B7E51" w:rsidP="0034363B">
            <w:pPr>
              <w:keepLines/>
              <w:rPr>
                <w:rFonts w:ascii="Arial Narrow" w:hAnsi="Arial Narrow" w:cs="Arial"/>
                <w:sz w:val="20"/>
                <w:szCs w:val="20"/>
              </w:rPr>
            </w:pPr>
            <w:r w:rsidRPr="00D7733D">
              <w:rPr>
                <w:rFonts w:ascii="Arial Narrow" w:hAnsi="Arial Narrow" w:cs="Arial"/>
                <w:sz w:val="20"/>
                <w:szCs w:val="20"/>
              </w:rPr>
              <w:t>SORAFENIB</w:t>
            </w:r>
          </w:p>
        </w:tc>
      </w:tr>
      <w:tr w:rsidR="007B7E51" w:rsidRPr="00D7733D" w14:paraId="5E139AD3" w14:textId="77777777" w:rsidTr="007B7E51">
        <w:trPr>
          <w:cantSplit/>
          <w:trHeight w:val="20"/>
        </w:trPr>
        <w:tc>
          <w:tcPr>
            <w:tcW w:w="3940" w:type="dxa"/>
            <w:vAlign w:val="center"/>
          </w:tcPr>
          <w:p w14:paraId="34B606C6" w14:textId="77777777" w:rsidR="007B7E51" w:rsidRPr="00D7733D" w:rsidRDefault="007B7E51" w:rsidP="0034363B">
            <w:pPr>
              <w:keepLines/>
              <w:rPr>
                <w:rFonts w:ascii="Arial Narrow" w:hAnsi="Arial Narrow" w:cs="Arial"/>
                <w:sz w:val="20"/>
                <w:szCs w:val="20"/>
              </w:rPr>
            </w:pPr>
            <w:r w:rsidRPr="00D7733D">
              <w:rPr>
                <w:rFonts w:ascii="Arial Narrow" w:hAnsi="Arial Narrow" w:cs="Arial"/>
                <w:sz w:val="20"/>
                <w:szCs w:val="20"/>
              </w:rPr>
              <w:t>sorafenib 200 mg tablet, 60</w:t>
            </w:r>
          </w:p>
        </w:tc>
        <w:tc>
          <w:tcPr>
            <w:tcW w:w="811" w:type="dxa"/>
            <w:vAlign w:val="center"/>
          </w:tcPr>
          <w:p w14:paraId="462E9CFE" w14:textId="77777777" w:rsidR="007B7E51" w:rsidRPr="00D7733D" w:rsidRDefault="007B7E51" w:rsidP="0034363B">
            <w:pPr>
              <w:keepLines/>
              <w:jc w:val="center"/>
              <w:rPr>
                <w:rFonts w:ascii="Arial Narrow" w:hAnsi="Arial Narrow" w:cs="Arial"/>
                <w:sz w:val="20"/>
                <w:szCs w:val="20"/>
              </w:rPr>
            </w:pPr>
            <w:r w:rsidRPr="00D7733D">
              <w:rPr>
                <w:rFonts w:ascii="Arial Narrow" w:hAnsi="Arial Narrow" w:cs="Arial"/>
                <w:sz w:val="20"/>
                <w:szCs w:val="20"/>
              </w:rPr>
              <w:t>9380Q</w:t>
            </w:r>
          </w:p>
        </w:tc>
        <w:tc>
          <w:tcPr>
            <w:tcW w:w="812" w:type="dxa"/>
            <w:vAlign w:val="center"/>
          </w:tcPr>
          <w:p w14:paraId="0549858F" w14:textId="77777777" w:rsidR="007B7E51" w:rsidRPr="00D7733D" w:rsidRDefault="007B7E51" w:rsidP="0034363B">
            <w:pPr>
              <w:keepLines/>
              <w:jc w:val="center"/>
              <w:rPr>
                <w:rFonts w:ascii="Arial Narrow" w:hAnsi="Arial Narrow" w:cs="Arial"/>
                <w:sz w:val="20"/>
                <w:szCs w:val="20"/>
              </w:rPr>
            </w:pPr>
            <w:r w:rsidRPr="00D7733D">
              <w:rPr>
                <w:rFonts w:ascii="Arial Narrow" w:hAnsi="Arial Narrow" w:cs="Arial"/>
                <w:sz w:val="20"/>
                <w:szCs w:val="20"/>
              </w:rPr>
              <w:t>2</w:t>
            </w:r>
          </w:p>
        </w:tc>
        <w:tc>
          <w:tcPr>
            <w:tcW w:w="811" w:type="dxa"/>
            <w:vAlign w:val="center"/>
          </w:tcPr>
          <w:p w14:paraId="709564C9" w14:textId="77777777" w:rsidR="007B7E51" w:rsidRPr="00D7733D" w:rsidRDefault="007B7E51" w:rsidP="0034363B">
            <w:pPr>
              <w:keepLines/>
              <w:jc w:val="center"/>
              <w:rPr>
                <w:rFonts w:ascii="Arial Narrow" w:hAnsi="Arial Narrow" w:cs="Arial"/>
                <w:sz w:val="20"/>
                <w:szCs w:val="20"/>
              </w:rPr>
            </w:pPr>
            <w:r w:rsidRPr="00D7733D">
              <w:rPr>
                <w:rFonts w:ascii="Arial Narrow" w:hAnsi="Arial Narrow" w:cs="Arial"/>
                <w:sz w:val="20"/>
                <w:szCs w:val="20"/>
              </w:rPr>
              <w:t>120</w:t>
            </w:r>
          </w:p>
        </w:tc>
        <w:tc>
          <w:tcPr>
            <w:tcW w:w="812" w:type="dxa"/>
            <w:vAlign w:val="center"/>
          </w:tcPr>
          <w:p w14:paraId="2E4868CF" w14:textId="77777777" w:rsidR="007B7E51" w:rsidRPr="00D7733D" w:rsidRDefault="007B7E51" w:rsidP="0034363B">
            <w:pPr>
              <w:keepLines/>
              <w:jc w:val="center"/>
              <w:rPr>
                <w:rFonts w:ascii="Arial Narrow" w:hAnsi="Arial Narrow" w:cs="Arial"/>
                <w:sz w:val="20"/>
                <w:szCs w:val="20"/>
              </w:rPr>
            </w:pPr>
            <w:r w:rsidRPr="00D7733D">
              <w:rPr>
                <w:rFonts w:ascii="Arial Narrow" w:hAnsi="Arial Narrow" w:cs="Arial"/>
                <w:sz w:val="20"/>
                <w:szCs w:val="20"/>
              </w:rPr>
              <w:t>2</w:t>
            </w:r>
          </w:p>
        </w:tc>
        <w:tc>
          <w:tcPr>
            <w:tcW w:w="1831" w:type="dxa"/>
            <w:gridSpan w:val="2"/>
            <w:vAlign w:val="center"/>
          </w:tcPr>
          <w:p w14:paraId="2AE9955B" w14:textId="77777777" w:rsidR="007B7E51" w:rsidRPr="00D7733D" w:rsidRDefault="007B7E51" w:rsidP="0034363B">
            <w:pPr>
              <w:keepLines/>
              <w:rPr>
                <w:rFonts w:ascii="Arial Narrow" w:hAnsi="Arial Narrow" w:cs="Arial"/>
                <w:sz w:val="20"/>
                <w:szCs w:val="20"/>
              </w:rPr>
            </w:pPr>
            <w:proofErr w:type="spellStart"/>
            <w:r w:rsidRPr="00D7733D">
              <w:rPr>
                <w:rFonts w:ascii="Arial Narrow" w:hAnsi="Arial Narrow" w:cs="Arial"/>
                <w:sz w:val="20"/>
                <w:szCs w:val="20"/>
              </w:rPr>
              <w:t>Nexavar</w:t>
            </w:r>
            <w:proofErr w:type="spellEnd"/>
          </w:p>
        </w:tc>
      </w:tr>
      <w:tr w:rsidR="007B7E51" w:rsidRPr="00D7733D" w14:paraId="52215EF1" w14:textId="77777777" w:rsidTr="007B7E51">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31277788" w14:textId="77777777" w:rsidR="007B7E51" w:rsidRPr="00D7733D" w:rsidRDefault="007B7E51" w:rsidP="0034363B">
            <w:pPr>
              <w:rPr>
                <w:rFonts w:ascii="Arial Narrow" w:hAnsi="Arial Narrow" w:cs="Arial"/>
                <w:sz w:val="20"/>
                <w:szCs w:val="20"/>
              </w:rPr>
            </w:pPr>
          </w:p>
        </w:tc>
      </w:tr>
      <w:tr w:rsidR="007B7E51" w:rsidRPr="00D7733D" w14:paraId="02DD4359" w14:textId="77777777" w:rsidTr="007B7E51">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54428C7" w14:textId="77777777" w:rsidR="007B7E51" w:rsidRPr="00D7733D" w:rsidRDefault="007B7E51" w:rsidP="0034363B">
            <w:pPr>
              <w:keepLines/>
              <w:rPr>
                <w:rFonts w:ascii="Arial Narrow" w:hAnsi="Arial Narrow" w:cs="Arial"/>
                <w:b/>
                <w:sz w:val="20"/>
                <w:szCs w:val="20"/>
              </w:rPr>
            </w:pPr>
            <w:r w:rsidRPr="00D7733D">
              <w:rPr>
                <w:rFonts w:ascii="Arial Narrow" w:hAnsi="Arial Narrow"/>
                <w:b/>
                <w:sz w:val="20"/>
                <w:szCs w:val="20"/>
              </w:rPr>
              <w:t>Restriction Summary [11167]</w:t>
            </w:r>
            <w:r w:rsidRPr="00D7733D">
              <w:rPr>
                <w:rFonts w:ascii="Arial Narrow" w:hAnsi="Arial Narrow"/>
                <w:b/>
                <w:color w:val="FF0000"/>
                <w:sz w:val="20"/>
                <w:szCs w:val="20"/>
              </w:rPr>
              <w:t xml:space="preserve"> </w:t>
            </w:r>
            <w:r w:rsidRPr="00D7733D">
              <w:rPr>
                <w:rFonts w:ascii="Arial Narrow" w:hAnsi="Arial Narrow"/>
                <w:b/>
                <w:sz w:val="20"/>
                <w:szCs w:val="20"/>
              </w:rPr>
              <w:t>/ Treatment of Concept: [11168]</w:t>
            </w:r>
          </w:p>
        </w:tc>
      </w:tr>
      <w:tr w:rsidR="00531585" w:rsidRPr="00D7733D" w14:paraId="62C38080"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6338D60" w14:textId="77777777" w:rsidR="00531585" w:rsidRPr="00D7733D" w:rsidRDefault="00531585" w:rsidP="0034363B">
            <w:pPr>
              <w:keepLines/>
              <w:rPr>
                <w:rFonts w:ascii="Arial Narrow" w:hAnsi="Arial Narrow" w:cs="Arial"/>
                <w:sz w:val="20"/>
                <w:szCs w:val="20"/>
              </w:rPr>
            </w:pPr>
            <w:r w:rsidRPr="00D7733D">
              <w:rPr>
                <w:rFonts w:ascii="Arial Narrow" w:hAnsi="Arial Narrow" w:cs="Arial"/>
                <w:b/>
                <w:sz w:val="20"/>
                <w:szCs w:val="20"/>
              </w:rPr>
              <w:t xml:space="preserve">Category / Program: </w:t>
            </w:r>
            <w:r w:rsidRPr="00D7733D">
              <w:rPr>
                <w:rFonts w:ascii="Arial Narrow" w:hAnsi="Arial Narrow" w:cs="Arial"/>
                <w:sz w:val="20"/>
                <w:szCs w:val="20"/>
              </w:rPr>
              <w:t>GENERAL – General Schedule (Code GE)</w:t>
            </w:r>
          </w:p>
        </w:tc>
      </w:tr>
      <w:tr w:rsidR="00531585" w:rsidRPr="00D7733D" w14:paraId="6CB79D5F"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D58A4D1" w14:textId="77777777" w:rsidR="00531585" w:rsidRPr="00D7733D" w:rsidRDefault="00531585" w:rsidP="0034363B">
            <w:pPr>
              <w:keepLines/>
              <w:rPr>
                <w:rFonts w:ascii="Arial Narrow" w:hAnsi="Arial Narrow" w:cs="Arial"/>
                <w:b/>
                <w:sz w:val="20"/>
                <w:szCs w:val="20"/>
              </w:rPr>
            </w:pPr>
            <w:r w:rsidRPr="00D7733D">
              <w:rPr>
                <w:rFonts w:ascii="Arial Narrow" w:hAnsi="Arial Narrow" w:cs="Arial"/>
                <w:b/>
                <w:sz w:val="20"/>
                <w:szCs w:val="20"/>
              </w:rPr>
              <w:t xml:space="preserve">Prescriber type: </w:t>
            </w:r>
            <w:r w:rsidRPr="00D7733D">
              <w:rPr>
                <w:rFonts w:ascii="Arial Narrow" w:hAnsi="Arial Narrow" w:cs="Arial"/>
                <w:sz w:val="20"/>
                <w:szCs w:val="20"/>
              </w:rPr>
              <w:fldChar w:fldCharType="begin">
                <w:ffData>
                  <w:name w:val=""/>
                  <w:enabled/>
                  <w:calcOnExit w:val="0"/>
                  <w:checkBox>
                    <w:sizeAuto/>
                    <w:default w:val="1"/>
                  </w:checkBox>
                </w:ffData>
              </w:fldChar>
            </w:r>
            <w:r w:rsidRPr="00D7733D">
              <w:rPr>
                <w:rFonts w:ascii="Arial Narrow" w:hAnsi="Arial Narrow" w:cs="Arial"/>
                <w:sz w:val="20"/>
                <w:szCs w:val="20"/>
              </w:rPr>
              <w:instrText xml:space="preserve"> FORMCHECKBOX </w:instrText>
            </w:r>
            <w:r w:rsidRPr="00D7733D">
              <w:rPr>
                <w:rFonts w:ascii="Arial Narrow" w:hAnsi="Arial Narrow" w:cs="Arial"/>
                <w:sz w:val="20"/>
                <w:szCs w:val="20"/>
              </w:rPr>
            </w:r>
            <w:r w:rsidRPr="00D7733D">
              <w:rPr>
                <w:rFonts w:ascii="Arial Narrow" w:hAnsi="Arial Narrow" w:cs="Arial"/>
                <w:sz w:val="20"/>
                <w:szCs w:val="20"/>
              </w:rPr>
              <w:fldChar w:fldCharType="separate"/>
            </w:r>
            <w:r w:rsidRPr="00D7733D">
              <w:rPr>
                <w:rFonts w:ascii="Arial Narrow" w:hAnsi="Arial Narrow" w:cs="Arial"/>
                <w:sz w:val="20"/>
                <w:szCs w:val="20"/>
              </w:rPr>
              <w:fldChar w:fldCharType="end"/>
            </w:r>
            <w:r w:rsidRPr="00D7733D">
              <w:rPr>
                <w:rFonts w:ascii="Arial Narrow" w:hAnsi="Arial Narrow" w:cs="Arial"/>
                <w:sz w:val="20"/>
                <w:szCs w:val="20"/>
              </w:rPr>
              <w:t>Medical Practitioners</w:t>
            </w:r>
          </w:p>
        </w:tc>
      </w:tr>
      <w:tr w:rsidR="00531585" w:rsidRPr="00D7733D" w14:paraId="778A1B61"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0B633237" w14:textId="77777777" w:rsidR="00531585" w:rsidRPr="00D7733D" w:rsidRDefault="00531585" w:rsidP="0034363B">
            <w:pPr>
              <w:keepLines/>
              <w:rPr>
                <w:rFonts w:ascii="Arial Narrow" w:eastAsia="Calibri" w:hAnsi="Arial Narrow" w:cs="Arial"/>
                <w:color w:val="FF0000"/>
                <w:sz w:val="20"/>
                <w:szCs w:val="20"/>
              </w:rPr>
            </w:pPr>
            <w:r w:rsidRPr="00D7733D">
              <w:rPr>
                <w:rFonts w:ascii="Arial Narrow" w:hAnsi="Arial Narrow" w:cs="Arial"/>
                <w:b/>
                <w:sz w:val="20"/>
                <w:szCs w:val="20"/>
              </w:rPr>
              <w:t xml:space="preserve">Restriction type: </w:t>
            </w:r>
            <w:r w:rsidRPr="00D7733D">
              <w:rPr>
                <w:rFonts w:ascii="Arial Narrow" w:eastAsia="Calibri" w:hAnsi="Arial Narrow" w:cs="Arial"/>
                <w:sz w:val="20"/>
                <w:szCs w:val="20"/>
              </w:rPr>
              <w:fldChar w:fldCharType="begin">
                <w:ffData>
                  <w:name w:val=""/>
                  <w:enabled/>
                  <w:calcOnExit w:val="0"/>
                  <w:checkBox>
                    <w:sizeAuto/>
                    <w:default w:val="1"/>
                  </w:checkBox>
                </w:ffData>
              </w:fldChar>
            </w:r>
            <w:r w:rsidRPr="00D7733D">
              <w:rPr>
                <w:rFonts w:ascii="Arial Narrow" w:eastAsia="Calibri" w:hAnsi="Arial Narrow" w:cs="Arial"/>
                <w:sz w:val="20"/>
                <w:szCs w:val="20"/>
              </w:rPr>
              <w:instrText xml:space="preserve"> FORMCHECKBOX </w:instrText>
            </w:r>
            <w:r w:rsidRPr="00D7733D">
              <w:rPr>
                <w:rFonts w:ascii="Arial Narrow" w:eastAsia="Calibri" w:hAnsi="Arial Narrow" w:cs="Arial"/>
                <w:sz w:val="20"/>
                <w:szCs w:val="20"/>
              </w:rPr>
            </w:r>
            <w:r w:rsidRPr="00D7733D">
              <w:rPr>
                <w:rFonts w:ascii="Arial Narrow" w:eastAsia="Calibri" w:hAnsi="Arial Narrow" w:cs="Arial"/>
                <w:sz w:val="20"/>
                <w:szCs w:val="20"/>
              </w:rPr>
              <w:fldChar w:fldCharType="separate"/>
            </w:r>
            <w:r w:rsidRPr="00D7733D">
              <w:rPr>
                <w:rFonts w:ascii="Arial Narrow" w:eastAsia="Calibri" w:hAnsi="Arial Narrow" w:cs="Arial"/>
                <w:sz w:val="20"/>
                <w:szCs w:val="20"/>
              </w:rPr>
              <w:fldChar w:fldCharType="end"/>
            </w:r>
            <w:r w:rsidRPr="00D7733D">
              <w:rPr>
                <w:rFonts w:ascii="Arial Narrow" w:eastAsia="Calibri" w:hAnsi="Arial Narrow" w:cs="Arial"/>
                <w:sz w:val="20"/>
                <w:szCs w:val="20"/>
              </w:rPr>
              <w:t>Authority Required (Streamlined) [11160]</w:t>
            </w:r>
          </w:p>
        </w:tc>
      </w:tr>
      <w:tr w:rsidR="00531585" w:rsidRPr="00D7733D" w14:paraId="51E65EBD"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2B78BC8E"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Administrative Advice:</w:t>
            </w:r>
            <w:r w:rsidRPr="00D7733D">
              <w:t xml:space="preserve"> </w:t>
            </w:r>
            <w:r w:rsidRPr="00D7733D">
              <w:rPr>
                <w:rFonts w:ascii="Arial Narrow" w:hAnsi="Arial Narrow"/>
                <w:color w:val="333333"/>
                <w:sz w:val="20"/>
                <w:szCs w:val="20"/>
              </w:rPr>
              <w:t>No increase in the maximum quantity or number of units may be authorised.</w:t>
            </w:r>
          </w:p>
        </w:tc>
      </w:tr>
      <w:tr w:rsidR="00531585" w:rsidRPr="00D7733D" w14:paraId="3C759B5D"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3B941EFD"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 xml:space="preserve">Administrative Advice: </w:t>
            </w:r>
            <w:r w:rsidRPr="00D7733D">
              <w:rPr>
                <w:rFonts w:ascii="Arial Narrow" w:hAnsi="Arial Narrow"/>
                <w:color w:val="333333"/>
                <w:sz w:val="20"/>
                <w:szCs w:val="20"/>
              </w:rPr>
              <w:t>No increase in the maximum number of repeats may be authorised.</w:t>
            </w:r>
          </w:p>
        </w:tc>
      </w:tr>
      <w:tr w:rsidR="00531585" w:rsidRPr="00D7733D" w14:paraId="730E9D99"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611B656B" w14:textId="77777777" w:rsidR="00531585" w:rsidRPr="00D7733D" w:rsidRDefault="00531585" w:rsidP="0034363B">
            <w:pPr>
              <w:rPr>
                <w:rFonts w:ascii="Arial Narrow" w:hAnsi="Arial Narrow"/>
                <w:b/>
                <w:bCs/>
                <w:color w:val="333333"/>
                <w:sz w:val="20"/>
                <w:szCs w:val="20"/>
              </w:rPr>
            </w:pPr>
            <w:r w:rsidRPr="00D7733D">
              <w:rPr>
                <w:rFonts w:ascii="Arial Narrow" w:hAnsi="Arial Narrow"/>
                <w:b/>
                <w:bCs/>
                <w:color w:val="333333"/>
                <w:sz w:val="20"/>
                <w:szCs w:val="20"/>
              </w:rPr>
              <w:t xml:space="preserve">Administrative Advice: </w:t>
            </w:r>
            <w:r w:rsidRPr="00D7733D">
              <w:rPr>
                <w:rFonts w:ascii="Arial Narrow" w:hAnsi="Arial Narrow"/>
                <w:color w:val="333333"/>
                <w:sz w:val="20"/>
                <w:szCs w:val="20"/>
              </w:rPr>
              <w:t>Special Pricing Arrangements apply.</w:t>
            </w:r>
          </w:p>
        </w:tc>
      </w:tr>
      <w:tr w:rsidR="00531585" w:rsidRPr="00D7733D" w14:paraId="0D5B7CA2" w14:textId="77777777" w:rsidTr="00531585">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733D68A9"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Administrative Advice:</w:t>
            </w:r>
            <w:r w:rsidRPr="00D7733D">
              <w:rPr>
                <w:rFonts w:ascii="Arial Narrow" w:hAnsi="Arial Narrow"/>
                <w:color w:val="333333"/>
                <w:sz w:val="20"/>
                <w:szCs w:val="20"/>
              </w:rPr>
              <w:t xml:space="preserve"> Sorafenib is not PBS-subsidised for adjunctive treatment after resection, ablation or chemoembolization.</w:t>
            </w:r>
          </w:p>
          <w:p w14:paraId="15E500C7"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Sorafenib is not PBS-subsidised for maintenance therapy after disease progression.</w:t>
            </w:r>
          </w:p>
        </w:tc>
      </w:tr>
      <w:tr w:rsidR="00531585" w:rsidRPr="00D7733D" w14:paraId="047987B7"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7DDF8EE3" w14:textId="77777777" w:rsidR="00531585" w:rsidRPr="00D7733D" w:rsidRDefault="00531585" w:rsidP="0034363B">
            <w:pPr>
              <w:keepLines/>
              <w:rPr>
                <w:rFonts w:ascii="Arial Narrow" w:hAnsi="Arial Narrow"/>
                <w:color w:val="333333"/>
                <w:sz w:val="20"/>
                <w:szCs w:val="20"/>
              </w:rPr>
            </w:pPr>
            <w:r w:rsidRPr="00D7733D">
              <w:rPr>
                <w:rFonts w:ascii="Arial Narrow" w:hAnsi="Arial Narrow"/>
                <w:b/>
                <w:bCs/>
                <w:color w:val="333333"/>
                <w:sz w:val="20"/>
                <w:szCs w:val="20"/>
              </w:rPr>
              <w:t>Indication:</w:t>
            </w:r>
            <w:r w:rsidRPr="00D7733D">
              <w:rPr>
                <w:rFonts w:ascii="Arial Narrow" w:hAnsi="Arial Narrow"/>
                <w:color w:val="333333"/>
                <w:sz w:val="20"/>
                <w:szCs w:val="20"/>
              </w:rPr>
              <w:t xml:space="preserve"> Advanced Barcelona Clinic Liver Cancer Stage B or Stage C hepatocellular carcinoma</w:t>
            </w:r>
          </w:p>
        </w:tc>
      </w:tr>
      <w:tr w:rsidR="00531585" w:rsidRPr="00D7733D" w14:paraId="0675696D"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6183558A" w14:textId="77777777" w:rsidR="00531585" w:rsidRPr="00D7733D" w:rsidRDefault="00531585" w:rsidP="0034363B">
            <w:pPr>
              <w:rPr>
                <w:rFonts w:ascii="Arial Narrow" w:hAnsi="Arial Narrow"/>
                <w:sz w:val="20"/>
                <w:szCs w:val="20"/>
              </w:rPr>
            </w:pPr>
            <w:r w:rsidRPr="00D7733D">
              <w:rPr>
                <w:rFonts w:ascii="Arial Narrow" w:hAnsi="Arial Narrow"/>
                <w:b/>
                <w:bCs/>
                <w:color w:val="333333"/>
                <w:sz w:val="20"/>
                <w:szCs w:val="20"/>
              </w:rPr>
              <w:t>Treatment Phase:</w:t>
            </w:r>
            <w:r w:rsidRPr="00D7733D">
              <w:rPr>
                <w:rFonts w:ascii="Arial Narrow" w:hAnsi="Arial Narrow"/>
                <w:color w:val="FF0000"/>
                <w:sz w:val="20"/>
                <w:szCs w:val="20"/>
              </w:rPr>
              <w:t xml:space="preserve"> </w:t>
            </w:r>
            <w:r w:rsidRPr="00D7733D">
              <w:rPr>
                <w:rFonts w:ascii="Arial Narrow" w:hAnsi="Arial Narrow"/>
                <w:sz w:val="20"/>
                <w:szCs w:val="20"/>
              </w:rPr>
              <w:t>Initial treatment</w:t>
            </w:r>
          </w:p>
        </w:tc>
      </w:tr>
      <w:tr w:rsidR="00531585" w:rsidRPr="00D7733D" w14:paraId="757FB1AD"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5AF148B8" w14:textId="77777777" w:rsidR="00531585" w:rsidRPr="00D7733D" w:rsidRDefault="00531585" w:rsidP="0034363B">
            <w:pPr>
              <w:rPr>
                <w:rFonts w:ascii="Arial Narrow" w:hAnsi="Arial Narrow"/>
                <w:sz w:val="20"/>
                <w:szCs w:val="20"/>
              </w:rPr>
            </w:pPr>
            <w:r w:rsidRPr="00D7733D">
              <w:rPr>
                <w:rFonts w:ascii="Arial Narrow" w:hAnsi="Arial Narrow"/>
                <w:b/>
                <w:bCs/>
                <w:color w:val="333333"/>
                <w:sz w:val="20"/>
                <w:szCs w:val="20"/>
              </w:rPr>
              <w:t xml:space="preserve">Clinical criteria: </w:t>
            </w:r>
          </w:p>
        </w:tc>
      </w:tr>
      <w:tr w:rsidR="00531585" w:rsidRPr="00D7733D" w14:paraId="0A70F95D"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5C89109" w14:textId="77777777" w:rsidR="00531585" w:rsidRPr="00D7733D" w:rsidRDefault="00531585" w:rsidP="0034363B">
            <w:pPr>
              <w:rPr>
                <w:rFonts w:ascii="Arial Narrow" w:hAnsi="Arial Narrow"/>
                <w:b/>
                <w:bCs/>
                <w:color w:val="333333"/>
                <w:sz w:val="20"/>
                <w:szCs w:val="20"/>
              </w:rPr>
            </w:pPr>
            <w:r w:rsidRPr="00D7733D">
              <w:rPr>
                <w:rFonts w:ascii="Arial Narrow" w:hAnsi="Arial Narrow"/>
                <w:color w:val="333333"/>
                <w:sz w:val="20"/>
                <w:szCs w:val="20"/>
              </w:rPr>
              <w:t>The treatment must be the sole PBS-subsidised therapy for this condition</w:t>
            </w:r>
          </w:p>
        </w:tc>
      </w:tr>
      <w:tr w:rsidR="00531585" w:rsidRPr="00D7733D" w14:paraId="1801107B"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97E9403"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2BCC9F1C"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2A161266"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7624DEC3"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0A6C41CC"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have a WHO performance status of 2 or less</w:t>
            </w:r>
          </w:p>
        </w:tc>
      </w:tr>
      <w:tr w:rsidR="00531585" w:rsidRPr="00D7733D" w14:paraId="175BBE23"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7F61A4C"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723FE896"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10F47BC"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78F9989E"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38B1035"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Patient must have Child Pugh class A</w:t>
            </w:r>
          </w:p>
        </w:tc>
      </w:tr>
      <w:tr w:rsidR="00531585" w:rsidRPr="00D7733D" w14:paraId="3C2C8C40"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1246467"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AND</w:t>
            </w:r>
          </w:p>
        </w:tc>
      </w:tr>
      <w:tr w:rsidR="00531585" w:rsidRPr="00D7733D" w14:paraId="26A2BFDD"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AC3DA83" w14:textId="77777777" w:rsidR="00531585" w:rsidRPr="00D7733D" w:rsidRDefault="00531585" w:rsidP="0034363B">
            <w:pPr>
              <w:rPr>
                <w:rFonts w:ascii="Arial Narrow" w:hAnsi="Arial Narrow"/>
                <w:color w:val="333333"/>
                <w:sz w:val="20"/>
                <w:szCs w:val="20"/>
              </w:rPr>
            </w:pPr>
            <w:r w:rsidRPr="00D7733D">
              <w:rPr>
                <w:rFonts w:ascii="Arial Narrow" w:hAnsi="Arial Narrow"/>
                <w:b/>
                <w:bCs/>
                <w:color w:val="333333"/>
                <w:sz w:val="20"/>
                <w:szCs w:val="20"/>
              </w:rPr>
              <w:t>Clinical criteria:</w:t>
            </w:r>
          </w:p>
        </w:tc>
      </w:tr>
      <w:tr w:rsidR="00531585" w:rsidRPr="00D7733D" w14:paraId="73D7A0A0"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854AF58"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t>The condition must be untreated with systemic therapy; or</w:t>
            </w:r>
          </w:p>
        </w:tc>
      </w:tr>
      <w:tr w:rsidR="00531585" w:rsidRPr="00D7733D" w14:paraId="1D23EE68" w14:textId="77777777" w:rsidTr="00531585">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26B8DDDB" w14:textId="77777777" w:rsidR="00531585" w:rsidRPr="00D7733D" w:rsidRDefault="00531585" w:rsidP="0034363B">
            <w:pPr>
              <w:rPr>
                <w:rFonts w:ascii="Arial Narrow" w:hAnsi="Arial Narrow"/>
                <w:color w:val="333333"/>
                <w:sz w:val="20"/>
                <w:szCs w:val="20"/>
              </w:rPr>
            </w:pPr>
            <w:r w:rsidRPr="00D7733D">
              <w:rPr>
                <w:rFonts w:ascii="Arial Narrow" w:hAnsi="Arial Narrow"/>
                <w:color w:val="333333"/>
                <w:sz w:val="20"/>
                <w:szCs w:val="20"/>
              </w:rPr>
              <w:lastRenderedPageBreak/>
              <w:t xml:space="preserve">Patient must have developed intolerance of a severity necessitating permanent treatment withdrawal, in the absence of disease progression, to any of the following: (i) a vascular endothelial growth factor (VEGF) tyrosine kinase inhibitor (TKI), (ii) atezolizumab/bevacizumab combination therapy, </w:t>
            </w:r>
            <w:r w:rsidRPr="00D7733D">
              <w:rPr>
                <w:rFonts w:ascii="Arial Narrow" w:hAnsi="Arial Narrow"/>
                <w:i/>
                <w:iCs/>
                <w:color w:val="333333"/>
                <w:sz w:val="20"/>
                <w:szCs w:val="20"/>
              </w:rPr>
              <w:t>(iii) durvalumab/tremelimumab combination therapy.</w:t>
            </w:r>
          </w:p>
        </w:tc>
      </w:tr>
    </w:tbl>
    <w:p w14:paraId="2CB6C212" w14:textId="26C19586" w:rsidR="00677429" w:rsidRDefault="00F7729E" w:rsidP="00F54E36">
      <w:pPr>
        <w:spacing w:before="120" w:after="120"/>
        <w:rPr>
          <w:rFonts w:asciiTheme="minorHAnsi" w:hAnsiTheme="minorHAnsi" w:cs="Arial"/>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p>
    <w:p w14:paraId="03AA14FD" w14:textId="77777777" w:rsidR="00677429" w:rsidRPr="00061CBE" w:rsidRDefault="00677429" w:rsidP="00677429">
      <w:pPr>
        <w:pStyle w:val="2-SectionHeading"/>
        <w:numPr>
          <w:ilvl w:val="0"/>
          <w:numId w:val="0"/>
        </w:numPr>
        <w:ind w:left="720" w:hanging="720"/>
        <w:rPr>
          <w:lang w:val="en-GB"/>
        </w:rPr>
      </w:pPr>
      <w:r w:rsidRPr="00061CBE">
        <w:t>9</w:t>
      </w:r>
      <w:r w:rsidRPr="00061CBE">
        <w:tab/>
        <w:t>Context for Decision</w:t>
      </w:r>
    </w:p>
    <w:p w14:paraId="2EF3E669" w14:textId="77777777" w:rsidR="00677429" w:rsidRPr="00061CBE" w:rsidRDefault="00677429" w:rsidP="00247C8E">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1FF896F" w14:textId="234864E9" w:rsidR="00F54E36" w:rsidRDefault="00677429" w:rsidP="00F54E36">
      <w:pPr>
        <w:pStyle w:val="2-SectionHeading"/>
      </w:pPr>
      <w:r w:rsidRPr="00061CBE">
        <w:t>Sponsor’s Comment</w:t>
      </w:r>
    </w:p>
    <w:p w14:paraId="211BCED7" w14:textId="3F4BA395" w:rsidR="00677429" w:rsidRPr="00F54E36" w:rsidRDefault="00677429" w:rsidP="00F54E36">
      <w:pPr>
        <w:pStyle w:val="3-BodyText"/>
        <w:numPr>
          <w:ilvl w:val="0"/>
          <w:numId w:val="0"/>
        </w:numPr>
        <w:ind w:left="720"/>
      </w:pPr>
      <w:r>
        <w:t>The sponsor has no comment.</w:t>
      </w:r>
    </w:p>
    <w:sectPr w:rsidR="00677429" w:rsidRPr="00F54E36" w:rsidSect="00F6027D">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55EF" w14:textId="77777777" w:rsidR="004768C2" w:rsidRDefault="004768C2" w:rsidP="00124A51">
      <w:r>
        <w:separator/>
      </w:r>
    </w:p>
    <w:p w14:paraId="6488940E" w14:textId="77777777" w:rsidR="004768C2" w:rsidRDefault="004768C2"/>
  </w:endnote>
  <w:endnote w:type="continuationSeparator" w:id="0">
    <w:p w14:paraId="58CB0B1A" w14:textId="77777777" w:rsidR="004768C2" w:rsidRDefault="004768C2" w:rsidP="00124A51">
      <w:r>
        <w:continuationSeparator/>
      </w:r>
    </w:p>
    <w:p w14:paraId="0075DCA2" w14:textId="77777777" w:rsidR="004768C2" w:rsidRDefault="004768C2"/>
  </w:endnote>
  <w:endnote w:type="continuationNotice" w:id="1">
    <w:p w14:paraId="7A9F5EE8" w14:textId="77777777" w:rsidR="004768C2" w:rsidRDefault="00476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CAD8" w14:textId="5FC3B999" w:rsidR="00DF294A" w:rsidRDefault="00B631DF">
    <w:pPr>
      <w:pStyle w:val="Footer"/>
    </w:pPr>
    <w:r>
      <w:rPr>
        <w:noProof/>
      </w:rPr>
      <mc:AlternateContent>
        <mc:Choice Requires="wps">
          <w:drawing>
            <wp:anchor distT="0" distB="0" distL="0" distR="0" simplePos="0" relativeHeight="251662336" behindDoc="0" locked="0" layoutInCell="1" allowOverlap="1" wp14:anchorId="72B4124C" wp14:editId="543BCEEB">
              <wp:simplePos x="635" y="635"/>
              <wp:positionH relativeFrom="page">
                <wp:align>center</wp:align>
              </wp:positionH>
              <wp:positionV relativeFrom="page">
                <wp:align>bottom</wp:align>
              </wp:positionV>
              <wp:extent cx="551815" cy="376555"/>
              <wp:effectExtent l="0" t="0" r="635" b="0"/>
              <wp:wrapNone/>
              <wp:docPr id="6983525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FAC4AA" w14:textId="7F575DEF" w:rsidR="00B631DF" w:rsidRPr="00B631DF" w:rsidRDefault="00B631DF" w:rsidP="00B631DF">
                          <w:pPr>
                            <w:rPr>
                              <w:rFonts w:eastAsia="Calibri" w:cs="Calibri"/>
                              <w:noProof/>
                              <w:color w:val="FF0000"/>
                            </w:rPr>
                          </w:pPr>
                          <w:r w:rsidRPr="00B631D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B4124C"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0FAC4AA" w14:textId="7F575DEF" w:rsidR="00B631DF" w:rsidRPr="00B631DF" w:rsidRDefault="00B631DF" w:rsidP="00B631DF">
                    <w:pPr>
                      <w:rPr>
                        <w:rFonts w:eastAsia="Calibri" w:cs="Calibri"/>
                        <w:noProof/>
                        <w:color w:val="FF0000"/>
                      </w:rPr>
                    </w:pPr>
                    <w:r w:rsidRPr="00B631DF">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1963DC92" w:rsidR="00D843F2" w:rsidRDefault="00B631DF" w:rsidP="00753B29">
    <w:pPr>
      <w:pStyle w:val="Footer"/>
      <w:jc w:val="center"/>
    </w:pPr>
    <w:r>
      <w:rPr>
        <w:noProof/>
      </w:rPr>
      <mc:AlternateContent>
        <mc:Choice Requires="wps">
          <w:drawing>
            <wp:anchor distT="0" distB="0" distL="0" distR="0" simplePos="0" relativeHeight="251663360" behindDoc="0" locked="0" layoutInCell="1" allowOverlap="1" wp14:anchorId="27117B46" wp14:editId="47E9D952">
              <wp:simplePos x="914400" y="9406467"/>
              <wp:positionH relativeFrom="page">
                <wp:align>center</wp:align>
              </wp:positionH>
              <wp:positionV relativeFrom="page">
                <wp:align>bottom</wp:align>
              </wp:positionV>
              <wp:extent cx="551815" cy="376555"/>
              <wp:effectExtent l="0" t="0" r="635" b="0"/>
              <wp:wrapNone/>
              <wp:docPr id="4304828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D9EFFB" w14:textId="72D872A2" w:rsidR="00B631DF" w:rsidRPr="00B631DF" w:rsidRDefault="00B631DF" w:rsidP="00B631DF">
                          <w:pPr>
                            <w:rPr>
                              <w:rFonts w:eastAsia="Calibri" w:cs="Calibri"/>
                              <w:noProof/>
                              <w:color w:val="FF0000"/>
                            </w:rPr>
                          </w:pPr>
                          <w:r w:rsidRPr="00B631D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17B4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BD9EFFB" w14:textId="72D872A2" w:rsidR="00B631DF" w:rsidRPr="00B631DF" w:rsidRDefault="00B631DF" w:rsidP="00B631DF">
                    <w:pPr>
                      <w:rPr>
                        <w:rFonts w:eastAsia="Calibri" w:cs="Calibri"/>
                        <w:noProof/>
                        <w:color w:val="FF0000"/>
                      </w:rPr>
                    </w:pPr>
                    <w:r w:rsidRPr="00B631DF">
                      <w:rPr>
                        <w:rFonts w:eastAsia="Calibri" w:cs="Calibri"/>
                        <w:noProof/>
                        <w:color w:val="FF0000"/>
                      </w:rPr>
                      <w:t>OFFICIAL</w:t>
                    </w:r>
                  </w:p>
                </w:txbxContent>
              </v:textbox>
              <w10:wrap anchorx="page" anchory="page"/>
            </v:shape>
          </w:pict>
        </mc:Fallback>
      </mc:AlternateContent>
    </w:r>
  </w:p>
  <w:p w14:paraId="37484CD3" w14:textId="3B0DD353"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6D86" w14:textId="23BA2E68" w:rsidR="00DF294A" w:rsidRDefault="00B631DF">
    <w:pPr>
      <w:pStyle w:val="Footer"/>
    </w:pPr>
    <w:r>
      <w:rPr>
        <w:noProof/>
      </w:rPr>
      <mc:AlternateContent>
        <mc:Choice Requires="wps">
          <w:drawing>
            <wp:anchor distT="0" distB="0" distL="0" distR="0" simplePos="0" relativeHeight="251661312" behindDoc="0" locked="0" layoutInCell="1" allowOverlap="1" wp14:anchorId="389319C8" wp14:editId="1EE4B0E5">
              <wp:simplePos x="635" y="635"/>
              <wp:positionH relativeFrom="page">
                <wp:align>center</wp:align>
              </wp:positionH>
              <wp:positionV relativeFrom="page">
                <wp:align>bottom</wp:align>
              </wp:positionV>
              <wp:extent cx="551815" cy="376555"/>
              <wp:effectExtent l="0" t="0" r="635" b="0"/>
              <wp:wrapNone/>
              <wp:docPr id="12983616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64AFBE" w14:textId="58B6F213" w:rsidR="00B631DF" w:rsidRPr="00B631DF" w:rsidRDefault="00B631DF" w:rsidP="00B631DF">
                          <w:pPr>
                            <w:rPr>
                              <w:rFonts w:eastAsia="Calibri" w:cs="Calibri"/>
                              <w:noProof/>
                              <w:color w:val="FF0000"/>
                            </w:rPr>
                          </w:pPr>
                          <w:r w:rsidRPr="00B631D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319C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364AFBE" w14:textId="58B6F213" w:rsidR="00B631DF" w:rsidRPr="00B631DF" w:rsidRDefault="00B631DF" w:rsidP="00B631DF">
                    <w:pPr>
                      <w:rPr>
                        <w:rFonts w:eastAsia="Calibri" w:cs="Calibri"/>
                        <w:noProof/>
                        <w:color w:val="FF0000"/>
                      </w:rPr>
                    </w:pPr>
                    <w:r w:rsidRPr="00B631DF">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8E20" w14:textId="77777777" w:rsidR="004768C2" w:rsidRDefault="004768C2" w:rsidP="00124A51">
      <w:r>
        <w:separator/>
      </w:r>
    </w:p>
    <w:p w14:paraId="293C34DF" w14:textId="77777777" w:rsidR="004768C2" w:rsidRDefault="004768C2"/>
  </w:footnote>
  <w:footnote w:type="continuationSeparator" w:id="0">
    <w:p w14:paraId="769AB1ED" w14:textId="77777777" w:rsidR="004768C2" w:rsidRDefault="004768C2" w:rsidP="00124A51">
      <w:r>
        <w:continuationSeparator/>
      </w:r>
    </w:p>
    <w:p w14:paraId="27A8CB15" w14:textId="77777777" w:rsidR="004768C2" w:rsidRDefault="004768C2"/>
  </w:footnote>
  <w:footnote w:type="continuationNotice" w:id="1">
    <w:p w14:paraId="04856669" w14:textId="77777777" w:rsidR="004768C2" w:rsidRDefault="004768C2"/>
  </w:footnote>
  <w:footnote w:id="2">
    <w:p w14:paraId="314718F7" w14:textId="77777777" w:rsidR="003E76BE" w:rsidRPr="00BA22F2" w:rsidRDefault="003E76BE" w:rsidP="003E76BE">
      <w:pPr>
        <w:pStyle w:val="FootnoteText"/>
        <w:jc w:val="left"/>
        <w:rPr>
          <w:lang w:val="en-US"/>
        </w:rPr>
      </w:pPr>
      <w:r w:rsidRPr="00E7365D">
        <w:rPr>
          <w:rStyle w:val="FootnoteReference"/>
          <w:rFonts w:eastAsiaTheme="minorHAnsi"/>
        </w:rPr>
        <w:footnoteRef/>
      </w:r>
      <w:r>
        <w:t xml:space="preserve"> </w:t>
      </w:r>
      <w:r>
        <w:rPr>
          <w:lang w:val="en-US"/>
        </w:rPr>
        <w:t xml:space="preserve">Cancer Australia. </w:t>
      </w:r>
      <w:r w:rsidRPr="00BA22F2">
        <w:rPr>
          <w:lang w:val="en-US"/>
        </w:rPr>
        <w:t>Liver cancer in Australia statistics</w:t>
      </w:r>
      <w:r>
        <w:rPr>
          <w:lang w:val="en-US"/>
        </w:rPr>
        <w:t xml:space="preserve">. </w:t>
      </w:r>
      <w:r w:rsidRPr="00BE1306">
        <w:rPr>
          <w:lang w:val="en-US"/>
        </w:rPr>
        <w:t>Australian Government</w:t>
      </w:r>
      <w:r>
        <w:rPr>
          <w:lang w:val="en-US"/>
        </w:rPr>
        <w:t xml:space="preserve"> (2024). URL: </w:t>
      </w:r>
      <w:hyperlink r:id="rId1" w:history="1">
        <w:r w:rsidRPr="000B77B5">
          <w:rPr>
            <w:rStyle w:val="Hyperlink"/>
            <w:lang w:val="en-US"/>
          </w:rPr>
          <w:t>https://www.canceraustralia.gov.au/cancer-types/liver-cancer/statistics</w:t>
        </w:r>
      </w:hyperlink>
      <w:r>
        <w:rPr>
          <w:lang w:val="en-US"/>
        </w:rPr>
        <w:t xml:space="preserve"> </w:t>
      </w:r>
    </w:p>
  </w:footnote>
  <w:footnote w:id="3">
    <w:p w14:paraId="0F959712" w14:textId="77777777" w:rsidR="003E76BE" w:rsidRPr="00DE525E" w:rsidRDefault="003E76BE" w:rsidP="003E76BE">
      <w:pPr>
        <w:pStyle w:val="FootnoteText"/>
        <w:jc w:val="left"/>
        <w:rPr>
          <w:lang w:val="en-US"/>
        </w:rPr>
      </w:pPr>
      <w:r w:rsidRPr="00E7365D">
        <w:rPr>
          <w:rStyle w:val="FootnoteReference"/>
          <w:rFonts w:eastAsiaTheme="minorHAnsi"/>
        </w:rPr>
        <w:footnoteRef/>
      </w:r>
      <w:r>
        <w:t xml:space="preserve"> </w:t>
      </w:r>
      <w:r w:rsidRPr="00E510D0">
        <w:t>Llovet JM</w:t>
      </w:r>
      <w:r>
        <w:t xml:space="preserve"> et al</w:t>
      </w:r>
      <w:r w:rsidRPr="00E510D0">
        <w:t xml:space="preserve">. Hepatocellular carcinoma. </w:t>
      </w:r>
      <w:r w:rsidRPr="00E510D0">
        <w:rPr>
          <w:i/>
          <w:iCs/>
        </w:rPr>
        <w:t>Nat Rev Dis Primers</w:t>
      </w:r>
      <w:r w:rsidRPr="00E510D0">
        <w:t>. 2021 Jan 21;7(1):6.</w:t>
      </w:r>
      <w:r w:rsidRPr="00DE525E">
        <w:tab/>
      </w:r>
    </w:p>
  </w:footnote>
  <w:footnote w:id="4">
    <w:p w14:paraId="78D1511F" w14:textId="77777777" w:rsidR="003E76BE" w:rsidRPr="00DC3E8C" w:rsidRDefault="003E76BE" w:rsidP="003E76BE">
      <w:pPr>
        <w:pStyle w:val="FootnoteText"/>
        <w:rPr>
          <w:lang w:val="en-US"/>
        </w:rPr>
      </w:pPr>
      <w:r w:rsidRPr="00E7365D">
        <w:rPr>
          <w:rStyle w:val="FootnoteReference"/>
          <w:rFonts w:eastAsiaTheme="minorHAnsi"/>
        </w:rPr>
        <w:footnoteRef/>
      </w:r>
      <w:r>
        <w:t xml:space="preserve"> G</w:t>
      </w:r>
      <w:r w:rsidRPr="00DC3E8C">
        <w:t>rosso JF,. CTLA-4 blockade in tumor models: an overview of preclinical and translational research. Cancer Immun. 2013;13:5.</w:t>
      </w:r>
    </w:p>
  </w:footnote>
  <w:footnote w:id="5">
    <w:p w14:paraId="11220C53" w14:textId="77777777" w:rsidR="003E76BE" w:rsidRPr="002C18A7" w:rsidRDefault="003E76BE" w:rsidP="003E76BE">
      <w:pPr>
        <w:pStyle w:val="FootnoteText"/>
        <w:rPr>
          <w:lang w:val="en-US"/>
        </w:rPr>
      </w:pPr>
      <w:r w:rsidRPr="00E7365D">
        <w:rPr>
          <w:rStyle w:val="FootnoteReference"/>
          <w:rFonts w:eastAsiaTheme="minorHAnsi"/>
        </w:rPr>
        <w:footnoteRef/>
      </w:r>
      <w:r>
        <w:t xml:space="preserve"> </w:t>
      </w:r>
      <w:r w:rsidRPr="002C18A7">
        <w:t>NCCN Clinical Practice Guidelines in Oncology: Hepatocellular Carcinoma (Version 2.2024). NCCN; July 2, 2024.</w:t>
      </w:r>
    </w:p>
  </w:footnote>
  <w:footnote w:id="6">
    <w:p w14:paraId="623F7B95" w14:textId="77777777" w:rsidR="003E76BE" w:rsidRPr="002C18A7" w:rsidRDefault="003E76BE" w:rsidP="003E76BE">
      <w:pPr>
        <w:pStyle w:val="FootnoteText"/>
        <w:rPr>
          <w:lang w:val="en-US"/>
        </w:rPr>
      </w:pPr>
      <w:r w:rsidRPr="00E7365D">
        <w:rPr>
          <w:rStyle w:val="FootnoteReference"/>
          <w:rFonts w:eastAsiaTheme="minorHAnsi"/>
        </w:rPr>
        <w:footnoteRef/>
      </w:r>
      <w:r>
        <w:t xml:space="preserve"> </w:t>
      </w:r>
      <w:r w:rsidRPr="002C18A7">
        <w:t>Rose MG</w:t>
      </w:r>
      <w:r>
        <w:t xml:space="preserve"> </w:t>
      </w:r>
      <w:r w:rsidRPr="002C18A7">
        <w:t xml:space="preserve">et al. Systemic Therapy for Advanced Hepatocellular Carcinoma: ASCO Guideline Update Clinical Insights. </w:t>
      </w:r>
      <w:r w:rsidRPr="002C18A7">
        <w:rPr>
          <w:i/>
          <w:iCs/>
        </w:rPr>
        <w:t>JCO Oncology Practice</w:t>
      </w:r>
      <w:r w:rsidRPr="002C18A7">
        <w:t>. 2024;20(8):1035-9.</w:t>
      </w:r>
    </w:p>
  </w:footnote>
  <w:footnote w:id="7">
    <w:p w14:paraId="3874DC25" w14:textId="77777777" w:rsidR="003E76BE" w:rsidRPr="009534FC" w:rsidRDefault="003E76BE" w:rsidP="003E76BE">
      <w:pPr>
        <w:pStyle w:val="FootnoteText"/>
        <w:rPr>
          <w:lang w:val="en-US"/>
        </w:rPr>
      </w:pPr>
      <w:r w:rsidRPr="00E7365D">
        <w:rPr>
          <w:rStyle w:val="FootnoteReference"/>
          <w:rFonts w:eastAsiaTheme="minorHAnsi"/>
        </w:rPr>
        <w:footnoteRef/>
      </w:r>
      <w:r>
        <w:t xml:space="preserve"> </w:t>
      </w:r>
      <w:r w:rsidRPr="009534FC">
        <w:t xml:space="preserve">Vogel A et al. Updated treatment recommendations for hepatocellular carcinoma (HCC) from the ESMO Clinical Practice Guidelines. </w:t>
      </w:r>
      <w:r w:rsidRPr="009534FC">
        <w:rPr>
          <w:i/>
          <w:iCs/>
        </w:rPr>
        <w:t>Annals of Oncology</w:t>
      </w:r>
      <w:r w:rsidRPr="009534FC">
        <w:t>. 2021;32(6):801-5.</w:t>
      </w:r>
    </w:p>
  </w:footnote>
  <w:footnote w:id="8">
    <w:p w14:paraId="5589B3EF" w14:textId="43EB960B" w:rsidR="00397C67" w:rsidRDefault="00397C67">
      <w:pPr>
        <w:pStyle w:val="FootnoteText"/>
      </w:pPr>
      <w:r>
        <w:rPr>
          <w:rStyle w:val="FootnoteReference"/>
        </w:rPr>
        <w:footnoteRef/>
      </w:r>
      <w:r>
        <w:t xml:space="preserve"> </w:t>
      </w:r>
      <w:r w:rsidRPr="00397C67">
        <w:t>Vogel A, Chan SL, Dawson LA, Kelley RK, Llovet JM, Meyer T, Ricke J, Rimassa L, Sapisochin G, Vilgrain V, Zucman-Rossi J, Ducreux M; ESMO Guidelines Committee. Hepatocellular carcinoma: ESMO Clinical Practice Guideline for diagnosis, treatment and follow-up. Ann Oncol. 2025 Feb 20:S0923-7534(25)00073-0. Epub ahead of print.</w:t>
      </w:r>
    </w:p>
  </w:footnote>
  <w:footnote w:id="9">
    <w:p w14:paraId="072F23CA" w14:textId="03DCAF71" w:rsidR="00B761D1" w:rsidRPr="0063084C" w:rsidRDefault="00B761D1">
      <w:pPr>
        <w:pStyle w:val="FootnoteText"/>
        <w:rPr>
          <w:lang w:val="nb-NO"/>
        </w:rPr>
      </w:pPr>
      <w:r w:rsidRPr="00E7365D">
        <w:rPr>
          <w:rStyle w:val="FootnoteReference"/>
        </w:rPr>
        <w:footnoteRef/>
      </w:r>
      <w:r>
        <w:t xml:space="preserve"> </w:t>
      </w:r>
      <w:r w:rsidRPr="00B761D1">
        <w:t>Spagnolo, F., Boutros, A., Cecchi, F. </w:t>
      </w:r>
      <w:r w:rsidRPr="00B761D1">
        <w:rPr>
          <w:i/>
          <w:iCs/>
        </w:rPr>
        <w:t>et al.</w:t>
      </w:r>
      <w:r w:rsidRPr="00B761D1">
        <w:t> Treatment beyond progression with anti-PD-1/PD-L1 based regimens in advanced solid tumors: a systematic review. </w:t>
      </w:r>
      <w:r w:rsidRPr="0063084C">
        <w:rPr>
          <w:i/>
          <w:iCs/>
          <w:lang w:val="nb-NO"/>
        </w:rPr>
        <w:t>BMC Cancer</w:t>
      </w:r>
      <w:r w:rsidRPr="0063084C">
        <w:rPr>
          <w:lang w:val="nb-NO"/>
        </w:rPr>
        <w:t> </w:t>
      </w:r>
      <w:r w:rsidRPr="0063084C">
        <w:rPr>
          <w:b/>
          <w:bCs/>
          <w:lang w:val="nb-NO"/>
        </w:rPr>
        <w:t>21</w:t>
      </w:r>
      <w:r w:rsidRPr="0063084C">
        <w:rPr>
          <w:lang w:val="nb-NO"/>
        </w:rPr>
        <w:t>, 425 (2021). https://doi.org/10.1186/s12885-021-08165-0.</w:t>
      </w:r>
    </w:p>
  </w:footnote>
  <w:footnote w:id="10">
    <w:p w14:paraId="68BA96CB" w14:textId="77777777" w:rsidR="003E76BE" w:rsidRPr="004910E3" w:rsidRDefault="003E76BE" w:rsidP="003E76BE">
      <w:pPr>
        <w:pStyle w:val="FootnoteText"/>
        <w:rPr>
          <w:lang w:val="en-US"/>
        </w:rPr>
      </w:pPr>
      <w:r w:rsidRPr="00E7365D">
        <w:rPr>
          <w:rStyle w:val="FootnoteReference"/>
          <w:rFonts w:eastAsiaTheme="minorHAnsi"/>
        </w:rPr>
        <w:footnoteRef/>
      </w:r>
      <w:r w:rsidRPr="0063084C">
        <w:rPr>
          <w:lang w:val="nb-NO"/>
        </w:rPr>
        <w:t xml:space="preserve"> El-Kassas M, et al. </w:t>
      </w:r>
      <w:r w:rsidRPr="004910E3">
        <w:t xml:space="preserve">Characteristics and survival of patients with viral versus nonviral associated hepatocellular carcinoma: a multicenter cohort study. </w:t>
      </w:r>
      <w:r w:rsidRPr="004910E3">
        <w:rPr>
          <w:i/>
          <w:iCs/>
        </w:rPr>
        <w:t>Eur J Gastroenterol Hepatol</w:t>
      </w:r>
      <w:r w:rsidRPr="004910E3">
        <w:t>. 2025;37(1):83-93.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F78F" w14:textId="7BA82889" w:rsidR="00DF294A" w:rsidRDefault="00B631DF">
    <w:pPr>
      <w:pStyle w:val="Header"/>
    </w:pPr>
    <w:r>
      <w:rPr>
        <w:noProof/>
      </w:rPr>
      <mc:AlternateContent>
        <mc:Choice Requires="wps">
          <w:drawing>
            <wp:anchor distT="0" distB="0" distL="0" distR="0" simplePos="0" relativeHeight="251659264" behindDoc="0" locked="0" layoutInCell="1" allowOverlap="1" wp14:anchorId="7D27FB83" wp14:editId="60484447">
              <wp:simplePos x="635" y="635"/>
              <wp:positionH relativeFrom="page">
                <wp:align>center</wp:align>
              </wp:positionH>
              <wp:positionV relativeFrom="page">
                <wp:align>top</wp:align>
              </wp:positionV>
              <wp:extent cx="551815" cy="376555"/>
              <wp:effectExtent l="0" t="0" r="635" b="4445"/>
              <wp:wrapNone/>
              <wp:docPr id="18673060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D93FC3" w14:textId="236FFD8C" w:rsidR="00B631DF" w:rsidRPr="00B631DF" w:rsidRDefault="00B631DF" w:rsidP="00B631DF">
                          <w:pPr>
                            <w:rPr>
                              <w:rFonts w:eastAsia="Calibri" w:cs="Calibri"/>
                              <w:noProof/>
                              <w:color w:val="FF0000"/>
                            </w:rPr>
                          </w:pPr>
                          <w:r w:rsidRPr="00B631D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7FB8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2D93FC3" w14:textId="236FFD8C" w:rsidR="00B631DF" w:rsidRPr="00B631DF" w:rsidRDefault="00B631DF" w:rsidP="00B631DF">
                    <w:pPr>
                      <w:rPr>
                        <w:rFonts w:eastAsia="Calibri" w:cs="Calibri"/>
                        <w:noProof/>
                        <w:color w:val="FF0000"/>
                      </w:rPr>
                    </w:pPr>
                    <w:r w:rsidRPr="00B631DF">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943B" w14:textId="22181864" w:rsidR="00D843F2" w:rsidRPr="000E49EA" w:rsidRDefault="00B631DF" w:rsidP="00694488">
    <w:pPr>
      <w:pStyle w:val="Header"/>
      <w:keepNext w:val="0"/>
      <w:rPr>
        <w:rFonts w:asciiTheme="minorHAnsi" w:eastAsiaTheme="minorHAnsi" w:hAnsiTheme="minorHAnsi" w:cstheme="minorHAnsi"/>
        <w:bCs/>
        <w:i w:val="0"/>
        <w:color w:val="808080"/>
      </w:rPr>
    </w:pPr>
    <w:r>
      <w:rPr>
        <w:rFonts w:asciiTheme="minorHAnsi" w:eastAsiaTheme="minorHAnsi" w:hAnsiTheme="minorHAnsi" w:cstheme="minorHAnsi"/>
        <w:bCs/>
        <w:noProof/>
        <w:color w:val="808080"/>
      </w:rPr>
      <mc:AlternateContent>
        <mc:Choice Requires="wps">
          <w:drawing>
            <wp:anchor distT="0" distB="0" distL="0" distR="0" simplePos="0" relativeHeight="251660288" behindDoc="0" locked="0" layoutInCell="1" allowOverlap="1" wp14:anchorId="116C7AEA" wp14:editId="591810E5">
              <wp:simplePos x="914400" y="914400"/>
              <wp:positionH relativeFrom="page">
                <wp:align>center</wp:align>
              </wp:positionH>
              <wp:positionV relativeFrom="page">
                <wp:align>top</wp:align>
              </wp:positionV>
              <wp:extent cx="551815" cy="376555"/>
              <wp:effectExtent l="0" t="0" r="635" b="4445"/>
              <wp:wrapNone/>
              <wp:docPr id="3123846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321654" w14:textId="428F76F9" w:rsidR="00B631DF" w:rsidRPr="00B631DF" w:rsidRDefault="00B631DF" w:rsidP="00B631DF">
                          <w:pPr>
                            <w:rPr>
                              <w:rFonts w:eastAsia="Calibri" w:cs="Calibri"/>
                              <w:noProof/>
                              <w:color w:val="FF0000"/>
                            </w:rPr>
                          </w:pPr>
                          <w:r w:rsidRPr="00B631D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C7AE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E321654" w14:textId="428F76F9" w:rsidR="00B631DF" w:rsidRPr="00B631DF" w:rsidRDefault="00B631DF" w:rsidP="00B631DF">
                    <w:pPr>
                      <w:rPr>
                        <w:rFonts w:eastAsia="Calibri" w:cs="Calibri"/>
                        <w:noProof/>
                        <w:color w:val="FF0000"/>
                      </w:rPr>
                    </w:pPr>
                    <w:r w:rsidRPr="00B631DF">
                      <w:rPr>
                        <w:rFonts w:eastAsia="Calibri" w:cs="Calibri"/>
                        <w:noProof/>
                        <w:color w:val="FF0000"/>
                      </w:rPr>
                      <w:t>OFFICIAL</w:t>
                    </w:r>
                  </w:p>
                </w:txbxContent>
              </v:textbox>
              <w10:wrap anchorx="page" anchory="page"/>
            </v:shape>
          </w:pict>
        </mc:Fallback>
      </mc:AlternateContent>
    </w:r>
    <w:r w:rsidR="004E2CA4" w:rsidRPr="00061CBE">
      <w:rPr>
        <w:rFonts w:asciiTheme="minorHAnsi" w:eastAsiaTheme="minorHAnsi" w:hAnsiTheme="minorHAnsi" w:cstheme="minorHAnsi"/>
        <w:bCs/>
        <w:color w:val="808080"/>
      </w:rPr>
      <w:t xml:space="preserve">Public Summary Document – </w:t>
    </w:r>
    <w:r w:rsidR="004E2CA4">
      <w:rPr>
        <w:rFonts w:asciiTheme="minorHAnsi" w:eastAsiaTheme="minorHAnsi" w:hAnsiTheme="minorHAnsi" w:cstheme="minorHAnsi"/>
        <w:bCs/>
        <w:color w:val="808080"/>
      </w:rPr>
      <w:t>May 2025</w:t>
    </w:r>
    <w:r w:rsidR="004E2CA4" w:rsidRPr="00061CBE">
      <w:rPr>
        <w:rFonts w:asciiTheme="minorHAnsi" w:eastAsiaTheme="minorHAnsi" w:hAnsiTheme="minorHAnsi" w:cstheme="minorHAnsi"/>
        <w:bCs/>
        <w:color w:val="808080"/>
      </w:rPr>
      <w:t xml:space="preserve"> PBAC Meeting</w:t>
    </w:r>
    <w:r w:rsidR="00257130">
      <w:rPr>
        <w:rFonts w:asciiTheme="minorHAnsi" w:hAnsiTheme="minorHAnsi"/>
        <w:color w:val="80808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2347" w14:textId="65AE061B" w:rsidR="00DF294A" w:rsidRDefault="00B631DF">
    <w:pPr>
      <w:pStyle w:val="Header"/>
    </w:pPr>
    <w:r>
      <w:rPr>
        <w:noProof/>
      </w:rPr>
      <mc:AlternateContent>
        <mc:Choice Requires="wps">
          <w:drawing>
            <wp:anchor distT="0" distB="0" distL="0" distR="0" simplePos="0" relativeHeight="251658240" behindDoc="0" locked="0" layoutInCell="1" allowOverlap="1" wp14:anchorId="602D1B97" wp14:editId="2BE616DA">
              <wp:simplePos x="635" y="635"/>
              <wp:positionH relativeFrom="page">
                <wp:align>center</wp:align>
              </wp:positionH>
              <wp:positionV relativeFrom="page">
                <wp:align>top</wp:align>
              </wp:positionV>
              <wp:extent cx="551815" cy="376555"/>
              <wp:effectExtent l="0" t="0" r="635" b="4445"/>
              <wp:wrapNone/>
              <wp:docPr id="1145344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D38356" w14:textId="5E625055" w:rsidR="00B631DF" w:rsidRPr="00B631DF" w:rsidRDefault="00B631DF" w:rsidP="00B631DF">
                          <w:pPr>
                            <w:rPr>
                              <w:rFonts w:eastAsia="Calibri" w:cs="Calibri"/>
                              <w:noProof/>
                              <w:color w:val="FF0000"/>
                            </w:rPr>
                          </w:pPr>
                          <w:r w:rsidRPr="00B631D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D1B9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5D38356" w14:textId="5E625055" w:rsidR="00B631DF" w:rsidRPr="00B631DF" w:rsidRDefault="00B631DF" w:rsidP="00B631DF">
                    <w:pPr>
                      <w:rPr>
                        <w:rFonts w:eastAsia="Calibri" w:cs="Calibri"/>
                        <w:noProof/>
                        <w:color w:val="FF0000"/>
                      </w:rPr>
                    </w:pPr>
                    <w:r w:rsidRPr="00B631DF">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640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346AD7"/>
    <w:multiLevelType w:val="hybridMultilevel"/>
    <w:tmpl w:val="55BA3216"/>
    <w:lvl w:ilvl="0" w:tplc="C304EBCE">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BA44E4B"/>
    <w:multiLevelType w:val="hybridMultilevel"/>
    <w:tmpl w:val="4288A63C"/>
    <w:styleLink w:val="Style13"/>
    <w:lvl w:ilvl="0" w:tplc="C2720828">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D96F31"/>
    <w:multiLevelType w:val="hybridMultilevel"/>
    <w:tmpl w:val="DFAAF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2625C"/>
    <w:multiLevelType w:val="hybridMultilevel"/>
    <w:tmpl w:val="C558643C"/>
    <w:styleLink w:val="Style13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8" w15:restartNumberingAfterBreak="0">
    <w:nsid w:val="549475F5"/>
    <w:multiLevelType w:val="hybridMultilevel"/>
    <w:tmpl w:val="B3126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B846422"/>
    <w:multiLevelType w:val="hybridMultilevel"/>
    <w:tmpl w:val="646AA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4823B2"/>
    <w:multiLevelType w:val="hybridMultilevel"/>
    <w:tmpl w:val="6FD26D28"/>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6DDE27BE"/>
    <w:multiLevelType w:val="hybridMultilevel"/>
    <w:tmpl w:val="5B486D98"/>
    <w:lvl w:ilvl="0" w:tplc="BFFA857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B4E1A"/>
    <w:multiLevelType w:val="hybridMultilevel"/>
    <w:tmpl w:val="B31264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302D73"/>
    <w:multiLevelType w:val="hybridMultilevel"/>
    <w:tmpl w:val="7C9CD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4C98C5E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B80AA3"/>
    <w:multiLevelType w:val="hybridMultilevel"/>
    <w:tmpl w:val="85DCD7DE"/>
    <w:lvl w:ilvl="0" w:tplc="EAA8F20C">
      <w:start w:val="1"/>
      <w:numFmt w:val="bullet"/>
      <w:pStyle w:val="2ndTableBullet"/>
      <w:lvlText w:val=""/>
      <w:lvlJc w:val="left"/>
      <w:pPr>
        <w:ind w:left="720" w:hanging="360"/>
      </w:pPr>
      <w:rPr>
        <w:rFonts w:ascii="Wingdings" w:hAnsi="Wingdings"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186631">
    <w:abstractNumId w:val="15"/>
  </w:num>
  <w:num w:numId="2" w16cid:durableId="917793048">
    <w:abstractNumId w:val="4"/>
  </w:num>
  <w:num w:numId="3" w16cid:durableId="263461728">
    <w:abstractNumId w:val="0"/>
  </w:num>
  <w:num w:numId="4" w16cid:durableId="220360847">
    <w:abstractNumId w:val="9"/>
  </w:num>
  <w:num w:numId="5" w16cid:durableId="268196418">
    <w:abstractNumId w:val="1"/>
  </w:num>
  <w:num w:numId="6" w16cid:durableId="1048839230">
    <w:abstractNumId w:val="15"/>
    <w:lvlOverride w:ilvl="0">
      <w:lvl w:ilvl="0">
        <w:start w:val="1"/>
        <w:numFmt w:val="decimal"/>
        <w:pStyle w:val="2-SectionHeading"/>
        <w:lvlText w:val="%1"/>
        <w:lvlJc w:val="left"/>
        <w:pPr>
          <w:ind w:left="720" w:hanging="720"/>
        </w:pPr>
        <w:rPr>
          <w:rFonts w:hint="default"/>
          <w:b/>
        </w:rPr>
      </w:lvl>
    </w:lvlOverride>
    <w:lvlOverride w:ilvl="1">
      <w:lvl w:ilvl="1">
        <w:start w:val="1"/>
        <w:numFmt w:val="decimal"/>
        <w:pStyle w:val="3-BodyText"/>
        <w:lvlText w:val="%1.%2"/>
        <w:lvlJc w:val="left"/>
        <w:pPr>
          <w:ind w:left="3272" w:hanging="720"/>
        </w:pPr>
        <w:rPr>
          <w:b w:val="0"/>
          <w:bCs w:val="0"/>
          <w:i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216362193">
    <w:abstractNumId w:val="7"/>
  </w:num>
  <w:num w:numId="8" w16cid:durableId="1723554041">
    <w:abstractNumId w:val="2"/>
  </w:num>
  <w:num w:numId="9" w16cid:durableId="925263970">
    <w:abstractNumId w:val="16"/>
  </w:num>
  <w:num w:numId="10" w16cid:durableId="1075977356">
    <w:abstractNumId w:val="12"/>
  </w:num>
  <w:num w:numId="11" w16cid:durableId="1065181892">
    <w:abstractNumId w:val="5"/>
  </w:num>
  <w:num w:numId="12" w16cid:durableId="339351848">
    <w:abstractNumId w:val="6"/>
  </w:num>
  <w:num w:numId="13" w16cid:durableId="371418324">
    <w:abstractNumId w:val="14"/>
  </w:num>
  <w:num w:numId="14" w16cid:durableId="80683339">
    <w:abstractNumId w:val="10"/>
  </w:num>
  <w:num w:numId="15" w16cid:durableId="378363217">
    <w:abstractNumId w:val="11"/>
  </w:num>
  <w:num w:numId="16" w16cid:durableId="2134209743">
    <w:abstractNumId w:val="13"/>
  </w:num>
  <w:num w:numId="17" w16cid:durableId="242642581">
    <w:abstractNumId w:val="8"/>
  </w:num>
  <w:num w:numId="18" w16cid:durableId="1365709232">
    <w:abstractNumId w:val="3"/>
  </w:num>
  <w:num w:numId="19" w16cid:durableId="526329259">
    <w:abstractNumId w:val="1"/>
  </w:num>
  <w:num w:numId="20" w16cid:durableId="1066756498">
    <w:abstractNumId w:val="15"/>
  </w:num>
  <w:num w:numId="21" w16cid:durableId="12564018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aederz4vfwzjef9aaxs59u29teaxawaftp&quot;&gt;My EndNote Library&lt;record-ids&gt;&lt;item&gt;13724&lt;/item&gt;&lt;item&gt;13725&lt;/item&gt;&lt;item&gt;13726&lt;/item&gt;&lt;item&gt;13727&lt;/item&gt;&lt;item&gt;13728&lt;/item&gt;&lt;item&gt;13729&lt;/item&gt;&lt;item&gt;13731&lt;/item&gt;&lt;item&gt;13734&lt;/item&gt;&lt;item&gt;13735&lt;/item&gt;&lt;item&gt;13736&lt;/item&gt;&lt;item&gt;13737&lt;/item&gt;&lt;item&gt;13738&lt;/item&gt;&lt;item&gt;13739&lt;/item&gt;&lt;item&gt;13740&lt;/item&gt;&lt;/record-ids&gt;&lt;/item&gt;&lt;/Libraries&gt;"/>
  </w:docVars>
  <w:rsids>
    <w:rsidRoot w:val="00E65E79"/>
    <w:rsid w:val="000003D0"/>
    <w:rsid w:val="000006E9"/>
    <w:rsid w:val="00000790"/>
    <w:rsid w:val="00000FAB"/>
    <w:rsid w:val="0000110B"/>
    <w:rsid w:val="00001251"/>
    <w:rsid w:val="00001338"/>
    <w:rsid w:val="00001718"/>
    <w:rsid w:val="00001C93"/>
    <w:rsid w:val="00002434"/>
    <w:rsid w:val="00002CDA"/>
    <w:rsid w:val="00002DBC"/>
    <w:rsid w:val="00002E9A"/>
    <w:rsid w:val="0000341E"/>
    <w:rsid w:val="00003488"/>
    <w:rsid w:val="00003499"/>
    <w:rsid w:val="00003586"/>
    <w:rsid w:val="000039B7"/>
    <w:rsid w:val="00003B22"/>
    <w:rsid w:val="00003CCD"/>
    <w:rsid w:val="00004016"/>
    <w:rsid w:val="0000458B"/>
    <w:rsid w:val="00004D85"/>
    <w:rsid w:val="000056B9"/>
    <w:rsid w:val="00005A2A"/>
    <w:rsid w:val="0000639A"/>
    <w:rsid w:val="000067C6"/>
    <w:rsid w:val="00006FD3"/>
    <w:rsid w:val="00007533"/>
    <w:rsid w:val="00010052"/>
    <w:rsid w:val="00010294"/>
    <w:rsid w:val="000103FD"/>
    <w:rsid w:val="00010779"/>
    <w:rsid w:val="000118A5"/>
    <w:rsid w:val="00011A36"/>
    <w:rsid w:val="00012BCE"/>
    <w:rsid w:val="00012C65"/>
    <w:rsid w:val="00012FCF"/>
    <w:rsid w:val="00013247"/>
    <w:rsid w:val="00013522"/>
    <w:rsid w:val="00013DF9"/>
    <w:rsid w:val="0001411E"/>
    <w:rsid w:val="0001450E"/>
    <w:rsid w:val="00015886"/>
    <w:rsid w:val="00015C94"/>
    <w:rsid w:val="00015E43"/>
    <w:rsid w:val="00015FBF"/>
    <w:rsid w:val="000160A5"/>
    <w:rsid w:val="000162EF"/>
    <w:rsid w:val="000164FF"/>
    <w:rsid w:val="000166FB"/>
    <w:rsid w:val="00016CC7"/>
    <w:rsid w:val="000175AE"/>
    <w:rsid w:val="00017943"/>
    <w:rsid w:val="00017BDC"/>
    <w:rsid w:val="00020461"/>
    <w:rsid w:val="000207C9"/>
    <w:rsid w:val="00020A90"/>
    <w:rsid w:val="00020F9F"/>
    <w:rsid w:val="000218E7"/>
    <w:rsid w:val="00021953"/>
    <w:rsid w:val="00021AE6"/>
    <w:rsid w:val="00021AF7"/>
    <w:rsid w:val="00021C7D"/>
    <w:rsid w:val="00021CF0"/>
    <w:rsid w:val="00021CF4"/>
    <w:rsid w:val="00021F40"/>
    <w:rsid w:val="0002225F"/>
    <w:rsid w:val="000228A5"/>
    <w:rsid w:val="00022F97"/>
    <w:rsid w:val="000236FC"/>
    <w:rsid w:val="00023763"/>
    <w:rsid w:val="0002387E"/>
    <w:rsid w:val="000238B8"/>
    <w:rsid w:val="00023EB3"/>
    <w:rsid w:val="000246BF"/>
    <w:rsid w:val="00024AF1"/>
    <w:rsid w:val="00024DE1"/>
    <w:rsid w:val="00024EB5"/>
    <w:rsid w:val="00025A95"/>
    <w:rsid w:val="000262F7"/>
    <w:rsid w:val="00026641"/>
    <w:rsid w:val="00026882"/>
    <w:rsid w:val="00026F30"/>
    <w:rsid w:val="00027467"/>
    <w:rsid w:val="000274B8"/>
    <w:rsid w:val="00027AEA"/>
    <w:rsid w:val="00027B3E"/>
    <w:rsid w:val="00031395"/>
    <w:rsid w:val="000315F2"/>
    <w:rsid w:val="000317D1"/>
    <w:rsid w:val="0003188B"/>
    <w:rsid w:val="00031ED9"/>
    <w:rsid w:val="000321D1"/>
    <w:rsid w:val="00032468"/>
    <w:rsid w:val="00032BEE"/>
    <w:rsid w:val="00033720"/>
    <w:rsid w:val="00033863"/>
    <w:rsid w:val="000339F6"/>
    <w:rsid w:val="000341F2"/>
    <w:rsid w:val="00034533"/>
    <w:rsid w:val="00034712"/>
    <w:rsid w:val="0003503C"/>
    <w:rsid w:val="0003522A"/>
    <w:rsid w:val="00035CAB"/>
    <w:rsid w:val="00035DC0"/>
    <w:rsid w:val="000360EB"/>
    <w:rsid w:val="00036229"/>
    <w:rsid w:val="000363C0"/>
    <w:rsid w:val="00036829"/>
    <w:rsid w:val="00040895"/>
    <w:rsid w:val="00040F79"/>
    <w:rsid w:val="000410A0"/>
    <w:rsid w:val="00041235"/>
    <w:rsid w:val="00041833"/>
    <w:rsid w:val="0004242A"/>
    <w:rsid w:val="000435EE"/>
    <w:rsid w:val="000437FD"/>
    <w:rsid w:val="000439B0"/>
    <w:rsid w:val="00043A18"/>
    <w:rsid w:val="00043C22"/>
    <w:rsid w:val="00043C37"/>
    <w:rsid w:val="00044911"/>
    <w:rsid w:val="00044E39"/>
    <w:rsid w:val="00045017"/>
    <w:rsid w:val="0004572F"/>
    <w:rsid w:val="000459DE"/>
    <w:rsid w:val="00045A2B"/>
    <w:rsid w:val="00045AB0"/>
    <w:rsid w:val="00045B76"/>
    <w:rsid w:val="0004698F"/>
    <w:rsid w:val="00046B76"/>
    <w:rsid w:val="00046CFC"/>
    <w:rsid w:val="00046D64"/>
    <w:rsid w:val="00047866"/>
    <w:rsid w:val="00047869"/>
    <w:rsid w:val="00050417"/>
    <w:rsid w:val="00050638"/>
    <w:rsid w:val="000508C2"/>
    <w:rsid w:val="00051533"/>
    <w:rsid w:val="000515AE"/>
    <w:rsid w:val="00051866"/>
    <w:rsid w:val="00051ADE"/>
    <w:rsid w:val="000522B9"/>
    <w:rsid w:val="000522EA"/>
    <w:rsid w:val="00052876"/>
    <w:rsid w:val="00052992"/>
    <w:rsid w:val="00053437"/>
    <w:rsid w:val="000535A4"/>
    <w:rsid w:val="000539D0"/>
    <w:rsid w:val="00054173"/>
    <w:rsid w:val="00054621"/>
    <w:rsid w:val="000546D7"/>
    <w:rsid w:val="00054A8D"/>
    <w:rsid w:val="000551A7"/>
    <w:rsid w:val="000551FF"/>
    <w:rsid w:val="000552FE"/>
    <w:rsid w:val="00055D00"/>
    <w:rsid w:val="00055E8C"/>
    <w:rsid w:val="00056B55"/>
    <w:rsid w:val="00056B9F"/>
    <w:rsid w:val="00056EC7"/>
    <w:rsid w:val="00056ECF"/>
    <w:rsid w:val="00057531"/>
    <w:rsid w:val="00057DA1"/>
    <w:rsid w:val="0006020F"/>
    <w:rsid w:val="00060214"/>
    <w:rsid w:val="00060472"/>
    <w:rsid w:val="000604DF"/>
    <w:rsid w:val="00060D63"/>
    <w:rsid w:val="00062237"/>
    <w:rsid w:val="00062324"/>
    <w:rsid w:val="00062377"/>
    <w:rsid w:val="00063A8E"/>
    <w:rsid w:val="00063E2F"/>
    <w:rsid w:val="00064027"/>
    <w:rsid w:val="00064219"/>
    <w:rsid w:val="00064A8D"/>
    <w:rsid w:val="00064DE3"/>
    <w:rsid w:val="000653B5"/>
    <w:rsid w:val="000654F9"/>
    <w:rsid w:val="0006620C"/>
    <w:rsid w:val="00066216"/>
    <w:rsid w:val="00066360"/>
    <w:rsid w:val="0006637A"/>
    <w:rsid w:val="00066682"/>
    <w:rsid w:val="00066A70"/>
    <w:rsid w:val="00066AF8"/>
    <w:rsid w:val="00067792"/>
    <w:rsid w:val="0006780C"/>
    <w:rsid w:val="000679FA"/>
    <w:rsid w:val="00067F68"/>
    <w:rsid w:val="000700D8"/>
    <w:rsid w:val="000709F6"/>
    <w:rsid w:val="00070ED0"/>
    <w:rsid w:val="00070FC9"/>
    <w:rsid w:val="000711CE"/>
    <w:rsid w:val="00071248"/>
    <w:rsid w:val="000716DE"/>
    <w:rsid w:val="00071A3C"/>
    <w:rsid w:val="0007204D"/>
    <w:rsid w:val="000720B9"/>
    <w:rsid w:val="00072DBD"/>
    <w:rsid w:val="000737F7"/>
    <w:rsid w:val="0007393C"/>
    <w:rsid w:val="00074523"/>
    <w:rsid w:val="00074E1C"/>
    <w:rsid w:val="00074E3F"/>
    <w:rsid w:val="00074EF2"/>
    <w:rsid w:val="00075F10"/>
    <w:rsid w:val="00076601"/>
    <w:rsid w:val="0007672F"/>
    <w:rsid w:val="00076B49"/>
    <w:rsid w:val="00076B54"/>
    <w:rsid w:val="000774F0"/>
    <w:rsid w:val="0007754D"/>
    <w:rsid w:val="00077CE3"/>
    <w:rsid w:val="00080909"/>
    <w:rsid w:val="00080BD0"/>
    <w:rsid w:val="000812CA"/>
    <w:rsid w:val="00081C05"/>
    <w:rsid w:val="00081CCA"/>
    <w:rsid w:val="00081E63"/>
    <w:rsid w:val="00081F1B"/>
    <w:rsid w:val="0008258D"/>
    <w:rsid w:val="00083037"/>
    <w:rsid w:val="0008345C"/>
    <w:rsid w:val="00083522"/>
    <w:rsid w:val="00083E99"/>
    <w:rsid w:val="000848A6"/>
    <w:rsid w:val="00084FA8"/>
    <w:rsid w:val="0008522E"/>
    <w:rsid w:val="000856C5"/>
    <w:rsid w:val="000858C3"/>
    <w:rsid w:val="00085C31"/>
    <w:rsid w:val="0008601E"/>
    <w:rsid w:val="000862C0"/>
    <w:rsid w:val="00086B68"/>
    <w:rsid w:val="00086D1E"/>
    <w:rsid w:val="000872C9"/>
    <w:rsid w:val="000876C6"/>
    <w:rsid w:val="000877C3"/>
    <w:rsid w:val="000902BC"/>
    <w:rsid w:val="000902D9"/>
    <w:rsid w:val="00090C7E"/>
    <w:rsid w:val="00090F76"/>
    <w:rsid w:val="000911AC"/>
    <w:rsid w:val="00092600"/>
    <w:rsid w:val="0009262B"/>
    <w:rsid w:val="00092EA7"/>
    <w:rsid w:val="00093277"/>
    <w:rsid w:val="00093310"/>
    <w:rsid w:val="0009382D"/>
    <w:rsid w:val="00094139"/>
    <w:rsid w:val="0009434A"/>
    <w:rsid w:val="0009445C"/>
    <w:rsid w:val="0009498D"/>
    <w:rsid w:val="00094AEA"/>
    <w:rsid w:val="00095200"/>
    <w:rsid w:val="00095657"/>
    <w:rsid w:val="00095BF3"/>
    <w:rsid w:val="00095FE5"/>
    <w:rsid w:val="00096284"/>
    <w:rsid w:val="00096409"/>
    <w:rsid w:val="0009650D"/>
    <w:rsid w:val="000969EB"/>
    <w:rsid w:val="00096C4A"/>
    <w:rsid w:val="000971EC"/>
    <w:rsid w:val="00097855"/>
    <w:rsid w:val="00097BB9"/>
    <w:rsid w:val="00097E49"/>
    <w:rsid w:val="00097FE1"/>
    <w:rsid w:val="00097FF7"/>
    <w:rsid w:val="000A06CA"/>
    <w:rsid w:val="000A070B"/>
    <w:rsid w:val="000A1BC0"/>
    <w:rsid w:val="000A1CA5"/>
    <w:rsid w:val="000A1F9B"/>
    <w:rsid w:val="000A24D6"/>
    <w:rsid w:val="000A2F9E"/>
    <w:rsid w:val="000A38C9"/>
    <w:rsid w:val="000A3E47"/>
    <w:rsid w:val="000A3E83"/>
    <w:rsid w:val="000A3FFF"/>
    <w:rsid w:val="000A4090"/>
    <w:rsid w:val="000A4346"/>
    <w:rsid w:val="000A4706"/>
    <w:rsid w:val="000A522B"/>
    <w:rsid w:val="000A56BC"/>
    <w:rsid w:val="000A57A7"/>
    <w:rsid w:val="000A6039"/>
    <w:rsid w:val="000A6B9E"/>
    <w:rsid w:val="000A6E87"/>
    <w:rsid w:val="000A702D"/>
    <w:rsid w:val="000A7453"/>
    <w:rsid w:val="000A74A4"/>
    <w:rsid w:val="000A7928"/>
    <w:rsid w:val="000A7BF1"/>
    <w:rsid w:val="000A7D08"/>
    <w:rsid w:val="000B0121"/>
    <w:rsid w:val="000B03F2"/>
    <w:rsid w:val="000B0670"/>
    <w:rsid w:val="000B07DC"/>
    <w:rsid w:val="000B0AF7"/>
    <w:rsid w:val="000B0E75"/>
    <w:rsid w:val="000B15E4"/>
    <w:rsid w:val="000B17CA"/>
    <w:rsid w:val="000B1A40"/>
    <w:rsid w:val="000B1F76"/>
    <w:rsid w:val="000B20F9"/>
    <w:rsid w:val="000B2B17"/>
    <w:rsid w:val="000B2B1E"/>
    <w:rsid w:val="000B2DCB"/>
    <w:rsid w:val="000B3562"/>
    <w:rsid w:val="000B361A"/>
    <w:rsid w:val="000B39B4"/>
    <w:rsid w:val="000B3AF7"/>
    <w:rsid w:val="000B3BDB"/>
    <w:rsid w:val="000B3F78"/>
    <w:rsid w:val="000B59B0"/>
    <w:rsid w:val="000B5B3A"/>
    <w:rsid w:val="000B5CE0"/>
    <w:rsid w:val="000B6CAC"/>
    <w:rsid w:val="000B7612"/>
    <w:rsid w:val="000B78AE"/>
    <w:rsid w:val="000B79C1"/>
    <w:rsid w:val="000B7BA5"/>
    <w:rsid w:val="000C074D"/>
    <w:rsid w:val="000C08F3"/>
    <w:rsid w:val="000C12C5"/>
    <w:rsid w:val="000C1523"/>
    <w:rsid w:val="000C1EF6"/>
    <w:rsid w:val="000C211E"/>
    <w:rsid w:val="000C214B"/>
    <w:rsid w:val="000C2198"/>
    <w:rsid w:val="000C3408"/>
    <w:rsid w:val="000C3DE1"/>
    <w:rsid w:val="000C3DF9"/>
    <w:rsid w:val="000C3F63"/>
    <w:rsid w:val="000C474A"/>
    <w:rsid w:val="000C480B"/>
    <w:rsid w:val="000C4B35"/>
    <w:rsid w:val="000C4CF2"/>
    <w:rsid w:val="000C4FB6"/>
    <w:rsid w:val="000C4FF6"/>
    <w:rsid w:val="000C5809"/>
    <w:rsid w:val="000C5A43"/>
    <w:rsid w:val="000C5A48"/>
    <w:rsid w:val="000C5B0D"/>
    <w:rsid w:val="000C5CF8"/>
    <w:rsid w:val="000C658E"/>
    <w:rsid w:val="000C664B"/>
    <w:rsid w:val="000C6713"/>
    <w:rsid w:val="000C6F83"/>
    <w:rsid w:val="000C6FAB"/>
    <w:rsid w:val="000C6FF8"/>
    <w:rsid w:val="000C712D"/>
    <w:rsid w:val="000C7358"/>
    <w:rsid w:val="000C74A6"/>
    <w:rsid w:val="000C7828"/>
    <w:rsid w:val="000C7B4E"/>
    <w:rsid w:val="000C7CCE"/>
    <w:rsid w:val="000D02FE"/>
    <w:rsid w:val="000D05C6"/>
    <w:rsid w:val="000D083B"/>
    <w:rsid w:val="000D0883"/>
    <w:rsid w:val="000D0BAD"/>
    <w:rsid w:val="000D183B"/>
    <w:rsid w:val="000D1BFC"/>
    <w:rsid w:val="000D1D5D"/>
    <w:rsid w:val="000D216F"/>
    <w:rsid w:val="000D2286"/>
    <w:rsid w:val="000D27F0"/>
    <w:rsid w:val="000D281A"/>
    <w:rsid w:val="000D2848"/>
    <w:rsid w:val="000D294A"/>
    <w:rsid w:val="000D326A"/>
    <w:rsid w:val="000D32CF"/>
    <w:rsid w:val="000D3385"/>
    <w:rsid w:val="000D3619"/>
    <w:rsid w:val="000D36D8"/>
    <w:rsid w:val="000D37FB"/>
    <w:rsid w:val="000D3CFF"/>
    <w:rsid w:val="000D40CB"/>
    <w:rsid w:val="000D4348"/>
    <w:rsid w:val="000D4F02"/>
    <w:rsid w:val="000D51FB"/>
    <w:rsid w:val="000D5B25"/>
    <w:rsid w:val="000D6483"/>
    <w:rsid w:val="000D659C"/>
    <w:rsid w:val="000D6C58"/>
    <w:rsid w:val="000D7A55"/>
    <w:rsid w:val="000D7F5F"/>
    <w:rsid w:val="000E01A8"/>
    <w:rsid w:val="000E01AC"/>
    <w:rsid w:val="000E0599"/>
    <w:rsid w:val="000E0640"/>
    <w:rsid w:val="000E0690"/>
    <w:rsid w:val="000E0A22"/>
    <w:rsid w:val="000E0CD4"/>
    <w:rsid w:val="000E0E94"/>
    <w:rsid w:val="000E1272"/>
    <w:rsid w:val="000E135D"/>
    <w:rsid w:val="000E1B0B"/>
    <w:rsid w:val="000E1D9E"/>
    <w:rsid w:val="000E32B8"/>
    <w:rsid w:val="000E384C"/>
    <w:rsid w:val="000E3C04"/>
    <w:rsid w:val="000E4545"/>
    <w:rsid w:val="000E4854"/>
    <w:rsid w:val="000E49EA"/>
    <w:rsid w:val="000E4B54"/>
    <w:rsid w:val="000E711E"/>
    <w:rsid w:val="000E74D2"/>
    <w:rsid w:val="000E7F2F"/>
    <w:rsid w:val="000F00BA"/>
    <w:rsid w:val="000F0A3A"/>
    <w:rsid w:val="000F0E72"/>
    <w:rsid w:val="000F0FAD"/>
    <w:rsid w:val="000F1666"/>
    <w:rsid w:val="000F18F2"/>
    <w:rsid w:val="000F2323"/>
    <w:rsid w:val="000F25E8"/>
    <w:rsid w:val="000F28D2"/>
    <w:rsid w:val="000F2A4C"/>
    <w:rsid w:val="000F316A"/>
    <w:rsid w:val="000F38F7"/>
    <w:rsid w:val="000F3C74"/>
    <w:rsid w:val="000F484B"/>
    <w:rsid w:val="000F4BB8"/>
    <w:rsid w:val="000F4D28"/>
    <w:rsid w:val="000F4FA9"/>
    <w:rsid w:val="000F51A1"/>
    <w:rsid w:val="000F53FB"/>
    <w:rsid w:val="000F570A"/>
    <w:rsid w:val="000F59E1"/>
    <w:rsid w:val="000F698E"/>
    <w:rsid w:val="000F6C8E"/>
    <w:rsid w:val="000F7127"/>
    <w:rsid w:val="000F7B33"/>
    <w:rsid w:val="000F7B54"/>
    <w:rsid w:val="001000B3"/>
    <w:rsid w:val="001006AD"/>
    <w:rsid w:val="001009D2"/>
    <w:rsid w:val="00100F8A"/>
    <w:rsid w:val="00101585"/>
    <w:rsid w:val="001016F3"/>
    <w:rsid w:val="00101CB7"/>
    <w:rsid w:val="00101E1D"/>
    <w:rsid w:val="00103064"/>
    <w:rsid w:val="001036BD"/>
    <w:rsid w:val="001043B2"/>
    <w:rsid w:val="0010452E"/>
    <w:rsid w:val="00104671"/>
    <w:rsid w:val="00104A7C"/>
    <w:rsid w:val="00104D30"/>
    <w:rsid w:val="00104EB0"/>
    <w:rsid w:val="00105AE2"/>
    <w:rsid w:val="00105F22"/>
    <w:rsid w:val="001060C6"/>
    <w:rsid w:val="0010625A"/>
    <w:rsid w:val="00106B80"/>
    <w:rsid w:val="00106C6E"/>
    <w:rsid w:val="00106CEA"/>
    <w:rsid w:val="0010781D"/>
    <w:rsid w:val="001079B5"/>
    <w:rsid w:val="00107B5C"/>
    <w:rsid w:val="0011032E"/>
    <w:rsid w:val="00110B65"/>
    <w:rsid w:val="001111C6"/>
    <w:rsid w:val="0011135D"/>
    <w:rsid w:val="0011191D"/>
    <w:rsid w:val="00111A7B"/>
    <w:rsid w:val="00112A96"/>
    <w:rsid w:val="00113191"/>
    <w:rsid w:val="0011348B"/>
    <w:rsid w:val="00113B0A"/>
    <w:rsid w:val="00113FA6"/>
    <w:rsid w:val="0011480B"/>
    <w:rsid w:val="001148BE"/>
    <w:rsid w:val="00114C96"/>
    <w:rsid w:val="00114E77"/>
    <w:rsid w:val="00115982"/>
    <w:rsid w:val="001159B0"/>
    <w:rsid w:val="00115C2E"/>
    <w:rsid w:val="00115D64"/>
    <w:rsid w:val="00116047"/>
    <w:rsid w:val="00116216"/>
    <w:rsid w:val="0011622B"/>
    <w:rsid w:val="0011639D"/>
    <w:rsid w:val="001164A2"/>
    <w:rsid w:val="00116BB0"/>
    <w:rsid w:val="00116C53"/>
    <w:rsid w:val="001172F7"/>
    <w:rsid w:val="0012027F"/>
    <w:rsid w:val="001203FC"/>
    <w:rsid w:val="00120BDC"/>
    <w:rsid w:val="00120EAE"/>
    <w:rsid w:val="00121799"/>
    <w:rsid w:val="00122055"/>
    <w:rsid w:val="00122271"/>
    <w:rsid w:val="001222FC"/>
    <w:rsid w:val="00122A81"/>
    <w:rsid w:val="00122C34"/>
    <w:rsid w:val="00122E1F"/>
    <w:rsid w:val="00122F1C"/>
    <w:rsid w:val="00123902"/>
    <w:rsid w:val="00123FBC"/>
    <w:rsid w:val="0012471F"/>
    <w:rsid w:val="00124A51"/>
    <w:rsid w:val="00124B6C"/>
    <w:rsid w:val="00125116"/>
    <w:rsid w:val="00125140"/>
    <w:rsid w:val="0012537E"/>
    <w:rsid w:val="0012599E"/>
    <w:rsid w:val="00125A3C"/>
    <w:rsid w:val="00126621"/>
    <w:rsid w:val="00126B1D"/>
    <w:rsid w:val="00126D49"/>
    <w:rsid w:val="001301E9"/>
    <w:rsid w:val="0013022C"/>
    <w:rsid w:val="00130781"/>
    <w:rsid w:val="00130886"/>
    <w:rsid w:val="001308F9"/>
    <w:rsid w:val="001318B2"/>
    <w:rsid w:val="00131D82"/>
    <w:rsid w:val="001320EE"/>
    <w:rsid w:val="00132B22"/>
    <w:rsid w:val="00133252"/>
    <w:rsid w:val="0013325C"/>
    <w:rsid w:val="00133D36"/>
    <w:rsid w:val="001341A7"/>
    <w:rsid w:val="001342C0"/>
    <w:rsid w:val="0013470B"/>
    <w:rsid w:val="00134BE6"/>
    <w:rsid w:val="00135203"/>
    <w:rsid w:val="00135CE8"/>
    <w:rsid w:val="00135E41"/>
    <w:rsid w:val="00136186"/>
    <w:rsid w:val="001361A8"/>
    <w:rsid w:val="00136C0F"/>
    <w:rsid w:val="001374DF"/>
    <w:rsid w:val="00137645"/>
    <w:rsid w:val="0014008C"/>
    <w:rsid w:val="0014015A"/>
    <w:rsid w:val="001408D8"/>
    <w:rsid w:val="00140E99"/>
    <w:rsid w:val="00141170"/>
    <w:rsid w:val="00141870"/>
    <w:rsid w:val="001421C5"/>
    <w:rsid w:val="001427FB"/>
    <w:rsid w:val="00142B64"/>
    <w:rsid w:val="00142E0B"/>
    <w:rsid w:val="001439C3"/>
    <w:rsid w:val="00143F67"/>
    <w:rsid w:val="00143FF3"/>
    <w:rsid w:val="00144FA7"/>
    <w:rsid w:val="00145234"/>
    <w:rsid w:val="00145303"/>
    <w:rsid w:val="00145540"/>
    <w:rsid w:val="001456B0"/>
    <w:rsid w:val="00145F51"/>
    <w:rsid w:val="00146A36"/>
    <w:rsid w:val="00146B2D"/>
    <w:rsid w:val="00147120"/>
    <w:rsid w:val="0014773F"/>
    <w:rsid w:val="00147794"/>
    <w:rsid w:val="00147D74"/>
    <w:rsid w:val="0015004C"/>
    <w:rsid w:val="001506E0"/>
    <w:rsid w:val="00150A72"/>
    <w:rsid w:val="00151020"/>
    <w:rsid w:val="00151662"/>
    <w:rsid w:val="001517A1"/>
    <w:rsid w:val="00152293"/>
    <w:rsid w:val="0015250C"/>
    <w:rsid w:val="001525F4"/>
    <w:rsid w:val="00152A50"/>
    <w:rsid w:val="00152C8C"/>
    <w:rsid w:val="00152CF0"/>
    <w:rsid w:val="00152D20"/>
    <w:rsid w:val="00153449"/>
    <w:rsid w:val="00153FAB"/>
    <w:rsid w:val="001547AB"/>
    <w:rsid w:val="00154944"/>
    <w:rsid w:val="00154DDC"/>
    <w:rsid w:val="001560B8"/>
    <w:rsid w:val="00156F3F"/>
    <w:rsid w:val="00156F6B"/>
    <w:rsid w:val="00156F8F"/>
    <w:rsid w:val="00157130"/>
    <w:rsid w:val="001576B1"/>
    <w:rsid w:val="00157910"/>
    <w:rsid w:val="00157D05"/>
    <w:rsid w:val="0016047B"/>
    <w:rsid w:val="00160A4C"/>
    <w:rsid w:val="00161495"/>
    <w:rsid w:val="00161ECF"/>
    <w:rsid w:val="00162000"/>
    <w:rsid w:val="001622CF"/>
    <w:rsid w:val="001622EC"/>
    <w:rsid w:val="001625DE"/>
    <w:rsid w:val="00162913"/>
    <w:rsid w:val="00162BD0"/>
    <w:rsid w:val="001636BC"/>
    <w:rsid w:val="00163AD2"/>
    <w:rsid w:val="00163D16"/>
    <w:rsid w:val="00163EFF"/>
    <w:rsid w:val="00163F66"/>
    <w:rsid w:val="00164209"/>
    <w:rsid w:val="0016432E"/>
    <w:rsid w:val="0016478E"/>
    <w:rsid w:val="00164D4C"/>
    <w:rsid w:val="00165B58"/>
    <w:rsid w:val="00165C7E"/>
    <w:rsid w:val="00165EC4"/>
    <w:rsid w:val="001661FB"/>
    <w:rsid w:val="00166D4D"/>
    <w:rsid w:val="001671A0"/>
    <w:rsid w:val="00167244"/>
    <w:rsid w:val="0016767F"/>
    <w:rsid w:val="00170821"/>
    <w:rsid w:val="00170A2D"/>
    <w:rsid w:val="001716CB"/>
    <w:rsid w:val="001719FC"/>
    <w:rsid w:val="001724D5"/>
    <w:rsid w:val="00172660"/>
    <w:rsid w:val="001726C3"/>
    <w:rsid w:val="001727FE"/>
    <w:rsid w:val="001734A5"/>
    <w:rsid w:val="00173565"/>
    <w:rsid w:val="001736B7"/>
    <w:rsid w:val="0017382C"/>
    <w:rsid w:val="00173B07"/>
    <w:rsid w:val="00173C0F"/>
    <w:rsid w:val="00173F5D"/>
    <w:rsid w:val="001741EA"/>
    <w:rsid w:val="00174479"/>
    <w:rsid w:val="001751FA"/>
    <w:rsid w:val="001755FD"/>
    <w:rsid w:val="00175C16"/>
    <w:rsid w:val="00175DCB"/>
    <w:rsid w:val="00176AE0"/>
    <w:rsid w:val="00176E29"/>
    <w:rsid w:val="0017731D"/>
    <w:rsid w:val="00177CF9"/>
    <w:rsid w:val="00177D10"/>
    <w:rsid w:val="001809E9"/>
    <w:rsid w:val="00181465"/>
    <w:rsid w:val="00181A3A"/>
    <w:rsid w:val="00181C10"/>
    <w:rsid w:val="00181D9C"/>
    <w:rsid w:val="0018258F"/>
    <w:rsid w:val="0018259F"/>
    <w:rsid w:val="00182635"/>
    <w:rsid w:val="0018287D"/>
    <w:rsid w:val="00182E76"/>
    <w:rsid w:val="00182FFC"/>
    <w:rsid w:val="00183398"/>
    <w:rsid w:val="001837FF"/>
    <w:rsid w:val="001838AD"/>
    <w:rsid w:val="00183CB9"/>
    <w:rsid w:val="00184B0E"/>
    <w:rsid w:val="00184BBE"/>
    <w:rsid w:val="00184E8F"/>
    <w:rsid w:val="00184F97"/>
    <w:rsid w:val="00185195"/>
    <w:rsid w:val="00185690"/>
    <w:rsid w:val="00185748"/>
    <w:rsid w:val="00185C68"/>
    <w:rsid w:val="001868FD"/>
    <w:rsid w:val="00186F81"/>
    <w:rsid w:val="001874FD"/>
    <w:rsid w:val="0018752F"/>
    <w:rsid w:val="00187B66"/>
    <w:rsid w:val="001903F8"/>
    <w:rsid w:val="001904C1"/>
    <w:rsid w:val="00190861"/>
    <w:rsid w:val="00190A79"/>
    <w:rsid w:val="00190AF9"/>
    <w:rsid w:val="00191E88"/>
    <w:rsid w:val="00192E2A"/>
    <w:rsid w:val="00193838"/>
    <w:rsid w:val="001944A8"/>
    <w:rsid w:val="00194570"/>
    <w:rsid w:val="001945D4"/>
    <w:rsid w:val="00194AD8"/>
    <w:rsid w:val="00195222"/>
    <w:rsid w:val="00195452"/>
    <w:rsid w:val="0019549C"/>
    <w:rsid w:val="00195CA3"/>
    <w:rsid w:val="00196A07"/>
    <w:rsid w:val="00196B53"/>
    <w:rsid w:val="001975D8"/>
    <w:rsid w:val="00197615"/>
    <w:rsid w:val="001A00E3"/>
    <w:rsid w:val="001A0212"/>
    <w:rsid w:val="001A038A"/>
    <w:rsid w:val="001A0C67"/>
    <w:rsid w:val="001A0DD8"/>
    <w:rsid w:val="001A0FD6"/>
    <w:rsid w:val="001A172F"/>
    <w:rsid w:val="001A178E"/>
    <w:rsid w:val="001A1F1C"/>
    <w:rsid w:val="001A22C3"/>
    <w:rsid w:val="001A275D"/>
    <w:rsid w:val="001A38F1"/>
    <w:rsid w:val="001A3D82"/>
    <w:rsid w:val="001A4041"/>
    <w:rsid w:val="001A40FC"/>
    <w:rsid w:val="001A43FA"/>
    <w:rsid w:val="001A4706"/>
    <w:rsid w:val="001A47C5"/>
    <w:rsid w:val="001A59FB"/>
    <w:rsid w:val="001A5E9E"/>
    <w:rsid w:val="001A6160"/>
    <w:rsid w:val="001A6236"/>
    <w:rsid w:val="001A6354"/>
    <w:rsid w:val="001A6366"/>
    <w:rsid w:val="001A6840"/>
    <w:rsid w:val="001A692D"/>
    <w:rsid w:val="001A69E6"/>
    <w:rsid w:val="001A6D60"/>
    <w:rsid w:val="001A7008"/>
    <w:rsid w:val="001A707E"/>
    <w:rsid w:val="001A75A1"/>
    <w:rsid w:val="001A77A4"/>
    <w:rsid w:val="001A79B7"/>
    <w:rsid w:val="001A7AE8"/>
    <w:rsid w:val="001A7DE1"/>
    <w:rsid w:val="001B03FF"/>
    <w:rsid w:val="001B0A76"/>
    <w:rsid w:val="001B12C5"/>
    <w:rsid w:val="001B12C9"/>
    <w:rsid w:val="001B1C84"/>
    <w:rsid w:val="001B1C9D"/>
    <w:rsid w:val="001B204E"/>
    <w:rsid w:val="001B2352"/>
    <w:rsid w:val="001B2372"/>
    <w:rsid w:val="001B2560"/>
    <w:rsid w:val="001B2990"/>
    <w:rsid w:val="001B2E51"/>
    <w:rsid w:val="001B3443"/>
    <w:rsid w:val="001B388A"/>
    <w:rsid w:val="001B4813"/>
    <w:rsid w:val="001B4D20"/>
    <w:rsid w:val="001B5853"/>
    <w:rsid w:val="001B5B3F"/>
    <w:rsid w:val="001B5C64"/>
    <w:rsid w:val="001B5CA6"/>
    <w:rsid w:val="001B700F"/>
    <w:rsid w:val="001B76E6"/>
    <w:rsid w:val="001B7BC1"/>
    <w:rsid w:val="001B7F84"/>
    <w:rsid w:val="001C01B8"/>
    <w:rsid w:val="001C0209"/>
    <w:rsid w:val="001C12A4"/>
    <w:rsid w:val="001C244A"/>
    <w:rsid w:val="001C2A9B"/>
    <w:rsid w:val="001C2B4A"/>
    <w:rsid w:val="001C2C57"/>
    <w:rsid w:val="001C3036"/>
    <w:rsid w:val="001C3067"/>
    <w:rsid w:val="001C3DD6"/>
    <w:rsid w:val="001C4299"/>
    <w:rsid w:val="001C4862"/>
    <w:rsid w:val="001C4874"/>
    <w:rsid w:val="001C4C72"/>
    <w:rsid w:val="001C5685"/>
    <w:rsid w:val="001C5B5F"/>
    <w:rsid w:val="001C5F94"/>
    <w:rsid w:val="001C62D9"/>
    <w:rsid w:val="001C67B6"/>
    <w:rsid w:val="001C6E66"/>
    <w:rsid w:val="001C7112"/>
    <w:rsid w:val="001C7978"/>
    <w:rsid w:val="001C7A55"/>
    <w:rsid w:val="001C7BF7"/>
    <w:rsid w:val="001C7E80"/>
    <w:rsid w:val="001D02E0"/>
    <w:rsid w:val="001D098F"/>
    <w:rsid w:val="001D0B99"/>
    <w:rsid w:val="001D1100"/>
    <w:rsid w:val="001D1391"/>
    <w:rsid w:val="001D1D25"/>
    <w:rsid w:val="001D20C4"/>
    <w:rsid w:val="001D2161"/>
    <w:rsid w:val="001D25D7"/>
    <w:rsid w:val="001D3048"/>
    <w:rsid w:val="001D3FA6"/>
    <w:rsid w:val="001D4A32"/>
    <w:rsid w:val="001D50B2"/>
    <w:rsid w:val="001D50C1"/>
    <w:rsid w:val="001D56A9"/>
    <w:rsid w:val="001D5A8C"/>
    <w:rsid w:val="001D6547"/>
    <w:rsid w:val="001D659E"/>
    <w:rsid w:val="001D71F4"/>
    <w:rsid w:val="001D7645"/>
    <w:rsid w:val="001D7DF3"/>
    <w:rsid w:val="001E01D3"/>
    <w:rsid w:val="001E031A"/>
    <w:rsid w:val="001E0777"/>
    <w:rsid w:val="001E0A18"/>
    <w:rsid w:val="001E0E8C"/>
    <w:rsid w:val="001E1457"/>
    <w:rsid w:val="001E1E86"/>
    <w:rsid w:val="001E1F32"/>
    <w:rsid w:val="001E238E"/>
    <w:rsid w:val="001E2483"/>
    <w:rsid w:val="001E2798"/>
    <w:rsid w:val="001E2903"/>
    <w:rsid w:val="001E29B0"/>
    <w:rsid w:val="001E29CE"/>
    <w:rsid w:val="001E2B1E"/>
    <w:rsid w:val="001E2C8B"/>
    <w:rsid w:val="001E2CFF"/>
    <w:rsid w:val="001E2F24"/>
    <w:rsid w:val="001E30D4"/>
    <w:rsid w:val="001E34DF"/>
    <w:rsid w:val="001E3B5B"/>
    <w:rsid w:val="001E3FB4"/>
    <w:rsid w:val="001E52EB"/>
    <w:rsid w:val="001E61D2"/>
    <w:rsid w:val="001E62DB"/>
    <w:rsid w:val="001E66ED"/>
    <w:rsid w:val="001E6730"/>
    <w:rsid w:val="001E683C"/>
    <w:rsid w:val="001E6D62"/>
    <w:rsid w:val="001E740C"/>
    <w:rsid w:val="001E76A3"/>
    <w:rsid w:val="001F0ADC"/>
    <w:rsid w:val="001F0D02"/>
    <w:rsid w:val="001F1235"/>
    <w:rsid w:val="001F1540"/>
    <w:rsid w:val="001F1777"/>
    <w:rsid w:val="001F17D3"/>
    <w:rsid w:val="001F1A5B"/>
    <w:rsid w:val="001F1BC5"/>
    <w:rsid w:val="001F1CB3"/>
    <w:rsid w:val="001F1D08"/>
    <w:rsid w:val="001F237C"/>
    <w:rsid w:val="001F3335"/>
    <w:rsid w:val="001F38B5"/>
    <w:rsid w:val="001F3923"/>
    <w:rsid w:val="001F3BCC"/>
    <w:rsid w:val="001F3E4C"/>
    <w:rsid w:val="001F4081"/>
    <w:rsid w:val="001F421B"/>
    <w:rsid w:val="001F427C"/>
    <w:rsid w:val="001F440F"/>
    <w:rsid w:val="001F47D4"/>
    <w:rsid w:val="001F4B66"/>
    <w:rsid w:val="001F4C30"/>
    <w:rsid w:val="001F54E6"/>
    <w:rsid w:val="001F5919"/>
    <w:rsid w:val="001F5934"/>
    <w:rsid w:val="001F5A07"/>
    <w:rsid w:val="001F7361"/>
    <w:rsid w:val="001F7A22"/>
    <w:rsid w:val="001F7F27"/>
    <w:rsid w:val="00200230"/>
    <w:rsid w:val="00200800"/>
    <w:rsid w:val="00200B51"/>
    <w:rsid w:val="002011B0"/>
    <w:rsid w:val="002013CD"/>
    <w:rsid w:val="00201711"/>
    <w:rsid w:val="00201FA6"/>
    <w:rsid w:val="002024CD"/>
    <w:rsid w:val="00202897"/>
    <w:rsid w:val="00202977"/>
    <w:rsid w:val="00202B60"/>
    <w:rsid w:val="00203181"/>
    <w:rsid w:val="00203783"/>
    <w:rsid w:val="0020385F"/>
    <w:rsid w:val="00203D4C"/>
    <w:rsid w:val="00203F42"/>
    <w:rsid w:val="002044EB"/>
    <w:rsid w:val="00204891"/>
    <w:rsid w:val="00204C4F"/>
    <w:rsid w:val="00205973"/>
    <w:rsid w:val="00205CCB"/>
    <w:rsid w:val="00206350"/>
    <w:rsid w:val="002068A0"/>
    <w:rsid w:val="00207021"/>
    <w:rsid w:val="0020732F"/>
    <w:rsid w:val="00207D00"/>
    <w:rsid w:val="002105C1"/>
    <w:rsid w:val="00210644"/>
    <w:rsid w:val="00210B12"/>
    <w:rsid w:val="00211270"/>
    <w:rsid w:val="0021149D"/>
    <w:rsid w:val="002116FD"/>
    <w:rsid w:val="002120E2"/>
    <w:rsid w:val="00212C12"/>
    <w:rsid w:val="00213698"/>
    <w:rsid w:val="002138F7"/>
    <w:rsid w:val="00213EF5"/>
    <w:rsid w:val="00214260"/>
    <w:rsid w:val="0021439E"/>
    <w:rsid w:val="0021447E"/>
    <w:rsid w:val="00214CA7"/>
    <w:rsid w:val="0021546D"/>
    <w:rsid w:val="00215E29"/>
    <w:rsid w:val="00216166"/>
    <w:rsid w:val="002164CF"/>
    <w:rsid w:val="00216BD3"/>
    <w:rsid w:val="00216BF5"/>
    <w:rsid w:val="00216CFB"/>
    <w:rsid w:val="00216D65"/>
    <w:rsid w:val="002173A4"/>
    <w:rsid w:val="00217858"/>
    <w:rsid w:val="00217F35"/>
    <w:rsid w:val="0022047E"/>
    <w:rsid w:val="002216EC"/>
    <w:rsid w:val="002216F4"/>
    <w:rsid w:val="00221C45"/>
    <w:rsid w:val="00221EA0"/>
    <w:rsid w:val="0022342F"/>
    <w:rsid w:val="00223B49"/>
    <w:rsid w:val="00223BC1"/>
    <w:rsid w:val="00223D5A"/>
    <w:rsid w:val="00224011"/>
    <w:rsid w:val="00224DD4"/>
    <w:rsid w:val="0022574F"/>
    <w:rsid w:val="00226183"/>
    <w:rsid w:val="00226251"/>
    <w:rsid w:val="002267D0"/>
    <w:rsid w:val="002268A3"/>
    <w:rsid w:val="002270AD"/>
    <w:rsid w:val="0022735A"/>
    <w:rsid w:val="002278A0"/>
    <w:rsid w:val="002279FB"/>
    <w:rsid w:val="00227EAE"/>
    <w:rsid w:val="002309CC"/>
    <w:rsid w:val="00231564"/>
    <w:rsid w:val="00231BA9"/>
    <w:rsid w:val="0023209F"/>
    <w:rsid w:val="00233551"/>
    <w:rsid w:val="00233C01"/>
    <w:rsid w:val="00233C97"/>
    <w:rsid w:val="0023413C"/>
    <w:rsid w:val="002346F0"/>
    <w:rsid w:val="00234BCE"/>
    <w:rsid w:val="00235E1A"/>
    <w:rsid w:val="0023618C"/>
    <w:rsid w:val="0023629D"/>
    <w:rsid w:val="00236483"/>
    <w:rsid w:val="00236A84"/>
    <w:rsid w:val="00236BB2"/>
    <w:rsid w:val="00236C74"/>
    <w:rsid w:val="00236FA6"/>
    <w:rsid w:val="00237255"/>
    <w:rsid w:val="002375A1"/>
    <w:rsid w:val="0023776D"/>
    <w:rsid w:val="00237B7B"/>
    <w:rsid w:val="00237BEB"/>
    <w:rsid w:val="00240038"/>
    <w:rsid w:val="00240158"/>
    <w:rsid w:val="002401D8"/>
    <w:rsid w:val="002409C4"/>
    <w:rsid w:val="00240BFC"/>
    <w:rsid w:val="002412D6"/>
    <w:rsid w:val="00241EAF"/>
    <w:rsid w:val="0024248E"/>
    <w:rsid w:val="002424AF"/>
    <w:rsid w:val="00242F11"/>
    <w:rsid w:val="002439DC"/>
    <w:rsid w:val="00243CAE"/>
    <w:rsid w:val="002441D2"/>
    <w:rsid w:val="00244DC8"/>
    <w:rsid w:val="00244E7C"/>
    <w:rsid w:val="00245416"/>
    <w:rsid w:val="002456AE"/>
    <w:rsid w:val="002458BA"/>
    <w:rsid w:val="00245CE9"/>
    <w:rsid w:val="00245F10"/>
    <w:rsid w:val="0024620E"/>
    <w:rsid w:val="00246275"/>
    <w:rsid w:val="0024636C"/>
    <w:rsid w:val="00246DFB"/>
    <w:rsid w:val="00247925"/>
    <w:rsid w:val="00247ACC"/>
    <w:rsid w:val="00247C8E"/>
    <w:rsid w:val="00247F0A"/>
    <w:rsid w:val="00251006"/>
    <w:rsid w:val="002512BD"/>
    <w:rsid w:val="00251884"/>
    <w:rsid w:val="002522A5"/>
    <w:rsid w:val="002524D5"/>
    <w:rsid w:val="0025273A"/>
    <w:rsid w:val="00252F28"/>
    <w:rsid w:val="002532B4"/>
    <w:rsid w:val="002534C4"/>
    <w:rsid w:val="00253B1D"/>
    <w:rsid w:val="00253D99"/>
    <w:rsid w:val="0025422F"/>
    <w:rsid w:val="00254B8D"/>
    <w:rsid w:val="00254BA4"/>
    <w:rsid w:val="00254DCF"/>
    <w:rsid w:val="00254F48"/>
    <w:rsid w:val="002550C4"/>
    <w:rsid w:val="0025534B"/>
    <w:rsid w:val="0025565C"/>
    <w:rsid w:val="00255BB7"/>
    <w:rsid w:val="00255D4C"/>
    <w:rsid w:val="00255E42"/>
    <w:rsid w:val="00256D1E"/>
    <w:rsid w:val="00257130"/>
    <w:rsid w:val="002572C3"/>
    <w:rsid w:val="00257541"/>
    <w:rsid w:val="00257624"/>
    <w:rsid w:val="00257A39"/>
    <w:rsid w:val="00257AC4"/>
    <w:rsid w:val="00257BBE"/>
    <w:rsid w:val="00257BFC"/>
    <w:rsid w:val="0026011C"/>
    <w:rsid w:val="00260371"/>
    <w:rsid w:val="002603DA"/>
    <w:rsid w:val="002605B1"/>
    <w:rsid w:val="002608CA"/>
    <w:rsid w:val="0026119D"/>
    <w:rsid w:val="0026123A"/>
    <w:rsid w:val="00261EEF"/>
    <w:rsid w:val="00262130"/>
    <w:rsid w:val="00262A0B"/>
    <w:rsid w:val="00262A1A"/>
    <w:rsid w:val="00262A87"/>
    <w:rsid w:val="00263049"/>
    <w:rsid w:val="00263B83"/>
    <w:rsid w:val="00263B84"/>
    <w:rsid w:val="0026417C"/>
    <w:rsid w:val="00264D26"/>
    <w:rsid w:val="002650BF"/>
    <w:rsid w:val="002652C0"/>
    <w:rsid w:val="002656F1"/>
    <w:rsid w:val="002657B1"/>
    <w:rsid w:val="00265DAA"/>
    <w:rsid w:val="00265DF6"/>
    <w:rsid w:val="0026628B"/>
    <w:rsid w:val="00266386"/>
    <w:rsid w:val="002666EF"/>
    <w:rsid w:val="0026722F"/>
    <w:rsid w:val="002673C0"/>
    <w:rsid w:val="00267642"/>
    <w:rsid w:val="00267716"/>
    <w:rsid w:val="00267AEA"/>
    <w:rsid w:val="00267CA1"/>
    <w:rsid w:val="002700E6"/>
    <w:rsid w:val="00270956"/>
    <w:rsid w:val="002717E9"/>
    <w:rsid w:val="00272379"/>
    <w:rsid w:val="002727A6"/>
    <w:rsid w:val="0027294B"/>
    <w:rsid w:val="00272A70"/>
    <w:rsid w:val="00272B3F"/>
    <w:rsid w:val="0027331B"/>
    <w:rsid w:val="00273EB4"/>
    <w:rsid w:val="00273FD2"/>
    <w:rsid w:val="00274066"/>
    <w:rsid w:val="0027424D"/>
    <w:rsid w:val="00274682"/>
    <w:rsid w:val="00274830"/>
    <w:rsid w:val="0027485F"/>
    <w:rsid w:val="00274CF4"/>
    <w:rsid w:val="00275158"/>
    <w:rsid w:val="00275173"/>
    <w:rsid w:val="00275A03"/>
    <w:rsid w:val="00275C5A"/>
    <w:rsid w:val="00276460"/>
    <w:rsid w:val="002765CE"/>
    <w:rsid w:val="00276DC0"/>
    <w:rsid w:val="0027790A"/>
    <w:rsid w:val="00277CAA"/>
    <w:rsid w:val="00280CDB"/>
    <w:rsid w:val="00281014"/>
    <w:rsid w:val="002814E4"/>
    <w:rsid w:val="002819C2"/>
    <w:rsid w:val="00281B15"/>
    <w:rsid w:val="0028274F"/>
    <w:rsid w:val="00282785"/>
    <w:rsid w:val="00282962"/>
    <w:rsid w:val="00282AAC"/>
    <w:rsid w:val="00282D00"/>
    <w:rsid w:val="00283883"/>
    <w:rsid w:val="0028410B"/>
    <w:rsid w:val="00284545"/>
    <w:rsid w:val="00284885"/>
    <w:rsid w:val="00284966"/>
    <w:rsid w:val="00284C64"/>
    <w:rsid w:val="002853C9"/>
    <w:rsid w:val="00285BCE"/>
    <w:rsid w:val="0028665D"/>
    <w:rsid w:val="00287072"/>
    <w:rsid w:val="002874B2"/>
    <w:rsid w:val="002876DD"/>
    <w:rsid w:val="00287A55"/>
    <w:rsid w:val="00287CDB"/>
    <w:rsid w:val="00290A34"/>
    <w:rsid w:val="00290A53"/>
    <w:rsid w:val="002913A0"/>
    <w:rsid w:val="00291669"/>
    <w:rsid w:val="002917F7"/>
    <w:rsid w:val="00291D64"/>
    <w:rsid w:val="002932A3"/>
    <w:rsid w:val="002933E3"/>
    <w:rsid w:val="00293B24"/>
    <w:rsid w:val="00294027"/>
    <w:rsid w:val="002953F3"/>
    <w:rsid w:val="00295527"/>
    <w:rsid w:val="00295646"/>
    <w:rsid w:val="002956A4"/>
    <w:rsid w:val="00295CFA"/>
    <w:rsid w:val="002960F2"/>
    <w:rsid w:val="002962D5"/>
    <w:rsid w:val="002963A2"/>
    <w:rsid w:val="002969A9"/>
    <w:rsid w:val="002A028E"/>
    <w:rsid w:val="002A03C9"/>
    <w:rsid w:val="002A072A"/>
    <w:rsid w:val="002A082A"/>
    <w:rsid w:val="002A10D1"/>
    <w:rsid w:val="002A14AB"/>
    <w:rsid w:val="002A2945"/>
    <w:rsid w:val="002A2ADE"/>
    <w:rsid w:val="002A2F50"/>
    <w:rsid w:val="002A38D3"/>
    <w:rsid w:val="002A3AFF"/>
    <w:rsid w:val="002A422E"/>
    <w:rsid w:val="002A4F42"/>
    <w:rsid w:val="002A4FEB"/>
    <w:rsid w:val="002A5576"/>
    <w:rsid w:val="002A55B4"/>
    <w:rsid w:val="002A565C"/>
    <w:rsid w:val="002A5D94"/>
    <w:rsid w:val="002A650E"/>
    <w:rsid w:val="002A6774"/>
    <w:rsid w:val="002A6A28"/>
    <w:rsid w:val="002A76CB"/>
    <w:rsid w:val="002A7943"/>
    <w:rsid w:val="002A79A7"/>
    <w:rsid w:val="002B022F"/>
    <w:rsid w:val="002B0450"/>
    <w:rsid w:val="002B05A1"/>
    <w:rsid w:val="002B060C"/>
    <w:rsid w:val="002B09A4"/>
    <w:rsid w:val="002B0C5E"/>
    <w:rsid w:val="002B0D98"/>
    <w:rsid w:val="002B0E4A"/>
    <w:rsid w:val="002B1192"/>
    <w:rsid w:val="002B1AF5"/>
    <w:rsid w:val="002B1C1F"/>
    <w:rsid w:val="002B1DAD"/>
    <w:rsid w:val="002B2847"/>
    <w:rsid w:val="002B3158"/>
    <w:rsid w:val="002B3642"/>
    <w:rsid w:val="002B3DB0"/>
    <w:rsid w:val="002B4046"/>
    <w:rsid w:val="002B41E1"/>
    <w:rsid w:val="002B4302"/>
    <w:rsid w:val="002B432F"/>
    <w:rsid w:val="002B4AE1"/>
    <w:rsid w:val="002B52CC"/>
    <w:rsid w:val="002B5BCE"/>
    <w:rsid w:val="002B62B3"/>
    <w:rsid w:val="002B654E"/>
    <w:rsid w:val="002B6690"/>
    <w:rsid w:val="002B6754"/>
    <w:rsid w:val="002B696A"/>
    <w:rsid w:val="002B6A77"/>
    <w:rsid w:val="002B6AAC"/>
    <w:rsid w:val="002B6C91"/>
    <w:rsid w:val="002B6CCE"/>
    <w:rsid w:val="002B6D9F"/>
    <w:rsid w:val="002B757B"/>
    <w:rsid w:val="002B7DA3"/>
    <w:rsid w:val="002C0DF4"/>
    <w:rsid w:val="002C0FA7"/>
    <w:rsid w:val="002C12C3"/>
    <w:rsid w:val="002C1B80"/>
    <w:rsid w:val="002C1EF6"/>
    <w:rsid w:val="002C24F9"/>
    <w:rsid w:val="002C2510"/>
    <w:rsid w:val="002C2775"/>
    <w:rsid w:val="002C27C1"/>
    <w:rsid w:val="002C36E3"/>
    <w:rsid w:val="002C3D3F"/>
    <w:rsid w:val="002C5099"/>
    <w:rsid w:val="002C5811"/>
    <w:rsid w:val="002C5889"/>
    <w:rsid w:val="002C590F"/>
    <w:rsid w:val="002C5CDD"/>
    <w:rsid w:val="002C6EC8"/>
    <w:rsid w:val="002C6F3F"/>
    <w:rsid w:val="002C71CE"/>
    <w:rsid w:val="002C7AB9"/>
    <w:rsid w:val="002C7DBC"/>
    <w:rsid w:val="002D0224"/>
    <w:rsid w:val="002D0853"/>
    <w:rsid w:val="002D08D3"/>
    <w:rsid w:val="002D08F8"/>
    <w:rsid w:val="002D0A5C"/>
    <w:rsid w:val="002D18A3"/>
    <w:rsid w:val="002D1A11"/>
    <w:rsid w:val="002D1C73"/>
    <w:rsid w:val="002D2860"/>
    <w:rsid w:val="002D2F19"/>
    <w:rsid w:val="002D3BF6"/>
    <w:rsid w:val="002D4056"/>
    <w:rsid w:val="002D529B"/>
    <w:rsid w:val="002D5472"/>
    <w:rsid w:val="002D5558"/>
    <w:rsid w:val="002D5643"/>
    <w:rsid w:val="002D577C"/>
    <w:rsid w:val="002D5C05"/>
    <w:rsid w:val="002D5DFE"/>
    <w:rsid w:val="002D6042"/>
    <w:rsid w:val="002D6E5B"/>
    <w:rsid w:val="002D7832"/>
    <w:rsid w:val="002D78A8"/>
    <w:rsid w:val="002E06E2"/>
    <w:rsid w:val="002E1071"/>
    <w:rsid w:val="002E112E"/>
    <w:rsid w:val="002E15B9"/>
    <w:rsid w:val="002E1AF5"/>
    <w:rsid w:val="002E1B58"/>
    <w:rsid w:val="002E2158"/>
    <w:rsid w:val="002E223C"/>
    <w:rsid w:val="002E2414"/>
    <w:rsid w:val="002E243C"/>
    <w:rsid w:val="002E2FCB"/>
    <w:rsid w:val="002E30F8"/>
    <w:rsid w:val="002E4494"/>
    <w:rsid w:val="002E44BB"/>
    <w:rsid w:val="002E46CD"/>
    <w:rsid w:val="002E4F02"/>
    <w:rsid w:val="002E552F"/>
    <w:rsid w:val="002E70C7"/>
    <w:rsid w:val="002E7722"/>
    <w:rsid w:val="002F0228"/>
    <w:rsid w:val="002F042C"/>
    <w:rsid w:val="002F06D8"/>
    <w:rsid w:val="002F06DF"/>
    <w:rsid w:val="002F07BA"/>
    <w:rsid w:val="002F0B44"/>
    <w:rsid w:val="002F0DA9"/>
    <w:rsid w:val="002F1014"/>
    <w:rsid w:val="002F132D"/>
    <w:rsid w:val="002F1E3B"/>
    <w:rsid w:val="002F1EEE"/>
    <w:rsid w:val="002F239F"/>
    <w:rsid w:val="002F23C2"/>
    <w:rsid w:val="002F24D9"/>
    <w:rsid w:val="002F2529"/>
    <w:rsid w:val="002F264D"/>
    <w:rsid w:val="002F29F6"/>
    <w:rsid w:val="002F2E05"/>
    <w:rsid w:val="002F379B"/>
    <w:rsid w:val="002F40B5"/>
    <w:rsid w:val="002F4917"/>
    <w:rsid w:val="002F4B92"/>
    <w:rsid w:val="002F53D8"/>
    <w:rsid w:val="002F61B5"/>
    <w:rsid w:val="002F643C"/>
    <w:rsid w:val="002F6457"/>
    <w:rsid w:val="002F68FD"/>
    <w:rsid w:val="002F7086"/>
    <w:rsid w:val="002F71C0"/>
    <w:rsid w:val="002F74F1"/>
    <w:rsid w:val="002F78AF"/>
    <w:rsid w:val="002F7B2F"/>
    <w:rsid w:val="00300C40"/>
    <w:rsid w:val="00301017"/>
    <w:rsid w:val="0030145C"/>
    <w:rsid w:val="0030155F"/>
    <w:rsid w:val="003017C9"/>
    <w:rsid w:val="00301948"/>
    <w:rsid w:val="00302293"/>
    <w:rsid w:val="003023DD"/>
    <w:rsid w:val="003026AF"/>
    <w:rsid w:val="00303A11"/>
    <w:rsid w:val="00304195"/>
    <w:rsid w:val="0030464C"/>
    <w:rsid w:val="0030465E"/>
    <w:rsid w:val="00304A13"/>
    <w:rsid w:val="00304AE8"/>
    <w:rsid w:val="00304E21"/>
    <w:rsid w:val="00304FD1"/>
    <w:rsid w:val="0030587B"/>
    <w:rsid w:val="0030599A"/>
    <w:rsid w:val="00305A3C"/>
    <w:rsid w:val="00306304"/>
    <w:rsid w:val="00306425"/>
    <w:rsid w:val="003064B1"/>
    <w:rsid w:val="00306816"/>
    <w:rsid w:val="00306D98"/>
    <w:rsid w:val="00306EBE"/>
    <w:rsid w:val="0030786C"/>
    <w:rsid w:val="00307A93"/>
    <w:rsid w:val="00307D5B"/>
    <w:rsid w:val="00310148"/>
    <w:rsid w:val="0031031A"/>
    <w:rsid w:val="0031085A"/>
    <w:rsid w:val="00310981"/>
    <w:rsid w:val="00310D59"/>
    <w:rsid w:val="00310DBA"/>
    <w:rsid w:val="00311D9B"/>
    <w:rsid w:val="0031210A"/>
    <w:rsid w:val="003124D9"/>
    <w:rsid w:val="00312594"/>
    <w:rsid w:val="00312921"/>
    <w:rsid w:val="00312CAB"/>
    <w:rsid w:val="00313436"/>
    <w:rsid w:val="00313669"/>
    <w:rsid w:val="003137C8"/>
    <w:rsid w:val="00313816"/>
    <w:rsid w:val="00313B5B"/>
    <w:rsid w:val="00313F43"/>
    <w:rsid w:val="003142B3"/>
    <w:rsid w:val="00314995"/>
    <w:rsid w:val="00314F99"/>
    <w:rsid w:val="00315498"/>
    <w:rsid w:val="003159DE"/>
    <w:rsid w:val="00315B6E"/>
    <w:rsid w:val="00315BB2"/>
    <w:rsid w:val="003163BD"/>
    <w:rsid w:val="00316474"/>
    <w:rsid w:val="003168D2"/>
    <w:rsid w:val="00316F9B"/>
    <w:rsid w:val="00317BF7"/>
    <w:rsid w:val="00320223"/>
    <w:rsid w:val="003202B8"/>
    <w:rsid w:val="0032066F"/>
    <w:rsid w:val="0032067F"/>
    <w:rsid w:val="00320764"/>
    <w:rsid w:val="00321303"/>
    <w:rsid w:val="003215E6"/>
    <w:rsid w:val="0032167E"/>
    <w:rsid w:val="0032178E"/>
    <w:rsid w:val="00322107"/>
    <w:rsid w:val="003222C0"/>
    <w:rsid w:val="00322355"/>
    <w:rsid w:val="00322575"/>
    <w:rsid w:val="00322846"/>
    <w:rsid w:val="003235C2"/>
    <w:rsid w:val="00323CD5"/>
    <w:rsid w:val="00323E9B"/>
    <w:rsid w:val="00323F25"/>
    <w:rsid w:val="003246AA"/>
    <w:rsid w:val="0032480A"/>
    <w:rsid w:val="00324C58"/>
    <w:rsid w:val="00324E92"/>
    <w:rsid w:val="00324EF5"/>
    <w:rsid w:val="00325354"/>
    <w:rsid w:val="00325705"/>
    <w:rsid w:val="00325AB2"/>
    <w:rsid w:val="00325FF8"/>
    <w:rsid w:val="00326475"/>
    <w:rsid w:val="00326DA7"/>
    <w:rsid w:val="00326EC9"/>
    <w:rsid w:val="00326F38"/>
    <w:rsid w:val="00326FCE"/>
    <w:rsid w:val="003270E4"/>
    <w:rsid w:val="003273D4"/>
    <w:rsid w:val="003273D7"/>
    <w:rsid w:val="00330AF6"/>
    <w:rsid w:val="00330B0C"/>
    <w:rsid w:val="00330DAA"/>
    <w:rsid w:val="00330F5C"/>
    <w:rsid w:val="00331141"/>
    <w:rsid w:val="00331AE3"/>
    <w:rsid w:val="0033210D"/>
    <w:rsid w:val="003324A9"/>
    <w:rsid w:val="00332A30"/>
    <w:rsid w:val="0033314E"/>
    <w:rsid w:val="00333474"/>
    <w:rsid w:val="0033376B"/>
    <w:rsid w:val="00334003"/>
    <w:rsid w:val="00334603"/>
    <w:rsid w:val="003353D0"/>
    <w:rsid w:val="00335726"/>
    <w:rsid w:val="003358AA"/>
    <w:rsid w:val="00335978"/>
    <w:rsid w:val="0033626B"/>
    <w:rsid w:val="003366C9"/>
    <w:rsid w:val="0033707D"/>
    <w:rsid w:val="003371B0"/>
    <w:rsid w:val="00337C1D"/>
    <w:rsid w:val="00337EDB"/>
    <w:rsid w:val="003400D6"/>
    <w:rsid w:val="003403FE"/>
    <w:rsid w:val="00340DF1"/>
    <w:rsid w:val="003413C3"/>
    <w:rsid w:val="00341E09"/>
    <w:rsid w:val="00341EB9"/>
    <w:rsid w:val="00342F1D"/>
    <w:rsid w:val="003430ED"/>
    <w:rsid w:val="0034333D"/>
    <w:rsid w:val="00343C9E"/>
    <w:rsid w:val="00345687"/>
    <w:rsid w:val="00345AB5"/>
    <w:rsid w:val="00347330"/>
    <w:rsid w:val="003479DD"/>
    <w:rsid w:val="00347EF1"/>
    <w:rsid w:val="00350367"/>
    <w:rsid w:val="00350404"/>
    <w:rsid w:val="003506EC"/>
    <w:rsid w:val="00350D9D"/>
    <w:rsid w:val="003517F9"/>
    <w:rsid w:val="003519CD"/>
    <w:rsid w:val="00351BA9"/>
    <w:rsid w:val="00352055"/>
    <w:rsid w:val="00353097"/>
    <w:rsid w:val="003534A6"/>
    <w:rsid w:val="0035397B"/>
    <w:rsid w:val="00354A88"/>
    <w:rsid w:val="00354CCD"/>
    <w:rsid w:val="00354E46"/>
    <w:rsid w:val="00354F64"/>
    <w:rsid w:val="00355A90"/>
    <w:rsid w:val="00355C4D"/>
    <w:rsid w:val="00355E9B"/>
    <w:rsid w:val="0035620E"/>
    <w:rsid w:val="00356873"/>
    <w:rsid w:val="00356A8E"/>
    <w:rsid w:val="003575BE"/>
    <w:rsid w:val="00357AD3"/>
    <w:rsid w:val="00357BF5"/>
    <w:rsid w:val="00360345"/>
    <w:rsid w:val="003607F5"/>
    <w:rsid w:val="00360807"/>
    <w:rsid w:val="00360863"/>
    <w:rsid w:val="00360FF6"/>
    <w:rsid w:val="00361046"/>
    <w:rsid w:val="00361242"/>
    <w:rsid w:val="00361714"/>
    <w:rsid w:val="00361994"/>
    <w:rsid w:val="00361A05"/>
    <w:rsid w:val="00362192"/>
    <w:rsid w:val="003624C4"/>
    <w:rsid w:val="0036274B"/>
    <w:rsid w:val="0036286F"/>
    <w:rsid w:val="00363B00"/>
    <w:rsid w:val="00363FCF"/>
    <w:rsid w:val="00364114"/>
    <w:rsid w:val="00364448"/>
    <w:rsid w:val="0036448D"/>
    <w:rsid w:val="003645CC"/>
    <w:rsid w:val="00364948"/>
    <w:rsid w:val="003654AC"/>
    <w:rsid w:val="00365A51"/>
    <w:rsid w:val="00366362"/>
    <w:rsid w:val="00366639"/>
    <w:rsid w:val="00367474"/>
    <w:rsid w:val="00367963"/>
    <w:rsid w:val="00367C1A"/>
    <w:rsid w:val="003704BB"/>
    <w:rsid w:val="00370940"/>
    <w:rsid w:val="00370EE8"/>
    <w:rsid w:val="003710CF"/>
    <w:rsid w:val="00371A4B"/>
    <w:rsid w:val="00371E06"/>
    <w:rsid w:val="00372167"/>
    <w:rsid w:val="0037226F"/>
    <w:rsid w:val="003724D6"/>
    <w:rsid w:val="00372A6A"/>
    <w:rsid w:val="00372B64"/>
    <w:rsid w:val="00372E0A"/>
    <w:rsid w:val="0037358A"/>
    <w:rsid w:val="00373B7F"/>
    <w:rsid w:val="003743EE"/>
    <w:rsid w:val="0037481A"/>
    <w:rsid w:val="003750F6"/>
    <w:rsid w:val="00376064"/>
    <w:rsid w:val="003760FC"/>
    <w:rsid w:val="0037732F"/>
    <w:rsid w:val="0037736D"/>
    <w:rsid w:val="00377536"/>
    <w:rsid w:val="00377FF2"/>
    <w:rsid w:val="00380290"/>
    <w:rsid w:val="00380341"/>
    <w:rsid w:val="003809A7"/>
    <w:rsid w:val="00381084"/>
    <w:rsid w:val="003812A3"/>
    <w:rsid w:val="00381526"/>
    <w:rsid w:val="003817E5"/>
    <w:rsid w:val="00382249"/>
    <w:rsid w:val="00382422"/>
    <w:rsid w:val="003827BA"/>
    <w:rsid w:val="00382B3B"/>
    <w:rsid w:val="0038365C"/>
    <w:rsid w:val="0038369B"/>
    <w:rsid w:val="003837F2"/>
    <w:rsid w:val="00383B78"/>
    <w:rsid w:val="00383BFF"/>
    <w:rsid w:val="00384445"/>
    <w:rsid w:val="00384579"/>
    <w:rsid w:val="003850BB"/>
    <w:rsid w:val="0038561A"/>
    <w:rsid w:val="00385A9D"/>
    <w:rsid w:val="00385C1C"/>
    <w:rsid w:val="00385CA3"/>
    <w:rsid w:val="00386F02"/>
    <w:rsid w:val="00387121"/>
    <w:rsid w:val="003875C8"/>
    <w:rsid w:val="003902B1"/>
    <w:rsid w:val="0039031C"/>
    <w:rsid w:val="0039073B"/>
    <w:rsid w:val="00390CBF"/>
    <w:rsid w:val="00390DCA"/>
    <w:rsid w:val="0039118E"/>
    <w:rsid w:val="003911CA"/>
    <w:rsid w:val="003913F8"/>
    <w:rsid w:val="0039163C"/>
    <w:rsid w:val="0039179C"/>
    <w:rsid w:val="003917BB"/>
    <w:rsid w:val="00391966"/>
    <w:rsid w:val="00391F3A"/>
    <w:rsid w:val="00392248"/>
    <w:rsid w:val="00392A39"/>
    <w:rsid w:val="00393215"/>
    <w:rsid w:val="00393A50"/>
    <w:rsid w:val="00393BEC"/>
    <w:rsid w:val="00394203"/>
    <w:rsid w:val="003942FE"/>
    <w:rsid w:val="00394865"/>
    <w:rsid w:val="003955FE"/>
    <w:rsid w:val="00396228"/>
    <w:rsid w:val="003966F9"/>
    <w:rsid w:val="00396802"/>
    <w:rsid w:val="00396896"/>
    <w:rsid w:val="00396B83"/>
    <w:rsid w:val="00396FD0"/>
    <w:rsid w:val="0039715D"/>
    <w:rsid w:val="00397946"/>
    <w:rsid w:val="0039797E"/>
    <w:rsid w:val="00397C67"/>
    <w:rsid w:val="00397F8B"/>
    <w:rsid w:val="003A0331"/>
    <w:rsid w:val="003A0543"/>
    <w:rsid w:val="003A0CB3"/>
    <w:rsid w:val="003A0D20"/>
    <w:rsid w:val="003A13A2"/>
    <w:rsid w:val="003A19ED"/>
    <w:rsid w:val="003A1A7A"/>
    <w:rsid w:val="003A1B44"/>
    <w:rsid w:val="003A2392"/>
    <w:rsid w:val="003A2831"/>
    <w:rsid w:val="003A2844"/>
    <w:rsid w:val="003A2C8C"/>
    <w:rsid w:val="003A2E5D"/>
    <w:rsid w:val="003A30CE"/>
    <w:rsid w:val="003A3769"/>
    <w:rsid w:val="003A3CB6"/>
    <w:rsid w:val="003A3D84"/>
    <w:rsid w:val="003A3ED1"/>
    <w:rsid w:val="003A3F8F"/>
    <w:rsid w:val="003A44DB"/>
    <w:rsid w:val="003A4A91"/>
    <w:rsid w:val="003A4C14"/>
    <w:rsid w:val="003A5015"/>
    <w:rsid w:val="003A539B"/>
    <w:rsid w:val="003A7BB4"/>
    <w:rsid w:val="003A7C20"/>
    <w:rsid w:val="003B005D"/>
    <w:rsid w:val="003B00B4"/>
    <w:rsid w:val="003B04CF"/>
    <w:rsid w:val="003B21A8"/>
    <w:rsid w:val="003B2FDB"/>
    <w:rsid w:val="003B3971"/>
    <w:rsid w:val="003B397E"/>
    <w:rsid w:val="003B3BAD"/>
    <w:rsid w:val="003B3FF3"/>
    <w:rsid w:val="003B41E3"/>
    <w:rsid w:val="003B4959"/>
    <w:rsid w:val="003B49A6"/>
    <w:rsid w:val="003B4FF2"/>
    <w:rsid w:val="003B5536"/>
    <w:rsid w:val="003B55D1"/>
    <w:rsid w:val="003B592B"/>
    <w:rsid w:val="003B5B4D"/>
    <w:rsid w:val="003B5B61"/>
    <w:rsid w:val="003B6786"/>
    <w:rsid w:val="003B6976"/>
    <w:rsid w:val="003B6A12"/>
    <w:rsid w:val="003B7877"/>
    <w:rsid w:val="003C09F8"/>
    <w:rsid w:val="003C1654"/>
    <w:rsid w:val="003C1658"/>
    <w:rsid w:val="003C1923"/>
    <w:rsid w:val="003C2442"/>
    <w:rsid w:val="003C255E"/>
    <w:rsid w:val="003C2703"/>
    <w:rsid w:val="003C2A5E"/>
    <w:rsid w:val="003C2B1D"/>
    <w:rsid w:val="003C2C2C"/>
    <w:rsid w:val="003C2D37"/>
    <w:rsid w:val="003C31F6"/>
    <w:rsid w:val="003C39F6"/>
    <w:rsid w:val="003C4492"/>
    <w:rsid w:val="003C47E9"/>
    <w:rsid w:val="003C5542"/>
    <w:rsid w:val="003C55F7"/>
    <w:rsid w:val="003C5750"/>
    <w:rsid w:val="003C5C8C"/>
    <w:rsid w:val="003C5F3D"/>
    <w:rsid w:val="003C618E"/>
    <w:rsid w:val="003C61FD"/>
    <w:rsid w:val="003C7364"/>
    <w:rsid w:val="003C79C2"/>
    <w:rsid w:val="003C7C15"/>
    <w:rsid w:val="003C7D19"/>
    <w:rsid w:val="003C7D2F"/>
    <w:rsid w:val="003C7E24"/>
    <w:rsid w:val="003D00C3"/>
    <w:rsid w:val="003D0C5A"/>
    <w:rsid w:val="003D0FAC"/>
    <w:rsid w:val="003D10B0"/>
    <w:rsid w:val="003D1828"/>
    <w:rsid w:val="003D1956"/>
    <w:rsid w:val="003D1B92"/>
    <w:rsid w:val="003D1DE4"/>
    <w:rsid w:val="003D1E9A"/>
    <w:rsid w:val="003D2422"/>
    <w:rsid w:val="003D2537"/>
    <w:rsid w:val="003D2788"/>
    <w:rsid w:val="003D29A9"/>
    <w:rsid w:val="003D2EA5"/>
    <w:rsid w:val="003D2FB9"/>
    <w:rsid w:val="003D35CC"/>
    <w:rsid w:val="003D39A1"/>
    <w:rsid w:val="003D3B0B"/>
    <w:rsid w:val="003D3B89"/>
    <w:rsid w:val="003D3FBF"/>
    <w:rsid w:val="003D41C9"/>
    <w:rsid w:val="003D43D9"/>
    <w:rsid w:val="003D4520"/>
    <w:rsid w:val="003D4A30"/>
    <w:rsid w:val="003D54C9"/>
    <w:rsid w:val="003D56C4"/>
    <w:rsid w:val="003D5CAA"/>
    <w:rsid w:val="003D5DE1"/>
    <w:rsid w:val="003D6266"/>
    <w:rsid w:val="003D6B26"/>
    <w:rsid w:val="003D70CE"/>
    <w:rsid w:val="003D7452"/>
    <w:rsid w:val="003D79BB"/>
    <w:rsid w:val="003D7C98"/>
    <w:rsid w:val="003D7D9D"/>
    <w:rsid w:val="003E0543"/>
    <w:rsid w:val="003E06AF"/>
    <w:rsid w:val="003E152D"/>
    <w:rsid w:val="003E25D3"/>
    <w:rsid w:val="003E2F86"/>
    <w:rsid w:val="003E3564"/>
    <w:rsid w:val="003E369A"/>
    <w:rsid w:val="003E370B"/>
    <w:rsid w:val="003E3A47"/>
    <w:rsid w:val="003E3B1E"/>
    <w:rsid w:val="003E3B65"/>
    <w:rsid w:val="003E41B0"/>
    <w:rsid w:val="003E4BD1"/>
    <w:rsid w:val="003E4F7D"/>
    <w:rsid w:val="003E50B0"/>
    <w:rsid w:val="003E54F6"/>
    <w:rsid w:val="003E5603"/>
    <w:rsid w:val="003E58D2"/>
    <w:rsid w:val="003E6DF6"/>
    <w:rsid w:val="003E749E"/>
    <w:rsid w:val="003E76BE"/>
    <w:rsid w:val="003E7753"/>
    <w:rsid w:val="003E7867"/>
    <w:rsid w:val="003F07E7"/>
    <w:rsid w:val="003F0B9C"/>
    <w:rsid w:val="003F10EC"/>
    <w:rsid w:val="003F17E1"/>
    <w:rsid w:val="003F1EA6"/>
    <w:rsid w:val="003F1EA7"/>
    <w:rsid w:val="003F2800"/>
    <w:rsid w:val="003F3AA6"/>
    <w:rsid w:val="003F3FE1"/>
    <w:rsid w:val="003F4156"/>
    <w:rsid w:val="003F4BC0"/>
    <w:rsid w:val="003F5397"/>
    <w:rsid w:val="003F5ADF"/>
    <w:rsid w:val="003F5CE2"/>
    <w:rsid w:val="003F5DB5"/>
    <w:rsid w:val="003F6A92"/>
    <w:rsid w:val="003F7064"/>
    <w:rsid w:val="003F7083"/>
    <w:rsid w:val="003F74CE"/>
    <w:rsid w:val="003F7969"/>
    <w:rsid w:val="003F7E55"/>
    <w:rsid w:val="003F7F70"/>
    <w:rsid w:val="00400B29"/>
    <w:rsid w:val="004012A0"/>
    <w:rsid w:val="0040145A"/>
    <w:rsid w:val="00401754"/>
    <w:rsid w:val="004019F5"/>
    <w:rsid w:val="00401C17"/>
    <w:rsid w:val="00401E34"/>
    <w:rsid w:val="00402310"/>
    <w:rsid w:val="00402557"/>
    <w:rsid w:val="004025A9"/>
    <w:rsid w:val="004026E5"/>
    <w:rsid w:val="00402812"/>
    <w:rsid w:val="00402900"/>
    <w:rsid w:val="00403160"/>
    <w:rsid w:val="00403F46"/>
    <w:rsid w:val="004048EE"/>
    <w:rsid w:val="0040504B"/>
    <w:rsid w:val="004050E4"/>
    <w:rsid w:val="00405990"/>
    <w:rsid w:val="004059F4"/>
    <w:rsid w:val="00405B6F"/>
    <w:rsid w:val="00405DBD"/>
    <w:rsid w:val="00405DC0"/>
    <w:rsid w:val="00405F97"/>
    <w:rsid w:val="004068D7"/>
    <w:rsid w:val="004071E4"/>
    <w:rsid w:val="00407C2F"/>
    <w:rsid w:val="00407F97"/>
    <w:rsid w:val="00407FE5"/>
    <w:rsid w:val="004101B0"/>
    <w:rsid w:val="00410326"/>
    <w:rsid w:val="00410708"/>
    <w:rsid w:val="00410EC7"/>
    <w:rsid w:val="00411565"/>
    <w:rsid w:val="004117ED"/>
    <w:rsid w:val="004118C6"/>
    <w:rsid w:val="004119C5"/>
    <w:rsid w:val="00411B39"/>
    <w:rsid w:val="00411DBC"/>
    <w:rsid w:val="00411F12"/>
    <w:rsid w:val="004127A7"/>
    <w:rsid w:val="00413894"/>
    <w:rsid w:val="00413A1E"/>
    <w:rsid w:val="00413D99"/>
    <w:rsid w:val="004141C8"/>
    <w:rsid w:val="004142DD"/>
    <w:rsid w:val="00414476"/>
    <w:rsid w:val="00414C1F"/>
    <w:rsid w:val="00414C2E"/>
    <w:rsid w:val="004151CF"/>
    <w:rsid w:val="00415319"/>
    <w:rsid w:val="004153BF"/>
    <w:rsid w:val="00415643"/>
    <w:rsid w:val="00415B3E"/>
    <w:rsid w:val="00415EBE"/>
    <w:rsid w:val="00416364"/>
    <w:rsid w:val="004163F6"/>
    <w:rsid w:val="004165C7"/>
    <w:rsid w:val="00416950"/>
    <w:rsid w:val="00417157"/>
    <w:rsid w:val="00417692"/>
    <w:rsid w:val="00417B8A"/>
    <w:rsid w:val="00417E70"/>
    <w:rsid w:val="00417FA5"/>
    <w:rsid w:val="0042047F"/>
    <w:rsid w:val="004209B5"/>
    <w:rsid w:val="00420AA6"/>
    <w:rsid w:val="00420B9F"/>
    <w:rsid w:val="00420BEC"/>
    <w:rsid w:val="00420F28"/>
    <w:rsid w:val="00421604"/>
    <w:rsid w:val="0042192C"/>
    <w:rsid w:val="00422213"/>
    <w:rsid w:val="00422260"/>
    <w:rsid w:val="0042243A"/>
    <w:rsid w:val="0042413F"/>
    <w:rsid w:val="00424665"/>
    <w:rsid w:val="00424F61"/>
    <w:rsid w:val="0042588D"/>
    <w:rsid w:val="00425ADE"/>
    <w:rsid w:val="00425E78"/>
    <w:rsid w:val="00425F4E"/>
    <w:rsid w:val="004261C5"/>
    <w:rsid w:val="0042701C"/>
    <w:rsid w:val="00427960"/>
    <w:rsid w:val="00430CA5"/>
    <w:rsid w:val="00430EBD"/>
    <w:rsid w:val="00431531"/>
    <w:rsid w:val="004319F8"/>
    <w:rsid w:val="00431D9F"/>
    <w:rsid w:val="00431E55"/>
    <w:rsid w:val="004321F6"/>
    <w:rsid w:val="0043246B"/>
    <w:rsid w:val="0043254A"/>
    <w:rsid w:val="00432557"/>
    <w:rsid w:val="00432920"/>
    <w:rsid w:val="00432996"/>
    <w:rsid w:val="00432AB1"/>
    <w:rsid w:val="00433044"/>
    <w:rsid w:val="0043349D"/>
    <w:rsid w:val="00433764"/>
    <w:rsid w:val="00433BED"/>
    <w:rsid w:val="00433D6B"/>
    <w:rsid w:val="00434088"/>
    <w:rsid w:val="0043421D"/>
    <w:rsid w:val="0043459C"/>
    <w:rsid w:val="00434DE3"/>
    <w:rsid w:val="00435087"/>
    <w:rsid w:val="004350C6"/>
    <w:rsid w:val="0043596C"/>
    <w:rsid w:val="00435C6B"/>
    <w:rsid w:val="00436ABB"/>
    <w:rsid w:val="00436BD4"/>
    <w:rsid w:val="004371A8"/>
    <w:rsid w:val="004375B9"/>
    <w:rsid w:val="0043771A"/>
    <w:rsid w:val="00437A81"/>
    <w:rsid w:val="00437DE3"/>
    <w:rsid w:val="00437F44"/>
    <w:rsid w:val="00440148"/>
    <w:rsid w:val="0044063B"/>
    <w:rsid w:val="00440862"/>
    <w:rsid w:val="00440C4B"/>
    <w:rsid w:val="00440E87"/>
    <w:rsid w:val="00441F44"/>
    <w:rsid w:val="004422D6"/>
    <w:rsid w:val="00442312"/>
    <w:rsid w:val="004428D0"/>
    <w:rsid w:val="004430BD"/>
    <w:rsid w:val="00443D23"/>
    <w:rsid w:val="00443E8A"/>
    <w:rsid w:val="00444185"/>
    <w:rsid w:val="004443A7"/>
    <w:rsid w:val="0044442C"/>
    <w:rsid w:val="004447EF"/>
    <w:rsid w:val="00444B52"/>
    <w:rsid w:val="00444F4F"/>
    <w:rsid w:val="00445153"/>
    <w:rsid w:val="00445725"/>
    <w:rsid w:val="00445773"/>
    <w:rsid w:val="00445941"/>
    <w:rsid w:val="00446031"/>
    <w:rsid w:val="004464EB"/>
    <w:rsid w:val="00446EDB"/>
    <w:rsid w:val="004471BE"/>
    <w:rsid w:val="004475C7"/>
    <w:rsid w:val="00447AC5"/>
    <w:rsid w:val="00447D26"/>
    <w:rsid w:val="00447DFC"/>
    <w:rsid w:val="004500A1"/>
    <w:rsid w:val="004505AA"/>
    <w:rsid w:val="00450C51"/>
    <w:rsid w:val="0045170C"/>
    <w:rsid w:val="0045199E"/>
    <w:rsid w:val="004519DC"/>
    <w:rsid w:val="00451BF6"/>
    <w:rsid w:val="00452121"/>
    <w:rsid w:val="00452550"/>
    <w:rsid w:val="00452580"/>
    <w:rsid w:val="004531EC"/>
    <w:rsid w:val="00453618"/>
    <w:rsid w:val="0045379A"/>
    <w:rsid w:val="0045382F"/>
    <w:rsid w:val="00453BF2"/>
    <w:rsid w:val="00453C5C"/>
    <w:rsid w:val="004543DB"/>
    <w:rsid w:val="00455543"/>
    <w:rsid w:val="00455AFA"/>
    <w:rsid w:val="00455CD4"/>
    <w:rsid w:val="00455D45"/>
    <w:rsid w:val="004566D0"/>
    <w:rsid w:val="00456F22"/>
    <w:rsid w:val="00456FAB"/>
    <w:rsid w:val="00457094"/>
    <w:rsid w:val="00457229"/>
    <w:rsid w:val="0045761E"/>
    <w:rsid w:val="004578E9"/>
    <w:rsid w:val="00457976"/>
    <w:rsid w:val="00457D6E"/>
    <w:rsid w:val="004600C0"/>
    <w:rsid w:val="00460585"/>
    <w:rsid w:val="0046086F"/>
    <w:rsid w:val="00460CCF"/>
    <w:rsid w:val="00461006"/>
    <w:rsid w:val="004611CB"/>
    <w:rsid w:val="0046130B"/>
    <w:rsid w:val="00462617"/>
    <w:rsid w:val="00462C7A"/>
    <w:rsid w:val="00462DFA"/>
    <w:rsid w:val="00462E0C"/>
    <w:rsid w:val="00462E3E"/>
    <w:rsid w:val="00463399"/>
    <w:rsid w:val="00463527"/>
    <w:rsid w:val="00464595"/>
    <w:rsid w:val="00464914"/>
    <w:rsid w:val="004658B5"/>
    <w:rsid w:val="00465EB9"/>
    <w:rsid w:val="00466285"/>
    <w:rsid w:val="00466E61"/>
    <w:rsid w:val="00466EB2"/>
    <w:rsid w:val="004671D8"/>
    <w:rsid w:val="0047012B"/>
    <w:rsid w:val="0047107D"/>
    <w:rsid w:val="00471BD0"/>
    <w:rsid w:val="00471EA5"/>
    <w:rsid w:val="00471F06"/>
    <w:rsid w:val="004726FD"/>
    <w:rsid w:val="00472A79"/>
    <w:rsid w:val="00473F19"/>
    <w:rsid w:val="00474D4D"/>
    <w:rsid w:val="004758AE"/>
    <w:rsid w:val="00475B96"/>
    <w:rsid w:val="00475E11"/>
    <w:rsid w:val="00475E22"/>
    <w:rsid w:val="004768C2"/>
    <w:rsid w:val="00476911"/>
    <w:rsid w:val="0047702E"/>
    <w:rsid w:val="0047718C"/>
    <w:rsid w:val="0047721A"/>
    <w:rsid w:val="00477B4C"/>
    <w:rsid w:val="0048073E"/>
    <w:rsid w:val="004807D6"/>
    <w:rsid w:val="0048088E"/>
    <w:rsid w:val="004809AC"/>
    <w:rsid w:val="00480A4A"/>
    <w:rsid w:val="00480F2B"/>
    <w:rsid w:val="00481894"/>
    <w:rsid w:val="00481D4A"/>
    <w:rsid w:val="004821A7"/>
    <w:rsid w:val="00482515"/>
    <w:rsid w:val="00482720"/>
    <w:rsid w:val="00482FC6"/>
    <w:rsid w:val="004835E7"/>
    <w:rsid w:val="004836C5"/>
    <w:rsid w:val="0048474C"/>
    <w:rsid w:val="004847EB"/>
    <w:rsid w:val="00484A76"/>
    <w:rsid w:val="00484B38"/>
    <w:rsid w:val="00484C7D"/>
    <w:rsid w:val="00484F85"/>
    <w:rsid w:val="00485198"/>
    <w:rsid w:val="004851AF"/>
    <w:rsid w:val="004859E1"/>
    <w:rsid w:val="00485A8A"/>
    <w:rsid w:val="00485FDA"/>
    <w:rsid w:val="00486637"/>
    <w:rsid w:val="004867E2"/>
    <w:rsid w:val="0048685B"/>
    <w:rsid w:val="0048717D"/>
    <w:rsid w:val="004878C2"/>
    <w:rsid w:val="00487977"/>
    <w:rsid w:val="00487E92"/>
    <w:rsid w:val="0049068E"/>
    <w:rsid w:val="00490B17"/>
    <w:rsid w:val="00490D53"/>
    <w:rsid w:val="00490E07"/>
    <w:rsid w:val="00490F77"/>
    <w:rsid w:val="00491B3A"/>
    <w:rsid w:val="00491E43"/>
    <w:rsid w:val="00492976"/>
    <w:rsid w:val="00492A30"/>
    <w:rsid w:val="00492CFD"/>
    <w:rsid w:val="00493FB1"/>
    <w:rsid w:val="00494207"/>
    <w:rsid w:val="004945B8"/>
    <w:rsid w:val="004948B9"/>
    <w:rsid w:val="00494DD5"/>
    <w:rsid w:val="00495AEB"/>
    <w:rsid w:val="00495D1D"/>
    <w:rsid w:val="004962D2"/>
    <w:rsid w:val="0049717B"/>
    <w:rsid w:val="004971BC"/>
    <w:rsid w:val="0049732A"/>
    <w:rsid w:val="004974D7"/>
    <w:rsid w:val="00497A59"/>
    <w:rsid w:val="00497B00"/>
    <w:rsid w:val="004A065F"/>
    <w:rsid w:val="004A09C3"/>
    <w:rsid w:val="004A0B9F"/>
    <w:rsid w:val="004A0DA1"/>
    <w:rsid w:val="004A0DAD"/>
    <w:rsid w:val="004A13D6"/>
    <w:rsid w:val="004A1A34"/>
    <w:rsid w:val="004A1FD8"/>
    <w:rsid w:val="004A2646"/>
    <w:rsid w:val="004A37F8"/>
    <w:rsid w:val="004A3C0C"/>
    <w:rsid w:val="004A43CB"/>
    <w:rsid w:val="004A5202"/>
    <w:rsid w:val="004A52E9"/>
    <w:rsid w:val="004A545B"/>
    <w:rsid w:val="004A5A10"/>
    <w:rsid w:val="004A5B63"/>
    <w:rsid w:val="004A5F58"/>
    <w:rsid w:val="004A6040"/>
    <w:rsid w:val="004A6597"/>
    <w:rsid w:val="004A7150"/>
    <w:rsid w:val="004A71AE"/>
    <w:rsid w:val="004A7848"/>
    <w:rsid w:val="004A793B"/>
    <w:rsid w:val="004A79FF"/>
    <w:rsid w:val="004B0910"/>
    <w:rsid w:val="004B0AD5"/>
    <w:rsid w:val="004B0B1D"/>
    <w:rsid w:val="004B0C4E"/>
    <w:rsid w:val="004B1763"/>
    <w:rsid w:val="004B1807"/>
    <w:rsid w:val="004B1CB4"/>
    <w:rsid w:val="004B1DBA"/>
    <w:rsid w:val="004B220F"/>
    <w:rsid w:val="004B2A3B"/>
    <w:rsid w:val="004B2B85"/>
    <w:rsid w:val="004B2F18"/>
    <w:rsid w:val="004B32A8"/>
    <w:rsid w:val="004B36A1"/>
    <w:rsid w:val="004B3B83"/>
    <w:rsid w:val="004B3DDB"/>
    <w:rsid w:val="004B3E29"/>
    <w:rsid w:val="004B4195"/>
    <w:rsid w:val="004B44FD"/>
    <w:rsid w:val="004B4CC8"/>
    <w:rsid w:val="004B5093"/>
    <w:rsid w:val="004B50F3"/>
    <w:rsid w:val="004B57B2"/>
    <w:rsid w:val="004B5BC1"/>
    <w:rsid w:val="004B5CFC"/>
    <w:rsid w:val="004B62B1"/>
    <w:rsid w:val="004B6937"/>
    <w:rsid w:val="004B6D11"/>
    <w:rsid w:val="004B6F79"/>
    <w:rsid w:val="004B72B3"/>
    <w:rsid w:val="004B73C3"/>
    <w:rsid w:val="004B75AE"/>
    <w:rsid w:val="004B774D"/>
    <w:rsid w:val="004B7DCB"/>
    <w:rsid w:val="004C1030"/>
    <w:rsid w:val="004C157D"/>
    <w:rsid w:val="004C1F3E"/>
    <w:rsid w:val="004C295F"/>
    <w:rsid w:val="004C2AC2"/>
    <w:rsid w:val="004C2DAD"/>
    <w:rsid w:val="004C3B02"/>
    <w:rsid w:val="004C3D36"/>
    <w:rsid w:val="004C3F32"/>
    <w:rsid w:val="004C4190"/>
    <w:rsid w:val="004C4AED"/>
    <w:rsid w:val="004C5DCD"/>
    <w:rsid w:val="004C62E2"/>
    <w:rsid w:val="004C6FC3"/>
    <w:rsid w:val="004C78DB"/>
    <w:rsid w:val="004D07F5"/>
    <w:rsid w:val="004D0A18"/>
    <w:rsid w:val="004D0CFB"/>
    <w:rsid w:val="004D1A1B"/>
    <w:rsid w:val="004D1C36"/>
    <w:rsid w:val="004D2574"/>
    <w:rsid w:val="004D2A88"/>
    <w:rsid w:val="004D2C2D"/>
    <w:rsid w:val="004D2E6C"/>
    <w:rsid w:val="004D2FEC"/>
    <w:rsid w:val="004D3415"/>
    <w:rsid w:val="004D3495"/>
    <w:rsid w:val="004D37AC"/>
    <w:rsid w:val="004D389A"/>
    <w:rsid w:val="004D3BD3"/>
    <w:rsid w:val="004D3EF6"/>
    <w:rsid w:val="004D416C"/>
    <w:rsid w:val="004D444D"/>
    <w:rsid w:val="004D4DAF"/>
    <w:rsid w:val="004D551E"/>
    <w:rsid w:val="004D6072"/>
    <w:rsid w:val="004D613A"/>
    <w:rsid w:val="004D63F1"/>
    <w:rsid w:val="004D69B5"/>
    <w:rsid w:val="004D6CDC"/>
    <w:rsid w:val="004D7227"/>
    <w:rsid w:val="004D7B5E"/>
    <w:rsid w:val="004E0E7F"/>
    <w:rsid w:val="004E0EB8"/>
    <w:rsid w:val="004E150B"/>
    <w:rsid w:val="004E1621"/>
    <w:rsid w:val="004E1778"/>
    <w:rsid w:val="004E18E9"/>
    <w:rsid w:val="004E259C"/>
    <w:rsid w:val="004E28AF"/>
    <w:rsid w:val="004E2A67"/>
    <w:rsid w:val="004E2ADC"/>
    <w:rsid w:val="004E2CA4"/>
    <w:rsid w:val="004E2F8F"/>
    <w:rsid w:val="004E38A0"/>
    <w:rsid w:val="004E405B"/>
    <w:rsid w:val="004E43B2"/>
    <w:rsid w:val="004E4400"/>
    <w:rsid w:val="004E4ED3"/>
    <w:rsid w:val="004E4F3F"/>
    <w:rsid w:val="004E569A"/>
    <w:rsid w:val="004E5B67"/>
    <w:rsid w:val="004E5FBA"/>
    <w:rsid w:val="004E6914"/>
    <w:rsid w:val="004E6A9B"/>
    <w:rsid w:val="004E7EF2"/>
    <w:rsid w:val="004E7F5D"/>
    <w:rsid w:val="004F00B4"/>
    <w:rsid w:val="004F1273"/>
    <w:rsid w:val="004F1D02"/>
    <w:rsid w:val="004F1E91"/>
    <w:rsid w:val="004F1FF4"/>
    <w:rsid w:val="004F2679"/>
    <w:rsid w:val="004F2F21"/>
    <w:rsid w:val="004F317F"/>
    <w:rsid w:val="004F3849"/>
    <w:rsid w:val="004F3D67"/>
    <w:rsid w:val="004F3DE5"/>
    <w:rsid w:val="004F429F"/>
    <w:rsid w:val="004F42DC"/>
    <w:rsid w:val="004F4558"/>
    <w:rsid w:val="004F4683"/>
    <w:rsid w:val="004F54EE"/>
    <w:rsid w:val="004F55CF"/>
    <w:rsid w:val="004F6913"/>
    <w:rsid w:val="004F6C47"/>
    <w:rsid w:val="004F6F63"/>
    <w:rsid w:val="004F7865"/>
    <w:rsid w:val="004F7A9A"/>
    <w:rsid w:val="004F7FA6"/>
    <w:rsid w:val="005000EC"/>
    <w:rsid w:val="0050058E"/>
    <w:rsid w:val="00501135"/>
    <w:rsid w:val="00501159"/>
    <w:rsid w:val="0050174E"/>
    <w:rsid w:val="00501854"/>
    <w:rsid w:val="00501D7B"/>
    <w:rsid w:val="0050219B"/>
    <w:rsid w:val="005023CA"/>
    <w:rsid w:val="0050253C"/>
    <w:rsid w:val="00503008"/>
    <w:rsid w:val="005031DA"/>
    <w:rsid w:val="0050380C"/>
    <w:rsid w:val="00503F17"/>
    <w:rsid w:val="00503F3A"/>
    <w:rsid w:val="00503FA1"/>
    <w:rsid w:val="0050459E"/>
    <w:rsid w:val="00504ADA"/>
    <w:rsid w:val="00505171"/>
    <w:rsid w:val="005051BD"/>
    <w:rsid w:val="0050562A"/>
    <w:rsid w:val="00505DFC"/>
    <w:rsid w:val="00506281"/>
    <w:rsid w:val="00506530"/>
    <w:rsid w:val="005066DC"/>
    <w:rsid w:val="00506890"/>
    <w:rsid w:val="00506928"/>
    <w:rsid w:val="00506B5D"/>
    <w:rsid w:val="00506F8F"/>
    <w:rsid w:val="0050722C"/>
    <w:rsid w:val="00507692"/>
    <w:rsid w:val="005077EF"/>
    <w:rsid w:val="00507B94"/>
    <w:rsid w:val="00507D59"/>
    <w:rsid w:val="00507F52"/>
    <w:rsid w:val="0051047D"/>
    <w:rsid w:val="005105F9"/>
    <w:rsid w:val="00511098"/>
    <w:rsid w:val="00511AD5"/>
    <w:rsid w:val="00511DC7"/>
    <w:rsid w:val="00512330"/>
    <w:rsid w:val="00512523"/>
    <w:rsid w:val="00513204"/>
    <w:rsid w:val="005142C5"/>
    <w:rsid w:val="00514883"/>
    <w:rsid w:val="0051501B"/>
    <w:rsid w:val="005152B5"/>
    <w:rsid w:val="00515886"/>
    <w:rsid w:val="00516916"/>
    <w:rsid w:val="00516FCB"/>
    <w:rsid w:val="00517179"/>
    <w:rsid w:val="00517183"/>
    <w:rsid w:val="0051734E"/>
    <w:rsid w:val="00517675"/>
    <w:rsid w:val="00517CFE"/>
    <w:rsid w:val="005200DB"/>
    <w:rsid w:val="00520696"/>
    <w:rsid w:val="00520AF4"/>
    <w:rsid w:val="00520FEA"/>
    <w:rsid w:val="0052123C"/>
    <w:rsid w:val="00521319"/>
    <w:rsid w:val="00521BB6"/>
    <w:rsid w:val="0052223D"/>
    <w:rsid w:val="00522340"/>
    <w:rsid w:val="00522384"/>
    <w:rsid w:val="00522BC8"/>
    <w:rsid w:val="005232DA"/>
    <w:rsid w:val="00523B77"/>
    <w:rsid w:val="00523C28"/>
    <w:rsid w:val="00523D96"/>
    <w:rsid w:val="00524158"/>
    <w:rsid w:val="00524464"/>
    <w:rsid w:val="00525368"/>
    <w:rsid w:val="005255B3"/>
    <w:rsid w:val="0052624E"/>
    <w:rsid w:val="00526EA2"/>
    <w:rsid w:val="00527AB1"/>
    <w:rsid w:val="00527BC2"/>
    <w:rsid w:val="00527E34"/>
    <w:rsid w:val="00530DCE"/>
    <w:rsid w:val="00531585"/>
    <w:rsid w:val="005315E9"/>
    <w:rsid w:val="0053176B"/>
    <w:rsid w:val="00531FE8"/>
    <w:rsid w:val="00532061"/>
    <w:rsid w:val="005327E3"/>
    <w:rsid w:val="00532CF1"/>
    <w:rsid w:val="00533B9E"/>
    <w:rsid w:val="00533E98"/>
    <w:rsid w:val="0053402C"/>
    <w:rsid w:val="005341B3"/>
    <w:rsid w:val="005342E3"/>
    <w:rsid w:val="00534BF5"/>
    <w:rsid w:val="00535CF5"/>
    <w:rsid w:val="00535D2A"/>
    <w:rsid w:val="00535D4D"/>
    <w:rsid w:val="00536298"/>
    <w:rsid w:val="0053687C"/>
    <w:rsid w:val="00536F42"/>
    <w:rsid w:val="005370C3"/>
    <w:rsid w:val="00537182"/>
    <w:rsid w:val="00537737"/>
    <w:rsid w:val="00537F60"/>
    <w:rsid w:val="005400AD"/>
    <w:rsid w:val="005401BF"/>
    <w:rsid w:val="005406F7"/>
    <w:rsid w:val="0054093D"/>
    <w:rsid w:val="00540A08"/>
    <w:rsid w:val="00540BA6"/>
    <w:rsid w:val="005412AE"/>
    <w:rsid w:val="00541CD4"/>
    <w:rsid w:val="00541EDD"/>
    <w:rsid w:val="00542743"/>
    <w:rsid w:val="00542C2D"/>
    <w:rsid w:val="00543BD0"/>
    <w:rsid w:val="00543F2C"/>
    <w:rsid w:val="005440AC"/>
    <w:rsid w:val="00544235"/>
    <w:rsid w:val="00544594"/>
    <w:rsid w:val="00544775"/>
    <w:rsid w:val="005447C4"/>
    <w:rsid w:val="00544AC5"/>
    <w:rsid w:val="005450E4"/>
    <w:rsid w:val="005454BC"/>
    <w:rsid w:val="00545593"/>
    <w:rsid w:val="00545AEF"/>
    <w:rsid w:val="00545C20"/>
    <w:rsid w:val="005468C4"/>
    <w:rsid w:val="00546E56"/>
    <w:rsid w:val="005472FC"/>
    <w:rsid w:val="0054747D"/>
    <w:rsid w:val="005478BD"/>
    <w:rsid w:val="005479E3"/>
    <w:rsid w:val="00547D7C"/>
    <w:rsid w:val="0055078D"/>
    <w:rsid w:val="00550D1A"/>
    <w:rsid w:val="00550FB8"/>
    <w:rsid w:val="005513EA"/>
    <w:rsid w:val="0055144C"/>
    <w:rsid w:val="00551471"/>
    <w:rsid w:val="0055154A"/>
    <w:rsid w:val="00551985"/>
    <w:rsid w:val="00551EDC"/>
    <w:rsid w:val="00552077"/>
    <w:rsid w:val="005520C6"/>
    <w:rsid w:val="0055214B"/>
    <w:rsid w:val="00552BD3"/>
    <w:rsid w:val="00552FE2"/>
    <w:rsid w:val="00553054"/>
    <w:rsid w:val="005532A0"/>
    <w:rsid w:val="00553FAB"/>
    <w:rsid w:val="005546C2"/>
    <w:rsid w:val="00555109"/>
    <w:rsid w:val="0055531C"/>
    <w:rsid w:val="005563E0"/>
    <w:rsid w:val="0055645E"/>
    <w:rsid w:val="00556913"/>
    <w:rsid w:val="00556A1E"/>
    <w:rsid w:val="00556B35"/>
    <w:rsid w:val="005571E9"/>
    <w:rsid w:val="0055741A"/>
    <w:rsid w:val="005576C2"/>
    <w:rsid w:val="005576C9"/>
    <w:rsid w:val="00557A1C"/>
    <w:rsid w:val="00560116"/>
    <w:rsid w:val="005611B7"/>
    <w:rsid w:val="005618D4"/>
    <w:rsid w:val="00562F18"/>
    <w:rsid w:val="005632C4"/>
    <w:rsid w:val="00563359"/>
    <w:rsid w:val="00563863"/>
    <w:rsid w:val="00564867"/>
    <w:rsid w:val="005649B1"/>
    <w:rsid w:val="00565008"/>
    <w:rsid w:val="00565C79"/>
    <w:rsid w:val="00565DF0"/>
    <w:rsid w:val="00565E77"/>
    <w:rsid w:val="00566848"/>
    <w:rsid w:val="0056696F"/>
    <w:rsid w:val="00566E9A"/>
    <w:rsid w:val="00567E05"/>
    <w:rsid w:val="00567EEE"/>
    <w:rsid w:val="00570107"/>
    <w:rsid w:val="00570604"/>
    <w:rsid w:val="005708CF"/>
    <w:rsid w:val="005709C0"/>
    <w:rsid w:val="00572269"/>
    <w:rsid w:val="0057244A"/>
    <w:rsid w:val="00572F26"/>
    <w:rsid w:val="005734EE"/>
    <w:rsid w:val="00573A76"/>
    <w:rsid w:val="00573ECE"/>
    <w:rsid w:val="00574061"/>
    <w:rsid w:val="005747B0"/>
    <w:rsid w:val="00574FC0"/>
    <w:rsid w:val="005750C5"/>
    <w:rsid w:val="005752DE"/>
    <w:rsid w:val="00575D60"/>
    <w:rsid w:val="00575D8D"/>
    <w:rsid w:val="005768CC"/>
    <w:rsid w:val="00576972"/>
    <w:rsid w:val="00576B98"/>
    <w:rsid w:val="00577248"/>
    <w:rsid w:val="005776C1"/>
    <w:rsid w:val="005777BC"/>
    <w:rsid w:val="00577C08"/>
    <w:rsid w:val="00577C5B"/>
    <w:rsid w:val="0058028C"/>
    <w:rsid w:val="0058148B"/>
    <w:rsid w:val="00581CB3"/>
    <w:rsid w:val="00581E73"/>
    <w:rsid w:val="00581FFD"/>
    <w:rsid w:val="005820DD"/>
    <w:rsid w:val="00582C18"/>
    <w:rsid w:val="00582DAC"/>
    <w:rsid w:val="00582DB8"/>
    <w:rsid w:val="00583699"/>
    <w:rsid w:val="005837D3"/>
    <w:rsid w:val="00583903"/>
    <w:rsid w:val="00583BBE"/>
    <w:rsid w:val="0058427C"/>
    <w:rsid w:val="00585072"/>
    <w:rsid w:val="005856B6"/>
    <w:rsid w:val="005858ED"/>
    <w:rsid w:val="00585CDD"/>
    <w:rsid w:val="0058608A"/>
    <w:rsid w:val="005865CF"/>
    <w:rsid w:val="005866BD"/>
    <w:rsid w:val="00586755"/>
    <w:rsid w:val="00586823"/>
    <w:rsid w:val="005868F5"/>
    <w:rsid w:val="00587058"/>
    <w:rsid w:val="00587442"/>
    <w:rsid w:val="005900C3"/>
    <w:rsid w:val="00590CB2"/>
    <w:rsid w:val="00590EF3"/>
    <w:rsid w:val="0059171F"/>
    <w:rsid w:val="00591957"/>
    <w:rsid w:val="00591988"/>
    <w:rsid w:val="00592D8C"/>
    <w:rsid w:val="00592F97"/>
    <w:rsid w:val="005935E9"/>
    <w:rsid w:val="00593E16"/>
    <w:rsid w:val="005947BA"/>
    <w:rsid w:val="0059536F"/>
    <w:rsid w:val="00595743"/>
    <w:rsid w:val="00596306"/>
    <w:rsid w:val="00597018"/>
    <w:rsid w:val="0059704D"/>
    <w:rsid w:val="00597BF9"/>
    <w:rsid w:val="005A0C11"/>
    <w:rsid w:val="005A141D"/>
    <w:rsid w:val="005A1CA2"/>
    <w:rsid w:val="005A24E3"/>
    <w:rsid w:val="005A297B"/>
    <w:rsid w:val="005A2E63"/>
    <w:rsid w:val="005A2F98"/>
    <w:rsid w:val="005A309A"/>
    <w:rsid w:val="005A347B"/>
    <w:rsid w:val="005A373D"/>
    <w:rsid w:val="005A3B19"/>
    <w:rsid w:val="005A3BFD"/>
    <w:rsid w:val="005A3DB6"/>
    <w:rsid w:val="005A41DA"/>
    <w:rsid w:val="005A466C"/>
    <w:rsid w:val="005A4913"/>
    <w:rsid w:val="005A51FD"/>
    <w:rsid w:val="005A53B9"/>
    <w:rsid w:val="005A5DBD"/>
    <w:rsid w:val="005A5E88"/>
    <w:rsid w:val="005A6BAD"/>
    <w:rsid w:val="005A6D77"/>
    <w:rsid w:val="005A7744"/>
    <w:rsid w:val="005B078A"/>
    <w:rsid w:val="005B0B58"/>
    <w:rsid w:val="005B0DD0"/>
    <w:rsid w:val="005B127A"/>
    <w:rsid w:val="005B1985"/>
    <w:rsid w:val="005B1BA1"/>
    <w:rsid w:val="005B23F7"/>
    <w:rsid w:val="005B301B"/>
    <w:rsid w:val="005B443C"/>
    <w:rsid w:val="005B4636"/>
    <w:rsid w:val="005B4E53"/>
    <w:rsid w:val="005B5294"/>
    <w:rsid w:val="005B56B8"/>
    <w:rsid w:val="005B5857"/>
    <w:rsid w:val="005B62A6"/>
    <w:rsid w:val="005B6370"/>
    <w:rsid w:val="005B6B75"/>
    <w:rsid w:val="005B6B88"/>
    <w:rsid w:val="005B6EBF"/>
    <w:rsid w:val="005B7ECA"/>
    <w:rsid w:val="005C00A1"/>
    <w:rsid w:val="005C00BF"/>
    <w:rsid w:val="005C168A"/>
    <w:rsid w:val="005C19C4"/>
    <w:rsid w:val="005C1B83"/>
    <w:rsid w:val="005C25FF"/>
    <w:rsid w:val="005C2C10"/>
    <w:rsid w:val="005C2D55"/>
    <w:rsid w:val="005C30E5"/>
    <w:rsid w:val="005C346B"/>
    <w:rsid w:val="005C3589"/>
    <w:rsid w:val="005C3629"/>
    <w:rsid w:val="005C3FA9"/>
    <w:rsid w:val="005C436A"/>
    <w:rsid w:val="005C46A8"/>
    <w:rsid w:val="005C46BE"/>
    <w:rsid w:val="005C4EF2"/>
    <w:rsid w:val="005C56F2"/>
    <w:rsid w:val="005C5ABC"/>
    <w:rsid w:val="005C5D3F"/>
    <w:rsid w:val="005C5E81"/>
    <w:rsid w:val="005C6533"/>
    <w:rsid w:val="005C6820"/>
    <w:rsid w:val="005C6A3A"/>
    <w:rsid w:val="005C6CB3"/>
    <w:rsid w:val="005C7291"/>
    <w:rsid w:val="005C7566"/>
    <w:rsid w:val="005C783E"/>
    <w:rsid w:val="005C7CE6"/>
    <w:rsid w:val="005C7DEA"/>
    <w:rsid w:val="005C7EF2"/>
    <w:rsid w:val="005D0127"/>
    <w:rsid w:val="005D0173"/>
    <w:rsid w:val="005D044D"/>
    <w:rsid w:val="005D0ABD"/>
    <w:rsid w:val="005D0BE3"/>
    <w:rsid w:val="005D18AD"/>
    <w:rsid w:val="005D2181"/>
    <w:rsid w:val="005D23AD"/>
    <w:rsid w:val="005D26B4"/>
    <w:rsid w:val="005D42CF"/>
    <w:rsid w:val="005D42DF"/>
    <w:rsid w:val="005D43BD"/>
    <w:rsid w:val="005D4572"/>
    <w:rsid w:val="005D4705"/>
    <w:rsid w:val="005D4B90"/>
    <w:rsid w:val="005D4C64"/>
    <w:rsid w:val="005D5BB6"/>
    <w:rsid w:val="005D6F69"/>
    <w:rsid w:val="005D7721"/>
    <w:rsid w:val="005D7B8B"/>
    <w:rsid w:val="005E1995"/>
    <w:rsid w:val="005E1E0F"/>
    <w:rsid w:val="005E2040"/>
    <w:rsid w:val="005E24B0"/>
    <w:rsid w:val="005E2668"/>
    <w:rsid w:val="005E2B78"/>
    <w:rsid w:val="005E37D6"/>
    <w:rsid w:val="005E3FC8"/>
    <w:rsid w:val="005E46D7"/>
    <w:rsid w:val="005E4709"/>
    <w:rsid w:val="005E4996"/>
    <w:rsid w:val="005E563F"/>
    <w:rsid w:val="005E6BEC"/>
    <w:rsid w:val="005E6C2E"/>
    <w:rsid w:val="005E6CBC"/>
    <w:rsid w:val="005E72FF"/>
    <w:rsid w:val="005E73C0"/>
    <w:rsid w:val="005E7822"/>
    <w:rsid w:val="005E7B68"/>
    <w:rsid w:val="005E7FC4"/>
    <w:rsid w:val="005F07ED"/>
    <w:rsid w:val="005F1133"/>
    <w:rsid w:val="005F1926"/>
    <w:rsid w:val="005F1C39"/>
    <w:rsid w:val="005F2507"/>
    <w:rsid w:val="005F2706"/>
    <w:rsid w:val="005F29C1"/>
    <w:rsid w:val="005F2B56"/>
    <w:rsid w:val="005F3369"/>
    <w:rsid w:val="005F3802"/>
    <w:rsid w:val="005F45A6"/>
    <w:rsid w:val="005F45F2"/>
    <w:rsid w:val="005F46F4"/>
    <w:rsid w:val="005F49D6"/>
    <w:rsid w:val="005F4E2B"/>
    <w:rsid w:val="005F5715"/>
    <w:rsid w:val="005F5852"/>
    <w:rsid w:val="005F6363"/>
    <w:rsid w:val="005F67C3"/>
    <w:rsid w:val="005F6A8F"/>
    <w:rsid w:val="005F6BB7"/>
    <w:rsid w:val="005F6D61"/>
    <w:rsid w:val="005F745A"/>
    <w:rsid w:val="005F7588"/>
    <w:rsid w:val="005F79E3"/>
    <w:rsid w:val="005F7C27"/>
    <w:rsid w:val="005F7F82"/>
    <w:rsid w:val="006005D7"/>
    <w:rsid w:val="006006B3"/>
    <w:rsid w:val="00600E0A"/>
    <w:rsid w:val="00601A45"/>
    <w:rsid w:val="00601F0C"/>
    <w:rsid w:val="00602157"/>
    <w:rsid w:val="006028D3"/>
    <w:rsid w:val="00603270"/>
    <w:rsid w:val="00603BC7"/>
    <w:rsid w:val="00603DB9"/>
    <w:rsid w:val="00603E4D"/>
    <w:rsid w:val="00603EEE"/>
    <w:rsid w:val="006042A7"/>
    <w:rsid w:val="00604B11"/>
    <w:rsid w:val="00604CBE"/>
    <w:rsid w:val="00604EB8"/>
    <w:rsid w:val="00605165"/>
    <w:rsid w:val="006054CE"/>
    <w:rsid w:val="006057A8"/>
    <w:rsid w:val="006062F0"/>
    <w:rsid w:val="006064EA"/>
    <w:rsid w:val="00606FBA"/>
    <w:rsid w:val="00607669"/>
    <w:rsid w:val="006076F4"/>
    <w:rsid w:val="0060784E"/>
    <w:rsid w:val="00607AFD"/>
    <w:rsid w:val="006109DF"/>
    <w:rsid w:val="00610AF5"/>
    <w:rsid w:val="00611380"/>
    <w:rsid w:val="00611571"/>
    <w:rsid w:val="00611AAE"/>
    <w:rsid w:val="00611B12"/>
    <w:rsid w:val="00611C91"/>
    <w:rsid w:val="006124BC"/>
    <w:rsid w:val="006125AA"/>
    <w:rsid w:val="00612983"/>
    <w:rsid w:val="00612E40"/>
    <w:rsid w:val="00612F97"/>
    <w:rsid w:val="006130A6"/>
    <w:rsid w:val="0061345D"/>
    <w:rsid w:val="006135D7"/>
    <w:rsid w:val="00613F50"/>
    <w:rsid w:val="0061416D"/>
    <w:rsid w:val="00614A51"/>
    <w:rsid w:val="00614F9C"/>
    <w:rsid w:val="0061549B"/>
    <w:rsid w:val="00615732"/>
    <w:rsid w:val="00615D25"/>
    <w:rsid w:val="00615F91"/>
    <w:rsid w:val="00616038"/>
    <w:rsid w:val="006163EE"/>
    <w:rsid w:val="00616802"/>
    <w:rsid w:val="006171B5"/>
    <w:rsid w:val="00617600"/>
    <w:rsid w:val="00617E12"/>
    <w:rsid w:val="00620257"/>
    <w:rsid w:val="0062028C"/>
    <w:rsid w:val="006207AA"/>
    <w:rsid w:val="00620C25"/>
    <w:rsid w:val="00620C5F"/>
    <w:rsid w:val="00620ED3"/>
    <w:rsid w:val="00621111"/>
    <w:rsid w:val="006213C3"/>
    <w:rsid w:val="00621477"/>
    <w:rsid w:val="00621ADA"/>
    <w:rsid w:val="00621C3D"/>
    <w:rsid w:val="00622038"/>
    <w:rsid w:val="006227F8"/>
    <w:rsid w:val="006228A0"/>
    <w:rsid w:val="00622E95"/>
    <w:rsid w:val="0062366C"/>
    <w:rsid w:val="0062386C"/>
    <w:rsid w:val="00623F7B"/>
    <w:rsid w:val="0062444D"/>
    <w:rsid w:val="006247BA"/>
    <w:rsid w:val="00624923"/>
    <w:rsid w:val="00624BD4"/>
    <w:rsid w:val="00624FB5"/>
    <w:rsid w:val="006261F1"/>
    <w:rsid w:val="006265EE"/>
    <w:rsid w:val="00627D9A"/>
    <w:rsid w:val="0063026D"/>
    <w:rsid w:val="0063048D"/>
    <w:rsid w:val="0063084C"/>
    <w:rsid w:val="00630B2F"/>
    <w:rsid w:val="006311EF"/>
    <w:rsid w:val="006314E6"/>
    <w:rsid w:val="0063158F"/>
    <w:rsid w:val="006318C2"/>
    <w:rsid w:val="00631C54"/>
    <w:rsid w:val="00631D6B"/>
    <w:rsid w:val="00632183"/>
    <w:rsid w:val="006323BD"/>
    <w:rsid w:val="00632601"/>
    <w:rsid w:val="006330A1"/>
    <w:rsid w:val="00634267"/>
    <w:rsid w:val="0063479F"/>
    <w:rsid w:val="0063504F"/>
    <w:rsid w:val="006351A8"/>
    <w:rsid w:val="006353F0"/>
    <w:rsid w:val="006357B5"/>
    <w:rsid w:val="00635D19"/>
    <w:rsid w:val="006364A1"/>
    <w:rsid w:val="0063678E"/>
    <w:rsid w:val="00636EDC"/>
    <w:rsid w:val="006371BF"/>
    <w:rsid w:val="0063742B"/>
    <w:rsid w:val="00637B1D"/>
    <w:rsid w:val="00637BFD"/>
    <w:rsid w:val="00637C5C"/>
    <w:rsid w:val="00640B85"/>
    <w:rsid w:val="00640E37"/>
    <w:rsid w:val="00640EBF"/>
    <w:rsid w:val="006413B2"/>
    <w:rsid w:val="00641C4E"/>
    <w:rsid w:val="00641FB3"/>
    <w:rsid w:val="006426B9"/>
    <w:rsid w:val="00642A65"/>
    <w:rsid w:val="00642FCE"/>
    <w:rsid w:val="00643105"/>
    <w:rsid w:val="00644289"/>
    <w:rsid w:val="0064428A"/>
    <w:rsid w:val="0064434C"/>
    <w:rsid w:val="006444F3"/>
    <w:rsid w:val="00644CCB"/>
    <w:rsid w:val="006452C0"/>
    <w:rsid w:val="0064539A"/>
    <w:rsid w:val="0064541C"/>
    <w:rsid w:val="00645771"/>
    <w:rsid w:val="006459F5"/>
    <w:rsid w:val="00645A7B"/>
    <w:rsid w:val="00645D6A"/>
    <w:rsid w:val="00646120"/>
    <w:rsid w:val="00646280"/>
    <w:rsid w:val="00646443"/>
    <w:rsid w:val="0064685B"/>
    <w:rsid w:val="00646948"/>
    <w:rsid w:val="00646B8B"/>
    <w:rsid w:val="006471CC"/>
    <w:rsid w:val="006472FE"/>
    <w:rsid w:val="00647A29"/>
    <w:rsid w:val="00650470"/>
    <w:rsid w:val="00650565"/>
    <w:rsid w:val="0065072C"/>
    <w:rsid w:val="0065079F"/>
    <w:rsid w:val="00651138"/>
    <w:rsid w:val="00651CAD"/>
    <w:rsid w:val="00652A28"/>
    <w:rsid w:val="00652F62"/>
    <w:rsid w:val="0065379F"/>
    <w:rsid w:val="006538F0"/>
    <w:rsid w:val="006540DD"/>
    <w:rsid w:val="0065437C"/>
    <w:rsid w:val="00654395"/>
    <w:rsid w:val="0065459D"/>
    <w:rsid w:val="006549CD"/>
    <w:rsid w:val="006550AC"/>
    <w:rsid w:val="006552F2"/>
    <w:rsid w:val="00655778"/>
    <w:rsid w:val="0065587A"/>
    <w:rsid w:val="00655DC8"/>
    <w:rsid w:val="00655F7C"/>
    <w:rsid w:val="0065610D"/>
    <w:rsid w:val="00656188"/>
    <w:rsid w:val="00656725"/>
    <w:rsid w:val="00657072"/>
    <w:rsid w:val="0065715A"/>
    <w:rsid w:val="006574B9"/>
    <w:rsid w:val="00657831"/>
    <w:rsid w:val="00657DFE"/>
    <w:rsid w:val="0066013B"/>
    <w:rsid w:val="0066017F"/>
    <w:rsid w:val="00660A85"/>
    <w:rsid w:val="00660BE1"/>
    <w:rsid w:val="006610F1"/>
    <w:rsid w:val="00661A3A"/>
    <w:rsid w:val="00661B5D"/>
    <w:rsid w:val="00661C6B"/>
    <w:rsid w:val="00661CDD"/>
    <w:rsid w:val="0066246F"/>
    <w:rsid w:val="00662D3E"/>
    <w:rsid w:val="00663DDF"/>
    <w:rsid w:val="00663E68"/>
    <w:rsid w:val="006642BD"/>
    <w:rsid w:val="006649E3"/>
    <w:rsid w:val="00664A28"/>
    <w:rsid w:val="00665408"/>
    <w:rsid w:val="00665742"/>
    <w:rsid w:val="00665DD5"/>
    <w:rsid w:val="00665E7C"/>
    <w:rsid w:val="0066663F"/>
    <w:rsid w:val="0066714A"/>
    <w:rsid w:val="0066782D"/>
    <w:rsid w:val="00667BE3"/>
    <w:rsid w:val="006707A6"/>
    <w:rsid w:val="00670A80"/>
    <w:rsid w:val="00670B82"/>
    <w:rsid w:val="00671004"/>
    <w:rsid w:val="0067166D"/>
    <w:rsid w:val="006725ED"/>
    <w:rsid w:val="00672646"/>
    <w:rsid w:val="0067361A"/>
    <w:rsid w:val="00673814"/>
    <w:rsid w:val="0067383B"/>
    <w:rsid w:val="0067397A"/>
    <w:rsid w:val="00674775"/>
    <w:rsid w:val="00674776"/>
    <w:rsid w:val="00674E42"/>
    <w:rsid w:val="00675A0C"/>
    <w:rsid w:val="00676045"/>
    <w:rsid w:val="00676563"/>
    <w:rsid w:val="006765C9"/>
    <w:rsid w:val="00677429"/>
    <w:rsid w:val="00680D00"/>
    <w:rsid w:val="0068138A"/>
    <w:rsid w:val="006813F8"/>
    <w:rsid w:val="00681913"/>
    <w:rsid w:val="00682016"/>
    <w:rsid w:val="00682112"/>
    <w:rsid w:val="00682617"/>
    <w:rsid w:val="006826EC"/>
    <w:rsid w:val="00682BA6"/>
    <w:rsid w:val="006836A4"/>
    <w:rsid w:val="00684B83"/>
    <w:rsid w:val="00685153"/>
    <w:rsid w:val="0068554F"/>
    <w:rsid w:val="00685927"/>
    <w:rsid w:val="00686014"/>
    <w:rsid w:val="00686957"/>
    <w:rsid w:val="006872BA"/>
    <w:rsid w:val="006873C4"/>
    <w:rsid w:val="006875E6"/>
    <w:rsid w:val="0069008B"/>
    <w:rsid w:val="00690245"/>
    <w:rsid w:val="006902F5"/>
    <w:rsid w:val="00690491"/>
    <w:rsid w:val="00690795"/>
    <w:rsid w:val="00690ED1"/>
    <w:rsid w:val="00691648"/>
    <w:rsid w:val="006917D7"/>
    <w:rsid w:val="00692A60"/>
    <w:rsid w:val="0069320A"/>
    <w:rsid w:val="006935BB"/>
    <w:rsid w:val="0069387F"/>
    <w:rsid w:val="00693E7B"/>
    <w:rsid w:val="0069434C"/>
    <w:rsid w:val="00694488"/>
    <w:rsid w:val="00694B34"/>
    <w:rsid w:val="00694C9C"/>
    <w:rsid w:val="00694F44"/>
    <w:rsid w:val="00695A09"/>
    <w:rsid w:val="00695E55"/>
    <w:rsid w:val="00696E88"/>
    <w:rsid w:val="00696EF9"/>
    <w:rsid w:val="00696F51"/>
    <w:rsid w:val="006970D1"/>
    <w:rsid w:val="006979A5"/>
    <w:rsid w:val="006979C7"/>
    <w:rsid w:val="006A00EA"/>
    <w:rsid w:val="006A016F"/>
    <w:rsid w:val="006A066C"/>
    <w:rsid w:val="006A0ACD"/>
    <w:rsid w:val="006A0CF0"/>
    <w:rsid w:val="006A0DF7"/>
    <w:rsid w:val="006A0FC5"/>
    <w:rsid w:val="006A1723"/>
    <w:rsid w:val="006A1F7E"/>
    <w:rsid w:val="006A25D4"/>
    <w:rsid w:val="006A2FFD"/>
    <w:rsid w:val="006A3E59"/>
    <w:rsid w:val="006A3E74"/>
    <w:rsid w:val="006A3EB8"/>
    <w:rsid w:val="006A4173"/>
    <w:rsid w:val="006A4321"/>
    <w:rsid w:val="006A43D9"/>
    <w:rsid w:val="006A461F"/>
    <w:rsid w:val="006A4B51"/>
    <w:rsid w:val="006A4B9B"/>
    <w:rsid w:val="006A4EE2"/>
    <w:rsid w:val="006A53E0"/>
    <w:rsid w:val="006A54C0"/>
    <w:rsid w:val="006A5930"/>
    <w:rsid w:val="006A60C1"/>
    <w:rsid w:val="006A6765"/>
    <w:rsid w:val="006A6AD8"/>
    <w:rsid w:val="006A6B99"/>
    <w:rsid w:val="006A6EC3"/>
    <w:rsid w:val="006A7086"/>
    <w:rsid w:val="006A7B45"/>
    <w:rsid w:val="006A7E5F"/>
    <w:rsid w:val="006A7F4B"/>
    <w:rsid w:val="006B0487"/>
    <w:rsid w:val="006B0563"/>
    <w:rsid w:val="006B0A63"/>
    <w:rsid w:val="006B1BB6"/>
    <w:rsid w:val="006B1C48"/>
    <w:rsid w:val="006B261B"/>
    <w:rsid w:val="006B274A"/>
    <w:rsid w:val="006B2C90"/>
    <w:rsid w:val="006B35E6"/>
    <w:rsid w:val="006B3FD5"/>
    <w:rsid w:val="006B44DA"/>
    <w:rsid w:val="006B465A"/>
    <w:rsid w:val="006B4DFF"/>
    <w:rsid w:val="006B527D"/>
    <w:rsid w:val="006B5487"/>
    <w:rsid w:val="006B5639"/>
    <w:rsid w:val="006B6A51"/>
    <w:rsid w:val="006B6DD0"/>
    <w:rsid w:val="006B6E03"/>
    <w:rsid w:val="006B6EB0"/>
    <w:rsid w:val="006B70AE"/>
    <w:rsid w:val="006B7162"/>
    <w:rsid w:val="006B7198"/>
    <w:rsid w:val="006C0399"/>
    <w:rsid w:val="006C0A3D"/>
    <w:rsid w:val="006C15E4"/>
    <w:rsid w:val="006C1CE3"/>
    <w:rsid w:val="006C20C8"/>
    <w:rsid w:val="006C2A8E"/>
    <w:rsid w:val="006C2C3C"/>
    <w:rsid w:val="006C3255"/>
    <w:rsid w:val="006C34BC"/>
    <w:rsid w:val="006C3F26"/>
    <w:rsid w:val="006C413B"/>
    <w:rsid w:val="006C46C6"/>
    <w:rsid w:val="006C475B"/>
    <w:rsid w:val="006C4908"/>
    <w:rsid w:val="006C4CA5"/>
    <w:rsid w:val="006C6619"/>
    <w:rsid w:val="006C662D"/>
    <w:rsid w:val="006C6F5A"/>
    <w:rsid w:val="006C748F"/>
    <w:rsid w:val="006C777C"/>
    <w:rsid w:val="006C7A0C"/>
    <w:rsid w:val="006D0408"/>
    <w:rsid w:val="006D0588"/>
    <w:rsid w:val="006D0594"/>
    <w:rsid w:val="006D0D17"/>
    <w:rsid w:val="006D1219"/>
    <w:rsid w:val="006D1BEC"/>
    <w:rsid w:val="006D1E00"/>
    <w:rsid w:val="006D1FB9"/>
    <w:rsid w:val="006D2245"/>
    <w:rsid w:val="006D287B"/>
    <w:rsid w:val="006D28A6"/>
    <w:rsid w:val="006D2DE8"/>
    <w:rsid w:val="006D39B3"/>
    <w:rsid w:val="006D3C7D"/>
    <w:rsid w:val="006D3D8B"/>
    <w:rsid w:val="006D4659"/>
    <w:rsid w:val="006D5059"/>
    <w:rsid w:val="006D5543"/>
    <w:rsid w:val="006D5D5F"/>
    <w:rsid w:val="006D62A5"/>
    <w:rsid w:val="006D62DE"/>
    <w:rsid w:val="006D67B0"/>
    <w:rsid w:val="006D68FB"/>
    <w:rsid w:val="006D7266"/>
    <w:rsid w:val="006D742D"/>
    <w:rsid w:val="006D7A76"/>
    <w:rsid w:val="006D7C96"/>
    <w:rsid w:val="006D7CBA"/>
    <w:rsid w:val="006E0AE3"/>
    <w:rsid w:val="006E0B96"/>
    <w:rsid w:val="006E15ED"/>
    <w:rsid w:val="006E208D"/>
    <w:rsid w:val="006E24CD"/>
    <w:rsid w:val="006E24DD"/>
    <w:rsid w:val="006E2562"/>
    <w:rsid w:val="006E2868"/>
    <w:rsid w:val="006E2984"/>
    <w:rsid w:val="006E3226"/>
    <w:rsid w:val="006E3517"/>
    <w:rsid w:val="006E3C7E"/>
    <w:rsid w:val="006E3DC0"/>
    <w:rsid w:val="006E3E96"/>
    <w:rsid w:val="006E3FBD"/>
    <w:rsid w:val="006E4BB1"/>
    <w:rsid w:val="006E4DFA"/>
    <w:rsid w:val="006E52B3"/>
    <w:rsid w:val="006E62B1"/>
    <w:rsid w:val="006E6A69"/>
    <w:rsid w:val="006E7C60"/>
    <w:rsid w:val="006E7F0C"/>
    <w:rsid w:val="006F09FF"/>
    <w:rsid w:val="006F0A15"/>
    <w:rsid w:val="006F1127"/>
    <w:rsid w:val="006F2317"/>
    <w:rsid w:val="006F23B7"/>
    <w:rsid w:val="006F2B95"/>
    <w:rsid w:val="006F306C"/>
    <w:rsid w:val="006F316B"/>
    <w:rsid w:val="006F323D"/>
    <w:rsid w:val="006F3349"/>
    <w:rsid w:val="006F3D91"/>
    <w:rsid w:val="006F40F2"/>
    <w:rsid w:val="006F41D7"/>
    <w:rsid w:val="006F4EB6"/>
    <w:rsid w:val="006F4ECA"/>
    <w:rsid w:val="006F4F4C"/>
    <w:rsid w:val="006F4FAC"/>
    <w:rsid w:val="006F61B8"/>
    <w:rsid w:val="006F625B"/>
    <w:rsid w:val="006F63A5"/>
    <w:rsid w:val="006F63C7"/>
    <w:rsid w:val="006F68AD"/>
    <w:rsid w:val="006F6E87"/>
    <w:rsid w:val="006F6E99"/>
    <w:rsid w:val="006F7178"/>
    <w:rsid w:val="006F71A2"/>
    <w:rsid w:val="007002ED"/>
    <w:rsid w:val="007008DE"/>
    <w:rsid w:val="00700C6B"/>
    <w:rsid w:val="00700EE8"/>
    <w:rsid w:val="0070142B"/>
    <w:rsid w:val="0070190B"/>
    <w:rsid w:val="00701FCB"/>
    <w:rsid w:val="007024D1"/>
    <w:rsid w:val="0070273C"/>
    <w:rsid w:val="0070276E"/>
    <w:rsid w:val="007029AC"/>
    <w:rsid w:val="00702F8F"/>
    <w:rsid w:val="00703A63"/>
    <w:rsid w:val="00703BE9"/>
    <w:rsid w:val="007040BF"/>
    <w:rsid w:val="00704170"/>
    <w:rsid w:val="00704F19"/>
    <w:rsid w:val="00705699"/>
    <w:rsid w:val="0070579C"/>
    <w:rsid w:val="007057AA"/>
    <w:rsid w:val="00705DFA"/>
    <w:rsid w:val="00705E3D"/>
    <w:rsid w:val="007065AD"/>
    <w:rsid w:val="0070661A"/>
    <w:rsid w:val="00706C3D"/>
    <w:rsid w:val="00706EFF"/>
    <w:rsid w:val="00707720"/>
    <w:rsid w:val="007079FC"/>
    <w:rsid w:val="00707BA9"/>
    <w:rsid w:val="00707F7D"/>
    <w:rsid w:val="00710360"/>
    <w:rsid w:val="00710560"/>
    <w:rsid w:val="00710705"/>
    <w:rsid w:val="00710832"/>
    <w:rsid w:val="0071091F"/>
    <w:rsid w:val="007117FC"/>
    <w:rsid w:val="00711A18"/>
    <w:rsid w:val="00711A36"/>
    <w:rsid w:val="00711C94"/>
    <w:rsid w:val="00711E7C"/>
    <w:rsid w:val="007125D3"/>
    <w:rsid w:val="007127DD"/>
    <w:rsid w:val="0071280B"/>
    <w:rsid w:val="007128D0"/>
    <w:rsid w:val="007128FA"/>
    <w:rsid w:val="007131FE"/>
    <w:rsid w:val="007132EF"/>
    <w:rsid w:val="00713723"/>
    <w:rsid w:val="00714761"/>
    <w:rsid w:val="00714C26"/>
    <w:rsid w:val="00714FBA"/>
    <w:rsid w:val="00715058"/>
    <w:rsid w:val="0071505D"/>
    <w:rsid w:val="0071529C"/>
    <w:rsid w:val="00715639"/>
    <w:rsid w:val="00715743"/>
    <w:rsid w:val="00716B33"/>
    <w:rsid w:val="007170DA"/>
    <w:rsid w:val="0071724D"/>
    <w:rsid w:val="00717274"/>
    <w:rsid w:val="007172AD"/>
    <w:rsid w:val="00717546"/>
    <w:rsid w:val="00717F59"/>
    <w:rsid w:val="00720119"/>
    <w:rsid w:val="00720395"/>
    <w:rsid w:val="00720801"/>
    <w:rsid w:val="0072193A"/>
    <w:rsid w:val="00721988"/>
    <w:rsid w:val="00722474"/>
    <w:rsid w:val="00722998"/>
    <w:rsid w:val="00722B1B"/>
    <w:rsid w:val="0072309A"/>
    <w:rsid w:val="0072416F"/>
    <w:rsid w:val="00724398"/>
    <w:rsid w:val="00724AA3"/>
    <w:rsid w:val="00724D16"/>
    <w:rsid w:val="00724D4B"/>
    <w:rsid w:val="0072508B"/>
    <w:rsid w:val="00725209"/>
    <w:rsid w:val="00725821"/>
    <w:rsid w:val="007258D3"/>
    <w:rsid w:val="00725E07"/>
    <w:rsid w:val="00725EE8"/>
    <w:rsid w:val="00726520"/>
    <w:rsid w:val="00727088"/>
    <w:rsid w:val="0072772B"/>
    <w:rsid w:val="0072790B"/>
    <w:rsid w:val="00727C94"/>
    <w:rsid w:val="00727F37"/>
    <w:rsid w:val="0073103D"/>
    <w:rsid w:val="007315F1"/>
    <w:rsid w:val="00731853"/>
    <w:rsid w:val="00731B0A"/>
    <w:rsid w:val="00731EAE"/>
    <w:rsid w:val="00731F53"/>
    <w:rsid w:val="0073242F"/>
    <w:rsid w:val="00732455"/>
    <w:rsid w:val="00732480"/>
    <w:rsid w:val="00732916"/>
    <w:rsid w:val="00733073"/>
    <w:rsid w:val="00733684"/>
    <w:rsid w:val="00733960"/>
    <w:rsid w:val="00733ECA"/>
    <w:rsid w:val="0073461D"/>
    <w:rsid w:val="00734DAA"/>
    <w:rsid w:val="00734F34"/>
    <w:rsid w:val="00735033"/>
    <w:rsid w:val="00735328"/>
    <w:rsid w:val="007356A9"/>
    <w:rsid w:val="007363AD"/>
    <w:rsid w:val="0073685B"/>
    <w:rsid w:val="00736E23"/>
    <w:rsid w:val="007371DA"/>
    <w:rsid w:val="0073720B"/>
    <w:rsid w:val="00737AD0"/>
    <w:rsid w:val="00740008"/>
    <w:rsid w:val="007402B2"/>
    <w:rsid w:val="00740757"/>
    <w:rsid w:val="00740E7B"/>
    <w:rsid w:val="007414BA"/>
    <w:rsid w:val="00741658"/>
    <w:rsid w:val="00741769"/>
    <w:rsid w:val="007417D4"/>
    <w:rsid w:val="0074332E"/>
    <w:rsid w:val="00743985"/>
    <w:rsid w:val="007439E0"/>
    <w:rsid w:val="00743AF6"/>
    <w:rsid w:val="007449BF"/>
    <w:rsid w:val="00745746"/>
    <w:rsid w:val="00745855"/>
    <w:rsid w:val="007463FE"/>
    <w:rsid w:val="00746BC0"/>
    <w:rsid w:val="0074751C"/>
    <w:rsid w:val="00750254"/>
    <w:rsid w:val="00750EFD"/>
    <w:rsid w:val="007510AA"/>
    <w:rsid w:val="007510B4"/>
    <w:rsid w:val="007510D3"/>
    <w:rsid w:val="0075144B"/>
    <w:rsid w:val="00751869"/>
    <w:rsid w:val="00751CE4"/>
    <w:rsid w:val="00751E2F"/>
    <w:rsid w:val="0075210F"/>
    <w:rsid w:val="00752142"/>
    <w:rsid w:val="007523F9"/>
    <w:rsid w:val="007529C3"/>
    <w:rsid w:val="00753093"/>
    <w:rsid w:val="00753143"/>
    <w:rsid w:val="0075357E"/>
    <w:rsid w:val="007535A7"/>
    <w:rsid w:val="00753A20"/>
    <w:rsid w:val="00753B29"/>
    <w:rsid w:val="007543EC"/>
    <w:rsid w:val="007544F1"/>
    <w:rsid w:val="00754674"/>
    <w:rsid w:val="00754D5E"/>
    <w:rsid w:val="00754E4B"/>
    <w:rsid w:val="00754EAD"/>
    <w:rsid w:val="00754F4F"/>
    <w:rsid w:val="00755512"/>
    <w:rsid w:val="00756DB2"/>
    <w:rsid w:val="007573E8"/>
    <w:rsid w:val="0075745A"/>
    <w:rsid w:val="00760116"/>
    <w:rsid w:val="00760A48"/>
    <w:rsid w:val="00760C4E"/>
    <w:rsid w:val="00760F9E"/>
    <w:rsid w:val="007616E6"/>
    <w:rsid w:val="00761B61"/>
    <w:rsid w:val="00761F81"/>
    <w:rsid w:val="007620A1"/>
    <w:rsid w:val="007627BE"/>
    <w:rsid w:val="00762DEC"/>
    <w:rsid w:val="00763956"/>
    <w:rsid w:val="0076412A"/>
    <w:rsid w:val="00764B53"/>
    <w:rsid w:val="00764C95"/>
    <w:rsid w:val="00764ECF"/>
    <w:rsid w:val="00764F03"/>
    <w:rsid w:val="007650F8"/>
    <w:rsid w:val="007656D5"/>
    <w:rsid w:val="00765986"/>
    <w:rsid w:val="00765B12"/>
    <w:rsid w:val="00765B1A"/>
    <w:rsid w:val="00765DC1"/>
    <w:rsid w:val="00766207"/>
    <w:rsid w:val="00766633"/>
    <w:rsid w:val="007666E3"/>
    <w:rsid w:val="00766A25"/>
    <w:rsid w:val="00766D5E"/>
    <w:rsid w:val="00767E1C"/>
    <w:rsid w:val="0077105B"/>
    <w:rsid w:val="007718BA"/>
    <w:rsid w:val="00771A39"/>
    <w:rsid w:val="00771D75"/>
    <w:rsid w:val="00771E11"/>
    <w:rsid w:val="00772577"/>
    <w:rsid w:val="00772644"/>
    <w:rsid w:val="00772ECF"/>
    <w:rsid w:val="007733FF"/>
    <w:rsid w:val="00773893"/>
    <w:rsid w:val="0077391F"/>
    <w:rsid w:val="00773A35"/>
    <w:rsid w:val="00773ED8"/>
    <w:rsid w:val="00775619"/>
    <w:rsid w:val="007760F6"/>
    <w:rsid w:val="0077669E"/>
    <w:rsid w:val="00776A29"/>
    <w:rsid w:val="0077700A"/>
    <w:rsid w:val="00777335"/>
    <w:rsid w:val="007777CD"/>
    <w:rsid w:val="00777F75"/>
    <w:rsid w:val="0078055C"/>
    <w:rsid w:val="00781100"/>
    <w:rsid w:val="0078127F"/>
    <w:rsid w:val="007821EB"/>
    <w:rsid w:val="007821FB"/>
    <w:rsid w:val="007843F2"/>
    <w:rsid w:val="007846FA"/>
    <w:rsid w:val="00784905"/>
    <w:rsid w:val="00784B89"/>
    <w:rsid w:val="00785039"/>
    <w:rsid w:val="00785318"/>
    <w:rsid w:val="00785A9F"/>
    <w:rsid w:val="00786059"/>
    <w:rsid w:val="007866DB"/>
    <w:rsid w:val="00786941"/>
    <w:rsid w:val="00786A11"/>
    <w:rsid w:val="00786B60"/>
    <w:rsid w:val="00786F1A"/>
    <w:rsid w:val="007877DF"/>
    <w:rsid w:val="00787C93"/>
    <w:rsid w:val="00787FB1"/>
    <w:rsid w:val="00790568"/>
    <w:rsid w:val="00791060"/>
    <w:rsid w:val="0079197C"/>
    <w:rsid w:val="00791E5B"/>
    <w:rsid w:val="007920EB"/>
    <w:rsid w:val="00792141"/>
    <w:rsid w:val="0079214C"/>
    <w:rsid w:val="00792265"/>
    <w:rsid w:val="007924C1"/>
    <w:rsid w:val="007925DF"/>
    <w:rsid w:val="00792860"/>
    <w:rsid w:val="00792ADC"/>
    <w:rsid w:val="00793D78"/>
    <w:rsid w:val="00793E49"/>
    <w:rsid w:val="00793F7F"/>
    <w:rsid w:val="00794178"/>
    <w:rsid w:val="00794597"/>
    <w:rsid w:val="007946C0"/>
    <w:rsid w:val="00794DE7"/>
    <w:rsid w:val="00794E47"/>
    <w:rsid w:val="0079591A"/>
    <w:rsid w:val="00795AB6"/>
    <w:rsid w:val="00795C9B"/>
    <w:rsid w:val="00796006"/>
    <w:rsid w:val="007961B4"/>
    <w:rsid w:val="007971DE"/>
    <w:rsid w:val="007975F2"/>
    <w:rsid w:val="007978AD"/>
    <w:rsid w:val="007A071B"/>
    <w:rsid w:val="007A08AA"/>
    <w:rsid w:val="007A0912"/>
    <w:rsid w:val="007A0A12"/>
    <w:rsid w:val="007A0B2D"/>
    <w:rsid w:val="007A125A"/>
    <w:rsid w:val="007A132D"/>
    <w:rsid w:val="007A1345"/>
    <w:rsid w:val="007A1413"/>
    <w:rsid w:val="007A14E6"/>
    <w:rsid w:val="007A1563"/>
    <w:rsid w:val="007A1760"/>
    <w:rsid w:val="007A2639"/>
    <w:rsid w:val="007A2673"/>
    <w:rsid w:val="007A2BCE"/>
    <w:rsid w:val="007A2DDB"/>
    <w:rsid w:val="007A348B"/>
    <w:rsid w:val="007A3535"/>
    <w:rsid w:val="007A40E3"/>
    <w:rsid w:val="007A481D"/>
    <w:rsid w:val="007A48AD"/>
    <w:rsid w:val="007A593C"/>
    <w:rsid w:val="007A629D"/>
    <w:rsid w:val="007A640A"/>
    <w:rsid w:val="007A67AE"/>
    <w:rsid w:val="007A6D38"/>
    <w:rsid w:val="007A70BA"/>
    <w:rsid w:val="007A7644"/>
    <w:rsid w:val="007A7E54"/>
    <w:rsid w:val="007B021E"/>
    <w:rsid w:val="007B0B1D"/>
    <w:rsid w:val="007B0D68"/>
    <w:rsid w:val="007B0E2B"/>
    <w:rsid w:val="007B1276"/>
    <w:rsid w:val="007B251D"/>
    <w:rsid w:val="007B2825"/>
    <w:rsid w:val="007B2B80"/>
    <w:rsid w:val="007B3533"/>
    <w:rsid w:val="007B3B44"/>
    <w:rsid w:val="007B3C61"/>
    <w:rsid w:val="007B4F58"/>
    <w:rsid w:val="007B528D"/>
    <w:rsid w:val="007B54B0"/>
    <w:rsid w:val="007B63CA"/>
    <w:rsid w:val="007B6A8C"/>
    <w:rsid w:val="007B6BED"/>
    <w:rsid w:val="007B7096"/>
    <w:rsid w:val="007B70A2"/>
    <w:rsid w:val="007B77D1"/>
    <w:rsid w:val="007B7AD4"/>
    <w:rsid w:val="007B7E51"/>
    <w:rsid w:val="007C0345"/>
    <w:rsid w:val="007C0362"/>
    <w:rsid w:val="007C078B"/>
    <w:rsid w:val="007C07C7"/>
    <w:rsid w:val="007C1079"/>
    <w:rsid w:val="007C10F0"/>
    <w:rsid w:val="007C1CD9"/>
    <w:rsid w:val="007C30E4"/>
    <w:rsid w:val="007C32EF"/>
    <w:rsid w:val="007C3455"/>
    <w:rsid w:val="007C361D"/>
    <w:rsid w:val="007C38B6"/>
    <w:rsid w:val="007C4357"/>
    <w:rsid w:val="007C466F"/>
    <w:rsid w:val="007C49B2"/>
    <w:rsid w:val="007C4B3B"/>
    <w:rsid w:val="007C4B84"/>
    <w:rsid w:val="007C4D24"/>
    <w:rsid w:val="007C509A"/>
    <w:rsid w:val="007C5E76"/>
    <w:rsid w:val="007C65C8"/>
    <w:rsid w:val="007C6BA2"/>
    <w:rsid w:val="007C6BF2"/>
    <w:rsid w:val="007C70FF"/>
    <w:rsid w:val="007C7171"/>
    <w:rsid w:val="007C7751"/>
    <w:rsid w:val="007C78ED"/>
    <w:rsid w:val="007C7C25"/>
    <w:rsid w:val="007D004F"/>
    <w:rsid w:val="007D0081"/>
    <w:rsid w:val="007D035F"/>
    <w:rsid w:val="007D03B3"/>
    <w:rsid w:val="007D05AD"/>
    <w:rsid w:val="007D06B2"/>
    <w:rsid w:val="007D08E3"/>
    <w:rsid w:val="007D0B0C"/>
    <w:rsid w:val="007D0B38"/>
    <w:rsid w:val="007D2227"/>
    <w:rsid w:val="007D3657"/>
    <w:rsid w:val="007D3868"/>
    <w:rsid w:val="007D460F"/>
    <w:rsid w:val="007D4772"/>
    <w:rsid w:val="007D4A3F"/>
    <w:rsid w:val="007D5230"/>
    <w:rsid w:val="007D5271"/>
    <w:rsid w:val="007D5440"/>
    <w:rsid w:val="007D589B"/>
    <w:rsid w:val="007D5D89"/>
    <w:rsid w:val="007D5DAA"/>
    <w:rsid w:val="007D5DF6"/>
    <w:rsid w:val="007D609B"/>
    <w:rsid w:val="007D63A9"/>
    <w:rsid w:val="007D649B"/>
    <w:rsid w:val="007D6832"/>
    <w:rsid w:val="007D6867"/>
    <w:rsid w:val="007D69EB"/>
    <w:rsid w:val="007D774F"/>
    <w:rsid w:val="007D77C2"/>
    <w:rsid w:val="007E02EB"/>
    <w:rsid w:val="007E08D9"/>
    <w:rsid w:val="007E0969"/>
    <w:rsid w:val="007E0E54"/>
    <w:rsid w:val="007E1164"/>
    <w:rsid w:val="007E1254"/>
    <w:rsid w:val="007E128F"/>
    <w:rsid w:val="007E3DF9"/>
    <w:rsid w:val="007E4BD0"/>
    <w:rsid w:val="007E52EF"/>
    <w:rsid w:val="007E555A"/>
    <w:rsid w:val="007E58F8"/>
    <w:rsid w:val="007E6A92"/>
    <w:rsid w:val="007E6DE0"/>
    <w:rsid w:val="007E79C9"/>
    <w:rsid w:val="007F0285"/>
    <w:rsid w:val="007F07E9"/>
    <w:rsid w:val="007F09A6"/>
    <w:rsid w:val="007F0C08"/>
    <w:rsid w:val="007F1017"/>
    <w:rsid w:val="007F179A"/>
    <w:rsid w:val="007F1B21"/>
    <w:rsid w:val="007F1BF2"/>
    <w:rsid w:val="007F28FB"/>
    <w:rsid w:val="007F2E0A"/>
    <w:rsid w:val="007F2E1E"/>
    <w:rsid w:val="007F44BE"/>
    <w:rsid w:val="007F4621"/>
    <w:rsid w:val="007F47B1"/>
    <w:rsid w:val="007F4A3F"/>
    <w:rsid w:val="007F4A61"/>
    <w:rsid w:val="007F4B50"/>
    <w:rsid w:val="007F5151"/>
    <w:rsid w:val="007F5255"/>
    <w:rsid w:val="007F56CC"/>
    <w:rsid w:val="007F57DD"/>
    <w:rsid w:val="007F5816"/>
    <w:rsid w:val="007F5AEB"/>
    <w:rsid w:val="007F604D"/>
    <w:rsid w:val="007F618B"/>
    <w:rsid w:val="007F61B0"/>
    <w:rsid w:val="007F61C2"/>
    <w:rsid w:val="007F6251"/>
    <w:rsid w:val="007F6468"/>
    <w:rsid w:val="007F648F"/>
    <w:rsid w:val="007F674B"/>
    <w:rsid w:val="007F6BA7"/>
    <w:rsid w:val="007F6C87"/>
    <w:rsid w:val="007F7255"/>
    <w:rsid w:val="008005FC"/>
    <w:rsid w:val="00800A28"/>
    <w:rsid w:val="00800A58"/>
    <w:rsid w:val="00801386"/>
    <w:rsid w:val="008013A9"/>
    <w:rsid w:val="008013EB"/>
    <w:rsid w:val="008023DF"/>
    <w:rsid w:val="00802B08"/>
    <w:rsid w:val="00802BD5"/>
    <w:rsid w:val="0080365D"/>
    <w:rsid w:val="00803B76"/>
    <w:rsid w:val="00804245"/>
    <w:rsid w:val="008042F9"/>
    <w:rsid w:val="008047E0"/>
    <w:rsid w:val="008048E9"/>
    <w:rsid w:val="00804B85"/>
    <w:rsid w:val="00804C61"/>
    <w:rsid w:val="00805142"/>
    <w:rsid w:val="0080566B"/>
    <w:rsid w:val="00805994"/>
    <w:rsid w:val="00805FCE"/>
    <w:rsid w:val="008066DE"/>
    <w:rsid w:val="00806AAB"/>
    <w:rsid w:val="00807096"/>
    <w:rsid w:val="0080711B"/>
    <w:rsid w:val="00807492"/>
    <w:rsid w:val="0080772C"/>
    <w:rsid w:val="00807A8B"/>
    <w:rsid w:val="0081052B"/>
    <w:rsid w:val="00810578"/>
    <w:rsid w:val="00810875"/>
    <w:rsid w:val="00810B0A"/>
    <w:rsid w:val="00811364"/>
    <w:rsid w:val="00811383"/>
    <w:rsid w:val="008117AF"/>
    <w:rsid w:val="00812149"/>
    <w:rsid w:val="00812A18"/>
    <w:rsid w:val="00812CAC"/>
    <w:rsid w:val="00813128"/>
    <w:rsid w:val="0081398A"/>
    <w:rsid w:val="00813B63"/>
    <w:rsid w:val="00814CCD"/>
    <w:rsid w:val="008154BD"/>
    <w:rsid w:val="00815EA7"/>
    <w:rsid w:val="00816361"/>
    <w:rsid w:val="008166EF"/>
    <w:rsid w:val="00816BEE"/>
    <w:rsid w:val="00816F64"/>
    <w:rsid w:val="00816FEF"/>
    <w:rsid w:val="008175BC"/>
    <w:rsid w:val="00817C76"/>
    <w:rsid w:val="008201D8"/>
    <w:rsid w:val="00820514"/>
    <w:rsid w:val="00820A8C"/>
    <w:rsid w:val="00820F6C"/>
    <w:rsid w:val="008215FB"/>
    <w:rsid w:val="00821A71"/>
    <w:rsid w:val="00821ABA"/>
    <w:rsid w:val="008220CC"/>
    <w:rsid w:val="00822908"/>
    <w:rsid w:val="00823015"/>
    <w:rsid w:val="00823174"/>
    <w:rsid w:val="00823475"/>
    <w:rsid w:val="008234E5"/>
    <w:rsid w:val="008235CD"/>
    <w:rsid w:val="00823BC7"/>
    <w:rsid w:val="0082421A"/>
    <w:rsid w:val="00825751"/>
    <w:rsid w:val="00825907"/>
    <w:rsid w:val="008259A3"/>
    <w:rsid w:val="00825C96"/>
    <w:rsid w:val="00826132"/>
    <w:rsid w:val="008264EB"/>
    <w:rsid w:val="00826595"/>
    <w:rsid w:val="008268CE"/>
    <w:rsid w:val="00826CED"/>
    <w:rsid w:val="00827311"/>
    <w:rsid w:val="008279C7"/>
    <w:rsid w:val="00827C23"/>
    <w:rsid w:val="008306B4"/>
    <w:rsid w:val="0083084B"/>
    <w:rsid w:val="0083118E"/>
    <w:rsid w:val="008315DE"/>
    <w:rsid w:val="00831622"/>
    <w:rsid w:val="008319E6"/>
    <w:rsid w:val="00831DBF"/>
    <w:rsid w:val="00832348"/>
    <w:rsid w:val="00832A5C"/>
    <w:rsid w:val="00832E77"/>
    <w:rsid w:val="00833A23"/>
    <w:rsid w:val="00833B05"/>
    <w:rsid w:val="008340DE"/>
    <w:rsid w:val="00834F03"/>
    <w:rsid w:val="00835035"/>
    <w:rsid w:val="008353C5"/>
    <w:rsid w:val="0083555A"/>
    <w:rsid w:val="00835861"/>
    <w:rsid w:val="00835D50"/>
    <w:rsid w:val="00835F0B"/>
    <w:rsid w:val="008362B4"/>
    <w:rsid w:val="008362BB"/>
    <w:rsid w:val="00836E89"/>
    <w:rsid w:val="00837DD9"/>
    <w:rsid w:val="00837E79"/>
    <w:rsid w:val="00837FF5"/>
    <w:rsid w:val="00840388"/>
    <w:rsid w:val="00840CA2"/>
    <w:rsid w:val="00841758"/>
    <w:rsid w:val="00841883"/>
    <w:rsid w:val="00841CB3"/>
    <w:rsid w:val="00841E62"/>
    <w:rsid w:val="00842233"/>
    <w:rsid w:val="008431EF"/>
    <w:rsid w:val="0084374F"/>
    <w:rsid w:val="008437ED"/>
    <w:rsid w:val="00843FA8"/>
    <w:rsid w:val="0084466B"/>
    <w:rsid w:val="00844764"/>
    <w:rsid w:val="00844A22"/>
    <w:rsid w:val="00844ADD"/>
    <w:rsid w:val="00845300"/>
    <w:rsid w:val="00845318"/>
    <w:rsid w:val="00845404"/>
    <w:rsid w:val="0084596A"/>
    <w:rsid w:val="00845EFA"/>
    <w:rsid w:val="00845F98"/>
    <w:rsid w:val="008471BD"/>
    <w:rsid w:val="008475DD"/>
    <w:rsid w:val="00847703"/>
    <w:rsid w:val="00847DF5"/>
    <w:rsid w:val="008509FF"/>
    <w:rsid w:val="00850FB3"/>
    <w:rsid w:val="00851181"/>
    <w:rsid w:val="008512BD"/>
    <w:rsid w:val="00851415"/>
    <w:rsid w:val="00851FFB"/>
    <w:rsid w:val="0085219E"/>
    <w:rsid w:val="008529DB"/>
    <w:rsid w:val="00852D50"/>
    <w:rsid w:val="00852E66"/>
    <w:rsid w:val="0085309D"/>
    <w:rsid w:val="00853D83"/>
    <w:rsid w:val="00854602"/>
    <w:rsid w:val="0085493E"/>
    <w:rsid w:val="00854C61"/>
    <w:rsid w:val="00854CB0"/>
    <w:rsid w:val="00854D1E"/>
    <w:rsid w:val="00854D6B"/>
    <w:rsid w:val="00854F08"/>
    <w:rsid w:val="00855B2D"/>
    <w:rsid w:val="00855E34"/>
    <w:rsid w:val="00856006"/>
    <w:rsid w:val="008563D9"/>
    <w:rsid w:val="00856897"/>
    <w:rsid w:val="00856A9F"/>
    <w:rsid w:val="00856BDD"/>
    <w:rsid w:val="00856E2F"/>
    <w:rsid w:val="00856E9A"/>
    <w:rsid w:val="00857136"/>
    <w:rsid w:val="00857555"/>
    <w:rsid w:val="0085756E"/>
    <w:rsid w:val="00857965"/>
    <w:rsid w:val="00857E48"/>
    <w:rsid w:val="0086001F"/>
    <w:rsid w:val="008604BC"/>
    <w:rsid w:val="0086075D"/>
    <w:rsid w:val="00861EF1"/>
    <w:rsid w:val="00862011"/>
    <w:rsid w:val="00862502"/>
    <w:rsid w:val="008627F8"/>
    <w:rsid w:val="00862AC7"/>
    <w:rsid w:val="00862CC1"/>
    <w:rsid w:val="00863577"/>
    <w:rsid w:val="0086397E"/>
    <w:rsid w:val="00863CBB"/>
    <w:rsid w:val="008642A7"/>
    <w:rsid w:val="008654A9"/>
    <w:rsid w:val="00865D10"/>
    <w:rsid w:val="00865F7E"/>
    <w:rsid w:val="00866066"/>
    <w:rsid w:val="008660D4"/>
    <w:rsid w:val="00866413"/>
    <w:rsid w:val="00866444"/>
    <w:rsid w:val="00866937"/>
    <w:rsid w:val="00866C3A"/>
    <w:rsid w:val="00866D73"/>
    <w:rsid w:val="00866E6F"/>
    <w:rsid w:val="0086726A"/>
    <w:rsid w:val="008677A8"/>
    <w:rsid w:val="008705CA"/>
    <w:rsid w:val="008707CF"/>
    <w:rsid w:val="00870B07"/>
    <w:rsid w:val="008716E6"/>
    <w:rsid w:val="00871AAF"/>
    <w:rsid w:val="00871FA9"/>
    <w:rsid w:val="00872341"/>
    <w:rsid w:val="008728E9"/>
    <w:rsid w:val="00872981"/>
    <w:rsid w:val="00872EFB"/>
    <w:rsid w:val="00873220"/>
    <w:rsid w:val="0087349B"/>
    <w:rsid w:val="00873681"/>
    <w:rsid w:val="00874268"/>
    <w:rsid w:val="00874458"/>
    <w:rsid w:val="008746C2"/>
    <w:rsid w:val="00874FF0"/>
    <w:rsid w:val="008750CE"/>
    <w:rsid w:val="008764DC"/>
    <w:rsid w:val="008764DF"/>
    <w:rsid w:val="00876999"/>
    <w:rsid w:val="0087721C"/>
    <w:rsid w:val="0087732A"/>
    <w:rsid w:val="00877680"/>
    <w:rsid w:val="008811CF"/>
    <w:rsid w:val="0088139E"/>
    <w:rsid w:val="0088187B"/>
    <w:rsid w:val="00881C9E"/>
    <w:rsid w:val="00881D54"/>
    <w:rsid w:val="00882874"/>
    <w:rsid w:val="00882E3C"/>
    <w:rsid w:val="0088308A"/>
    <w:rsid w:val="0088314A"/>
    <w:rsid w:val="008831B0"/>
    <w:rsid w:val="00883641"/>
    <w:rsid w:val="00883787"/>
    <w:rsid w:val="00884AE7"/>
    <w:rsid w:val="00884BA9"/>
    <w:rsid w:val="00884DCA"/>
    <w:rsid w:val="008855E4"/>
    <w:rsid w:val="008859B5"/>
    <w:rsid w:val="008863CC"/>
    <w:rsid w:val="00886A50"/>
    <w:rsid w:val="00886C68"/>
    <w:rsid w:val="00886CD2"/>
    <w:rsid w:val="00886EE6"/>
    <w:rsid w:val="00886F45"/>
    <w:rsid w:val="0088707D"/>
    <w:rsid w:val="0088734D"/>
    <w:rsid w:val="008878F1"/>
    <w:rsid w:val="00887C6A"/>
    <w:rsid w:val="008901D4"/>
    <w:rsid w:val="00890311"/>
    <w:rsid w:val="00890505"/>
    <w:rsid w:val="00890C0A"/>
    <w:rsid w:val="0089117F"/>
    <w:rsid w:val="0089130E"/>
    <w:rsid w:val="00891E6F"/>
    <w:rsid w:val="0089275D"/>
    <w:rsid w:val="00892844"/>
    <w:rsid w:val="00892A36"/>
    <w:rsid w:val="008930D6"/>
    <w:rsid w:val="008931CF"/>
    <w:rsid w:val="00893239"/>
    <w:rsid w:val="008941E5"/>
    <w:rsid w:val="0089420E"/>
    <w:rsid w:val="00894489"/>
    <w:rsid w:val="00894AB6"/>
    <w:rsid w:val="00894CD6"/>
    <w:rsid w:val="00895D50"/>
    <w:rsid w:val="00895FE7"/>
    <w:rsid w:val="008963A5"/>
    <w:rsid w:val="00896D5D"/>
    <w:rsid w:val="008A04C8"/>
    <w:rsid w:val="008A0872"/>
    <w:rsid w:val="008A12E7"/>
    <w:rsid w:val="008A1CF1"/>
    <w:rsid w:val="008A219D"/>
    <w:rsid w:val="008A2CB0"/>
    <w:rsid w:val="008A3066"/>
    <w:rsid w:val="008A30B9"/>
    <w:rsid w:val="008A3135"/>
    <w:rsid w:val="008A3158"/>
    <w:rsid w:val="008A32E2"/>
    <w:rsid w:val="008A3363"/>
    <w:rsid w:val="008A3371"/>
    <w:rsid w:val="008A3943"/>
    <w:rsid w:val="008A3C3E"/>
    <w:rsid w:val="008A4694"/>
    <w:rsid w:val="008A48B2"/>
    <w:rsid w:val="008A503B"/>
    <w:rsid w:val="008A532F"/>
    <w:rsid w:val="008A5594"/>
    <w:rsid w:val="008A5A39"/>
    <w:rsid w:val="008A5E40"/>
    <w:rsid w:val="008A69BF"/>
    <w:rsid w:val="008A6D52"/>
    <w:rsid w:val="008A6EFE"/>
    <w:rsid w:val="008A74B8"/>
    <w:rsid w:val="008A7748"/>
    <w:rsid w:val="008A78F8"/>
    <w:rsid w:val="008A79DE"/>
    <w:rsid w:val="008A7B61"/>
    <w:rsid w:val="008A7C6F"/>
    <w:rsid w:val="008B1757"/>
    <w:rsid w:val="008B1C33"/>
    <w:rsid w:val="008B1FE6"/>
    <w:rsid w:val="008B2DA5"/>
    <w:rsid w:val="008B2F02"/>
    <w:rsid w:val="008B3014"/>
    <w:rsid w:val="008B32B5"/>
    <w:rsid w:val="008B4B2D"/>
    <w:rsid w:val="008B4B6F"/>
    <w:rsid w:val="008B5002"/>
    <w:rsid w:val="008B5081"/>
    <w:rsid w:val="008B5345"/>
    <w:rsid w:val="008B55F7"/>
    <w:rsid w:val="008B5F74"/>
    <w:rsid w:val="008B5FD1"/>
    <w:rsid w:val="008B5FDD"/>
    <w:rsid w:val="008B6141"/>
    <w:rsid w:val="008B6781"/>
    <w:rsid w:val="008B6815"/>
    <w:rsid w:val="008B7992"/>
    <w:rsid w:val="008B7D7E"/>
    <w:rsid w:val="008C048A"/>
    <w:rsid w:val="008C055A"/>
    <w:rsid w:val="008C06C3"/>
    <w:rsid w:val="008C0FB2"/>
    <w:rsid w:val="008C1013"/>
    <w:rsid w:val="008C12DD"/>
    <w:rsid w:val="008C1959"/>
    <w:rsid w:val="008C260E"/>
    <w:rsid w:val="008C2F6C"/>
    <w:rsid w:val="008C2FEB"/>
    <w:rsid w:val="008C300C"/>
    <w:rsid w:val="008C4CAA"/>
    <w:rsid w:val="008C52B0"/>
    <w:rsid w:val="008C5610"/>
    <w:rsid w:val="008C5739"/>
    <w:rsid w:val="008C58DD"/>
    <w:rsid w:val="008C5912"/>
    <w:rsid w:val="008C6138"/>
    <w:rsid w:val="008C655F"/>
    <w:rsid w:val="008C6A37"/>
    <w:rsid w:val="008C6C7C"/>
    <w:rsid w:val="008C7282"/>
    <w:rsid w:val="008C777D"/>
    <w:rsid w:val="008C7800"/>
    <w:rsid w:val="008C78A4"/>
    <w:rsid w:val="008C7ECB"/>
    <w:rsid w:val="008D007E"/>
    <w:rsid w:val="008D2238"/>
    <w:rsid w:val="008D25AE"/>
    <w:rsid w:val="008D2916"/>
    <w:rsid w:val="008D303F"/>
    <w:rsid w:val="008D3148"/>
    <w:rsid w:val="008D3764"/>
    <w:rsid w:val="008D3A62"/>
    <w:rsid w:val="008D3B86"/>
    <w:rsid w:val="008D4005"/>
    <w:rsid w:val="008D418A"/>
    <w:rsid w:val="008D43FD"/>
    <w:rsid w:val="008D4755"/>
    <w:rsid w:val="008D4ADA"/>
    <w:rsid w:val="008D4B9B"/>
    <w:rsid w:val="008D4C3D"/>
    <w:rsid w:val="008D4C6D"/>
    <w:rsid w:val="008D4DB9"/>
    <w:rsid w:val="008D5291"/>
    <w:rsid w:val="008D52D0"/>
    <w:rsid w:val="008D5470"/>
    <w:rsid w:val="008D668C"/>
    <w:rsid w:val="008D6E62"/>
    <w:rsid w:val="008D71DB"/>
    <w:rsid w:val="008D7298"/>
    <w:rsid w:val="008D743C"/>
    <w:rsid w:val="008D7D31"/>
    <w:rsid w:val="008E066C"/>
    <w:rsid w:val="008E0B76"/>
    <w:rsid w:val="008E0D3C"/>
    <w:rsid w:val="008E1B9E"/>
    <w:rsid w:val="008E20A1"/>
    <w:rsid w:val="008E26A9"/>
    <w:rsid w:val="008E26F1"/>
    <w:rsid w:val="008E27BD"/>
    <w:rsid w:val="008E287E"/>
    <w:rsid w:val="008E293C"/>
    <w:rsid w:val="008E34F1"/>
    <w:rsid w:val="008E3606"/>
    <w:rsid w:val="008E39BE"/>
    <w:rsid w:val="008E3EB2"/>
    <w:rsid w:val="008E45AA"/>
    <w:rsid w:val="008E547E"/>
    <w:rsid w:val="008E54E4"/>
    <w:rsid w:val="008E55AB"/>
    <w:rsid w:val="008E560E"/>
    <w:rsid w:val="008E5BD7"/>
    <w:rsid w:val="008E5E4D"/>
    <w:rsid w:val="008E6238"/>
    <w:rsid w:val="008E6AE5"/>
    <w:rsid w:val="008E6D31"/>
    <w:rsid w:val="008E71B8"/>
    <w:rsid w:val="008E7408"/>
    <w:rsid w:val="008E7C63"/>
    <w:rsid w:val="008F02C1"/>
    <w:rsid w:val="008F0658"/>
    <w:rsid w:val="008F0D61"/>
    <w:rsid w:val="008F1006"/>
    <w:rsid w:val="008F120A"/>
    <w:rsid w:val="008F13F8"/>
    <w:rsid w:val="008F18EA"/>
    <w:rsid w:val="008F1EEA"/>
    <w:rsid w:val="008F2469"/>
    <w:rsid w:val="008F27E0"/>
    <w:rsid w:val="008F2AF6"/>
    <w:rsid w:val="008F35E4"/>
    <w:rsid w:val="008F3A76"/>
    <w:rsid w:val="008F44A3"/>
    <w:rsid w:val="008F4667"/>
    <w:rsid w:val="008F470B"/>
    <w:rsid w:val="008F48EB"/>
    <w:rsid w:val="008F4E40"/>
    <w:rsid w:val="008F4F0B"/>
    <w:rsid w:val="008F531F"/>
    <w:rsid w:val="008F568C"/>
    <w:rsid w:val="008F6769"/>
    <w:rsid w:val="008F6939"/>
    <w:rsid w:val="008F7EE6"/>
    <w:rsid w:val="00900063"/>
    <w:rsid w:val="00900375"/>
    <w:rsid w:val="00900C4B"/>
    <w:rsid w:val="00900C70"/>
    <w:rsid w:val="00900FD7"/>
    <w:rsid w:val="0090109C"/>
    <w:rsid w:val="00901293"/>
    <w:rsid w:val="00901670"/>
    <w:rsid w:val="00901869"/>
    <w:rsid w:val="00901BF9"/>
    <w:rsid w:val="00901DBF"/>
    <w:rsid w:val="0090278C"/>
    <w:rsid w:val="009027B6"/>
    <w:rsid w:val="00902DE8"/>
    <w:rsid w:val="0090384E"/>
    <w:rsid w:val="009039E7"/>
    <w:rsid w:val="00903A7D"/>
    <w:rsid w:val="00903BEB"/>
    <w:rsid w:val="009041D4"/>
    <w:rsid w:val="009046C4"/>
    <w:rsid w:val="00905374"/>
    <w:rsid w:val="009054AE"/>
    <w:rsid w:val="009055AF"/>
    <w:rsid w:val="00906114"/>
    <w:rsid w:val="009062A5"/>
    <w:rsid w:val="009070D7"/>
    <w:rsid w:val="009073CC"/>
    <w:rsid w:val="00907699"/>
    <w:rsid w:val="00907A93"/>
    <w:rsid w:val="00907BF4"/>
    <w:rsid w:val="0091083B"/>
    <w:rsid w:val="00910FA7"/>
    <w:rsid w:val="009111A9"/>
    <w:rsid w:val="0091126A"/>
    <w:rsid w:val="00911272"/>
    <w:rsid w:val="009112D2"/>
    <w:rsid w:val="00911339"/>
    <w:rsid w:val="00911473"/>
    <w:rsid w:val="00912EB1"/>
    <w:rsid w:val="009131F8"/>
    <w:rsid w:val="009132D6"/>
    <w:rsid w:val="00913464"/>
    <w:rsid w:val="009135D6"/>
    <w:rsid w:val="0091409B"/>
    <w:rsid w:val="009144BA"/>
    <w:rsid w:val="00914776"/>
    <w:rsid w:val="009148E0"/>
    <w:rsid w:val="00914C77"/>
    <w:rsid w:val="00914D7B"/>
    <w:rsid w:val="00914D91"/>
    <w:rsid w:val="00915DD4"/>
    <w:rsid w:val="00916326"/>
    <w:rsid w:val="0091692B"/>
    <w:rsid w:val="009173F9"/>
    <w:rsid w:val="00917645"/>
    <w:rsid w:val="0091765E"/>
    <w:rsid w:val="0091795B"/>
    <w:rsid w:val="009179B3"/>
    <w:rsid w:val="00917B30"/>
    <w:rsid w:val="00920658"/>
    <w:rsid w:val="009207C0"/>
    <w:rsid w:val="00920955"/>
    <w:rsid w:val="00920B89"/>
    <w:rsid w:val="00920C26"/>
    <w:rsid w:val="00920C6E"/>
    <w:rsid w:val="00921868"/>
    <w:rsid w:val="00921ACB"/>
    <w:rsid w:val="009221EC"/>
    <w:rsid w:val="009223B2"/>
    <w:rsid w:val="00922646"/>
    <w:rsid w:val="0092273C"/>
    <w:rsid w:val="00922D1A"/>
    <w:rsid w:val="009230DA"/>
    <w:rsid w:val="0092369B"/>
    <w:rsid w:val="00923774"/>
    <w:rsid w:val="00923A96"/>
    <w:rsid w:val="00924147"/>
    <w:rsid w:val="00924574"/>
    <w:rsid w:val="009247D7"/>
    <w:rsid w:val="00924EBD"/>
    <w:rsid w:val="009253D7"/>
    <w:rsid w:val="0092618C"/>
    <w:rsid w:val="009264D9"/>
    <w:rsid w:val="00927378"/>
    <w:rsid w:val="009276D3"/>
    <w:rsid w:val="009279F5"/>
    <w:rsid w:val="00927BF0"/>
    <w:rsid w:val="00930269"/>
    <w:rsid w:val="00930B13"/>
    <w:rsid w:val="00931ADA"/>
    <w:rsid w:val="00931F0B"/>
    <w:rsid w:val="00932327"/>
    <w:rsid w:val="00932D70"/>
    <w:rsid w:val="00934988"/>
    <w:rsid w:val="00934ADD"/>
    <w:rsid w:val="00935164"/>
    <w:rsid w:val="00935440"/>
    <w:rsid w:val="00935AF2"/>
    <w:rsid w:val="00935C9F"/>
    <w:rsid w:val="00935EED"/>
    <w:rsid w:val="0093614D"/>
    <w:rsid w:val="00936656"/>
    <w:rsid w:val="00936E87"/>
    <w:rsid w:val="00937089"/>
    <w:rsid w:val="00937354"/>
    <w:rsid w:val="00937998"/>
    <w:rsid w:val="009379EB"/>
    <w:rsid w:val="00937DD5"/>
    <w:rsid w:val="009403C3"/>
    <w:rsid w:val="00940485"/>
    <w:rsid w:val="009409F8"/>
    <w:rsid w:val="00941441"/>
    <w:rsid w:val="009414ED"/>
    <w:rsid w:val="009416FE"/>
    <w:rsid w:val="0094170C"/>
    <w:rsid w:val="00941983"/>
    <w:rsid w:val="00941E9B"/>
    <w:rsid w:val="0094212C"/>
    <w:rsid w:val="00942BA6"/>
    <w:rsid w:val="00943130"/>
    <w:rsid w:val="009435F8"/>
    <w:rsid w:val="009436B3"/>
    <w:rsid w:val="00943C14"/>
    <w:rsid w:val="009442F4"/>
    <w:rsid w:val="009444BE"/>
    <w:rsid w:val="009446F8"/>
    <w:rsid w:val="00944B81"/>
    <w:rsid w:val="00944F8A"/>
    <w:rsid w:val="00945126"/>
    <w:rsid w:val="00945535"/>
    <w:rsid w:val="009456F3"/>
    <w:rsid w:val="00945966"/>
    <w:rsid w:val="00946129"/>
    <w:rsid w:val="0094667A"/>
    <w:rsid w:val="009466EA"/>
    <w:rsid w:val="00946816"/>
    <w:rsid w:val="00946987"/>
    <w:rsid w:val="009500E1"/>
    <w:rsid w:val="00950605"/>
    <w:rsid w:val="00950A83"/>
    <w:rsid w:val="00950C90"/>
    <w:rsid w:val="00950F11"/>
    <w:rsid w:val="009510A2"/>
    <w:rsid w:val="00952470"/>
    <w:rsid w:val="00952899"/>
    <w:rsid w:val="00952A64"/>
    <w:rsid w:val="0095316B"/>
    <w:rsid w:val="00953257"/>
    <w:rsid w:val="00953B60"/>
    <w:rsid w:val="00953F2F"/>
    <w:rsid w:val="0095474C"/>
    <w:rsid w:val="00954E13"/>
    <w:rsid w:val="009551CB"/>
    <w:rsid w:val="009552D9"/>
    <w:rsid w:val="009561E2"/>
    <w:rsid w:val="009566DF"/>
    <w:rsid w:val="00956718"/>
    <w:rsid w:val="009574CC"/>
    <w:rsid w:val="009576EF"/>
    <w:rsid w:val="00957D92"/>
    <w:rsid w:val="0096035A"/>
    <w:rsid w:val="009605DF"/>
    <w:rsid w:val="00961111"/>
    <w:rsid w:val="00961497"/>
    <w:rsid w:val="00961771"/>
    <w:rsid w:val="00962CB9"/>
    <w:rsid w:val="00963ACA"/>
    <w:rsid w:val="00963ED4"/>
    <w:rsid w:val="00963FE8"/>
    <w:rsid w:val="00964312"/>
    <w:rsid w:val="009654D4"/>
    <w:rsid w:val="00965B8A"/>
    <w:rsid w:val="0096630C"/>
    <w:rsid w:val="00966BD7"/>
    <w:rsid w:val="00966CC7"/>
    <w:rsid w:val="00966F48"/>
    <w:rsid w:val="00967F55"/>
    <w:rsid w:val="0097071F"/>
    <w:rsid w:val="009709F8"/>
    <w:rsid w:val="00970ACA"/>
    <w:rsid w:val="00970C9B"/>
    <w:rsid w:val="00970E86"/>
    <w:rsid w:val="009717AC"/>
    <w:rsid w:val="009722CF"/>
    <w:rsid w:val="00972608"/>
    <w:rsid w:val="00972A3A"/>
    <w:rsid w:val="0097320A"/>
    <w:rsid w:val="0097368B"/>
    <w:rsid w:val="00974C46"/>
    <w:rsid w:val="00974FFE"/>
    <w:rsid w:val="009751C1"/>
    <w:rsid w:val="0097527E"/>
    <w:rsid w:val="00975F1A"/>
    <w:rsid w:val="009763B6"/>
    <w:rsid w:val="009763F6"/>
    <w:rsid w:val="0097683B"/>
    <w:rsid w:val="0097754E"/>
    <w:rsid w:val="00977784"/>
    <w:rsid w:val="00977D0B"/>
    <w:rsid w:val="00980148"/>
    <w:rsid w:val="00980CE2"/>
    <w:rsid w:val="00980FA8"/>
    <w:rsid w:val="009811F1"/>
    <w:rsid w:val="00981CC4"/>
    <w:rsid w:val="00981D5A"/>
    <w:rsid w:val="0098262F"/>
    <w:rsid w:val="00982FAE"/>
    <w:rsid w:val="009831FD"/>
    <w:rsid w:val="00983976"/>
    <w:rsid w:val="00983E57"/>
    <w:rsid w:val="00984362"/>
    <w:rsid w:val="00984E13"/>
    <w:rsid w:val="00985DE2"/>
    <w:rsid w:val="00986331"/>
    <w:rsid w:val="0098675D"/>
    <w:rsid w:val="00986786"/>
    <w:rsid w:val="00987B44"/>
    <w:rsid w:val="00987BA4"/>
    <w:rsid w:val="00987C33"/>
    <w:rsid w:val="00987CDC"/>
    <w:rsid w:val="0099015C"/>
    <w:rsid w:val="00990197"/>
    <w:rsid w:val="009907B8"/>
    <w:rsid w:val="009909EA"/>
    <w:rsid w:val="00991120"/>
    <w:rsid w:val="00991216"/>
    <w:rsid w:val="00991222"/>
    <w:rsid w:val="00991622"/>
    <w:rsid w:val="00991B29"/>
    <w:rsid w:val="009926E0"/>
    <w:rsid w:val="0099278F"/>
    <w:rsid w:val="00992F4B"/>
    <w:rsid w:val="009935FA"/>
    <w:rsid w:val="009937A6"/>
    <w:rsid w:val="009942A6"/>
    <w:rsid w:val="0099451E"/>
    <w:rsid w:val="0099473E"/>
    <w:rsid w:val="00995195"/>
    <w:rsid w:val="0099535A"/>
    <w:rsid w:val="00995610"/>
    <w:rsid w:val="00995DFE"/>
    <w:rsid w:val="00995E41"/>
    <w:rsid w:val="00995E6D"/>
    <w:rsid w:val="00995FFA"/>
    <w:rsid w:val="00996946"/>
    <w:rsid w:val="00996B1A"/>
    <w:rsid w:val="00996EF0"/>
    <w:rsid w:val="009970D4"/>
    <w:rsid w:val="009972A3"/>
    <w:rsid w:val="00997442"/>
    <w:rsid w:val="00997520"/>
    <w:rsid w:val="0099769C"/>
    <w:rsid w:val="009977E0"/>
    <w:rsid w:val="009A0079"/>
    <w:rsid w:val="009A07B6"/>
    <w:rsid w:val="009A1042"/>
    <w:rsid w:val="009A18B1"/>
    <w:rsid w:val="009A18F6"/>
    <w:rsid w:val="009A2DCC"/>
    <w:rsid w:val="009A38D8"/>
    <w:rsid w:val="009A4414"/>
    <w:rsid w:val="009A5385"/>
    <w:rsid w:val="009A5ABC"/>
    <w:rsid w:val="009A6102"/>
    <w:rsid w:val="009A76F9"/>
    <w:rsid w:val="009A7B35"/>
    <w:rsid w:val="009A7F10"/>
    <w:rsid w:val="009A7F51"/>
    <w:rsid w:val="009B0051"/>
    <w:rsid w:val="009B00B6"/>
    <w:rsid w:val="009B01E9"/>
    <w:rsid w:val="009B03DB"/>
    <w:rsid w:val="009B1543"/>
    <w:rsid w:val="009B1545"/>
    <w:rsid w:val="009B1629"/>
    <w:rsid w:val="009B2550"/>
    <w:rsid w:val="009B3481"/>
    <w:rsid w:val="009B37E9"/>
    <w:rsid w:val="009B3E26"/>
    <w:rsid w:val="009B3EBE"/>
    <w:rsid w:val="009B3EF3"/>
    <w:rsid w:val="009B4E90"/>
    <w:rsid w:val="009B4F0D"/>
    <w:rsid w:val="009B590F"/>
    <w:rsid w:val="009B5B39"/>
    <w:rsid w:val="009B5FDC"/>
    <w:rsid w:val="009B6F2D"/>
    <w:rsid w:val="009B708C"/>
    <w:rsid w:val="009B7596"/>
    <w:rsid w:val="009B7897"/>
    <w:rsid w:val="009B7F55"/>
    <w:rsid w:val="009C0A64"/>
    <w:rsid w:val="009C11DB"/>
    <w:rsid w:val="009C1271"/>
    <w:rsid w:val="009C3706"/>
    <w:rsid w:val="009C3A3A"/>
    <w:rsid w:val="009C3D75"/>
    <w:rsid w:val="009C426B"/>
    <w:rsid w:val="009C4AF2"/>
    <w:rsid w:val="009C4B31"/>
    <w:rsid w:val="009C4C32"/>
    <w:rsid w:val="009C4EC7"/>
    <w:rsid w:val="009C5906"/>
    <w:rsid w:val="009C5A0B"/>
    <w:rsid w:val="009C5EBB"/>
    <w:rsid w:val="009C6300"/>
    <w:rsid w:val="009C65AC"/>
    <w:rsid w:val="009C6CEA"/>
    <w:rsid w:val="009C73A0"/>
    <w:rsid w:val="009C7B85"/>
    <w:rsid w:val="009D0254"/>
    <w:rsid w:val="009D0666"/>
    <w:rsid w:val="009D097D"/>
    <w:rsid w:val="009D0AFF"/>
    <w:rsid w:val="009D0CA7"/>
    <w:rsid w:val="009D120F"/>
    <w:rsid w:val="009D1344"/>
    <w:rsid w:val="009D1746"/>
    <w:rsid w:val="009D1888"/>
    <w:rsid w:val="009D1998"/>
    <w:rsid w:val="009D1A64"/>
    <w:rsid w:val="009D21DC"/>
    <w:rsid w:val="009D2987"/>
    <w:rsid w:val="009D3602"/>
    <w:rsid w:val="009D3670"/>
    <w:rsid w:val="009D3A19"/>
    <w:rsid w:val="009D3E32"/>
    <w:rsid w:val="009D4029"/>
    <w:rsid w:val="009D4710"/>
    <w:rsid w:val="009D4BF2"/>
    <w:rsid w:val="009D537D"/>
    <w:rsid w:val="009D589E"/>
    <w:rsid w:val="009D5B91"/>
    <w:rsid w:val="009D5E21"/>
    <w:rsid w:val="009D626D"/>
    <w:rsid w:val="009D65ED"/>
    <w:rsid w:val="009D6651"/>
    <w:rsid w:val="009D792E"/>
    <w:rsid w:val="009D7CD3"/>
    <w:rsid w:val="009E054E"/>
    <w:rsid w:val="009E0DFE"/>
    <w:rsid w:val="009E1238"/>
    <w:rsid w:val="009E15CA"/>
    <w:rsid w:val="009E1821"/>
    <w:rsid w:val="009E2D86"/>
    <w:rsid w:val="009E31F6"/>
    <w:rsid w:val="009E3599"/>
    <w:rsid w:val="009E3642"/>
    <w:rsid w:val="009E3998"/>
    <w:rsid w:val="009E3D3C"/>
    <w:rsid w:val="009E4042"/>
    <w:rsid w:val="009E41D1"/>
    <w:rsid w:val="009E4C07"/>
    <w:rsid w:val="009E59BA"/>
    <w:rsid w:val="009E67B4"/>
    <w:rsid w:val="009E69CA"/>
    <w:rsid w:val="009E6A71"/>
    <w:rsid w:val="009E6F71"/>
    <w:rsid w:val="009E777F"/>
    <w:rsid w:val="009E7A2C"/>
    <w:rsid w:val="009E7D18"/>
    <w:rsid w:val="009F1790"/>
    <w:rsid w:val="009F1B25"/>
    <w:rsid w:val="009F1FEE"/>
    <w:rsid w:val="009F2229"/>
    <w:rsid w:val="009F3218"/>
    <w:rsid w:val="009F3231"/>
    <w:rsid w:val="009F35F2"/>
    <w:rsid w:val="009F365F"/>
    <w:rsid w:val="009F40D6"/>
    <w:rsid w:val="009F4834"/>
    <w:rsid w:val="009F48A9"/>
    <w:rsid w:val="009F501B"/>
    <w:rsid w:val="009F5181"/>
    <w:rsid w:val="009F54B8"/>
    <w:rsid w:val="009F5F73"/>
    <w:rsid w:val="009F6120"/>
    <w:rsid w:val="009F6F24"/>
    <w:rsid w:val="009F7148"/>
    <w:rsid w:val="009F72D8"/>
    <w:rsid w:val="009F7607"/>
    <w:rsid w:val="00A00D76"/>
    <w:rsid w:val="00A00DC6"/>
    <w:rsid w:val="00A01184"/>
    <w:rsid w:val="00A01449"/>
    <w:rsid w:val="00A0170D"/>
    <w:rsid w:val="00A01875"/>
    <w:rsid w:val="00A01985"/>
    <w:rsid w:val="00A01A38"/>
    <w:rsid w:val="00A01CBD"/>
    <w:rsid w:val="00A0213F"/>
    <w:rsid w:val="00A024D9"/>
    <w:rsid w:val="00A02E55"/>
    <w:rsid w:val="00A037C2"/>
    <w:rsid w:val="00A03D43"/>
    <w:rsid w:val="00A042B7"/>
    <w:rsid w:val="00A04380"/>
    <w:rsid w:val="00A04786"/>
    <w:rsid w:val="00A04F66"/>
    <w:rsid w:val="00A051E6"/>
    <w:rsid w:val="00A05472"/>
    <w:rsid w:val="00A0594E"/>
    <w:rsid w:val="00A05C23"/>
    <w:rsid w:val="00A05C32"/>
    <w:rsid w:val="00A05E71"/>
    <w:rsid w:val="00A0653F"/>
    <w:rsid w:val="00A066C6"/>
    <w:rsid w:val="00A07603"/>
    <w:rsid w:val="00A07843"/>
    <w:rsid w:val="00A07CE7"/>
    <w:rsid w:val="00A10062"/>
    <w:rsid w:val="00A1108C"/>
    <w:rsid w:val="00A11690"/>
    <w:rsid w:val="00A11A0C"/>
    <w:rsid w:val="00A11CD0"/>
    <w:rsid w:val="00A124BD"/>
    <w:rsid w:val="00A12A5F"/>
    <w:rsid w:val="00A12ED5"/>
    <w:rsid w:val="00A13948"/>
    <w:rsid w:val="00A145A5"/>
    <w:rsid w:val="00A14AD3"/>
    <w:rsid w:val="00A15406"/>
    <w:rsid w:val="00A1549E"/>
    <w:rsid w:val="00A1555B"/>
    <w:rsid w:val="00A155C5"/>
    <w:rsid w:val="00A169B6"/>
    <w:rsid w:val="00A16AD8"/>
    <w:rsid w:val="00A17B24"/>
    <w:rsid w:val="00A200DA"/>
    <w:rsid w:val="00A2021E"/>
    <w:rsid w:val="00A20556"/>
    <w:rsid w:val="00A20BC3"/>
    <w:rsid w:val="00A20C5B"/>
    <w:rsid w:val="00A20D91"/>
    <w:rsid w:val="00A20E96"/>
    <w:rsid w:val="00A20EA6"/>
    <w:rsid w:val="00A21B3B"/>
    <w:rsid w:val="00A21C95"/>
    <w:rsid w:val="00A21CF3"/>
    <w:rsid w:val="00A232D5"/>
    <w:rsid w:val="00A23FF8"/>
    <w:rsid w:val="00A24813"/>
    <w:rsid w:val="00A24A9B"/>
    <w:rsid w:val="00A24E73"/>
    <w:rsid w:val="00A24F12"/>
    <w:rsid w:val="00A25590"/>
    <w:rsid w:val="00A26A57"/>
    <w:rsid w:val="00A26B5B"/>
    <w:rsid w:val="00A26BAC"/>
    <w:rsid w:val="00A27AEC"/>
    <w:rsid w:val="00A27FEA"/>
    <w:rsid w:val="00A303FB"/>
    <w:rsid w:val="00A307F7"/>
    <w:rsid w:val="00A30B12"/>
    <w:rsid w:val="00A31104"/>
    <w:rsid w:val="00A31358"/>
    <w:rsid w:val="00A31E9B"/>
    <w:rsid w:val="00A320DB"/>
    <w:rsid w:val="00A33067"/>
    <w:rsid w:val="00A331E5"/>
    <w:rsid w:val="00A34006"/>
    <w:rsid w:val="00A34397"/>
    <w:rsid w:val="00A346E0"/>
    <w:rsid w:val="00A34BF4"/>
    <w:rsid w:val="00A34CE2"/>
    <w:rsid w:val="00A3514C"/>
    <w:rsid w:val="00A353A4"/>
    <w:rsid w:val="00A3579A"/>
    <w:rsid w:val="00A35D16"/>
    <w:rsid w:val="00A35D78"/>
    <w:rsid w:val="00A35D89"/>
    <w:rsid w:val="00A35E41"/>
    <w:rsid w:val="00A361E7"/>
    <w:rsid w:val="00A37368"/>
    <w:rsid w:val="00A374E3"/>
    <w:rsid w:val="00A37551"/>
    <w:rsid w:val="00A37BCD"/>
    <w:rsid w:val="00A37FDA"/>
    <w:rsid w:val="00A40981"/>
    <w:rsid w:val="00A40BA2"/>
    <w:rsid w:val="00A40C22"/>
    <w:rsid w:val="00A410B9"/>
    <w:rsid w:val="00A4142D"/>
    <w:rsid w:val="00A41689"/>
    <w:rsid w:val="00A418E5"/>
    <w:rsid w:val="00A4190E"/>
    <w:rsid w:val="00A42592"/>
    <w:rsid w:val="00A42B0B"/>
    <w:rsid w:val="00A43173"/>
    <w:rsid w:val="00A43342"/>
    <w:rsid w:val="00A43C59"/>
    <w:rsid w:val="00A43F3D"/>
    <w:rsid w:val="00A4561A"/>
    <w:rsid w:val="00A45C64"/>
    <w:rsid w:val="00A45E67"/>
    <w:rsid w:val="00A47301"/>
    <w:rsid w:val="00A47816"/>
    <w:rsid w:val="00A50278"/>
    <w:rsid w:val="00A503F6"/>
    <w:rsid w:val="00A50529"/>
    <w:rsid w:val="00A506BB"/>
    <w:rsid w:val="00A50980"/>
    <w:rsid w:val="00A50D99"/>
    <w:rsid w:val="00A50ECD"/>
    <w:rsid w:val="00A5131E"/>
    <w:rsid w:val="00A518F3"/>
    <w:rsid w:val="00A51B22"/>
    <w:rsid w:val="00A51BB6"/>
    <w:rsid w:val="00A51D7A"/>
    <w:rsid w:val="00A52729"/>
    <w:rsid w:val="00A527AD"/>
    <w:rsid w:val="00A53675"/>
    <w:rsid w:val="00A538AF"/>
    <w:rsid w:val="00A54379"/>
    <w:rsid w:val="00A54728"/>
    <w:rsid w:val="00A55360"/>
    <w:rsid w:val="00A55CE1"/>
    <w:rsid w:val="00A564D7"/>
    <w:rsid w:val="00A5656E"/>
    <w:rsid w:val="00A56B6A"/>
    <w:rsid w:val="00A56E7E"/>
    <w:rsid w:val="00A56F14"/>
    <w:rsid w:val="00A57073"/>
    <w:rsid w:val="00A57306"/>
    <w:rsid w:val="00A578DC"/>
    <w:rsid w:val="00A60001"/>
    <w:rsid w:val="00A606DE"/>
    <w:rsid w:val="00A6088F"/>
    <w:rsid w:val="00A611D6"/>
    <w:rsid w:val="00A61B9F"/>
    <w:rsid w:val="00A61EDD"/>
    <w:rsid w:val="00A62002"/>
    <w:rsid w:val="00A6292B"/>
    <w:rsid w:val="00A62B52"/>
    <w:rsid w:val="00A62C3C"/>
    <w:rsid w:val="00A633C2"/>
    <w:rsid w:val="00A640E2"/>
    <w:rsid w:val="00A6425A"/>
    <w:rsid w:val="00A6463B"/>
    <w:rsid w:val="00A64D65"/>
    <w:rsid w:val="00A64DC8"/>
    <w:rsid w:val="00A65354"/>
    <w:rsid w:val="00A65431"/>
    <w:rsid w:val="00A656CE"/>
    <w:rsid w:val="00A6594D"/>
    <w:rsid w:val="00A66CA3"/>
    <w:rsid w:val="00A6725B"/>
    <w:rsid w:val="00A6748E"/>
    <w:rsid w:val="00A674E6"/>
    <w:rsid w:val="00A67931"/>
    <w:rsid w:val="00A67D49"/>
    <w:rsid w:val="00A7027C"/>
    <w:rsid w:val="00A70605"/>
    <w:rsid w:val="00A716F9"/>
    <w:rsid w:val="00A71E89"/>
    <w:rsid w:val="00A720A7"/>
    <w:rsid w:val="00A72E7D"/>
    <w:rsid w:val="00A73105"/>
    <w:rsid w:val="00A73134"/>
    <w:rsid w:val="00A733F6"/>
    <w:rsid w:val="00A7365A"/>
    <w:rsid w:val="00A73EDA"/>
    <w:rsid w:val="00A743E6"/>
    <w:rsid w:val="00A7504A"/>
    <w:rsid w:val="00A76001"/>
    <w:rsid w:val="00A7606C"/>
    <w:rsid w:val="00A763F3"/>
    <w:rsid w:val="00A76431"/>
    <w:rsid w:val="00A76774"/>
    <w:rsid w:val="00A76A58"/>
    <w:rsid w:val="00A76F31"/>
    <w:rsid w:val="00A7703D"/>
    <w:rsid w:val="00A777B2"/>
    <w:rsid w:val="00A77CE2"/>
    <w:rsid w:val="00A77E7C"/>
    <w:rsid w:val="00A804CE"/>
    <w:rsid w:val="00A80659"/>
    <w:rsid w:val="00A80E65"/>
    <w:rsid w:val="00A81023"/>
    <w:rsid w:val="00A816A9"/>
    <w:rsid w:val="00A8206C"/>
    <w:rsid w:val="00A825D4"/>
    <w:rsid w:val="00A826D1"/>
    <w:rsid w:val="00A828F6"/>
    <w:rsid w:val="00A82B73"/>
    <w:rsid w:val="00A82BEA"/>
    <w:rsid w:val="00A8393C"/>
    <w:rsid w:val="00A83BCF"/>
    <w:rsid w:val="00A8411A"/>
    <w:rsid w:val="00A84972"/>
    <w:rsid w:val="00A8497A"/>
    <w:rsid w:val="00A85E80"/>
    <w:rsid w:val="00A85ED7"/>
    <w:rsid w:val="00A85EE6"/>
    <w:rsid w:val="00A86A85"/>
    <w:rsid w:val="00A86C46"/>
    <w:rsid w:val="00A86E8B"/>
    <w:rsid w:val="00A870C1"/>
    <w:rsid w:val="00A87164"/>
    <w:rsid w:val="00A871A9"/>
    <w:rsid w:val="00A87572"/>
    <w:rsid w:val="00A878F5"/>
    <w:rsid w:val="00A904A8"/>
    <w:rsid w:val="00A91224"/>
    <w:rsid w:val="00A91A3F"/>
    <w:rsid w:val="00A91AF5"/>
    <w:rsid w:val="00A93072"/>
    <w:rsid w:val="00A938BD"/>
    <w:rsid w:val="00A93953"/>
    <w:rsid w:val="00A93C13"/>
    <w:rsid w:val="00A93C98"/>
    <w:rsid w:val="00A93F02"/>
    <w:rsid w:val="00A94BF7"/>
    <w:rsid w:val="00A95050"/>
    <w:rsid w:val="00A95577"/>
    <w:rsid w:val="00A9586D"/>
    <w:rsid w:val="00A959D8"/>
    <w:rsid w:val="00A9654F"/>
    <w:rsid w:val="00A96B65"/>
    <w:rsid w:val="00A9731F"/>
    <w:rsid w:val="00A974EB"/>
    <w:rsid w:val="00A97704"/>
    <w:rsid w:val="00A97DCB"/>
    <w:rsid w:val="00AA0183"/>
    <w:rsid w:val="00AA113D"/>
    <w:rsid w:val="00AA18E8"/>
    <w:rsid w:val="00AA1960"/>
    <w:rsid w:val="00AA1E3B"/>
    <w:rsid w:val="00AA2B25"/>
    <w:rsid w:val="00AA2DBB"/>
    <w:rsid w:val="00AA2FF9"/>
    <w:rsid w:val="00AA3228"/>
    <w:rsid w:val="00AA37EF"/>
    <w:rsid w:val="00AA3867"/>
    <w:rsid w:val="00AA39D7"/>
    <w:rsid w:val="00AA5B1E"/>
    <w:rsid w:val="00AA6A2A"/>
    <w:rsid w:val="00AA6BD5"/>
    <w:rsid w:val="00AA6BD8"/>
    <w:rsid w:val="00AA6C7D"/>
    <w:rsid w:val="00AA7434"/>
    <w:rsid w:val="00AA744B"/>
    <w:rsid w:val="00AA7715"/>
    <w:rsid w:val="00AA7BB2"/>
    <w:rsid w:val="00AA7C8D"/>
    <w:rsid w:val="00AA7CBB"/>
    <w:rsid w:val="00AA7FD6"/>
    <w:rsid w:val="00AA7FEF"/>
    <w:rsid w:val="00AB042A"/>
    <w:rsid w:val="00AB1003"/>
    <w:rsid w:val="00AB104B"/>
    <w:rsid w:val="00AB11AD"/>
    <w:rsid w:val="00AB178C"/>
    <w:rsid w:val="00AB19EF"/>
    <w:rsid w:val="00AB1B89"/>
    <w:rsid w:val="00AB2495"/>
    <w:rsid w:val="00AB27E8"/>
    <w:rsid w:val="00AB2BA3"/>
    <w:rsid w:val="00AB2C00"/>
    <w:rsid w:val="00AB2C5D"/>
    <w:rsid w:val="00AB2D34"/>
    <w:rsid w:val="00AB33B9"/>
    <w:rsid w:val="00AB3430"/>
    <w:rsid w:val="00AB3596"/>
    <w:rsid w:val="00AB37B9"/>
    <w:rsid w:val="00AB3C07"/>
    <w:rsid w:val="00AB44A9"/>
    <w:rsid w:val="00AB4A43"/>
    <w:rsid w:val="00AB4A4B"/>
    <w:rsid w:val="00AB4AD1"/>
    <w:rsid w:val="00AB5312"/>
    <w:rsid w:val="00AB54D5"/>
    <w:rsid w:val="00AB587F"/>
    <w:rsid w:val="00AB5A1D"/>
    <w:rsid w:val="00AB5A80"/>
    <w:rsid w:val="00AB5DCF"/>
    <w:rsid w:val="00AB5E07"/>
    <w:rsid w:val="00AB5F46"/>
    <w:rsid w:val="00AB6360"/>
    <w:rsid w:val="00AB6386"/>
    <w:rsid w:val="00AB6928"/>
    <w:rsid w:val="00AB7CFA"/>
    <w:rsid w:val="00AC0007"/>
    <w:rsid w:val="00AC01DF"/>
    <w:rsid w:val="00AC05C4"/>
    <w:rsid w:val="00AC0DE8"/>
    <w:rsid w:val="00AC0FC1"/>
    <w:rsid w:val="00AC1642"/>
    <w:rsid w:val="00AC1F18"/>
    <w:rsid w:val="00AC2024"/>
    <w:rsid w:val="00AC2380"/>
    <w:rsid w:val="00AC295B"/>
    <w:rsid w:val="00AC2984"/>
    <w:rsid w:val="00AC2B94"/>
    <w:rsid w:val="00AC2BE9"/>
    <w:rsid w:val="00AC3085"/>
    <w:rsid w:val="00AC32F3"/>
    <w:rsid w:val="00AC3B8B"/>
    <w:rsid w:val="00AC4CF7"/>
    <w:rsid w:val="00AC50DD"/>
    <w:rsid w:val="00AC5B42"/>
    <w:rsid w:val="00AC5B48"/>
    <w:rsid w:val="00AC5F68"/>
    <w:rsid w:val="00AC651C"/>
    <w:rsid w:val="00AC6AC1"/>
    <w:rsid w:val="00AC6B98"/>
    <w:rsid w:val="00AC7055"/>
    <w:rsid w:val="00AC71E5"/>
    <w:rsid w:val="00AD0C1D"/>
    <w:rsid w:val="00AD1450"/>
    <w:rsid w:val="00AD15E8"/>
    <w:rsid w:val="00AD1BB0"/>
    <w:rsid w:val="00AD1C8F"/>
    <w:rsid w:val="00AD227B"/>
    <w:rsid w:val="00AD269A"/>
    <w:rsid w:val="00AD2CBF"/>
    <w:rsid w:val="00AD2CC3"/>
    <w:rsid w:val="00AD3168"/>
    <w:rsid w:val="00AD33B5"/>
    <w:rsid w:val="00AD356D"/>
    <w:rsid w:val="00AD3D51"/>
    <w:rsid w:val="00AD4101"/>
    <w:rsid w:val="00AD411F"/>
    <w:rsid w:val="00AD43AA"/>
    <w:rsid w:val="00AD4AAC"/>
    <w:rsid w:val="00AD5CA6"/>
    <w:rsid w:val="00AD5FB4"/>
    <w:rsid w:val="00AD612D"/>
    <w:rsid w:val="00AD6502"/>
    <w:rsid w:val="00AD6D58"/>
    <w:rsid w:val="00AD6D8E"/>
    <w:rsid w:val="00AD6F42"/>
    <w:rsid w:val="00AD7116"/>
    <w:rsid w:val="00AD76E4"/>
    <w:rsid w:val="00AE012B"/>
    <w:rsid w:val="00AE0603"/>
    <w:rsid w:val="00AE0695"/>
    <w:rsid w:val="00AE15F9"/>
    <w:rsid w:val="00AE2377"/>
    <w:rsid w:val="00AE2EAF"/>
    <w:rsid w:val="00AE34BB"/>
    <w:rsid w:val="00AE377E"/>
    <w:rsid w:val="00AE3E7E"/>
    <w:rsid w:val="00AE4406"/>
    <w:rsid w:val="00AE4827"/>
    <w:rsid w:val="00AE4BDB"/>
    <w:rsid w:val="00AE4DE4"/>
    <w:rsid w:val="00AE4E27"/>
    <w:rsid w:val="00AE4F4B"/>
    <w:rsid w:val="00AE51FA"/>
    <w:rsid w:val="00AE59A6"/>
    <w:rsid w:val="00AE6A87"/>
    <w:rsid w:val="00AE7D84"/>
    <w:rsid w:val="00AE7E53"/>
    <w:rsid w:val="00AF0371"/>
    <w:rsid w:val="00AF0610"/>
    <w:rsid w:val="00AF0A7F"/>
    <w:rsid w:val="00AF0DB2"/>
    <w:rsid w:val="00AF1315"/>
    <w:rsid w:val="00AF145B"/>
    <w:rsid w:val="00AF19BF"/>
    <w:rsid w:val="00AF1AD6"/>
    <w:rsid w:val="00AF1CC4"/>
    <w:rsid w:val="00AF2DC3"/>
    <w:rsid w:val="00AF3285"/>
    <w:rsid w:val="00AF3B0A"/>
    <w:rsid w:val="00AF421B"/>
    <w:rsid w:val="00AF4A82"/>
    <w:rsid w:val="00AF4AE6"/>
    <w:rsid w:val="00AF4C84"/>
    <w:rsid w:val="00AF505A"/>
    <w:rsid w:val="00AF54B3"/>
    <w:rsid w:val="00AF6163"/>
    <w:rsid w:val="00AF6686"/>
    <w:rsid w:val="00AF67E1"/>
    <w:rsid w:val="00AF6E92"/>
    <w:rsid w:val="00AF71DA"/>
    <w:rsid w:val="00AF73AF"/>
    <w:rsid w:val="00AF74FA"/>
    <w:rsid w:val="00AF7CC8"/>
    <w:rsid w:val="00B0072B"/>
    <w:rsid w:val="00B00733"/>
    <w:rsid w:val="00B00A67"/>
    <w:rsid w:val="00B00CBF"/>
    <w:rsid w:val="00B00CD7"/>
    <w:rsid w:val="00B01205"/>
    <w:rsid w:val="00B016E3"/>
    <w:rsid w:val="00B01802"/>
    <w:rsid w:val="00B01DFE"/>
    <w:rsid w:val="00B0287A"/>
    <w:rsid w:val="00B0295B"/>
    <w:rsid w:val="00B02AE5"/>
    <w:rsid w:val="00B030D3"/>
    <w:rsid w:val="00B033E5"/>
    <w:rsid w:val="00B03A63"/>
    <w:rsid w:val="00B03E3E"/>
    <w:rsid w:val="00B04487"/>
    <w:rsid w:val="00B0470A"/>
    <w:rsid w:val="00B04AB8"/>
    <w:rsid w:val="00B05473"/>
    <w:rsid w:val="00B055FC"/>
    <w:rsid w:val="00B059D4"/>
    <w:rsid w:val="00B05B5A"/>
    <w:rsid w:val="00B06369"/>
    <w:rsid w:val="00B0650A"/>
    <w:rsid w:val="00B06873"/>
    <w:rsid w:val="00B0693B"/>
    <w:rsid w:val="00B06AE4"/>
    <w:rsid w:val="00B06B88"/>
    <w:rsid w:val="00B07520"/>
    <w:rsid w:val="00B07A40"/>
    <w:rsid w:val="00B07AB3"/>
    <w:rsid w:val="00B07E2E"/>
    <w:rsid w:val="00B111A7"/>
    <w:rsid w:val="00B1152B"/>
    <w:rsid w:val="00B1166A"/>
    <w:rsid w:val="00B1183C"/>
    <w:rsid w:val="00B11D21"/>
    <w:rsid w:val="00B12007"/>
    <w:rsid w:val="00B129A4"/>
    <w:rsid w:val="00B12D46"/>
    <w:rsid w:val="00B12D6A"/>
    <w:rsid w:val="00B12E66"/>
    <w:rsid w:val="00B1353A"/>
    <w:rsid w:val="00B1353D"/>
    <w:rsid w:val="00B13A22"/>
    <w:rsid w:val="00B13B40"/>
    <w:rsid w:val="00B14B08"/>
    <w:rsid w:val="00B150C0"/>
    <w:rsid w:val="00B158F4"/>
    <w:rsid w:val="00B1691A"/>
    <w:rsid w:val="00B16B1C"/>
    <w:rsid w:val="00B17143"/>
    <w:rsid w:val="00B175AE"/>
    <w:rsid w:val="00B17D89"/>
    <w:rsid w:val="00B201A4"/>
    <w:rsid w:val="00B201D1"/>
    <w:rsid w:val="00B20489"/>
    <w:rsid w:val="00B2113B"/>
    <w:rsid w:val="00B213A6"/>
    <w:rsid w:val="00B2159A"/>
    <w:rsid w:val="00B22239"/>
    <w:rsid w:val="00B223F9"/>
    <w:rsid w:val="00B22560"/>
    <w:rsid w:val="00B2277F"/>
    <w:rsid w:val="00B23599"/>
    <w:rsid w:val="00B235B0"/>
    <w:rsid w:val="00B24DD1"/>
    <w:rsid w:val="00B24DF6"/>
    <w:rsid w:val="00B2518A"/>
    <w:rsid w:val="00B25ECD"/>
    <w:rsid w:val="00B26018"/>
    <w:rsid w:val="00B264FB"/>
    <w:rsid w:val="00B27738"/>
    <w:rsid w:val="00B27A61"/>
    <w:rsid w:val="00B27D9E"/>
    <w:rsid w:val="00B303AD"/>
    <w:rsid w:val="00B3084B"/>
    <w:rsid w:val="00B308F1"/>
    <w:rsid w:val="00B30BB3"/>
    <w:rsid w:val="00B31301"/>
    <w:rsid w:val="00B314CF"/>
    <w:rsid w:val="00B31535"/>
    <w:rsid w:val="00B31A20"/>
    <w:rsid w:val="00B31DC8"/>
    <w:rsid w:val="00B31F6D"/>
    <w:rsid w:val="00B3244C"/>
    <w:rsid w:val="00B32712"/>
    <w:rsid w:val="00B3285C"/>
    <w:rsid w:val="00B329F4"/>
    <w:rsid w:val="00B32A11"/>
    <w:rsid w:val="00B33CCA"/>
    <w:rsid w:val="00B3410C"/>
    <w:rsid w:val="00B347A6"/>
    <w:rsid w:val="00B3491A"/>
    <w:rsid w:val="00B34FE2"/>
    <w:rsid w:val="00B35166"/>
    <w:rsid w:val="00B357D8"/>
    <w:rsid w:val="00B35D28"/>
    <w:rsid w:val="00B3604B"/>
    <w:rsid w:val="00B360F4"/>
    <w:rsid w:val="00B361F2"/>
    <w:rsid w:val="00B369B7"/>
    <w:rsid w:val="00B36A00"/>
    <w:rsid w:val="00B374C2"/>
    <w:rsid w:val="00B3792B"/>
    <w:rsid w:val="00B37B70"/>
    <w:rsid w:val="00B37BFC"/>
    <w:rsid w:val="00B40195"/>
    <w:rsid w:val="00B40358"/>
    <w:rsid w:val="00B41371"/>
    <w:rsid w:val="00B41614"/>
    <w:rsid w:val="00B41F9B"/>
    <w:rsid w:val="00B424D5"/>
    <w:rsid w:val="00B42775"/>
    <w:rsid w:val="00B42851"/>
    <w:rsid w:val="00B42B4D"/>
    <w:rsid w:val="00B42F80"/>
    <w:rsid w:val="00B435A5"/>
    <w:rsid w:val="00B435CB"/>
    <w:rsid w:val="00B435E5"/>
    <w:rsid w:val="00B4388E"/>
    <w:rsid w:val="00B43976"/>
    <w:rsid w:val="00B44634"/>
    <w:rsid w:val="00B44C50"/>
    <w:rsid w:val="00B4564A"/>
    <w:rsid w:val="00B45857"/>
    <w:rsid w:val="00B459D1"/>
    <w:rsid w:val="00B45B81"/>
    <w:rsid w:val="00B45BA8"/>
    <w:rsid w:val="00B465EC"/>
    <w:rsid w:val="00B46AC7"/>
    <w:rsid w:val="00B46B72"/>
    <w:rsid w:val="00B46D4D"/>
    <w:rsid w:val="00B46E2D"/>
    <w:rsid w:val="00B47D8E"/>
    <w:rsid w:val="00B50164"/>
    <w:rsid w:val="00B50517"/>
    <w:rsid w:val="00B505C8"/>
    <w:rsid w:val="00B50617"/>
    <w:rsid w:val="00B509D5"/>
    <w:rsid w:val="00B50D20"/>
    <w:rsid w:val="00B50DB8"/>
    <w:rsid w:val="00B50EB3"/>
    <w:rsid w:val="00B5124A"/>
    <w:rsid w:val="00B52031"/>
    <w:rsid w:val="00B52756"/>
    <w:rsid w:val="00B5278A"/>
    <w:rsid w:val="00B52BB4"/>
    <w:rsid w:val="00B52D86"/>
    <w:rsid w:val="00B52F19"/>
    <w:rsid w:val="00B53654"/>
    <w:rsid w:val="00B53905"/>
    <w:rsid w:val="00B539DE"/>
    <w:rsid w:val="00B53AC7"/>
    <w:rsid w:val="00B53BAD"/>
    <w:rsid w:val="00B53C96"/>
    <w:rsid w:val="00B546DB"/>
    <w:rsid w:val="00B548C9"/>
    <w:rsid w:val="00B54B5B"/>
    <w:rsid w:val="00B54CBA"/>
    <w:rsid w:val="00B5562E"/>
    <w:rsid w:val="00B55862"/>
    <w:rsid w:val="00B558DF"/>
    <w:rsid w:val="00B55D65"/>
    <w:rsid w:val="00B56305"/>
    <w:rsid w:val="00B56321"/>
    <w:rsid w:val="00B57000"/>
    <w:rsid w:val="00B570C2"/>
    <w:rsid w:val="00B5722D"/>
    <w:rsid w:val="00B57664"/>
    <w:rsid w:val="00B577DE"/>
    <w:rsid w:val="00B60939"/>
    <w:rsid w:val="00B60AFD"/>
    <w:rsid w:val="00B6114E"/>
    <w:rsid w:val="00B61AFA"/>
    <w:rsid w:val="00B622A9"/>
    <w:rsid w:val="00B62715"/>
    <w:rsid w:val="00B631DF"/>
    <w:rsid w:val="00B6381E"/>
    <w:rsid w:val="00B63EC7"/>
    <w:rsid w:val="00B6416D"/>
    <w:rsid w:val="00B648EA"/>
    <w:rsid w:val="00B650A7"/>
    <w:rsid w:val="00B653DF"/>
    <w:rsid w:val="00B6550D"/>
    <w:rsid w:val="00B65611"/>
    <w:rsid w:val="00B65F95"/>
    <w:rsid w:val="00B666CB"/>
    <w:rsid w:val="00B66740"/>
    <w:rsid w:val="00B66C03"/>
    <w:rsid w:val="00B66CBE"/>
    <w:rsid w:val="00B66EB4"/>
    <w:rsid w:val="00B6710F"/>
    <w:rsid w:val="00B672D3"/>
    <w:rsid w:val="00B677C1"/>
    <w:rsid w:val="00B7022C"/>
    <w:rsid w:val="00B702C7"/>
    <w:rsid w:val="00B704DC"/>
    <w:rsid w:val="00B7070E"/>
    <w:rsid w:val="00B70A6C"/>
    <w:rsid w:val="00B70DED"/>
    <w:rsid w:val="00B70E7B"/>
    <w:rsid w:val="00B70E8E"/>
    <w:rsid w:val="00B718D3"/>
    <w:rsid w:val="00B71F37"/>
    <w:rsid w:val="00B72DDA"/>
    <w:rsid w:val="00B72F43"/>
    <w:rsid w:val="00B73E52"/>
    <w:rsid w:val="00B743B6"/>
    <w:rsid w:val="00B748B6"/>
    <w:rsid w:val="00B74F38"/>
    <w:rsid w:val="00B75288"/>
    <w:rsid w:val="00B756D6"/>
    <w:rsid w:val="00B75E73"/>
    <w:rsid w:val="00B760AB"/>
    <w:rsid w:val="00B760BA"/>
    <w:rsid w:val="00B761D1"/>
    <w:rsid w:val="00B76C92"/>
    <w:rsid w:val="00B8073C"/>
    <w:rsid w:val="00B80EFD"/>
    <w:rsid w:val="00B818A4"/>
    <w:rsid w:val="00B819D6"/>
    <w:rsid w:val="00B82B3A"/>
    <w:rsid w:val="00B82FC0"/>
    <w:rsid w:val="00B8304F"/>
    <w:rsid w:val="00B83739"/>
    <w:rsid w:val="00B837B8"/>
    <w:rsid w:val="00B84117"/>
    <w:rsid w:val="00B84528"/>
    <w:rsid w:val="00B84EC0"/>
    <w:rsid w:val="00B85217"/>
    <w:rsid w:val="00B858F0"/>
    <w:rsid w:val="00B85907"/>
    <w:rsid w:val="00B85AA2"/>
    <w:rsid w:val="00B85B07"/>
    <w:rsid w:val="00B861ED"/>
    <w:rsid w:val="00B8649C"/>
    <w:rsid w:val="00B864E8"/>
    <w:rsid w:val="00B8686E"/>
    <w:rsid w:val="00B8695D"/>
    <w:rsid w:val="00B86A7C"/>
    <w:rsid w:val="00B86C39"/>
    <w:rsid w:val="00B86D9B"/>
    <w:rsid w:val="00B86DDA"/>
    <w:rsid w:val="00B874D0"/>
    <w:rsid w:val="00B87F0A"/>
    <w:rsid w:val="00B90C96"/>
    <w:rsid w:val="00B91174"/>
    <w:rsid w:val="00B91D6F"/>
    <w:rsid w:val="00B92085"/>
    <w:rsid w:val="00B92515"/>
    <w:rsid w:val="00B92CED"/>
    <w:rsid w:val="00B92D0B"/>
    <w:rsid w:val="00B92D34"/>
    <w:rsid w:val="00B9346B"/>
    <w:rsid w:val="00B934BC"/>
    <w:rsid w:val="00B93A9C"/>
    <w:rsid w:val="00B93C19"/>
    <w:rsid w:val="00B946BD"/>
    <w:rsid w:val="00B94945"/>
    <w:rsid w:val="00B94DD6"/>
    <w:rsid w:val="00B94F27"/>
    <w:rsid w:val="00B94F67"/>
    <w:rsid w:val="00B95220"/>
    <w:rsid w:val="00B95E7D"/>
    <w:rsid w:val="00B9686C"/>
    <w:rsid w:val="00B96A11"/>
    <w:rsid w:val="00B97456"/>
    <w:rsid w:val="00B97729"/>
    <w:rsid w:val="00BA0096"/>
    <w:rsid w:val="00BA0DAC"/>
    <w:rsid w:val="00BA14EA"/>
    <w:rsid w:val="00BA19E3"/>
    <w:rsid w:val="00BA1D13"/>
    <w:rsid w:val="00BA1D3E"/>
    <w:rsid w:val="00BA25A8"/>
    <w:rsid w:val="00BA25CB"/>
    <w:rsid w:val="00BA2954"/>
    <w:rsid w:val="00BA2ADA"/>
    <w:rsid w:val="00BA2E33"/>
    <w:rsid w:val="00BA3168"/>
    <w:rsid w:val="00BA322D"/>
    <w:rsid w:val="00BA365B"/>
    <w:rsid w:val="00BA3961"/>
    <w:rsid w:val="00BA3BBF"/>
    <w:rsid w:val="00BA3D5F"/>
    <w:rsid w:val="00BA46E6"/>
    <w:rsid w:val="00BA5335"/>
    <w:rsid w:val="00BA5888"/>
    <w:rsid w:val="00BA5BB9"/>
    <w:rsid w:val="00BA63FA"/>
    <w:rsid w:val="00BA640D"/>
    <w:rsid w:val="00BA662E"/>
    <w:rsid w:val="00BA6E59"/>
    <w:rsid w:val="00BA7447"/>
    <w:rsid w:val="00BA750E"/>
    <w:rsid w:val="00BA769F"/>
    <w:rsid w:val="00BA7743"/>
    <w:rsid w:val="00BA77F0"/>
    <w:rsid w:val="00BA789C"/>
    <w:rsid w:val="00BB00B3"/>
    <w:rsid w:val="00BB04A5"/>
    <w:rsid w:val="00BB0BDD"/>
    <w:rsid w:val="00BB176C"/>
    <w:rsid w:val="00BB1D1E"/>
    <w:rsid w:val="00BB22AD"/>
    <w:rsid w:val="00BB22BA"/>
    <w:rsid w:val="00BB2A73"/>
    <w:rsid w:val="00BB2BCA"/>
    <w:rsid w:val="00BB3195"/>
    <w:rsid w:val="00BB3697"/>
    <w:rsid w:val="00BB3A45"/>
    <w:rsid w:val="00BB3BD5"/>
    <w:rsid w:val="00BB3DD4"/>
    <w:rsid w:val="00BB4013"/>
    <w:rsid w:val="00BB4ACC"/>
    <w:rsid w:val="00BB5435"/>
    <w:rsid w:val="00BB58EA"/>
    <w:rsid w:val="00BB5F17"/>
    <w:rsid w:val="00BB6036"/>
    <w:rsid w:val="00BB6432"/>
    <w:rsid w:val="00BB6A5B"/>
    <w:rsid w:val="00BB6B02"/>
    <w:rsid w:val="00BB703E"/>
    <w:rsid w:val="00BB726D"/>
    <w:rsid w:val="00BB72A6"/>
    <w:rsid w:val="00BB732D"/>
    <w:rsid w:val="00BB7405"/>
    <w:rsid w:val="00BB7A96"/>
    <w:rsid w:val="00BB7F66"/>
    <w:rsid w:val="00BC0033"/>
    <w:rsid w:val="00BC191B"/>
    <w:rsid w:val="00BC1B71"/>
    <w:rsid w:val="00BC1DB5"/>
    <w:rsid w:val="00BC270B"/>
    <w:rsid w:val="00BC2C7E"/>
    <w:rsid w:val="00BC2E91"/>
    <w:rsid w:val="00BC31AA"/>
    <w:rsid w:val="00BC3631"/>
    <w:rsid w:val="00BC36A8"/>
    <w:rsid w:val="00BC40BF"/>
    <w:rsid w:val="00BC43BD"/>
    <w:rsid w:val="00BC478B"/>
    <w:rsid w:val="00BC591F"/>
    <w:rsid w:val="00BC6951"/>
    <w:rsid w:val="00BC69CE"/>
    <w:rsid w:val="00BC79C0"/>
    <w:rsid w:val="00BC7D6D"/>
    <w:rsid w:val="00BD0894"/>
    <w:rsid w:val="00BD08A5"/>
    <w:rsid w:val="00BD091A"/>
    <w:rsid w:val="00BD0E55"/>
    <w:rsid w:val="00BD2108"/>
    <w:rsid w:val="00BD2309"/>
    <w:rsid w:val="00BD29B6"/>
    <w:rsid w:val="00BD2E46"/>
    <w:rsid w:val="00BD2F64"/>
    <w:rsid w:val="00BD3199"/>
    <w:rsid w:val="00BD326F"/>
    <w:rsid w:val="00BD33CE"/>
    <w:rsid w:val="00BD3ACB"/>
    <w:rsid w:val="00BD44F6"/>
    <w:rsid w:val="00BD4A25"/>
    <w:rsid w:val="00BD4CA7"/>
    <w:rsid w:val="00BD5916"/>
    <w:rsid w:val="00BD656E"/>
    <w:rsid w:val="00BD68A3"/>
    <w:rsid w:val="00BD6938"/>
    <w:rsid w:val="00BD6CF3"/>
    <w:rsid w:val="00BD778B"/>
    <w:rsid w:val="00BD7F72"/>
    <w:rsid w:val="00BE02C1"/>
    <w:rsid w:val="00BE0ECA"/>
    <w:rsid w:val="00BE12A3"/>
    <w:rsid w:val="00BE1F6B"/>
    <w:rsid w:val="00BE2066"/>
    <w:rsid w:val="00BE2180"/>
    <w:rsid w:val="00BE21F2"/>
    <w:rsid w:val="00BE24F6"/>
    <w:rsid w:val="00BE28CE"/>
    <w:rsid w:val="00BE381B"/>
    <w:rsid w:val="00BE3CC5"/>
    <w:rsid w:val="00BE3F7A"/>
    <w:rsid w:val="00BE4275"/>
    <w:rsid w:val="00BE46F4"/>
    <w:rsid w:val="00BE4AD0"/>
    <w:rsid w:val="00BE509A"/>
    <w:rsid w:val="00BE5465"/>
    <w:rsid w:val="00BE57D2"/>
    <w:rsid w:val="00BE5909"/>
    <w:rsid w:val="00BE5E5A"/>
    <w:rsid w:val="00BE6096"/>
    <w:rsid w:val="00BE6975"/>
    <w:rsid w:val="00BE6E14"/>
    <w:rsid w:val="00BE78BE"/>
    <w:rsid w:val="00BF01CA"/>
    <w:rsid w:val="00BF05AF"/>
    <w:rsid w:val="00BF06AE"/>
    <w:rsid w:val="00BF095D"/>
    <w:rsid w:val="00BF0F95"/>
    <w:rsid w:val="00BF1029"/>
    <w:rsid w:val="00BF1BD4"/>
    <w:rsid w:val="00BF235A"/>
    <w:rsid w:val="00BF2433"/>
    <w:rsid w:val="00BF261E"/>
    <w:rsid w:val="00BF2E6E"/>
    <w:rsid w:val="00BF34DF"/>
    <w:rsid w:val="00BF3F39"/>
    <w:rsid w:val="00BF4463"/>
    <w:rsid w:val="00BF5069"/>
    <w:rsid w:val="00BF51E1"/>
    <w:rsid w:val="00BF61C9"/>
    <w:rsid w:val="00BF6C94"/>
    <w:rsid w:val="00BF729A"/>
    <w:rsid w:val="00BF7612"/>
    <w:rsid w:val="00BF76D1"/>
    <w:rsid w:val="00C00424"/>
    <w:rsid w:val="00C009A8"/>
    <w:rsid w:val="00C00BB0"/>
    <w:rsid w:val="00C00C8C"/>
    <w:rsid w:val="00C00F08"/>
    <w:rsid w:val="00C0130B"/>
    <w:rsid w:val="00C01A03"/>
    <w:rsid w:val="00C01B4B"/>
    <w:rsid w:val="00C01E2D"/>
    <w:rsid w:val="00C023CC"/>
    <w:rsid w:val="00C02418"/>
    <w:rsid w:val="00C031D2"/>
    <w:rsid w:val="00C03361"/>
    <w:rsid w:val="00C037B2"/>
    <w:rsid w:val="00C03BF6"/>
    <w:rsid w:val="00C03ECB"/>
    <w:rsid w:val="00C03ED2"/>
    <w:rsid w:val="00C0439A"/>
    <w:rsid w:val="00C047F7"/>
    <w:rsid w:val="00C0533D"/>
    <w:rsid w:val="00C06141"/>
    <w:rsid w:val="00C06820"/>
    <w:rsid w:val="00C06D31"/>
    <w:rsid w:val="00C10042"/>
    <w:rsid w:val="00C1026B"/>
    <w:rsid w:val="00C1083A"/>
    <w:rsid w:val="00C10A23"/>
    <w:rsid w:val="00C1179F"/>
    <w:rsid w:val="00C11DCF"/>
    <w:rsid w:val="00C12234"/>
    <w:rsid w:val="00C12578"/>
    <w:rsid w:val="00C12600"/>
    <w:rsid w:val="00C12749"/>
    <w:rsid w:val="00C127B9"/>
    <w:rsid w:val="00C128FA"/>
    <w:rsid w:val="00C12C14"/>
    <w:rsid w:val="00C12E1A"/>
    <w:rsid w:val="00C1322D"/>
    <w:rsid w:val="00C13394"/>
    <w:rsid w:val="00C1351A"/>
    <w:rsid w:val="00C135E8"/>
    <w:rsid w:val="00C14F2E"/>
    <w:rsid w:val="00C15394"/>
    <w:rsid w:val="00C15425"/>
    <w:rsid w:val="00C1548A"/>
    <w:rsid w:val="00C15625"/>
    <w:rsid w:val="00C1580A"/>
    <w:rsid w:val="00C15EFD"/>
    <w:rsid w:val="00C15F04"/>
    <w:rsid w:val="00C167F6"/>
    <w:rsid w:val="00C1718D"/>
    <w:rsid w:val="00C179AE"/>
    <w:rsid w:val="00C179B3"/>
    <w:rsid w:val="00C17E3F"/>
    <w:rsid w:val="00C200AA"/>
    <w:rsid w:val="00C2010E"/>
    <w:rsid w:val="00C20BFD"/>
    <w:rsid w:val="00C21404"/>
    <w:rsid w:val="00C215A1"/>
    <w:rsid w:val="00C22521"/>
    <w:rsid w:val="00C22B8D"/>
    <w:rsid w:val="00C23176"/>
    <w:rsid w:val="00C237ED"/>
    <w:rsid w:val="00C238A0"/>
    <w:rsid w:val="00C23CC8"/>
    <w:rsid w:val="00C24632"/>
    <w:rsid w:val="00C24955"/>
    <w:rsid w:val="00C24A2A"/>
    <w:rsid w:val="00C24A50"/>
    <w:rsid w:val="00C24A83"/>
    <w:rsid w:val="00C24FD4"/>
    <w:rsid w:val="00C25046"/>
    <w:rsid w:val="00C25418"/>
    <w:rsid w:val="00C2547D"/>
    <w:rsid w:val="00C25732"/>
    <w:rsid w:val="00C25D9C"/>
    <w:rsid w:val="00C26822"/>
    <w:rsid w:val="00C26925"/>
    <w:rsid w:val="00C26D88"/>
    <w:rsid w:val="00C2778B"/>
    <w:rsid w:val="00C278DA"/>
    <w:rsid w:val="00C30234"/>
    <w:rsid w:val="00C31198"/>
    <w:rsid w:val="00C312DF"/>
    <w:rsid w:val="00C31649"/>
    <w:rsid w:val="00C3259F"/>
    <w:rsid w:val="00C32887"/>
    <w:rsid w:val="00C32903"/>
    <w:rsid w:val="00C33235"/>
    <w:rsid w:val="00C333D5"/>
    <w:rsid w:val="00C33A40"/>
    <w:rsid w:val="00C33E0B"/>
    <w:rsid w:val="00C34158"/>
    <w:rsid w:val="00C3419A"/>
    <w:rsid w:val="00C3434C"/>
    <w:rsid w:val="00C34972"/>
    <w:rsid w:val="00C35B51"/>
    <w:rsid w:val="00C35DFC"/>
    <w:rsid w:val="00C367FB"/>
    <w:rsid w:val="00C40385"/>
    <w:rsid w:val="00C405F1"/>
    <w:rsid w:val="00C40722"/>
    <w:rsid w:val="00C40728"/>
    <w:rsid w:val="00C407FF"/>
    <w:rsid w:val="00C409F2"/>
    <w:rsid w:val="00C40B85"/>
    <w:rsid w:val="00C41768"/>
    <w:rsid w:val="00C41C08"/>
    <w:rsid w:val="00C423E0"/>
    <w:rsid w:val="00C43391"/>
    <w:rsid w:val="00C435FB"/>
    <w:rsid w:val="00C436D0"/>
    <w:rsid w:val="00C43EC4"/>
    <w:rsid w:val="00C44524"/>
    <w:rsid w:val="00C44589"/>
    <w:rsid w:val="00C44ACC"/>
    <w:rsid w:val="00C4545E"/>
    <w:rsid w:val="00C461CD"/>
    <w:rsid w:val="00C46262"/>
    <w:rsid w:val="00C469AD"/>
    <w:rsid w:val="00C47438"/>
    <w:rsid w:val="00C475AA"/>
    <w:rsid w:val="00C4784A"/>
    <w:rsid w:val="00C5009E"/>
    <w:rsid w:val="00C51430"/>
    <w:rsid w:val="00C51A94"/>
    <w:rsid w:val="00C52516"/>
    <w:rsid w:val="00C527C7"/>
    <w:rsid w:val="00C52F16"/>
    <w:rsid w:val="00C53AB3"/>
    <w:rsid w:val="00C53C98"/>
    <w:rsid w:val="00C54591"/>
    <w:rsid w:val="00C54903"/>
    <w:rsid w:val="00C54A68"/>
    <w:rsid w:val="00C54AEB"/>
    <w:rsid w:val="00C54BE0"/>
    <w:rsid w:val="00C54C50"/>
    <w:rsid w:val="00C54DBB"/>
    <w:rsid w:val="00C5504A"/>
    <w:rsid w:val="00C55282"/>
    <w:rsid w:val="00C555A6"/>
    <w:rsid w:val="00C56FCF"/>
    <w:rsid w:val="00C572F6"/>
    <w:rsid w:val="00C57B6C"/>
    <w:rsid w:val="00C60591"/>
    <w:rsid w:val="00C60BC9"/>
    <w:rsid w:val="00C60C73"/>
    <w:rsid w:val="00C61A59"/>
    <w:rsid w:val="00C6227C"/>
    <w:rsid w:val="00C628A6"/>
    <w:rsid w:val="00C63147"/>
    <w:rsid w:val="00C636C2"/>
    <w:rsid w:val="00C6372A"/>
    <w:rsid w:val="00C63E0D"/>
    <w:rsid w:val="00C63FC0"/>
    <w:rsid w:val="00C64344"/>
    <w:rsid w:val="00C64391"/>
    <w:rsid w:val="00C64516"/>
    <w:rsid w:val="00C64804"/>
    <w:rsid w:val="00C64CCE"/>
    <w:rsid w:val="00C64CFC"/>
    <w:rsid w:val="00C65108"/>
    <w:rsid w:val="00C65576"/>
    <w:rsid w:val="00C657B4"/>
    <w:rsid w:val="00C65CC1"/>
    <w:rsid w:val="00C65CEB"/>
    <w:rsid w:val="00C65F2E"/>
    <w:rsid w:val="00C66165"/>
    <w:rsid w:val="00C66877"/>
    <w:rsid w:val="00C669E4"/>
    <w:rsid w:val="00C701F9"/>
    <w:rsid w:val="00C7060A"/>
    <w:rsid w:val="00C70F0E"/>
    <w:rsid w:val="00C71504"/>
    <w:rsid w:val="00C7151A"/>
    <w:rsid w:val="00C715F9"/>
    <w:rsid w:val="00C716F2"/>
    <w:rsid w:val="00C717E3"/>
    <w:rsid w:val="00C71F60"/>
    <w:rsid w:val="00C72241"/>
    <w:rsid w:val="00C725F3"/>
    <w:rsid w:val="00C7262A"/>
    <w:rsid w:val="00C72692"/>
    <w:rsid w:val="00C7362D"/>
    <w:rsid w:val="00C73E61"/>
    <w:rsid w:val="00C7445D"/>
    <w:rsid w:val="00C74526"/>
    <w:rsid w:val="00C74C9A"/>
    <w:rsid w:val="00C74DF5"/>
    <w:rsid w:val="00C7503F"/>
    <w:rsid w:val="00C750C8"/>
    <w:rsid w:val="00C751F0"/>
    <w:rsid w:val="00C7560F"/>
    <w:rsid w:val="00C759DF"/>
    <w:rsid w:val="00C76961"/>
    <w:rsid w:val="00C76FBD"/>
    <w:rsid w:val="00C77601"/>
    <w:rsid w:val="00C8002B"/>
    <w:rsid w:val="00C805FE"/>
    <w:rsid w:val="00C80A0E"/>
    <w:rsid w:val="00C817DC"/>
    <w:rsid w:val="00C81CA4"/>
    <w:rsid w:val="00C8213F"/>
    <w:rsid w:val="00C82A6E"/>
    <w:rsid w:val="00C82D11"/>
    <w:rsid w:val="00C8303F"/>
    <w:rsid w:val="00C830A7"/>
    <w:rsid w:val="00C83A9D"/>
    <w:rsid w:val="00C83DEA"/>
    <w:rsid w:val="00C84FE6"/>
    <w:rsid w:val="00C85154"/>
    <w:rsid w:val="00C857CE"/>
    <w:rsid w:val="00C85A70"/>
    <w:rsid w:val="00C85AB6"/>
    <w:rsid w:val="00C8637B"/>
    <w:rsid w:val="00C8641B"/>
    <w:rsid w:val="00C8684E"/>
    <w:rsid w:val="00C868E8"/>
    <w:rsid w:val="00C868EF"/>
    <w:rsid w:val="00C86CCD"/>
    <w:rsid w:val="00C872CB"/>
    <w:rsid w:val="00C8797A"/>
    <w:rsid w:val="00C87B0B"/>
    <w:rsid w:val="00C87C99"/>
    <w:rsid w:val="00C900B8"/>
    <w:rsid w:val="00C90197"/>
    <w:rsid w:val="00C905C7"/>
    <w:rsid w:val="00C90C71"/>
    <w:rsid w:val="00C90C7F"/>
    <w:rsid w:val="00C911D7"/>
    <w:rsid w:val="00C91274"/>
    <w:rsid w:val="00C91768"/>
    <w:rsid w:val="00C9187F"/>
    <w:rsid w:val="00C91FD1"/>
    <w:rsid w:val="00C920BC"/>
    <w:rsid w:val="00C9284F"/>
    <w:rsid w:val="00C92AAC"/>
    <w:rsid w:val="00C92CFA"/>
    <w:rsid w:val="00C931CF"/>
    <w:rsid w:val="00C938CF"/>
    <w:rsid w:val="00C93D16"/>
    <w:rsid w:val="00C94053"/>
    <w:rsid w:val="00C941D7"/>
    <w:rsid w:val="00C94A75"/>
    <w:rsid w:val="00C9624D"/>
    <w:rsid w:val="00C967C1"/>
    <w:rsid w:val="00C969DA"/>
    <w:rsid w:val="00C96EEC"/>
    <w:rsid w:val="00CA0970"/>
    <w:rsid w:val="00CA1210"/>
    <w:rsid w:val="00CA13DF"/>
    <w:rsid w:val="00CA17F5"/>
    <w:rsid w:val="00CA1D5D"/>
    <w:rsid w:val="00CA1E3F"/>
    <w:rsid w:val="00CA2543"/>
    <w:rsid w:val="00CA2C77"/>
    <w:rsid w:val="00CA3599"/>
    <w:rsid w:val="00CA3759"/>
    <w:rsid w:val="00CA43C0"/>
    <w:rsid w:val="00CA43EE"/>
    <w:rsid w:val="00CA444F"/>
    <w:rsid w:val="00CA4669"/>
    <w:rsid w:val="00CA4E33"/>
    <w:rsid w:val="00CA5245"/>
    <w:rsid w:val="00CA5FB7"/>
    <w:rsid w:val="00CA61F1"/>
    <w:rsid w:val="00CA6442"/>
    <w:rsid w:val="00CA6E75"/>
    <w:rsid w:val="00CA71F4"/>
    <w:rsid w:val="00CA7832"/>
    <w:rsid w:val="00CA7B09"/>
    <w:rsid w:val="00CA7BA7"/>
    <w:rsid w:val="00CB0358"/>
    <w:rsid w:val="00CB05B4"/>
    <w:rsid w:val="00CB0994"/>
    <w:rsid w:val="00CB09D4"/>
    <w:rsid w:val="00CB12A5"/>
    <w:rsid w:val="00CB153A"/>
    <w:rsid w:val="00CB1CAC"/>
    <w:rsid w:val="00CB1DF2"/>
    <w:rsid w:val="00CB208A"/>
    <w:rsid w:val="00CB25A7"/>
    <w:rsid w:val="00CB25EA"/>
    <w:rsid w:val="00CB2794"/>
    <w:rsid w:val="00CB2F2A"/>
    <w:rsid w:val="00CB31E5"/>
    <w:rsid w:val="00CB3A1C"/>
    <w:rsid w:val="00CB430E"/>
    <w:rsid w:val="00CB49B9"/>
    <w:rsid w:val="00CB4F1C"/>
    <w:rsid w:val="00CB52E6"/>
    <w:rsid w:val="00CB5649"/>
    <w:rsid w:val="00CB5689"/>
    <w:rsid w:val="00CB5B1A"/>
    <w:rsid w:val="00CB69A4"/>
    <w:rsid w:val="00CB6B22"/>
    <w:rsid w:val="00CB6E76"/>
    <w:rsid w:val="00CB769F"/>
    <w:rsid w:val="00CB792D"/>
    <w:rsid w:val="00CB7B7A"/>
    <w:rsid w:val="00CB7F5F"/>
    <w:rsid w:val="00CC041B"/>
    <w:rsid w:val="00CC06B6"/>
    <w:rsid w:val="00CC09BC"/>
    <w:rsid w:val="00CC13F1"/>
    <w:rsid w:val="00CC1B39"/>
    <w:rsid w:val="00CC1BFA"/>
    <w:rsid w:val="00CC1FBB"/>
    <w:rsid w:val="00CC2A8D"/>
    <w:rsid w:val="00CC2E27"/>
    <w:rsid w:val="00CC2E9F"/>
    <w:rsid w:val="00CC2F99"/>
    <w:rsid w:val="00CC30ED"/>
    <w:rsid w:val="00CC35EA"/>
    <w:rsid w:val="00CC3848"/>
    <w:rsid w:val="00CC458F"/>
    <w:rsid w:val="00CC45BB"/>
    <w:rsid w:val="00CC4777"/>
    <w:rsid w:val="00CC49F1"/>
    <w:rsid w:val="00CC57EB"/>
    <w:rsid w:val="00CC5CAB"/>
    <w:rsid w:val="00CC62E8"/>
    <w:rsid w:val="00CC6750"/>
    <w:rsid w:val="00CC68FA"/>
    <w:rsid w:val="00CC69EA"/>
    <w:rsid w:val="00CC6A89"/>
    <w:rsid w:val="00CC6D5E"/>
    <w:rsid w:val="00CC706C"/>
    <w:rsid w:val="00CC70C2"/>
    <w:rsid w:val="00CC71FA"/>
    <w:rsid w:val="00CC7282"/>
    <w:rsid w:val="00CC7F05"/>
    <w:rsid w:val="00CD0200"/>
    <w:rsid w:val="00CD02C7"/>
    <w:rsid w:val="00CD0B1B"/>
    <w:rsid w:val="00CD0F97"/>
    <w:rsid w:val="00CD10D4"/>
    <w:rsid w:val="00CD1397"/>
    <w:rsid w:val="00CD18EF"/>
    <w:rsid w:val="00CD1986"/>
    <w:rsid w:val="00CD1A80"/>
    <w:rsid w:val="00CD1C5C"/>
    <w:rsid w:val="00CD1F87"/>
    <w:rsid w:val="00CD21EB"/>
    <w:rsid w:val="00CD22DF"/>
    <w:rsid w:val="00CD287B"/>
    <w:rsid w:val="00CD28F8"/>
    <w:rsid w:val="00CD3F77"/>
    <w:rsid w:val="00CD4004"/>
    <w:rsid w:val="00CD422C"/>
    <w:rsid w:val="00CD4244"/>
    <w:rsid w:val="00CD4446"/>
    <w:rsid w:val="00CD4743"/>
    <w:rsid w:val="00CD50A6"/>
    <w:rsid w:val="00CD57F4"/>
    <w:rsid w:val="00CD5ECF"/>
    <w:rsid w:val="00CD6247"/>
    <w:rsid w:val="00CD64C5"/>
    <w:rsid w:val="00CD6ADC"/>
    <w:rsid w:val="00CD6F3B"/>
    <w:rsid w:val="00CD7193"/>
    <w:rsid w:val="00CD75DB"/>
    <w:rsid w:val="00CD795B"/>
    <w:rsid w:val="00CD7F31"/>
    <w:rsid w:val="00CE063E"/>
    <w:rsid w:val="00CE101D"/>
    <w:rsid w:val="00CE1E2A"/>
    <w:rsid w:val="00CE1F03"/>
    <w:rsid w:val="00CE21D2"/>
    <w:rsid w:val="00CE21F4"/>
    <w:rsid w:val="00CE2AFC"/>
    <w:rsid w:val="00CE2BBC"/>
    <w:rsid w:val="00CE374E"/>
    <w:rsid w:val="00CE38C8"/>
    <w:rsid w:val="00CE4B32"/>
    <w:rsid w:val="00CE524F"/>
    <w:rsid w:val="00CE571B"/>
    <w:rsid w:val="00CE58CC"/>
    <w:rsid w:val="00CE58EB"/>
    <w:rsid w:val="00CE5963"/>
    <w:rsid w:val="00CE5BD8"/>
    <w:rsid w:val="00CE6274"/>
    <w:rsid w:val="00CE6590"/>
    <w:rsid w:val="00CE6D1F"/>
    <w:rsid w:val="00CE77B6"/>
    <w:rsid w:val="00CE7FDA"/>
    <w:rsid w:val="00CF0264"/>
    <w:rsid w:val="00CF0370"/>
    <w:rsid w:val="00CF0F20"/>
    <w:rsid w:val="00CF18D7"/>
    <w:rsid w:val="00CF1D1F"/>
    <w:rsid w:val="00CF2058"/>
    <w:rsid w:val="00CF2A21"/>
    <w:rsid w:val="00CF2B8D"/>
    <w:rsid w:val="00CF3031"/>
    <w:rsid w:val="00CF32AF"/>
    <w:rsid w:val="00CF382C"/>
    <w:rsid w:val="00CF392B"/>
    <w:rsid w:val="00CF3A1B"/>
    <w:rsid w:val="00CF3F13"/>
    <w:rsid w:val="00CF3F5F"/>
    <w:rsid w:val="00CF456B"/>
    <w:rsid w:val="00CF5910"/>
    <w:rsid w:val="00CF5A22"/>
    <w:rsid w:val="00CF5E95"/>
    <w:rsid w:val="00CF64C3"/>
    <w:rsid w:val="00CF72E6"/>
    <w:rsid w:val="00CF7C1D"/>
    <w:rsid w:val="00CF7C88"/>
    <w:rsid w:val="00CF7DD0"/>
    <w:rsid w:val="00D002BD"/>
    <w:rsid w:val="00D005FE"/>
    <w:rsid w:val="00D009DB"/>
    <w:rsid w:val="00D01CD7"/>
    <w:rsid w:val="00D01DAE"/>
    <w:rsid w:val="00D0208F"/>
    <w:rsid w:val="00D02512"/>
    <w:rsid w:val="00D0262E"/>
    <w:rsid w:val="00D02700"/>
    <w:rsid w:val="00D02795"/>
    <w:rsid w:val="00D03679"/>
    <w:rsid w:val="00D036EB"/>
    <w:rsid w:val="00D045EB"/>
    <w:rsid w:val="00D05800"/>
    <w:rsid w:val="00D0580B"/>
    <w:rsid w:val="00D05BA1"/>
    <w:rsid w:val="00D05E3D"/>
    <w:rsid w:val="00D06139"/>
    <w:rsid w:val="00D06245"/>
    <w:rsid w:val="00D06419"/>
    <w:rsid w:val="00D06726"/>
    <w:rsid w:val="00D06980"/>
    <w:rsid w:val="00D06B99"/>
    <w:rsid w:val="00D06D8B"/>
    <w:rsid w:val="00D103B7"/>
    <w:rsid w:val="00D110BD"/>
    <w:rsid w:val="00D11827"/>
    <w:rsid w:val="00D1182D"/>
    <w:rsid w:val="00D1199E"/>
    <w:rsid w:val="00D11EA5"/>
    <w:rsid w:val="00D12C67"/>
    <w:rsid w:val="00D131C5"/>
    <w:rsid w:val="00D13379"/>
    <w:rsid w:val="00D13634"/>
    <w:rsid w:val="00D13675"/>
    <w:rsid w:val="00D138EB"/>
    <w:rsid w:val="00D13F97"/>
    <w:rsid w:val="00D141E1"/>
    <w:rsid w:val="00D145F0"/>
    <w:rsid w:val="00D15314"/>
    <w:rsid w:val="00D156CA"/>
    <w:rsid w:val="00D157E1"/>
    <w:rsid w:val="00D1586B"/>
    <w:rsid w:val="00D15921"/>
    <w:rsid w:val="00D15B48"/>
    <w:rsid w:val="00D15D12"/>
    <w:rsid w:val="00D15D15"/>
    <w:rsid w:val="00D15F3D"/>
    <w:rsid w:val="00D161FB"/>
    <w:rsid w:val="00D1657A"/>
    <w:rsid w:val="00D16CB1"/>
    <w:rsid w:val="00D1768C"/>
    <w:rsid w:val="00D178B1"/>
    <w:rsid w:val="00D17AFD"/>
    <w:rsid w:val="00D17D6C"/>
    <w:rsid w:val="00D17E2F"/>
    <w:rsid w:val="00D2009A"/>
    <w:rsid w:val="00D20685"/>
    <w:rsid w:val="00D208E5"/>
    <w:rsid w:val="00D2155B"/>
    <w:rsid w:val="00D2193D"/>
    <w:rsid w:val="00D21952"/>
    <w:rsid w:val="00D21A72"/>
    <w:rsid w:val="00D227AC"/>
    <w:rsid w:val="00D22912"/>
    <w:rsid w:val="00D23796"/>
    <w:rsid w:val="00D23D11"/>
    <w:rsid w:val="00D244B6"/>
    <w:rsid w:val="00D249B8"/>
    <w:rsid w:val="00D2559C"/>
    <w:rsid w:val="00D2629F"/>
    <w:rsid w:val="00D265BA"/>
    <w:rsid w:val="00D266AB"/>
    <w:rsid w:val="00D268B6"/>
    <w:rsid w:val="00D26AEB"/>
    <w:rsid w:val="00D26D0D"/>
    <w:rsid w:val="00D2754D"/>
    <w:rsid w:val="00D27B27"/>
    <w:rsid w:val="00D30935"/>
    <w:rsid w:val="00D30D5B"/>
    <w:rsid w:val="00D30FC9"/>
    <w:rsid w:val="00D31156"/>
    <w:rsid w:val="00D31562"/>
    <w:rsid w:val="00D318AE"/>
    <w:rsid w:val="00D31D3B"/>
    <w:rsid w:val="00D3255C"/>
    <w:rsid w:val="00D32E1C"/>
    <w:rsid w:val="00D334CC"/>
    <w:rsid w:val="00D33BE9"/>
    <w:rsid w:val="00D33F93"/>
    <w:rsid w:val="00D34044"/>
    <w:rsid w:val="00D34904"/>
    <w:rsid w:val="00D34CC6"/>
    <w:rsid w:val="00D34E3C"/>
    <w:rsid w:val="00D34F22"/>
    <w:rsid w:val="00D3503E"/>
    <w:rsid w:val="00D357FF"/>
    <w:rsid w:val="00D358EB"/>
    <w:rsid w:val="00D35BAB"/>
    <w:rsid w:val="00D364EA"/>
    <w:rsid w:val="00D375A5"/>
    <w:rsid w:val="00D376FD"/>
    <w:rsid w:val="00D37976"/>
    <w:rsid w:val="00D37A1D"/>
    <w:rsid w:val="00D37BB1"/>
    <w:rsid w:val="00D40240"/>
    <w:rsid w:val="00D40ADD"/>
    <w:rsid w:val="00D4134B"/>
    <w:rsid w:val="00D413F3"/>
    <w:rsid w:val="00D4152A"/>
    <w:rsid w:val="00D41678"/>
    <w:rsid w:val="00D41938"/>
    <w:rsid w:val="00D41FBE"/>
    <w:rsid w:val="00D424C7"/>
    <w:rsid w:val="00D425EB"/>
    <w:rsid w:val="00D429A5"/>
    <w:rsid w:val="00D42F02"/>
    <w:rsid w:val="00D4328D"/>
    <w:rsid w:val="00D43B2A"/>
    <w:rsid w:val="00D43CF1"/>
    <w:rsid w:val="00D43D83"/>
    <w:rsid w:val="00D442C5"/>
    <w:rsid w:val="00D45636"/>
    <w:rsid w:val="00D45B8E"/>
    <w:rsid w:val="00D4690F"/>
    <w:rsid w:val="00D46982"/>
    <w:rsid w:val="00D469C6"/>
    <w:rsid w:val="00D47456"/>
    <w:rsid w:val="00D47529"/>
    <w:rsid w:val="00D47575"/>
    <w:rsid w:val="00D513BB"/>
    <w:rsid w:val="00D516CC"/>
    <w:rsid w:val="00D5243B"/>
    <w:rsid w:val="00D52A52"/>
    <w:rsid w:val="00D531E2"/>
    <w:rsid w:val="00D532C6"/>
    <w:rsid w:val="00D533EC"/>
    <w:rsid w:val="00D53E34"/>
    <w:rsid w:val="00D54A72"/>
    <w:rsid w:val="00D5524E"/>
    <w:rsid w:val="00D55267"/>
    <w:rsid w:val="00D55A42"/>
    <w:rsid w:val="00D55C26"/>
    <w:rsid w:val="00D56A95"/>
    <w:rsid w:val="00D6026C"/>
    <w:rsid w:val="00D6076E"/>
    <w:rsid w:val="00D60981"/>
    <w:rsid w:val="00D61421"/>
    <w:rsid w:val="00D61439"/>
    <w:rsid w:val="00D61862"/>
    <w:rsid w:val="00D619DF"/>
    <w:rsid w:val="00D627C0"/>
    <w:rsid w:val="00D62843"/>
    <w:rsid w:val="00D62C47"/>
    <w:rsid w:val="00D63326"/>
    <w:rsid w:val="00D63496"/>
    <w:rsid w:val="00D63A3B"/>
    <w:rsid w:val="00D642ED"/>
    <w:rsid w:val="00D64494"/>
    <w:rsid w:val="00D64E17"/>
    <w:rsid w:val="00D64E58"/>
    <w:rsid w:val="00D651D4"/>
    <w:rsid w:val="00D653D2"/>
    <w:rsid w:val="00D666D4"/>
    <w:rsid w:val="00D66971"/>
    <w:rsid w:val="00D66E26"/>
    <w:rsid w:val="00D66E65"/>
    <w:rsid w:val="00D67093"/>
    <w:rsid w:val="00D7013E"/>
    <w:rsid w:val="00D702B3"/>
    <w:rsid w:val="00D7036D"/>
    <w:rsid w:val="00D7087D"/>
    <w:rsid w:val="00D70F16"/>
    <w:rsid w:val="00D717F9"/>
    <w:rsid w:val="00D718D9"/>
    <w:rsid w:val="00D72617"/>
    <w:rsid w:val="00D72A28"/>
    <w:rsid w:val="00D72CB2"/>
    <w:rsid w:val="00D72F57"/>
    <w:rsid w:val="00D7392D"/>
    <w:rsid w:val="00D746E2"/>
    <w:rsid w:val="00D755E9"/>
    <w:rsid w:val="00D75631"/>
    <w:rsid w:val="00D75A34"/>
    <w:rsid w:val="00D75F34"/>
    <w:rsid w:val="00D7640C"/>
    <w:rsid w:val="00D76A44"/>
    <w:rsid w:val="00D7733D"/>
    <w:rsid w:val="00D778AD"/>
    <w:rsid w:val="00D77BFC"/>
    <w:rsid w:val="00D805EA"/>
    <w:rsid w:val="00D80885"/>
    <w:rsid w:val="00D81317"/>
    <w:rsid w:val="00D815EF"/>
    <w:rsid w:val="00D81949"/>
    <w:rsid w:val="00D81A16"/>
    <w:rsid w:val="00D81F26"/>
    <w:rsid w:val="00D82190"/>
    <w:rsid w:val="00D822E2"/>
    <w:rsid w:val="00D831E0"/>
    <w:rsid w:val="00D83245"/>
    <w:rsid w:val="00D83297"/>
    <w:rsid w:val="00D83FFA"/>
    <w:rsid w:val="00D843F2"/>
    <w:rsid w:val="00D8442A"/>
    <w:rsid w:val="00D84496"/>
    <w:rsid w:val="00D845A9"/>
    <w:rsid w:val="00D84D35"/>
    <w:rsid w:val="00D85009"/>
    <w:rsid w:val="00D85266"/>
    <w:rsid w:val="00D8614B"/>
    <w:rsid w:val="00D86231"/>
    <w:rsid w:val="00D86248"/>
    <w:rsid w:val="00D864C8"/>
    <w:rsid w:val="00D8695B"/>
    <w:rsid w:val="00D87961"/>
    <w:rsid w:val="00D879B4"/>
    <w:rsid w:val="00D87CA6"/>
    <w:rsid w:val="00D912AB"/>
    <w:rsid w:val="00D91534"/>
    <w:rsid w:val="00D91777"/>
    <w:rsid w:val="00D91923"/>
    <w:rsid w:val="00D91FFD"/>
    <w:rsid w:val="00D9244E"/>
    <w:rsid w:val="00D92995"/>
    <w:rsid w:val="00D92D17"/>
    <w:rsid w:val="00D92D9D"/>
    <w:rsid w:val="00D93753"/>
    <w:rsid w:val="00D93A3C"/>
    <w:rsid w:val="00D93F4C"/>
    <w:rsid w:val="00D943C8"/>
    <w:rsid w:val="00D9475D"/>
    <w:rsid w:val="00D95A98"/>
    <w:rsid w:val="00D960EB"/>
    <w:rsid w:val="00D96192"/>
    <w:rsid w:val="00D971B0"/>
    <w:rsid w:val="00D97262"/>
    <w:rsid w:val="00D9747A"/>
    <w:rsid w:val="00D977F6"/>
    <w:rsid w:val="00D97886"/>
    <w:rsid w:val="00DA01AF"/>
    <w:rsid w:val="00DA026C"/>
    <w:rsid w:val="00DA0978"/>
    <w:rsid w:val="00DA11D9"/>
    <w:rsid w:val="00DA1894"/>
    <w:rsid w:val="00DA1B2A"/>
    <w:rsid w:val="00DA1B85"/>
    <w:rsid w:val="00DA1EC6"/>
    <w:rsid w:val="00DA1F22"/>
    <w:rsid w:val="00DA311E"/>
    <w:rsid w:val="00DA3167"/>
    <w:rsid w:val="00DA3289"/>
    <w:rsid w:val="00DA3A1E"/>
    <w:rsid w:val="00DA3E0A"/>
    <w:rsid w:val="00DA45AC"/>
    <w:rsid w:val="00DA4850"/>
    <w:rsid w:val="00DA4954"/>
    <w:rsid w:val="00DA4DC3"/>
    <w:rsid w:val="00DA573A"/>
    <w:rsid w:val="00DA5C70"/>
    <w:rsid w:val="00DA5F52"/>
    <w:rsid w:val="00DA61A9"/>
    <w:rsid w:val="00DA653B"/>
    <w:rsid w:val="00DA678A"/>
    <w:rsid w:val="00DA6AB2"/>
    <w:rsid w:val="00DA6DDC"/>
    <w:rsid w:val="00DA6E31"/>
    <w:rsid w:val="00DA702C"/>
    <w:rsid w:val="00DA768A"/>
    <w:rsid w:val="00DA77A5"/>
    <w:rsid w:val="00DA79A3"/>
    <w:rsid w:val="00DA7F88"/>
    <w:rsid w:val="00DB017A"/>
    <w:rsid w:val="00DB0565"/>
    <w:rsid w:val="00DB0627"/>
    <w:rsid w:val="00DB0C95"/>
    <w:rsid w:val="00DB0E36"/>
    <w:rsid w:val="00DB1577"/>
    <w:rsid w:val="00DB17CE"/>
    <w:rsid w:val="00DB1D87"/>
    <w:rsid w:val="00DB22BC"/>
    <w:rsid w:val="00DB2723"/>
    <w:rsid w:val="00DB2AFB"/>
    <w:rsid w:val="00DB31C5"/>
    <w:rsid w:val="00DB3950"/>
    <w:rsid w:val="00DB3CDC"/>
    <w:rsid w:val="00DB3DBF"/>
    <w:rsid w:val="00DB40C1"/>
    <w:rsid w:val="00DB4422"/>
    <w:rsid w:val="00DB460F"/>
    <w:rsid w:val="00DB484F"/>
    <w:rsid w:val="00DB4EE3"/>
    <w:rsid w:val="00DB5FEE"/>
    <w:rsid w:val="00DB63F3"/>
    <w:rsid w:val="00DB7375"/>
    <w:rsid w:val="00DB7530"/>
    <w:rsid w:val="00DB7C29"/>
    <w:rsid w:val="00DB7DE3"/>
    <w:rsid w:val="00DC0125"/>
    <w:rsid w:val="00DC048B"/>
    <w:rsid w:val="00DC04F6"/>
    <w:rsid w:val="00DC0690"/>
    <w:rsid w:val="00DC123B"/>
    <w:rsid w:val="00DC1366"/>
    <w:rsid w:val="00DC1D65"/>
    <w:rsid w:val="00DC1DED"/>
    <w:rsid w:val="00DC1F38"/>
    <w:rsid w:val="00DC1FAF"/>
    <w:rsid w:val="00DC21EE"/>
    <w:rsid w:val="00DC234B"/>
    <w:rsid w:val="00DC254C"/>
    <w:rsid w:val="00DC27C9"/>
    <w:rsid w:val="00DC2862"/>
    <w:rsid w:val="00DC2920"/>
    <w:rsid w:val="00DC2DF4"/>
    <w:rsid w:val="00DC3AF7"/>
    <w:rsid w:val="00DC3C57"/>
    <w:rsid w:val="00DC5501"/>
    <w:rsid w:val="00DC5B2D"/>
    <w:rsid w:val="00DC5C12"/>
    <w:rsid w:val="00DC5DE4"/>
    <w:rsid w:val="00DC656D"/>
    <w:rsid w:val="00DC7154"/>
    <w:rsid w:val="00DC7616"/>
    <w:rsid w:val="00DC7827"/>
    <w:rsid w:val="00DC7B7C"/>
    <w:rsid w:val="00DC7C5F"/>
    <w:rsid w:val="00DC7E8A"/>
    <w:rsid w:val="00DD0046"/>
    <w:rsid w:val="00DD00DD"/>
    <w:rsid w:val="00DD0F78"/>
    <w:rsid w:val="00DD12E4"/>
    <w:rsid w:val="00DD17D5"/>
    <w:rsid w:val="00DD2131"/>
    <w:rsid w:val="00DD24B9"/>
    <w:rsid w:val="00DD273C"/>
    <w:rsid w:val="00DD2A72"/>
    <w:rsid w:val="00DD2B04"/>
    <w:rsid w:val="00DD2B53"/>
    <w:rsid w:val="00DD32DA"/>
    <w:rsid w:val="00DD3337"/>
    <w:rsid w:val="00DD36F9"/>
    <w:rsid w:val="00DD3F28"/>
    <w:rsid w:val="00DD4446"/>
    <w:rsid w:val="00DD4537"/>
    <w:rsid w:val="00DD4881"/>
    <w:rsid w:val="00DD4DAC"/>
    <w:rsid w:val="00DD4E15"/>
    <w:rsid w:val="00DD59F8"/>
    <w:rsid w:val="00DD5B2A"/>
    <w:rsid w:val="00DD5C59"/>
    <w:rsid w:val="00DD62A8"/>
    <w:rsid w:val="00DD6ADA"/>
    <w:rsid w:val="00DD7097"/>
    <w:rsid w:val="00DD7302"/>
    <w:rsid w:val="00DD7C70"/>
    <w:rsid w:val="00DE00A2"/>
    <w:rsid w:val="00DE045E"/>
    <w:rsid w:val="00DE05AE"/>
    <w:rsid w:val="00DE07F4"/>
    <w:rsid w:val="00DE11C4"/>
    <w:rsid w:val="00DE128F"/>
    <w:rsid w:val="00DE13CA"/>
    <w:rsid w:val="00DE1549"/>
    <w:rsid w:val="00DE16A9"/>
    <w:rsid w:val="00DE1AB2"/>
    <w:rsid w:val="00DE1B59"/>
    <w:rsid w:val="00DE202F"/>
    <w:rsid w:val="00DE2304"/>
    <w:rsid w:val="00DE23FF"/>
    <w:rsid w:val="00DE255F"/>
    <w:rsid w:val="00DE2786"/>
    <w:rsid w:val="00DE2D35"/>
    <w:rsid w:val="00DE3127"/>
    <w:rsid w:val="00DE3138"/>
    <w:rsid w:val="00DE35FA"/>
    <w:rsid w:val="00DE37F8"/>
    <w:rsid w:val="00DE39C3"/>
    <w:rsid w:val="00DE3DD4"/>
    <w:rsid w:val="00DE4273"/>
    <w:rsid w:val="00DE47B4"/>
    <w:rsid w:val="00DE4ADC"/>
    <w:rsid w:val="00DE4E3C"/>
    <w:rsid w:val="00DE4FCB"/>
    <w:rsid w:val="00DE4FE3"/>
    <w:rsid w:val="00DE512A"/>
    <w:rsid w:val="00DE5139"/>
    <w:rsid w:val="00DE573F"/>
    <w:rsid w:val="00DE5A9C"/>
    <w:rsid w:val="00DE5CCA"/>
    <w:rsid w:val="00DE5D07"/>
    <w:rsid w:val="00DE60A8"/>
    <w:rsid w:val="00DE617A"/>
    <w:rsid w:val="00DE685D"/>
    <w:rsid w:val="00DE6FB0"/>
    <w:rsid w:val="00DE6FD4"/>
    <w:rsid w:val="00DE720D"/>
    <w:rsid w:val="00DE72A7"/>
    <w:rsid w:val="00DE7419"/>
    <w:rsid w:val="00DE7832"/>
    <w:rsid w:val="00DF02A5"/>
    <w:rsid w:val="00DF09CB"/>
    <w:rsid w:val="00DF0D58"/>
    <w:rsid w:val="00DF0F89"/>
    <w:rsid w:val="00DF1654"/>
    <w:rsid w:val="00DF1744"/>
    <w:rsid w:val="00DF1751"/>
    <w:rsid w:val="00DF18FC"/>
    <w:rsid w:val="00DF21BA"/>
    <w:rsid w:val="00DF21FC"/>
    <w:rsid w:val="00DF294A"/>
    <w:rsid w:val="00DF30ED"/>
    <w:rsid w:val="00DF3123"/>
    <w:rsid w:val="00DF3328"/>
    <w:rsid w:val="00DF38F5"/>
    <w:rsid w:val="00DF3A63"/>
    <w:rsid w:val="00DF3A8E"/>
    <w:rsid w:val="00DF47BB"/>
    <w:rsid w:val="00DF4BA0"/>
    <w:rsid w:val="00DF512A"/>
    <w:rsid w:val="00DF5808"/>
    <w:rsid w:val="00DF5D2B"/>
    <w:rsid w:val="00DF5E9F"/>
    <w:rsid w:val="00DF6341"/>
    <w:rsid w:val="00DF643D"/>
    <w:rsid w:val="00DF6736"/>
    <w:rsid w:val="00DF6C81"/>
    <w:rsid w:val="00DF6F78"/>
    <w:rsid w:val="00DF7201"/>
    <w:rsid w:val="00DF77DD"/>
    <w:rsid w:val="00DF7F58"/>
    <w:rsid w:val="00E00252"/>
    <w:rsid w:val="00E00E8E"/>
    <w:rsid w:val="00E00F1E"/>
    <w:rsid w:val="00E01B38"/>
    <w:rsid w:val="00E02660"/>
    <w:rsid w:val="00E02D23"/>
    <w:rsid w:val="00E033F8"/>
    <w:rsid w:val="00E037F8"/>
    <w:rsid w:val="00E03810"/>
    <w:rsid w:val="00E03BE9"/>
    <w:rsid w:val="00E03C4A"/>
    <w:rsid w:val="00E04AAD"/>
    <w:rsid w:val="00E05630"/>
    <w:rsid w:val="00E05DC6"/>
    <w:rsid w:val="00E065B5"/>
    <w:rsid w:val="00E066CA"/>
    <w:rsid w:val="00E067D3"/>
    <w:rsid w:val="00E06D08"/>
    <w:rsid w:val="00E06DBB"/>
    <w:rsid w:val="00E077BF"/>
    <w:rsid w:val="00E10149"/>
    <w:rsid w:val="00E10537"/>
    <w:rsid w:val="00E1100D"/>
    <w:rsid w:val="00E11340"/>
    <w:rsid w:val="00E115C3"/>
    <w:rsid w:val="00E11648"/>
    <w:rsid w:val="00E11A4B"/>
    <w:rsid w:val="00E11E61"/>
    <w:rsid w:val="00E12015"/>
    <w:rsid w:val="00E12062"/>
    <w:rsid w:val="00E122A1"/>
    <w:rsid w:val="00E12833"/>
    <w:rsid w:val="00E1298B"/>
    <w:rsid w:val="00E12A2C"/>
    <w:rsid w:val="00E13044"/>
    <w:rsid w:val="00E1307A"/>
    <w:rsid w:val="00E14148"/>
    <w:rsid w:val="00E1422F"/>
    <w:rsid w:val="00E14882"/>
    <w:rsid w:val="00E14A4E"/>
    <w:rsid w:val="00E14B4A"/>
    <w:rsid w:val="00E14B4E"/>
    <w:rsid w:val="00E14C5A"/>
    <w:rsid w:val="00E15522"/>
    <w:rsid w:val="00E15F0D"/>
    <w:rsid w:val="00E16138"/>
    <w:rsid w:val="00E16245"/>
    <w:rsid w:val="00E16372"/>
    <w:rsid w:val="00E16747"/>
    <w:rsid w:val="00E16AD8"/>
    <w:rsid w:val="00E16E61"/>
    <w:rsid w:val="00E17B1C"/>
    <w:rsid w:val="00E17DD6"/>
    <w:rsid w:val="00E17FFA"/>
    <w:rsid w:val="00E20AC0"/>
    <w:rsid w:val="00E20D9A"/>
    <w:rsid w:val="00E20E4D"/>
    <w:rsid w:val="00E20ED6"/>
    <w:rsid w:val="00E21358"/>
    <w:rsid w:val="00E213A5"/>
    <w:rsid w:val="00E21579"/>
    <w:rsid w:val="00E21D58"/>
    <w:rsid w:val="00E2249B"/>
    <w:rsid w:val="00E224A1"/>
    <w:rsid w:val="00E22A0D"/>
    <w:rsid w:val="00E24080"/>
    <w:rsid w:val="00E244CB"/>
    <w:rsid w:val="00E244F6"/>
    <w:rsid w:val="00E245F4"/>
    <w:rsid w:val="00E253FB"/>
    <w:rsid w:val="00E25420"/>
    <w:rsid w:val="00E255B8"/>
    <w:rsid w:val="00E25761"/>
    <w:rsid w:val="00E25860"/>
    <w:rsid w:val="00E258C8"/>
    <w:rsid w:val="00E258DB"/>
    <w:rsid w:val="00E26F6E"/>
    <w:rsid w:val="00E271F1"/>
    <w:rsid w:val="00E2766C"/>
    <w:rsid w:val="00E2771E"/>
    <w:rsid w:val="00E27905"/>
    <w:rsid w:val="00E27D89"/>
    <w:rsid w:val="00E27F26"/>
    <w:rsid w:val="00E303EC"/>
    <w:rsid w:val="00E30A52"/>
    <w:rsid w:val="00E30C5D"/>
    <w:rsid w:val="00E30DBA"/>
    <w:rsid w:val="00E311EF"/>
    <w:rsid w:val="00E3134D"/>
    <w:rsid w:val="00E32180"/>
    <w:rsid w:val="00E3222F"/>
    <w:rsid w:val="00E32D2F"/>
    <w:rsid w:val="00E339E9"/>
    <w:rsid w:val="00E33B12"/>
    <w:rsid w:val="00E33DC4"/>
    <w:rsid w:val="00E34948"/>
    <w:rsid w:val="00E34DD5"/>
    <w:rsid w:val="00E34F55"/>
    <w:rsid w:val="00E357C1"/>
    <w:rsid w:val="00E358A7"/>
    <w:rsid w:val="00E36606"/>
    <w:rsid w:val="00E36A53"/>
    <w:rsid w:val="00E36B44"/>
    <w:rsid w:val="00E3720E"/>
    <w:rsid w:val="00E3743A"/>
    <w:rsid w:val="00E37569"/>
    <w:rsid w:val="00E375D1"/>
    <w:rsid w:val="00E37C04"/>
    <w:rsid w:val="00E37F92"/>
    <w:rsid w:val="00E401B2"/>
    <w:rsid w:val="00E4075E"/>
    <w:rsid w:val="00E41134"/>
    <w:rsid w:val="00E41A14"/>
    <w:rsid w:val="00E41E30"/>
    <w:rsid w:val="00E42F73"/>
    <w:rsid w:val="00E4335D"/>
    <w:rsid w:val="00E435AA"/>
    <w:rsid w:val="00E43734"/>
    <w:rsid w:val="00E437EA"/>
    <w:rsid w:val="00E4395F"/>
    <w:rsid w:val="00E43D70"/>
    <w:rsid w:val="00E44078"/>
    <w:rsid w:val="00E443AA"/>
    <w:rsid w:val="00E45D80"/>
    <w:rsid w:val="00E466F3"/>
    <w:rsid w:val="00E46C4A"/>
    <w:rsid w:val="00E47B2C"/>
    <w:rsid w:val="00E47EDE"/>
    <w:rsid w:val="00E50537"/>
    <w:rsid w:val="00E509D2"/>
    <w:rsid w:val="00E50BBB"/>
    <w:rsid w:val="00E51015"/>
    <w:rsid w:val="00E51289"/>
    <w:rsid w:val="00E5154F"/>
    <w:rsid w:val="00E51560"/>
    <w:rsid w:val="00E51821"/>
    <w:rsid w:val="00E51C11"/>
    <w:rsid w:val="00E52B01"/>
    <w:rsid w:val="00E52CB6"/>
    <w:rsid w:val="00E52F2A"/>
    <w:rsid w:val="00E52FAA"/>
    <w:rsid w:val="00E53482"/>
    <w:rsid w:val="00E536F3"/>
    <w:rsid w:val="00E537CF"/>
    <w:rsid w:val="00E53800"/>
    <w:rsid w:val="00E53EE1"/>
    <w:rsid w:val="00E53F47"/>
    <w:rsid w:val="00E53F7A"/>
    <w:rsid w:val="00E53FC8"/>
    <w:rsid w:val="00E5400B"/>
    <w:rsid w:val="00E54347"/>
    <w:rsid w:val="00E5439A"/>
    <w:rsid w:val="00E54F5F"/>
    <w:rsid w:val="00E54FFB"/>
    <w:rsid w:val="00E5504A"/>
    <w:rsid w:val="00E55079"/>
    <w:rsid w:val="00E5514B"/>
    <w:rsid w:val="00E55424"/>
    <w:rsid w:val="00E55793"/>
    <w:rsid w:val="00E55820"/>
    <w:rsid w:val="00E55915"/>
    <w:rsid w:val="00E55AAB"/>
    <w:rsid w:val="00E55B98"/>
    <w:rsid w:val="00E55BB5"/>
    <w:rsid w:val="00E55C77"/>
    <w:rsid w:val="00E55E35"/>
    <w:rsid w:val="00E561EF"/>
    <w:rsid w:val="00E564C8"/>
    <w:rsid w:val="00E5662D"/>
    <w:rsid w:val="00E56A12"/>
    <w:rsid w:val="00E56EA5"/>
    <w:rsid w:val="00E607D3"/>
    <w:rsid w:val="00E60CBB"/>
    <w:rsid w:val="00E60D6F"/>
    <w:rsid w:val="00E60F05"/>
    <w:rsid w:val="00E6109C"/>
    <w:rsid w:val="00E611DF"/>
    <w:rsid w:val="00E6163B"/>
    <w:rsid w:val="00E616A9"/>
    <w:rsid w:val="00E6243C"/>
    <w:rsid w:val="00E62670"/>
    <w:rsid w:val="00E62D4F"/>
    <w:rsid w:val="00E63A15"/>
    <w:rsid w:val="00E646DC"/>
    <w:rsid w:val="00E64F3D"/>
    <w:rsid w:val="00E65362"/>
    <w:rsid w:val="00E65E79"/>
    <w:rsid w:val="00E66BA2"/>
    <w:rsid w:val="00E6728E"/>
    <w:rsid w:val="00E67416"/>
    <w:rsid w:val="00E67D1C"/>
    <w:rsid w:val="00E718B6"/>
    <w:rsid w:val="00E71947"/>
    <w:rsid w:val="00E72331"/>
    <w:rsid w:val="00E723BA"/>
    <w:rsid w:val="00E72671"/>
    <w:rsid w:val="00E7269C"/>
    <w:rsid w:val="00E72A08"/>
    <w:rsid w:val="00E73581"/>
    <w:rsid w:val="00E735AE"/>
    <w:rsid w:val="00E7365D"/>
    <w:rsid w:val="00E736B2"/>
    <w:rsid w:val="00E73799"/>
    <w:rsid w:val="00E73AF3"/>
    <w:rsid w:val="00E73CDF"/>
    <w:rsid w:val="00E7519D"/>
    <w:rsid w:val="00E757B3"/>
    <w:rsid w:val="00E75F1A"/>
    <w:rsid w:val="00E75F20"/>
    <w:rsid w:val="00E75FA0"/>
    <w:rsid w:val="00E762F6"/>
    <w:rsid w:val="00E773A3"/>
    <w:rsid w:val="00E80573"/>
    <w:rsid w:val="00E808A0"/>
    <w:rsid w:val="00E80914"/>
    <w:rsid w:val="00E80A60"/>
    <w:rsid w:val="00E81DBB"/>
    <w:rsid w:val="00E81FFF"/>
    <w:rsid w:val="00E824C1"/>
    <w:rsid w:val="00E83175"/>
    <w:rsid w:val="00E833F7"/>
    <w:rsid w:val="00E83451"/>
    <w:rsid w:val="00E8368D"/>
    <w:rsid w:val="00E836AD"/>
    <w:rsid w:val="00E83ABB"/>
    <w:rsid w:val="00E83B91"/>
    <w:rsid w:val="00E83BDF"/>
    <w:rsid w:val="00E83DA1"/>
    <w:rsid w:val="00E8503B"/>
    <w:rsid w:val="00E85234"/>
    <w:rsid w:val="00E85270"/>
    <w:rsid w:val="00E852AA"/>
    <w:rsid w:val="00E85402"/>
    <w:rsid w:val="00E854CF"/>
    <w:rsid w:val="00E86322"/>
    <w:rsid w:val="00E86399"/>
    <w:rsid w:val="00E86FCC"/>
    <w:rsid w:val="00E870BD"/>
    <w:rsid w:val="00E87207"/>
    <w:rsid w:val="00E87A1D"/>
    <w:rsid w:val="00E87DE4"/>
    <w:rsid w:val="00E9094A"/>
    <w:rsid w:val="00E90A5D"/>
    <w:rsid w:val="00E90CA9"/>
    <w:rsid w:val="00E90F09"/>
    <w:rsid w:val="00E918BA"/>
    <w:rsid w:val="00E91D35"/>
    <w:rsid w:val="00E926A5"/>
    <w:rsid w:val="00E92A3C"/>
    <w:rsid w:val="00E930C2"/>
    <w:rsid w:val="00E93516"/>
    <w:rsid w:val="00E9374C"/>
    <w:rsid w:val="00E93964"/>
    <w:rsid w:val="00E94BB2"/>
    <w:rsid w:val="00E94E20"/>
    <w:rsid w:val="00E95AB3"/>
    <w:rsid w:val="00E95F20"/>
    <w:rsid w:val="00E96087"/>
    <w:rsid w:val="00E96128"/>
    <w:rsid w:val="00E962CC"/>
    <w:rsid w:val="00E96E0F"/>
    <w:rsid w:val="00E973EB"/>
    <w:rsid w:val="00E97ADE"/>
    <w:rsid w:val="00EA0E59"/>
    <w:rsid w:val="00EA17C3"/>
    <w:rsid w:val="00EA200B"/>
    <w:rsid w:val="00EA23FD"/>
    <w:rsid w:val="00EA243E"/>
    <w:rsid w:val="00EA2CAA"/>
    <w:rsid w:val="00EA3568"/>
    <w:rsid w:val="00EA3864"/>
    <w:rsid w:val="00EA3BFC"/>
    <w:rsid w:val="00EA3EC6"/>
    <w:rsid w:val="00EA45EC"/>
    <w:rsid w:val="00EA5003"/>
    <w:rsid w:val="00EA5BF8"/>
    <w:rsid w:val="00EA5EEB"/>
    <w:rsid w:val="00EA6082"/>
    <w:rsid w:val="00EA7141"/>
    <w:rsid w:val="00EA7B03"/>
    <w:rsid w:val="00EA7C7A"/>
    <w:rsid w:val="00EA7D95"/>
    <w:rsid w:val="00EA7F1C"/>
    <w:rsid w:val="00EB1113"/>
    <w:rsid w:val="00EB1305"/>
    <w:rsid w:val="00EB1311"/>
    <w:rsid w:val="00EB15B6"/>
    <w:rsid w:val="00EB1AA5"/>
    <w:rsid w:val="00EB2424"/>
    <w:rsid w:val="00EB2912"/>
    <w:rsid w:val="00EB2F9A"/>
    <w:rsid w:val="00EB356A"/>
    <w:rsid w:val="00EB3CD5"/>
    <w:rsid w:val="00EB3D06"/>
    <w:rsid w:val="00EB3D3F"/>
    <w:rsid w:val="00EB3FEF"/>
    <w:rsid w:val="00EB4916"/>
    <w:rsid w:val="00EB5573"/>
    <w:rsid w:val="00EB5F14"/>
    <w:rsid w:val="00EB604E"/>
    <w:rsid w:val="00EB630E"/>
    <w:rsid w:val="00EB6FEB"/>
    <w:rsid w:val="00EB706C"/>
    <w:rsid w:val="00EB72CE"/>
    <w:rsid w:val="00EB7791"/>
    <w:rsid w:val="00EC00C9"/>
    <w:rsid w:val="00EC0382"/>
    <w:rsid w:val="00EC0942"/>
    <w:rsid w:val="00EC0DD9"/>
    <w:rsid w:val="00EC0F36"/>
    <w:rsid w:val="00EC1164"/>
    <w:rsid w:val="00EC1260"/>
    <w:rsid w:val="00EC1281"/>
    <w:rsid w:val="00EC1F86"/>
    <w:rsid w:val="00EC2593"/>
    <w:rsid w:val="00EC2616"/>
    <w:rsid w:val="00EC2649"/>
    <w:rsid w:val="00EC2C79"/>
    <w:rsid w:val="00EC31ED"/>
    <w:rsid w:val="00EC47EF"/>
    <w:rsid w:val="00EC5702"/>
    <w:rsid w:val="00EC5836"/>
    <w:rsid w:val="00EC5BD5"/>
    <w:rsid w:val="00EC6778"/>
    <w:rsid w:val="00EC678D"/>
    <w:rsid w:val="00EC688C"/>
    <w:rsid w:val="00EC73AA"/>
    <w:rsid w:val="00ED049F"/>
    <w:rsid w:val="00ED07B4"/>
    <w:rsid w:val="00ED0CBB"/>
    <w:rsid w:val="00ED1147"/>
    <w:rsid w:val="00ED1154"/>
    <w:rsid w:val="00ED12E3"/>
    <w:rsid w:val="00ED17CA"/>
    <w:rsid w:val="00ED2347"/>
    <w:rsid w:val="00ED2CD5"/>
    <w:rsid w:val="00ED3098"/>
    <w:rsid w:val="00ED37FF"/>
    <w:rsid w:val="00ED48DD"/>
    <w:rsid w:val="00ED4B04"/>
    <w:rsid w:val="00ED53CD"/>
    <w:rsid w:val="00ED57EA"/>
    <w:rsid w:val="00ED5BD4"/>
    <w:rsid w:val="00ED5DFD"/>
    <w:rsid w:val="00ED618A"/>
    <w:rsid w:val="00ED68BC"/>
    <w:rsid w:val="00ED699D"/>
    <w:rsid w:val="00ED708C"/>
    <w:rsid w:val="00ED7937"/>
    <w:rsid w:val="00ED7C35"/>
    <w:rsid w:val="00ED7D8C"/>
    <w:rsid w:val="00EE07D3"/>
    <w:rsid w:val="00EE1743"/>
    <w:rsid w:val="00EE1996"/>
    <w:rsid w:val="00EE1C01"/>
    <w:rsid w:val="00EE1DF8"/>
    <w:rsid w:val="00EE1F93"/>
    <w:rsid w:val="00EE1FAC"/>
    <w:rsid w:val="00EE225A"/>
    <w:rsid w:val="00EE22AF"/>
    <w:rsid w:val="00EE250F"/>
    <w:rsid w:val="00EE26D6"/>
    <w:rsid w:val="00EE350A"/>
    <w:rsid w:val="00EE3526"/>
    <w:rsid w:val="00EE3555"/>
    <w:rsid w:val="00EE37D2"/>
    <w:rsid w:val="00EE3E09"/>
    <w:rsid w:val="00EE3E72"/>
    <w:rsid w:val="00EE41A1"/>
    <w:rsid w:val="00EE5806"/>
    <w:rsid w:val="00EE628F"/>
    <w:rsid w:val="00EE649F"/>
    <w:rsid w:val="00EE6E32"/>
    <w:rsid w:val="00EE7388"/>
    <w:rsid w:val="00EE77F9"/>
    <w:rsid w:val="00EE7EC2"/>
    <w:rsid w:val="00EF0171"/>
    <w:rsid w:val="00EF03CA"/>
    <w:rsid w:val="00EF08B6"/>
    <w:rsid w:val="00EF0FC5"/>
    <w:rsid w:val="00EF19B3"/>
    <w:rsid w:val="00EF1AEE"/>
    <w:rsid w:val="00EF1B25"/>
    <w:rsid w:val="00EF1DA0"/>
    <w:rsid w:val="00EF1F97"/>
    <w:rsid w:val="00EF28F6"/>
    <w:rsid w:val="00EF35A8"/>
    <w:rsid w:val="00EF3AF8"/>
    <w:rsid w:val="00EF41A7"/>
    <w:rsid w:val="00EF41C5"/>
    <w:rsid w:val="00EF4747"/>
    <w:rsid w:val="00EF4BF8"/>
    <w:rsid w:val="00EF511C"/>
    <w:rsid w:val="00EF6813"/>
    <w:rsid w:val="00EF69DC"/>
    <w:rsid w:val="00EF6E4B"/>
    <w:rsid w:val="00EF7715"/>
    <w:rsid w:val="00EF78D6"/>
    <w:rsid w:val="00EF78F7"/>
    <w:rsid w:val="00F00545"/>
    <w:rsid w:val="00F00722"/>
    <w:rsid w:val="00F00AA5"/>
    <w:rsid w:val="00F00B45"/>
    <w:rsid w:val="00F010F7"/>
    <w:rsid w:val="00F01887"/>
    <w:rsid w:val="00F01EF5"/>
    <w:rsid w:val="00F02253"/>
    <w:rsid w:val="00F0288A"/>
    <w:rsid w:val="00F03089"/>
    <w:rsid w:val="00F03847"/>
    <w:rsid w:val="00F03C2E"/>
    <w:rsid w:val="00F03F57"/>
    <w:rsid w:val="00F040F5"/>
    <w:rsid w:val="00F047E8"/>
    <w:rsid w:val="00F04A66"/>
    <w:rsid w:val="00F04ACB"/>
    <w:rsid w:val="00F04B4B"/>
    <w:rsid w:val="00F04D76"/>
    <w:rsid w:val="00F04F9E"/>
    <w:rsid w:val="00F0516C"/>
    <w:rsid w:val="00F066EF"/>
    <w:rsid w:val="00F067A2"/>
    <w:rsid w:val="00F07537"/>
    <w:rsid w:val="00F0762C"/>
    <w:rsid w:val="00F07ADE"/>
    <w:rsid w:val="00F07B9E"/>
    <w:rsid w:val="00F104B4"/>
    <w:rsid w:val="00F1068F"/>
    <w:rsid w:val="00F10821"/>
    <w:rsid w:val="00F10886"/>
    <w:rsid w:val="00F10F27"/>
    <w:rsid w:val="00F10F3A"/>
    <w:rsid w:val="00F1116F"/>
    <w:rsid w:val="00F11310"/>
    <w:rsid w:val="00F116CB"/>
    <w:rsid w:val="00F11950"/>
    <w:rsid w:val="00F11A13"/>
    <w:rsid w:val="00F12581"/>
    <w:rsid w:val="00F1263A"/>
    <w:rsid w:val="00F12949"/>
    <w:rsid w:val="00F12F6F"/>
    <w:rsid w:val="00F12FF6"/>
    <w:rsid w:val="00F13171"/>
    <w:rsid w:val="00F136B1"/>
    <w:rsid w:val="00F139C5"/>
    <w:rsid w:val="00F140CD"/>
    <w:rsid w:val="00F1497E"/>
    <w:rsid w:val="00F14B6B"/>
    <w:rsid w:val="00F14BB8"/>
    <w:rsid w:val="00F14E71"/>
    <w:rsid w:val="00F14EE5"/>
    <w:rsid w:val="00F15421"/>
    <w:rsid w:val="00F156D4"/>
    <w:rsid w:val="00F15B77"/>
    <w:rsid w:val="00F165AF"/>
    <w:rsid w:val="00F16935"/>
    <w:rsid w:val="00F20698"/>
    <w:rsid w:val="00F208D6"/>
    <w:rsid w:val="00F20D04"/>
    <w:rsid w:val="00F211E7"/>
    <w:rsid w:val="00F21236"/>
    <w:rsid w:val="00F21DD1"/>
    <w:rsid w:val="00F221A8"/>
    <w:rsid w:val="00F227F5"/>
    <w:rsid w:val="00F239DF"/>
    <w:rsid w:val="00F24037"/>
    <w:rsid w:val="00F24837"/>
    <w:rsid w:val="00F24C89"/>
    <w:rsid w:val="00F2575F"/>
    <w:rsid w:val="00F257D7"/>
    <w:rsid w:val="00F25A2C"/>
    <w:rsid w:val="00F262B1"/>
    <w:rsid w:val="00F26612"/>
    <w:rsid w:val="00F27565"/>
    <w:rsid w:val="00F27923"/>
    <w:rsid w:val="00F27B50"/>
    <w:rsid w:val="00F27BE9"/>
    <w:rsid w:val="00F30D83"/>
    <w:rsid w:val="00F310D4"/>
    <w:rsid w:val="00F31359"/>
    <w:rsid w:val="00F31D5A"/>
    <w:rsid w:val="00F31D9F"/>
    <w:rsid w:val="00F3200D"/>
    <w:rsid w:val="00F32A87"/>
    <w:rsid w:val="00F3317A"/>
    <w:rsid w:val="00F33736"/>
    <w:rsid w:val="00F33975"/>
    <w:rsid w:val="00F33DE9"/>
    <w:rsid w:val="00F342AC"/>
    <w:rsid w:val="00F3515F"/>
    <w:rsid w:val="00F351DF"/>
    <w:rsid w:val="00F3539E"/>
    <w:rsid w:val="00F355E7"/>
    <w:rsid w:val="00F35E2C"/>
    <w:rsid w:val="00F35E6D"/>
    <w:rsid w:val="00F3603E"/>
    <w:rsid w:val="00F3619A"/>
    <w:rsid w:val="00F368CA"/>
    <w:rsid w:val="00F37932"/>
    <w:rsid w:val="00F40AAA"/>
    <w:rsid w:val="00F40BA7"/>
    <w:rsid w:val="00F40F9D"/>
    <w:rsid w:val="00F417DE"/>
    <w:rsid w:val="00F419D9"/>
    <w:rsid w:val="00F41ACD"/>
    <w:rsid w:val="00F42016"/>
    <w:rsid w:val="00F423E8"/>
    <w:rsid w:val="00F4255C"/>
    <w:rsid w:val="00F42874"/>
    <w:rsid w:val="00F4393F"/>
    <w:rsid w:val="00F43A0C"/>
    <w:rsid w:val="00F43BA5"/>
    <w:rsid w:val="00F43CE8"/>
    <w:rsid w:val="00F443F1"/>
    <w:rsid w:val="00F44580"/>
    <w:rsid w:val="00F44748"/>
    <w:rsid w:val="00F44781"/>
    <w:rsid w:val="00F44A79"/>
    <w:rsid w:val="00F45FC5"/>
    <w:rsid w:val="00F46423"/>
    <w:rsid w:val="00F46CB6"/>
    <w:rsid w:val="00F4706B"/>
    <w:rsid w:val="00F473D4"/>
    <w:rsid w:val="00F4756D"/>
    <w:rsid w:val="00F477B9"/>
    <w:rsid w:val="00F47A95"/>
    <w:rsid w:val="00F47DE8"/>
    <w:rsid w:val="00F47EB8"/>
    <w:rsid w:val="00F5011E"/>
    <w:rsid w:val="00F5067F"/>
    <w:rsid w:val="00F50F60"/>
    <w:rsid w:val="00F5197A"/>
    <w:rsid w:val="00F51C9F"/>
    <w:rsid w:val="00F51D24"/>
    <w:rsid w:val="00F5283D"/>
    <w:rsid w:val="00F529EE"/>
    <w:rsid w:val="00F52A2D"/>
    <w:rsid w:val="00F5345E"/>
    <w:rsid w:val="00F542C1"/>
    <w:rsid w:val="00F54E36"/>
    <w:rsid w:val="00F55075"/>
    <w:rsid w:val="00F550E3"/>
    <w:rsid w:val="00F55200"/>
    <w:rsid w:val="00F55455"/>
    <w:rsid w:val="00F55E73"/>
    <w:rsid w:val="00F55EDA"/>
    <w:rsid w:val="00F5602E"/>
    <w:rsid w:val="00F567AF"/>
    <w:rsid w:val="00F56B48"/>
    <w:rsid w:val="00F56C80"/>
    <w:rsid w:val="00F56D26"/>
    <w:rsid w:val="00F56FA2"/>
    <w:rsid w:val="00F57201"/>
    <w:rsid w:val="00F60092"/>
    <w:rsid w:val="00F600B7"/>
    <w:rsid w:val="00F6027D"/>
    <w:rsid w:val="00F60805"/>
    <w:rsid w:val="00F61C18"/>
    <w:rsid w:val="00F624A3"/>
    <w:rsid w:val="00F62889"/>
    <w:rsid w:val="00F62E68"/>
    <w:rsid w:val="00F63EB0"/>
    <w:rsid w:val="00F6453B"/>
    <w:rsid w:val="00F65943"/>
    <w:rsid w:val="00F65F4B"/>
    <w:rsid w:val="00F65F65"/>
    <w:rsid w:val="00F6607A"/>
    <w:rsid w:val="00F6794C"/>
    <w:rsid w:val="00F67A69"/>
    <w:rsid w:val="00F67DDD"/>
    <w:rsid w:val="00F67F40"/>
    <w:rsid w:val="00F70678"/>
    <w:rsid w:val="00F70BFF"/>
    <w:rsid w:val="00F70C9D"/>
    <w:rsid w:val="00F71158"/>
    <w:rsid w:val="00F72A5A"/>
    <w:rsid w:val="00F72C95"/>
    <w:rsid w:val="00F730CC"/>
    <w:rsid w:val="00F73120"/>
    <w:rsid w:val="00F734C4"/>
    <w:rsid w:val="00F7397B"/>
    <w:rsid w:val="00F73E08"/>
    <w:rsid w:val="00F73E8C"/>
    <w:rsid w:val="00F74229"/>
    <w:rsid w:val="00F7462D"/>
    <w:rsid w:val="00F74690"/>
    <w:rsid w:val="00F74CD9"/>
    <w:rsid w:val="00F74F5E"/>
    <w:rsid w:val="00F75006"/>
    <w:rsid w:val="00F750D6"/>
    <w:rsid w:val="00F7565F"/>
    <w:rsid w:val="00F7640A"/>
    <w:rsid w:val="00F76BAD"/>
    <w:rsid w:val="00F7729E"/>
    <w:rsid w:val="00F7762F"/>
    <w:rsid w:val="00F80A7B"/>
    <w:rsid w:val="00F80E5D"/>
    <w:rsid w:val="00F8139A"/>
    <w:rsid w:val="00F8142C"/>
    <w:rsid w:val="00F8149B"/>
    <w:rsid w:val="00F8166D"/>
    <w:rsid w:val="00F81E78"/>
    <w:rsid w:val="00F8254A"/>
    <w:rsid w:val="00F82614"/>
    <w:rsid w:val="00F829B6"/>
    <w:rsid w:val="00F829BF"/>
    <w:rsid w:val="00F83178"/>
    <w:rsid w:val="00F83406"/>
    <w:rsid w:val="00F83916"/>
    <w:rsid w:val="00F83DC5"/>
    <w:rsid w:val="00F84022"/>
    <w:rsid w:val="00F84492"/>
    <w:rsid w:val="00F84AEF"/>
    <w:rsid w:val="00F84D6C"/>
    <w:rsid w:val="00F84DDA"/>
    <w:rsid w:val="00F84F3B"/>
    <w:rsid w:val="00F851CE"/>
    <w:rsid w:val="00F853E9"/>
    <w:rsid w:val="00F85468"/>
    <w:rsid w:val="00F859D7"/>
    <w:rsid w:val="00F85E77"/>
    <w:rsid w:val="00F85EC5"/>
    <w:rsid w:val="00F85FAF"/>
    <w:rsid w:val="00F8639A"/>
    <w:rsid w:val="00F865D8"/>
    <w:rsid w:val="00F86733"/>
    <w:rsid w:val="00F86F6B"/>
    <w:rsid w:val="00F8708F"/>
    <w:rsid w:val="00F87671"/>
    <w:rsid w:val="00F87A98"/>
    <w:rsid w:val="00F87BEA"/>
    <w:rsid w:val="00F87C9B"/>
    <w:rsid w:val="00F9026D"/>
    <w:rsid w:val="00F90329"/>
    <w:rsid w:val="00F907CC"/>
    <w:rsid w:val="00F908DD"/>
    <w:rsid w:val="00F90F9B"/>
    <w:rsid w:val="00F91219"/>
    <w:rsid w:val="00F91242"/>
    <w:rsid w:val="00F913E9"/>
    <w:rsid w:val="00F91499"/>
    <w:rsid w:val="00F9187F"/>
    <w:rsid w:val="00F923B5"/>
    <w:rsid w:val="00F92444"/>
    <w:rsid w:val="00F926C9"/>
    <w:rsid w:val="00F92796"/>
    <w:rsid w:val="00F9281B"/>
    <w:rsid w:val="00F92B5E"/>
    <w:rsid w:val="00F92C00"/>
    <w:rsid w:val="00F9393E"/>
    <w:rsid w:val="00F93A6B"/>
    <w:rsid w:val="00F946CF"/>
    <w:rsid w:val="00F947D5"/>
    <w:rsid w:val="00F9489D"/>
    <w:rsid w:val="00F94E11"/>
    <w:rsid w:val="00F95CBB"/>
    <w:rsid w:val="00F96064"/>
    <w:rsid w:val="00F96562"/>
    <w:rsid w:val="00F96595"/>
    <w:rsid w:val="00F96FD0"/>
    <w:rsid w:val="00F97A78"/>
    <w:rsid w:val="00F97E1C"/>
    <w:rsid w:val="00FA007A"/>
    <w:rsid w:val="00FA00D2"/>
    <w:rsid w:val="00FA0B20"/>
    <w:rsid w:val="00FA0CC6"/>
    <w:rsid w:val="00FA0CE2"/>
    <w:rsid w:val="00FA14C3"/>
    <w:rsid w:val="00FA1798"/>
    <w:rsid w:val="00FA1C7C"/>
    <w:rsid w:val="00FA1F8C"/>
    <w:rsid w:val="00FA24E7"/>
    <w:rsid w:val="00FA26FC"/>
    <w:rsid w:val="00FA2831"/>
    <w:rsid w:val="00FA2A33"/>
    <w:rsid w:val="00FA2AD4"/>
    <w:rsid w:val="00FA2FB3"/>
    <w:rsid w:val="00FA41F5"/>
    <w:rsid w:val="00FA4428"/>
    <w:rsid w:val="00FA48EB"/>
    <w:rsid w:val="00FA54A9"/>
    <w:rsid w:val="00FA562E"/>
    <w:rsid w:val="00FA57CD"/>
    <w:rsid w:val="00FA5EE6"/>
    <w:rsid w:val="00FA5F82"/>
    <w:rsid w:val="00FA613E"/>
    <w:rsid w:val="00FA6883"/>
    <w:rsid w:val="00FA77A3"/>
    <w:rsid w:val="00FA7817"/>
    <w:rsid w:val="00FA785C"/>
    <w:rsid w:val="00FA7956"/>
    <w:rsid w:val="00FA7D86"/>
    <w:rsid w:val="00FB0323"/>
    <w:rsid w:val="00FB0824"/>
    <w:rsid w:val="00FB0EAB"/>
    <w:rsid w:val="00FB101E"/>
    <w:rsid w:val="00FB1244"/>
    <w:rsid w:val="00FB2532"/>
    <w:rsid w:val="00FB2716"/>
    <w:rsid w:val="00FB2C60"/>
    <w:rsid w:val="00FB2FCB"/>
    <w:rsid w:val="00FB374B"/>
    <w:rsid w:val="00FB386F"/>
    <w:rsid w:val="00FB4446"/>
    <w:rsid w:val="00FB447A"/>
    <w:rsid w:val="00FB45C8"/>
    <w:rsid w:val="00FB4782"/>
    <w:rsid w:val="00FB4C5B"/>
    <w:rsid w:val="00FB4C9C"/>
    <w:rsid w:val="00FB4F25"/>
    <w:rsid w:val="00FB562F"/>
    <w:rsid w:val="00FB5C40"/>
    <w:rsid w:val="00FB5F36"/>
    <w:rsid w:val="00FB6DDD"/>
    <w:rsid w:val="00FB7391"/>
    <w:rsid w:val="00FB7C55"/>
    <w:rsid w:val="00FB7F6F"/>
    <w:rsid w:val="00FC0120"/>
    <w:rsid w:val="00FC0186"/>
    <w:rsid w:val="00FC101B"/>
    <w:rsid w:val="00FC1074"/>
    <w:rsid w:val="00FC17E8"/>
    <w:rsid w:val="00FC1884"/>
    <w:rsid w:val="00FC1C5C"/>
    <w:rsid w:val="00FC28C4"/>
    <w:rsid w:val="00FC33E2"/>
    <w:rsid w:val="00FC36C8"/>
    <w:rsid w:val="00FC371D"/>
    <w:rsid w:val="00FC379F"/>
    <w:rsid w:val="00FC3DAA"/>
    <w:rsid w:val="00FC42F4"/>
    <w:rsid w:val="00FC46CB"/>
    <w:rsid w:val="00FC53FF"/>
    <w:rsid w:val="00FC5713"/>
    <w:rsid w:val="00FC594A"/>
    <w:rsid w:val="00FC5DD9"/>
    <w:rsid w:val="00FC5F0B"/>
    <w:rsid w:val="00FC6991"/>
    <w:rsid w:val="00FC6C75"/>
    <w:rsid w:val="00FC7028"/>
    <w:rsid w:val="00FD0036"/>
    <w:rsid w:val="00FD03DB"/>
    <w:rsid w:val="00FD05E7"/>
    <w:rsid w:val="00FD101E"/>
    <w:rsid w:val="00FD1072"/>
    <w:rsid w:val="00FD10E1"/>
    <w:rsid w:val="00FD13DA"/>
    <w:rsid w:val="00FD18C0"/>
    <w:rsid w:val="00FD1AA6"/>
    <w:rsid w:val="00FD1B97"/>
    <w:rsid w:val="00FD1F0E"/>
    <w:rsid w:val="00FD2100"/>
    <w:rsid w:val="00FD21FE"/>
    <w:rsid w:val="00FD24EB"/>
    <w:rsid w:val="00FD36FE"/>
    <w:rsid w:val="00FD4145"/>
    <w:rsid w:val="00FD436C"/>
    <w:rsid w:val="00FD446D"/>
    <w:rsid w:val="00FD45D9"/>
    <w:rsid w:val="00FD4E38"/>
    <w:rsid w:val="00FD4F2C"/>
    <w:rsid w:val="00FD4FC8"/>
    <w:rsid w:val="00FD51BC"/>
    <w:rsid w:val="00FD56C4"/>
    <w:rsid w:val="00FD5775"/>
    <w:rsid w:val="00FD5983"/>
    <w:rsid w:val="00FD59B5"/>
    <w:rsid w:val="00FD5B41"/>
    <w:rsid w:val="00FD5BF2"/>
    <w:rsid w:val="00FD6394"/>
    <w:rsid w:val="00FD6712"/>
    <w:rsid w:val="00FD6AE0"/>
    <w:rsid w:val="00FD6CE2"/>
    <w:rsid w:val="00FD7ACB"/>
    <w:rsid w:val="00FE0A89"/>
    <w:rsid w:val="00FE0E6C"/>
    <w:rsid w:val="00FE1066"/>
    <w:rsid w:val="00FE10FD"/>
    <w:rsid w:val="00FE1309"/>
    <w:rsid w:val="00FE1437"/>
    <w:rsid w:val="00FE1B28"/>
    <w:rsid w:val="00FE1CDC"/>
    <w:rsid w:val="00FE1DC2"/>
    <w:rsid w:val="00FE2BA6"/>
    <w:rsid w:val="00FE324D"/>
    <w:rsid w:val="00FE383C"/>
    <w:rsid w:val="00FE39FC"/>
    <w:rsid w:val="00FE3F40"/>
    <w:rsid w:val="00FE55AF"/>
    <w:rsid w:val="00FE5903"/>
    <w:rsid w:val="00FE5FD8"/>
    <w:rsid w:val="00FE6147"/>
    <w:rsid w:val="00FE6F09"/>
    <w:rsid w:val="00FE7095"/>
    <w:rsid w:val="00FE70C3"/>
    <w:rsid w:val="00FE7199"/>
    <w:rsid w:val="00FE7709"/>
    <w:rsid w:val="00FE7CFA"/>
    <w:rsid w:val="00FE7E43"/>
    <w:rsid w:val="00FF0E02"/>
    <w:rsid w:val="00FF14ED"/>
    <w:rsid w:val="00FF16E2"/>
    <w:rsid w:val="00FF1749"/>
    <w:rsid w:val="00FF1927"/>
    <w:rsid w:val="00FF1A8B"/>
    <w:rsid w:val="00FF1D37"/>
    <w:rsid w:val="00FF1DB4"/>
    <w:rsid w:val="00FF1F0C"/>
    <w:rsid w:val="00FF2441"/>
    <w:rsid w:val="00FF270E"/>
    <w:rsid w:val="00FF2AD9"/>
    <w:rsid w:val="00FF2AE3"/>
    <w:rsid w:val="00FF2D2C"/>
    <w:rsid w:val="00FF359F"/>
    <w:rsid w:val="00FF3B74"/>
    <w:rsid w:val="00FF3DCF"/>
    <w:rsid w:val="00FF492C"/>
    <w:rsid w:val="00FF4A21"/>
    <w:rsid w:val="00FF5525"/>
    <w:rsid w:val="00FF5AA3"/>
    <w:rsid w:val="00FF5AD8"/>
    <w:rsid w:val="00FF5DF4"/>
    <w:rsid w:val="00FF630F"/>
    <w:rsid w:val="00FF6B24"/>
    <w:rsid w:val="00FF76D7"/>
    <w:rsid w:val="036C43F0"/>
    <w:rsid w:val="0D3FA5D1"/>
    <w:rsid w:val="13EDC13A"/>
    <w:rsid w:val="14A59CC8"/>
    <w:rsid w:val="17C44055"/>
    <w:rsid w:val="1D776B1B"/>
    <w:rsid w:val="235486F5"/>
    <w:rsid w:val="23830B80"/>
    <w:rsid w:val="26DF1453"/>
    <w:rsid w:val="27F1BF13"/>
    <w:rsid w:val="2825B7C0"/>
    <w:rsid w:val="2AEEA3E3"/>
    <w:rsid w:val="2B779756"/>
    <w:rsid w:val="2C005CB8"/>
    <w:rsid w:val="2C755CAC"/>
    <w:rsid w:val="2CB51E56"/>
    <w:rsid w:val="2D00452F"/>
    <w:rsid w:val="2D80D9A6"/>
    <w:rsid w:val="34E3B148"/>
    <w:rsid w:val="39889008"/>
    <w:rsid w:val="39D08D22"/>
    <w:rsid w:val="3CB9F87A"/>
    <w:rsid w:val="4053B2E5"/>
    <w:rsid w:val="439DF49A"/>
    <w:rsid w:val="4C43032C"/>
    <w:rsid w:val="5249D6A5"/>
    <w:rsid w:val="53899DBA"/>
    <w:rsid w:val="56DEAB24"/>
    <w:rsid w:val="604E4FC1"/>
    <w:rsid w:val="64E386E4"/>
    <w:rsid w:val="666B6BA0"/>
    <w:rsid w:val="672D1090"/>
    <w:rsid w:val="6910D77A"/>
    <w:rsid w:val="69FE7D54"/>
    <w:rsid w:val="6A11E825"/>
    <w:rsid w:val="6CBD0F29"/>
    <w:rsid w:val="6EF91E24"/>
    <w:rsid w:val="75C473A9"/>
    <w:rsid w:val="7860252E"/>
    <w:rsid w:val="78D633F5"/>
    <w:rsid w:val="7B903601"/>
    <w:rsid w:val="7CD8CC70"/>
    <w:rsid w:val="7E6336BB"/>
    <w:rsid w:val="7F0BD7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130"/>
    <w:pPr>
      <w:jc w:val="both"/>
    </w:pPr>
    <w:rPr>
      <w:rFonts w:ascii="Calibri" w:hAnsi="Calibri"/>
      <w:sz w:val="24"/>
      <w:szCs w:val="24"/>
    </w:rPr>
  </w:style>
  <w:style w:type="paragraph" w:styleId="Heading1">
    <w:name w:val="heading 1"/>
    <w:basedOn w:val="Normal"/>
    <w:next w:val="Normal"/>
    <w:link w:val="Heading1Char"/>
    <w:uiPriority w:val="1"/>
    <w:rsid w:val="001B204E"/>
    <w:pPr>
      <w:ind w:left="720" w:hanging="720"/>
      <w:outlineLvl w:val="0"/>
    </w:pPr>
    <w:rPr>
      <w:rFonts w:cs="Arial"/>
      <w:b/>
      <w:caps/>
      <w:sz w:val="32"/>
    </w:rPr>
  </w:style>
  <w:style w:type="paragraph" w:styleId="Heading2">
    <w:name w:val="heading 2"/>
    <w:basedOn w:val="Normal"/>
    <w:next w:val="Normal"/>
    <w:link w:val="Heading2Char"/>
    <w:rsid w:val="001B204E"/>
    <w:pPr>
      <w:outlineLvl w:val="1"/>
    </w:pPr>
    <w:rPr>
      <w:rFonts w:cs="Arial"/>
      <w:b/>
      <w:i/>
      <w:sz w:val="28"/>
    </w:rPr>
  </w:style>
  <w:style w:type="paragraph" w:styleId="Heading3">
    <w:name w:val="heading 3"/>
    <w:basedOn w:val="Normal"/>
    <w:next w:val="Normal"/>
    <w:link w:val="Heading3Char"/>
    <w:rsid w:val="001F7361"/>
    <w:pPr>
      <w:outlineLvl w:val="2"/>
    </w:pPr>
    <w:rPr>
      <w:rFonts w:cs="Arial"/>
      <w:u w:val="single"/>
    </w:rPr>
  </w:style>
  <w:style w:type="paragraph" w:styleId="Heading4">
    <w:name w:val="heading 4"/>
    <w:basedOn w:val="Normal"/>
    <w:next w:val="Normal"/>
    <w:link w:val="Heading4Char"/>
    <w:rsid w:val="00124A51"/>
    <w:pPr>
      <w:keepNext/>
      <w:spacing w:before="240" w:after="60"/>
      <w:outlineLvl w:val="3"/>
    </w:pPr>
    <w:rPr>
      <w:rFonts w:cs="Arial"/>
      <w:b/>
      <w:bCs/>
      <w:i/>
      <w:sz w:val="26"/>
      <w:szCs w:val="28"/>
    </w:rPr>
  </w:style>
  <w:style w:type="paragraph" w:styleId="Heading5">
    <w:name w:val="heading 5"/>
    <w:basedOn w:val="Normal"/>
    <w:next w:val="Normal"/>
    <w:link w:val="Heading5Char"/>
    <w:rsid w:val="00124A51"/>
    <w:pPr>
      <w:spacing w:before="240" w:after="60"/>
      <w:outlineLvl w:val="4"/>
    </w:pPr>
    <w:rPr>
      <w:rFonts w:cs="Arial"/>
      <w:b/>
      <w:bCs/>
      <w:iCs/>
      <w:sz w:val="26"/>
      <w:szCs w:val="26"/>
    </w:rPr>
  </w:style>
  <w:style w:type="paragraph" w:styleId="Heading6">
    <w:name w:val="heading 6"/>
    <w:basedOn w:val="Normal"/>
    <w:next w:val="Normal"/>
    <w:link w:val="Heading6Char"/>
    <w:rsid w:val="00124A51"/>
    <w:pPr>
      <w:spacing w:before="240" w:after="60"/>
      <w:outlineLvl w:val="5"/>
    </w:pPr>
    <w:rPr>
      <w:rFonts w:cs="Arial"/>
      <w:b/>
      <w:bCs/>
      <w:i/>
    </w:rPr>
  </w:style>
  <w:style w:type="paragraph" w:styleId="Heading7">
    <w:name w:val="heading 7"/>
    <w:basedOn w:val="Normal"/>
    <w:next w:val="Normal"/>
    <w:link w:val="Heading7Char"/>
    <w:rsid w:val="00124A51"/>
    <w:pPr>
      <w:keepNext/>
      <w:jc w:val="center"/>
      <w:outlineLvl w:val="6"/>
    </w:pPr>
    <w:rPr>
      <w:rFonts w:cs="Arial"/>
      <w:b/>
      <w:sz w:val="20"/>
    </w:rPr>
  </w:style>
  <w:style w:type="paragraph" w:styleId="Heading8">
    <w:name w:val="heading 8"/>
    <w:basedOn w:val="Normal"/>
    <w:next w:val="Normal"/>
    <w:link w:val="Heading8Char"/>
    <w:uiPriority w:val="7"/>
    <w:rsid w:val="00124A51"/>
    <w:pPr>
      <w:keepNext/>
      <w:jc w:val="right"/>
      <w:outlineLvl w:val="7"/>
    </w:pPr>
    <w:rPr>
      <w:rFonts w:cs="Arial"/>
      <w:b/>
    </w:rPr>
  </w:style>
  <w:style w:type="paragraph" w:styleId="Heading9">
    <w:name w:val="heading 9"/>
    <w:basedOn w:val="Normal"/>
    <w:next w:val="Normal"/>
    <w:link w:val="Heading9Char"/>
    <w:rsid w:val="00124A51"/>
    <w:pPr>
      <w:keepNext/>
      <w:jc w:val="center"/>
      <w:outlineLvl w:val="8"/>
    </w:pPr>
    <w:rPr>
      <w:rFonts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z w:val="28"/>
      <w:szCs w:val="24"/>
    </w:rPr>
  </w:style>
  <w:style w:type="character" w:customStyle="1" w:styleId="Heading7Char">
    <w:name w:val="Heading 7 Char"/>
    <w:basedOn w:val="DefaultParagraphFont"/>
    <w:link w:val="Heading7"/>
    <w:rsid w:val="00124A51"/>
    <w:rPr>
      <w:rFonts w:ascii="Calibri" w:hAnsi="Calibri" w:cs="Arial"/>
      <w:b/>
      <w:szCs w:val="24"/>
    </w:rPr>
  </w:style>
  <w:style w:type="character" w:customStyle="1" w:styleId="Heading8Char">
    <w:name w:val="Heading 8 Char"/>
    <w:basedOn w:val="DefaultParagraphFont"/>
    <w:link w:val="Heading8"/>
    <w:uiPriority w:val="7"/>
    <w:rsid w:val="00124A51"/>
    <w:rPr>
      <w:rFonts w:ascii="Calibri" w:hAnsi="Calibri" w:cs="Arial"/>
      <w:b/>
      <w:sz w:val="24"/>
      <w:szCs w:val="24"/>
    </w:rPr>
  </w:style>
  <w:style w:type="character" w:customStyle="1" w:styleId="Heading9Char">
    <w:name w:val="Heading 9 Char"/>
    <w:basedOn w:val="DefaultParagraphFont"/>
    <w:link w:val="Heading9"/>
    <w:rsid w:val="00124A51"/>
    <w:rPr>
      <w:rFonts w:ascii="Calibri" w:hAnsi="Calibri" w:cs="Arial"/>
      <w:b/>
      <w:color w:val="000000"/>
      <w:szCs w:val="24"/>
    </w:rPr>
  </w:style>
  <w:style w:type="paragraph" w:customStyle="1" w:styleId="TableFooter">
    <w:name w:val="Table Footer"/>
    <w:basedOn w:val="Normal"/>
    <w:link w:val="TableFooterChar"/>
    <w:rsid w:val="00E2771E"/>
    <w:rPr>
      <w:rFonts w:ascii="Arial Narrow" w:hAnsi="Arial Narrow" w:cs="Arial"/>
      <w:sz w:val="18"/>
    </w:rPr>
  </w:style>
  <w:style w:type="character" w:customStyle="1" w:styleId="TableFooterChar">
    <w:name w:val="Table Footer Char"/>
    <w:link w:val="TableFooter"/>
    <w:rsid w:val="00322846"/>
    <w:rPr>
      <w:rFonts w:ascii="Arial Narrow" w:hAnsi="Arial Narrow" w:cs="Arial"/>
      <w:sz w:val="18"/>
      <w:szCs w:val="24"/>
    </w:rPr>
  </w:style>
  <w:style w:type="paragraph" w:customStyle="1" w:styleId="TableHeader">
    <w:name w:val="Table Header"/>
    <w:basedOn w:val="Normal"/>
    <w:uiPriority w:val="3"/>
    <w:rsid w:val="000D1BFC"/>
    <w:rPr>
      <w:rFonts w:cs="Arial"/>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legend"/>
    <w:basedOn w:val="Normal"/>
    <w:next w:val="Normal"/>
    <w:link w:val="CaptionChar"/>
    <w:uiPriority w:val="99"/>
    <w:unhideWhenUsed/>
    <w:rsid w:val="00E16AD8"/>
    <w:pPr>
      <w:keepNext/>
      <w:keepLines/>
    </w:pPr>
    <w:rPr>
      <w:rFonts w:ascii="Arial Narrow" w:hAnsi="Arial Narrow" w:cs="Arial"/>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rPr>
      <w:rFonts w:cs="Arial"/>
    </w:rPr>
  </w:style>
  <w:style w:type="character" w:customStyle="1" w:styleId="BodyTextChar">
    <w:name w:val="Body Text Char"/>
    <w:basedOn w:val="DefaultParagraphFont"/>
    <w:link w:val="BodyText"/>
    <w:rsid w:val="004B3DDB"/>
    <w:rPr>
      <w:rFonts w:ascii="Calibri" w:hAnsi="Calibri" w:cs="Arial"/>
      <w:sz w:val="24"/>
      <w:szCs w:val="24"/>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1,Summary Bullets,L"/>
    <w:link w:val="ListParagraphChar"/>
    <w:uiPriority w:val="72"/>
    <w:qFormat/>
    <w:rsid w:val="00257130"/>
    <w:pPr>
      <w:numPr>
        <w:numId w:val="19"/>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72"/>
    <w:qFormat/>
    <w:locked/>
    <w:rsid w:val="00257130"/>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sz w:val="22"/>
      <w:szCs w:val="24"/>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257130"/>
    <w:pPr>
      <w:keepNext/>
      <w:tabs>
        <w:tab w:val="center" w:pos="4513"/>
        <w:tab w:val="right" w:pos="9026"/>
      </w:tabs>
      <w:jc w:val="center"/>
    </w:pPr>
    <w:rPr>
      <w:rFonts w:cs="Arial"/>
      <w:i/>
      <w:iCs/>
    </w:rPr>
  </w:style>
  <w:style w:type="character" w:customStyle="1" w:styleId="HeaderChar">
    <w:name w:val="Header Char"/>
    <w:aliases w:val="Page Header Char,Header title Char,he=header Char,cntr/bld Char"/>
    <w:basedOn w:val="DefaultParagraphFont"/>
    <w:link w:val="Header"/>
    <w:uiPriority w:val="99"/>
    <w:rsid w:val="00257130"/>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rPr>
      <w:rFonts w:cs="Arial"/>
    </w:rPr>
  </w:style>
  <w:style w:type="character" w:customStyle="1" w:styleId="FooterChar">
    <w:name w:val="Footer Char"/>
    <w:basedOn w:val="DefaultParagraphFont"/>
    <w:link w:val="Footer"/>
    <w:uiPriority w:val="99"/>
    <w:rsid w:val="00124A51"/>
    <w:rPr>
      <w:rFonts w:ascii="Calibri" w:hAnsi="Calibri" w:cs="Arial"/>
      <w:sz w:val="24"/>
      <w:szCs w:val="24"/>
    </w:rPr>
  </w:style>
  <w:style w:type="table" w:styleId="TableGrid">
    <w:name w:val="Table Grid"/>
    <w:aliases w:val="Summary box,Table Gridbeth,CMA Table Template,ASD Table,RTI AMCP Table,new style,HTAtableplain,PBAC table,MSD Table Grid,Dossier table,Summary Table,Header Table,NICE instructions,Source table_,Lash Style Table,HealthConsult"/>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rsid w:val="001E30D4"/>
    <w:rPr>
      <w:rFonts w:ascii="Arial Narrow" w:hAnsi="Arial Narrow"/>
      <w:b/>
      <w:sz w:val="20"/>
      <w:szCs w:val="16"/>
    </w:rPr>
  </w:style>
  <w:style w:type="paragraph" w:customStyle="1" w:styleId="Tabletext">
    <w:name w:val="Table text"/>
    <w:basedOn w:val="Normal"/>
    <w:link w:val="TabletextChar"/>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cs="Times New Roman"/>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rFonts w:cs="Arial"/>
      <w:iCs/>
      <w:sz w:val="20"/>
    </w:rPr>
  </w:style>
  <w:style w:type="paragraph" w:styleId="TOC1">
    <w:name w:val="toc 1"/>
    <w:basedOn w:val="Normal"/>
    <w:next w:val="Normal"/>
    <w:autoRedefine/>
    <w:uiPriority w:val="39"/>
    <w:rsid w:val="005618D4"/>
    <w:pPr>
      <w:tabs>
        <w:tab w:val="left" w:pos="440"/>
        <w:tab w:val="right" w:leader="dot" w:pos="9016"/>
      </w:tabs>
      <w:spacing w:after="120"/>
    </w:pPr>
    <w:rPr>
      <w:rFonts w:cs="Arial"/>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cs="Arial"/>
      <w:sz w:val="20"/>
    </w:rPr>
  </w:style>
  <w:style w:type="paragraph" w:styleId="TOC4">
    <w:name w:val="toc 4"/>
    <w:basedOn w:val="Normal"/>
    <w:next w:val="Normal"/>
    <w:autoRedefine/>
    <w:rsid w:val="00D0262E"/>
    <w:pPr>
      <w:ind w:left="660"/>
    </w:pPr>
    <w:rPr>
      <w:rFonts w:asciiTheme="minorHAnsi" w:hAnsiTheme="minorHAnsi" w:cs="Arial"/>
      <w:sz w:val="20"/>
    </w:rPr>
  </w:style>
  <w:style w:type="paragraph" w:styleId="TOC5">
    <w:name w:val="toc 5"/>
    <w:basedOn w:val="Normal"/>
    <w:next w:val="Normal"/>
    <w:autoRedefine/>
    <w:rsid w:val="00D0262E"/>
    <w:pPr>
      <w:ind w:left="880"/>
    </w:pPr>
    <w:rPr>
      <w:rFonts w:asciiTheme="minorHAnsi" w:hAnsiTheme="minorHAnsi" w:cs="Arial"/>
      <w:sz w:val="20"/>
    </w:rPr>
  </w:style>
  <w:style w:type="paragraph" w:styleId="TOC6">
    <w:name w:val="toc 6"/>
    <w:basedOn w:val="Normal"/>
    <w:next w:val="Normal"/>
    <w:autoRedefine/>
    <w:rsid w:val="00D0262E"/>
    <w:pPr>
      <w:ind w:left="1100"/>
    </w:pPr>
    <w:rPr>
      <w:rFonts w:asciiTheme="minorHAnsi" w:hAnsiTheme="minorHAnsi" w:cs="Arial"/>
      <w:sz w:val="20"/>
    </w:rPr>
  </w:style>
  <w:style w:type="paragraph" w:styleId="TOC7">
    <w:name w:val="toc 7"/>
    <w:basedOn w:val="Normal"/>
    <w:next w:val="Normal"/>
    <w:autoRedefine/>
    <w:rsid w:val="00D0262E"/>
    <w:pPr>
      <w:ind w:left="1320"/>
    </w:pPr>
    <w:rPr>
      <w:rFonts w:asciiTheme="minorHAnsi" w:hAnsiTheme="minorHAnsi" w:cs="Arial"/>
      <w:sz w:val="20"/>
    </w:rPr>
  </w:style>
  <w:style w:type="paragraph" w:styleId="TOC8">
    <w:name w:val="toc 8"/>
    <w:basedOn w:val="Normal"/>
    <w:next w:val="Normal"/>
    <w:autoRedefine/>
    <w:rsid w:val="00D0262E"/>
    <w:pPr>
      <w:ind w:left="1540"/>
    </w:pPr>
    <w:rPr>
      <w:rFonts w:asciiTheme="minorHAnsi" w:hAnsiTheme="minorHAnsi" w:cs="Arial"/>
      <w:sz w:val="20"/>
    </w:rPr>
  </w:style>
  <w:style w:type="paragraph" w:styleId="TOC9">
    <w:name w:val="toc 9"/>
    <w:basedOn w:val="Normal"/>
    <w:next w:val="Normal"/>
    <w:autoRedefine/>
    <w:rsid w:val="00D0262E"/>
    <w:pPr>
      <w:ind w:left="1760"/>
    </w:pPr>
    <w:rPr>
      <w:rFonts w:asciiTheme="minorHAnsi" w:hAnsiTheme="minorHAnsi" w:cs="Arial"/>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rsid w:val="00FD2100"/>
    <w:rPr>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D2100"/>
    <w:rPr>
      <w:rFonts w:ascii="Calibri" w:hAnsi="Calibri"/>
      <w:szCs w:val="24"/>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szCs w:val="24"/>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rPr>
      <w:rFonts w:cs="Arial"/>
    </w:rPr>
  </w:style>
  <w:style w:type="character" w:customStyle="1" w:styleId="BodyTextIndentChar">
    <w:name w:val="Body Text Indent Char"/>
    <w:basedOn w:val="DefaultParagraphFont"/>
    <w:link w:val="BodyTextIndent"/>
    <w:rsid w:val="00E41E30"/>
    <w:rPr>
      <w:rFonts w:ascii="Calibri" w:hAnsi="Calibri" w:cs="Arial"/>
      <w:sz w:val="24"/>
      <w:szCs w:val="24"/>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rFonts w:ascii="Calibri" w:hAnsi="Calibri"/>
      <w:snapToGrid w:val="0"/>
      <w:szCs w:val="24"/>
    </w:rPr>
  </w:style>
  <w:style w:type="paragraph" w:styleId="Subtitle">
    <w:name w:val="Subtitle"/>
    <w:basedOn w:val="Normal"/>
    <w:link w:val="SubtitleChar"/>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rFonts w:cs="Arial"/>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z w:val="16"/>
      <w:szCs w:val="16"/>
    </w:rPr>
  </w:style>
  <w:style w:type="paragraph" w:customStyle="1" w:styleId="TableText0">
    <w:name w:val="Table Text"/>
    <w:link w:val="TableTextChar0"/>
    <w:qFormat/>
    <w:rsid w:val="00257130"/>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257130"/>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257130"/>
    <w:pPr>
      <w:keepNext/>
    </w:pPr>
    <w:rPr>
      <w:rFonts w:ascii="Arial Narrow" w:eastAsiaTheme="majorEastAsia" w:hAnsi="Arial Narrow"/>
      <w:b/>
      <w:szCs w:val="24"/>
      <w:lang w:val="en-US"/>
    </w:rPr>
  </w:style>
  <w:style w:type="paragraph" w:customStyle="1" w:styleId="2-SectionHeading">
    <w:name w:val="2-Section Heading"/>
    <w:next w:val="3-BodyText"/>
    <w:qFormat/>
    <w:rsid w:val="00257130"/>
    <w:pPr>
      <w:keepNext/>
      <w:numPr>
        <w:numId w:val="2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257130"/>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257130"/>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next w:val="TableText0"/>
    <w:link w:val="TableFigureHeadingChar"/>
    <w:qFormat/>
    <w:rsid w:val="00257130"/>
    <w:rPr>
      <w:rFonts w:eastAsiaTheme="majorEastAsia" w:cstheme="majorBidi"/>
      <w:iCs/>
      <w:szCs w:val="24"/>
    </w:rPr>
  </w:style>
  <w:style w:type="character" w:customStyle="1" w:styleId="TableFigureHeadingChar">
    <w:name w:val="Table/Figure Heading Char"/>
    <w:basedOn w:val="DefaultParagraphFont"/>
    <w:link w:val="TableFigureHeading"/>
    <w:rsid w:val="00257130"/>
    <w:rPr>
      <w:rFonts w:ascii="Arial Narrow" w:eastAsiaTheme="majorEastAsia" w:hAnsi="Arial Narrow" w:cstheme="majorBidi"/>
      <w:b/>
      <w:bCs/>
      <w:iCs/>
      <w:szCs w:val="24"/>
    </w:rPr>
  </w:style>
  <w:style w:type="paragraph" w:customStyle="1" w:styleId="3-BodyText">
    <w:name w:val="3-Body Text"/>
    <w:link w:val="3-BodyTextChar"/>
    <w:qFormat/>
    <w:rsid w:val="00C91274"/>
    <w:pPr>
      <w:numPr>
        <w:ilvl w:val="1"/>
        <w:numId w:val="2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C91274"/>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257130"/>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257130"/>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257130"/>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257130"/>
    <w:rPr>
      <w:rFonts w:asciiTheme="minorHAnsi" w:eastAsiaTheme="majorEastAsia" w:hAnsiTheme="minorHAnsi" w:cstheme="majorBidi"/>
      <w:b/>
      <w:i/>
      <w:snapToGrid w:val="0"/>
      <w:spacing w:val="5"/>
      <w:kern w:val="28"/>
      <w:sz w:val="28"/>
      <w:szCs w:val="36"/>
    </w:rPr>
  </w:style>
  <w:style w:type="paragraph" w:customStyle="1" w:styleId="5-SubsectionSubheading">
    <w:name w:val="5-Subsection Subheading"/>
    <w:basedOn w:val="Heading3"/>
    <w:next w:val="3-BodyText"/>
    <w:link w:val="5-SubsectionSubheadingChar"/>
    <w:qFormat/>
    <w:rsid w:val="00257130"/>
    <w:pPr>
      <w:keepNext/>
      <w:keepLines/>
      <w:spacing w:before="40"/>
    </w:pPr>
    <w:rPr>
      <w:rFonts w:asciiTheme="minorHAnsi" w:eastAsiaTheme="majorEastAsia" w:hAnsiTheme="minorHAnsi" w:cstheme="majorBidi"/>
      <w:b/>
      <w:color w:val="000000" w:themeColor="text1"/>
    </w:rPr>
  </w:style>
  <w:style w:type="character" w:customStyle="1" w:styleId="5-SubsectionSubheadingChar">
    <w:name w:val="5-Subsection Subheading Char"/>
    <w:basedOn w:val="Heading3Char"/>
    <w:link w:val="5-SubsectionSubheading"/>
    <w:rsid w:val="00257130"/>
    <w:rPr>
      <w:rFonts w:asciiTheme="minorHAnsi" w:eastAsiaTheme="majorEastAsia" w:hAnsiTheme="minorHAnsi" w:cstheme="majorBidi"/>
      <w:b/>
      <w:color w:val="000000" w:themeColor="text1"/>
      <w:sz w:val="24"/>
      <w:szCs w:val="24"/>
      <w:u w:val="single"/>
    </w:rPr>
  </w:style>
  <w:style w:type="paragraph" w:styleId="ListBullet">
    <w:name w:val="List Bullet"/>
    <w:basedOn w:val="Normal"/>
    <w:unhideWhenUsed/>
    <w:rsid w:val="00EE1996"/>
    <w:pPr>
      <w:numPr>
        <w:numId w:val="3"/>
      </w:numPr>
      <w:contextualSpacing/>
    </w:pPr>
    <w:rPr>
      <w:rFonts w:cs="Arial"/>
    </w:rPr>
  </w:style>
  <w:style w:type="character" w:customStyle="1" w:styleId="TableTextChar0">
    <w:name w:val="Table Text Char"/>
    <w:basedOn w:val="DefaultParagraphFont"/>
    <w:link w:val="TableText0"/>
    <w:rsid w:val="00257130"/>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0A06CA"/>
    <w:pPr>
      <w:keepNext/>
      <w:keepLines/>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A06CA"/>
    <w:rPr>
      <w:rFonts w:ascii="Arial Narrow" w:hAnsi="Arial Narrow" w:cs="Arial"/>
      <w:snapToGrid w:val="0"/>
      <w:sz w:val="18"/>
      <w:szCs w:val="22"/>
    </w:rPr>
  </w:style>
  <w:style w:type="paragraph" w:customStyle="1" w:styleId="TableHeading0">
    <w:name w:val="Table Heading"/>
    <w:basedOn w:val="TableText0"/>
    <w:link w:val="TableHeadingChar"/>
    <w:rsid w:val="00B94F67"/>
    <w:pPr>
      <w:spacing w:before="20" w:after="20" w:line="276" w:lineRule="auto"/>
    </w:pPr>
    <w:rPr>
      <w:rFonts w:cs="Arial"/>
      <w:b/>
      <w:bCs w:val="0"/>
      <w:szCs w:val="20"/>
      <w:lang w:bidi="en-US"/>
    </w:rPr>
  </w:style>
  <w:style w:type="table" w:customStyle="1" w:styleId="AZTable">
    <w:name w:val="AZ Table"/>
    <w:basedOn w:val="TableNormal"/>
    <w:uiPriority w:val="99"/>
    <w:rsid w:val="00B94F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HeadingChar">
    <w:name w:val="Table Heading Char"/>
    <w:basedOn w:val="DefaultParagraphFont"/>
    <w:link w:val="TableHeading0"/>
    <w:locked/>
    <w:rsid w:val="00B94F67"/>
    <w:rPr>
      <w:rFonts w:ascii="Arial Narrow" w:eastAsiaTheme="majorEastAsia" w:hAnsi="Arial Narrow" w:cs="Arial"/>
      <w:b/>
      <w:lang w:bidi="en-US"/>
    </w:rPr>
  </w:style>
  <w:style w:type="paragraph" w:customStyle="1" w:styleId="Sources">
    <w:name w:val="Sources"/>
    <w:basedOn w:val="Normal"/>
    <w:link w:val="SourcesChar"/>
    <w:rsid w:val="00BE78BE"/>
    <w:pPr>
      <w:spacing w:before="60" w:after="240"/>
      <w:contextualSpacing/>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BE78BE"/>
    <w:rPr>
      <w:rFonts w:ascii="Arial" w:eastAsiaTheme="minorHAnsi" w:hAnsi="Arial" w:cstheme="minorBidi"/>
      <w:sz w:val="16"/>
      <w:szCs w:val="22"/>
      <w:lang w:eastAsia="en-US"/>
    </w:rPr>
  </w:style>
  <w:style w:type="character" w:customStyle="1" w:styleId="ui-provider">
    <w:name w:val="ui-provider"/>
    <w:basedOn w:val="DefaultParagraphFont"/>
    <w:rsid w:val="00BE78BE"/>
  </w:style>
  <w:style w:type="paragraph" w:customStyle="1" w:styleId="PBACTabletext">
    <w:name w:val="PBAC Table text"/>
    <w:rsid w:val="00CD6247"/>
    <w:pPr>
      <w:keepNext/>
      <w:keepLines/>
      <w:suppressLineNumbers/>
      <w:spacing w:after="80"/>
      <w:textboxTightWrap w:val="allLines"/>
    </w:pPr>
    <w:rPr>
      <w:rFonts w:ascii="Arial Narrow" w:hAnsi="Arial Narrow" w:cs="Arial"/>
      <w:szCs w:val="24"/>
      <w:lang w:eastAsia="en-GB"/>
    </w:rPr>
  </w:style>
  <w:style w:type="character" w:styleId="Emphasis">
    <w:name w:val="Emphasis"/>
    <w:basedOn w:val="DefaultParagraphFont"/>
    <w:uiPriority w:val="20"/>
    <w:rsid w:val="001E3B5B"/>
    <w:rPr>
      <w:i/>
      <w:iCs/>
    </w:rPr>
  </w:style>
  <w:style w:type="paragraph" w:customStyle="1" w:styleId="Table">
    <w:name w:val="Table"/>
    <w:basedOn w:val="Normal"/>
    <w:link w:val="TableChar"/>
    <w:rsid w:val="00593E16"/>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593E16"/>
    <w:rPr>
      <w:rFonts w:ascii="Candara" w:eastAsiaTheme="majorEastAsia" w:hAnsi="Candara" w:cstheme="majorBidi"/>
      <w:szCs w:val="22"/>
      <w:lang w:eastAsia="en-US" w:bidi="en-US"/>
    </w:rPr>
  </w:style>
  <w:style w:type="character" w:customStyle="1" w:styleId="CaptionFootnoteChar">
    <w:name w:val="Caption Footnote Char"/>
    <w:basedOn w:val="DefaultParagraphFont"/>
    <w:link w:val="CaptionFootnote"/>
    <w:rsid w:val="00593E16"/>
    <w:rPr>
      <w:rFonts w:ascii="Candara" w:hAnsi="Candara" w:cs="Arial"/>
      <w:bCs/>
      <w:sz w:val="16"/>
      <w:szCs w:val="18"/>
    </w:rPr>
  </w:style>
  <w:style w:type="paragraph" w:customStyle="1" w:styleId="CaptionFootnote">
    <w:name w:val="Caption Footnote"/>
    <w:basedOn w:val="Caption"/>
    <w:link w:val="CaptionFootnoteChar"/>
    <w:rsid w:val="00593E16"/>
    <w:pPr>
      <w:keepNext w:val="0"/>
      <w:keepLines w:val="0"/>
      <w:widowControl w:val="0"/>
      <w:jc w:val="left"/>
    </w:pPr>
    <w:rPr>
      <w:rFonts w:ascii="Candara" w:hAnsi="Candara"/>
      <w:b w:val="0"/>
      <w:sz w:val="16"/>
    </w:rPr>
  </w:style>
  <w:style w:type="paragraph" w:customStyle="1" w:styleId="TableCentre">
    <w:name w:val="Table Centre"/>
    <w:basedOn w:val="Table"/>
    <w:rsid w:val="00593E16"/>
    <w:pPr>
      <w:jc w:val="center"/>
    </w:pPr>
  </w:style>
  <w:style w:type="paragraph" w:customStyle="1" w:styleId="Tablefootnote">
    <w:name w:val="Table footnote"/>
    <w:basedOn w:val="Normal"/>
    <w:link w:val="TablefootnoteChar"/>
    <w:rsid w:val="00DA5F52"/>
    <w:pPr>
      <w:keepNext/>
      <w:keepLines/>
      <w:spacing w:before="120" w:after="120"/>
      <w:contextualSpacing/>
    </w:pPr>
    <w:rPr>
      <w:rFonts w:ascii="Arial Narrow" w:hAnsi="Arial Narrow"/>
      <w:sz w:val="18"/>
      <w:szCs w:val="22"/>
      <w:lang w:eastAsia="en-US"/>
    </w:rPr>
  </w:style>
  <w:style w:type="character" w:customStyle="1" w:styleId="TablefootnoteChar">
    <w:name w:val="Table footnote Char"/>
    <w:basedOn w:val="DefaultParagraphFont"/>
    <w:link w:val="Tablefootnote"/>
    <w:rsid w:val="00DA5F52"/>
    <w:rPr>
      <w:rFonts w:ascii="Arial Narrow" w:hAnsi="Arial Narrow"/>
      <w:sz w:val="18"/>
      <w:szCs w:val="22"/>
      <w:lang w:eastAsia="en-US"/>
    </w:rPr>
  </w:style>
  <w:style w:type="character" w:customStyle="1" w:styleId="Small">
    <w:name w:val="Small"/>
    <w:basedOn w:val="DefaultParagraphFont"/>
    <w:uiPriority w:val="4"/>
    <w:rsid w:val="001A79B7"/>
    <w:rPr>
      <w:rFonts w:ascii="Candara" w:hAnsi="Candara"/>
      <w:sz w:val="20"/>
    </w:rPr>
  </w:style>
  <w:style w:type="character" w:customStyle="1" w:styleId="apple-converted-space">
    <w:name w:val="apple-converted-space"/>
    <w:basedOn w:val="DefaultParagraphFont"/>
    <w:rsid w:val="00C469AD"/>
  </w:style>
  <w:style w:type="paragraph" w:customStyle="1" w:styleId="p1">
    <w:name w:val="p1"/>
    <w:basedOn w:val="Normal"/>
    <w:rsid w:val="002D1C73"/>
    <w:rPr>
      <w:color w:val="000000"/>
      <w:sz w:val="18"/>
      <w:szCs w:val="18"/>
    </w:rPr>
  </w:style>
  <w:style w:type="numbering" w:customStyle="1" w:styleId="SectionBi">
    <w:name w:val="Section Bi"/>
    <w:uiPriority w:val="99"/>
    <w:rsid w:val="00B01DFE"/>
    <w:pPr>
      <w:numPr>
        <w:numId w:val="7"/>
      </w:numPr>
    </w:pPr>
  </w:style>
  <w:style w:type="numbering" w:customStyle="1" w:styleId="Style13">
    <w:name w:val="Style13"/>
    <w:uiPriority w:val="99"/>
    <w:rsid w:val="00010779"/>
    <w:pPr>
      <w:numPr>
        <w:numId w:val="8"/>
      </w:numPr>
    </w:pPr>
  </w:style>
  <w:style w:type="character" w:styleId="UnresolvedMention">
    <w:name w:val="Unresolved Mention"/>
    <w:basedOn w:val="DefaultParagraphFont"/>
    <w:uiPriority w:val="99"/>
    <w:semiHidden/>
    <w:unhideWhenUsed/>
    <w:rsid w:val="00031395"/>
    <w:rPr>
      <w:color w:val="605E5C"/>
      <w:shd w:val="clear" w:color="auto" w:fill="E1DFDD"/>
    </w:rPr>
  </w:style>
  <w:style w:type="paragraph" w:customStyle="1" w:styleId="2ndTableBullet">
    <w:name w:val="2nd Table Bullet"/>
    <w:basedOn w:val="Normal"/>
    <w:rsid w:val="002874B2"/>
    <w:pPr>
      <w:numPr>
        <w:numId w:val="9"/>
      </w:numPr>
      <w:overflowPunct w:val="0"/>
      <w:autoSpaceDE w:val="0"/>
      <w:autoSpaceDN w:val="0"/>
      <w:adjustRightInd w:val="0"/>
      <w:spacing w:after="60" w:line="276" w:lineRule="auto"/>
      <w:contextualSpacing/>
      <w:textAlignment w:val="baseline"/>
    </w:pPr>
    <w:rPr>
      <w:rFonts w:ascii="Cambria Math" w:eastAsia="Cambria" w:hAnsi="Cambria Math" w:cs="Cambria"/>
      <w:szCs w:val="32"/>
      <w:lang w:val="en-US" w:eastAsia="en-US"/>
    </w:rPr>
  </w:style>
  <w:style w:type="paragraph" w:styleId="FootnoteText">
    <w:name w:val="footnote text"/>
    <w:basedOn w:val="Normal"/>
    <w:link w:val="FootnoteTextChar"/>
    <w:uiPriority w:val="99"/>
    <w:semiHidden/>
    <w:unhideWhenUsed/>
    <w:rsid w:val="00381526"/>
    <w:rPr>
      <w:rFonts w:cs="Arial"/>
      <w:sz w:val="20"/>
      <w:szCs w:val="20"/>
    </w:rPr>
  </w:style>
  <w:style w:type="character" w:customStyle="1" w:styleId="FootnoteTextChar">
    <w:name w:val="Footnote Text Char"/>
    <w:basedOn w:val="DefaultParagraphFont"/>
    <w:link w:val="FootnoteText"/>
    <w:uiPriority w:val="99"/>
    <w:semiHidden/>
    <w:rsid w:val="00381526"/>
    <w:rPr>
      <w:rFonts w:ascii="Calibri" w:hAnsi="Calibri" w:cs="Arial"/>
    </w:rPr>
  </w:style>
  <w:style w:type="character" w:styleId="FootnoteReference">
    <w:name w:val="footnote reference"/>
    <w:basedOn w:val="DefaultParagraphFont"/>
    <w:uiPriority w:val="99"/>
    <w:semiHidden/>
    <w:unhideWhenUsed/>
    <w:rsid w:val="00381526"/>
    <w:rPr>
      <w:vertAlign w:val="superscript"/>
    </w:rPr>
  </w:style>
  <w:style w:type="paragraph" w:customStyle="1" w:styleId="PBACTblFignote">
    <w:name w:val="PBAC Tbl/Fig note"/>
    <w:rsid w:val="000103FD"/>
    <w:pPr>
      <w:keepNext/>
      <w:keepLines/>
      <w:spacing w:after="360"/>
      <w:contextualSpacing/>
      <w:textboxTightWrap w:val="allLines"/>
    </w:pPr>
    <w:rPr>
      <w:rFonts w:ascii="Arial Narrow" w:hAnsi="Arial Narrow" w:cs="Arial"/>
      <w:sz w:val="16"/>
      <w:szCs w:val="24"/>
      <w:lang w:eastAsia="en-GB"/>
    </w:rPr>
  </w:style>
  <w:style w:type="numbering" w:customStyle="1" w:styleId="NoList1">
    <w:name w:val="No List1"/>
    <w:next w:val="NoList"/>
    <w:uiPriority w:val="99"/>
    <w:semiHidden/>
    <w:unhideWhenUsed/>
    <w:rsid w:val="000103FD"/>
  </w:style>
  <w:style w:type="paragraph" w:customStyle="1" w:styleId="AscTableFigureText">
    <w:name w:val="Asc Table/Figure Text"/>
    <w:basedOn w:val="NoSpacing"/>
    <w:rsid w:val="000103FD"/>
    <w:pPr>
      <w:widowControl/>
      <w:jc w:val="left"/>
    </w:pPr>
    <w:rPr>
      <w:rFonts w:ascii="Arial Narrow" w:hAnsi="Arial Narrow" w:cs="Times New Roman"/>
      <w:snapToGrid/>
      <w:sz w:val="18"/>
      <w:szCs w:val="24"/>
      <w:lang w:val="en-US"/>
    </w:rPr>
  </w:style>
  <w:style w:type="paragraph" w:customStyle="1" w:styleId="V50Instructions">
    <w:name w:val="V5.0 Instructions"/>
    <w:basedOn w:val="Normal"/>
    <w:link w:val="V50InstructionsChar"/>
    <w:rsid w:val="000103FD"/>
    <w:pPr>
      <w:spacing w:before="120" w:after="160"/>
    </w:pPr>
    <w:rPr>
      <w:rFonts w:asciiTheme="minorHAnsi" w:eastAsiaTheme="minorHAnsi" w:hAnsiTheme="minorHAnsi" w:cstheme="minorBidi"/>
      <w:szCs w:val="22"/>
      <w:lang w:eastAsia="en-US"/>
    </w:rPr>
  </w:style>
  <w:style w:type="character" w:customStyle="1" w:styleId="V50InstructionsChar">
    <w:name w:val="V5.0 Instructions Char"/>
    <w:basedOn w:val="DefaultParagraphFont"/>
    <w:link w:val="V50Instructions"/>
    <w:rsid w:val="000103FD"/>
    <w:rPr>
      <w:rFonts w:asciiTheme="minorHAnsi" w:eastAsiaTheme="minorHAnsi" w:hAnsiTheme="minorHAnsi" w:cstheme="minorBidi"/>
      <w:sz w:val="24"/>
      <w:szCs w:val="22"/>
      <w:lang w:eastAsia="en-US"/>
    </w:rPr>
  </w:style>
  <w:style w:type="paragraph" w:customStyle="1" w:styleId="TableBullet">
    <w:name w:val="Table Bullet"/>
    <w:basedOn w:val="TableText0"/>
    <w:rsid w:val="000103FD"/>
    <w:pPr>
      <w:numPr>
        <w:numId w:val="12"/>
      </w:numPr>
      <w:spacing w:before="20" w:after="20" w:line="276" w:lineRule="auto"/>
      <w:ind w:left="284" w:hanging="284"/>
    </w:pPr>
    <w:rPr>
      <w:rFonts w:cs="Arial"/>
      <w:bCs w:val="0"/>
      <w:szCs w:val="20"/>
      <w:lang w:bidi="en-US"/>
    </w:rPr>
  </w:style>
  <w:style w:type="paragraph" w:customStyle="1" w:styleId="Heading2NoTOC">
    <w:name w:val="Heading 2 No TOC"/>
    <w:basedOn w:val="Heading2"/>
    <w:next w:val="Normal"/>
    <w:uiPriority w:val="6"/>
    <w:rsid w:val="000103FD"/>
    <w:pPr>
      <w:keepNext/>
      <w:keepLines/>
      <w:spacing w:before="60" w:after="120"/>
      <w:jc w:val="left"/>
      <w:outlineLvl w:val="9"/>
    </w:pPr>
    <w:rPr>
      <w:rFonts w:ascii="Times New Roman" w:hAnsi="Times New Roman"/>
      <w:bCs/>
      <w:i w:val="0"/>
      <w:iCs/>
      <w:sz w:val="24"/>
      <w:szCs w:val="26"/>
      <w:lang w:val="en-GB" w:eastAsia="en-US"/>
    </w:rPr>
  </w:style>
  <w:style w:type="character" w:customStyle="1" w:styleId="Heading1Char">
    <w:name w:val="Heading 1 Char"/>
    <w:basedOn w:val="DefaultParagraphFont"/>
    <w:link w:val="Heading1"/>
    <w:uiPriority w:val="1"/>
    <w:rsid w:val="000103FD"/>
    <w:rPr>
      <w:rFonts w:ascii="Calibri" w:hAnsi="Calibri" w:cs="Arial"/>
      <w:b/>
      <w:caps/>
      <w:sz w:val="32"/>
      <w:szCs w:val="24"/>
    </w:rPr>
  </w:style>
  <w:style w:type="character" w:customStyle="1" w:styleId="Heading3Char">
    <w:name w:val="Heading 3 Char"/>
    <w:basedOn w:val="DefaultParagraphFont"/>
    <w:link w:val="Heading3"/>
    <w:rsid w:val="000103FD"/>
    <w:rPr>
      <w:rFonts w:ascii="Calibri" w:hAnsi="Calibri" w:cs="Arial"/>
      <w:sz w:val="24"/>
      <w:szCs w:val="24"/>
      <w:u w:val="single"/>
    </w:rPr>
  </w:style>
  <w:style w:type="character" w:customStyle="1" w:styleId="Heading4Char">
    <w:name w:val="Heading 4 Char"/>
    <w:basedOn w:val="DefaultParagraphFont"/>
    <w:link w:val="Heading4"/>
    <w:rsid w:val="000103FD"/>
    <w:rPr>
      <w:rFonts w:ascii="Calibri" w:hAnsi="Calibri" w:cs="Arial"/>
      <w:b/>
      <w:bCs/>
      <w:i/>
      <w:sz w:val="26"/>
      <w:szCs w:val="28"/>
    </w:rPr>
  </w:style>
  <w:style w:type="character" w:customStyle="1" w:styleId="Heading5Char">
    <w:name w:val="Heading 5 Char"/>
    <w:basedOn w:val="DefaultParagraphFont"/>
    <w:link w:val="Heading5"/>
    <w:rsid w:val="000103FD"/>
    <w:rPr>
      <w:rFonts w:ascii="Calibri" w:hAnsi="Calibri" w:cs="Arial"/>
      <w:b/>
      <w:bCs/>
      <w:iCs/>
      <w:sz w:val="26"/>
      <w:szCs w:val="26"/>
    </w:rPr>
  </w:style>
  <w:style w:type="character" w:customStyle="1" w:styleId="Heading6Char">
    <w:name w:val="Heading 6 Char"/>
    <w:basedOn w:val="DefaultParagraphFont"/>
    <w:link w:val="Heading6"/>
    <w:rsid w:val="000103FD"/>
    <w:rPr>
      <w:rFonts w:ascii="Calibri" w:hAnsi="Calibri" w:cs="Arial"/>
      <w:b/>
      <w:bCs/>
      <w:i/>
      <w:sz w:val="24"/>
      <w:szCs w:val="24"/>
    </w:rPr>
  </w:style>
  <w:style w:type="numbering" w:customStyle="1" w:styleId="SectionBi1">
    <w:name w:val="Section Bi1"/>
    <w:uiPriority w:val="99"/>
    <w:rsid w:val="000103FD"/>
  </w:style>
  <w:style w:type="numbering" w:customStyle="1" w:styleId="Style131">
    <w:name w:val="Style131"/>
    <w:uiPriority w:val="99"/>
    <w:rsid w:val="000103FD"/>
    <w:pPr>
      <w:numPr>
        <w:numId w:val="11"/>
      </w:numPr>
    </w:pPr>
  </w:style>
  <w:style w:type="paragraph" w:customStyle="1" w:styleId="EndNoteBibliographyTitle">
    <w:name w:val="EndNote Bibliography Title"/>
    <w:basedOn w:val="Normal"/>
    <w:link w:val="EndNoteBibliographyTitleChar"/>
    <w:rsid w:val="000103FD"/>
    <w:pPr>
      <w:jc w:val="center"/>
    </w:pPr>
    <w:rPr>
      <w:rFonts w:eastAsiaTheme="majorEastAsia"/>
      <w:noProof/>
    </w:rPr>
  </w:style>
  <w:style w:type="character" w:customStyle="1" w:styleId="EndNoteBibliographyTitleChar">
    <w:name w:val="EndNote Bibliography Title Char"/>
    <w:basedOn w:val="TableTextChar0"/>
    <w:link w:val="EndNoteBibliographyTitle"/>
    <w:rsid w:val="000103FD"/>
    <w:rPr>
      <w:rFonts w:ascii="Arial Narrow" w:eastAsiaTheme="majorEastAsia" w:hAnsi="Arial Narrow" w:cstheme="majorBidi"/>
      <w:bCs w:val="0"/>
      <w:noProof/>
      <w:sz w:val="24"/>
      <w:szCs w:val="24"/>
    </w:rPr>
  </w:style>
  <w:style w:type="paragraph" w:customStyle="1" w:styleId="EndNoteBibliography">
    <w:name w:val="EndNote Bibliography"/>
    <w:basedOn w:val="Normal"/>
    <w:link w:val="EndNoteBibliographyChar"/>
    <w:rsid w:val="000103FD"/>
    <w:rPr>
      <w:rFonts w:eastAsiaTheme="majorEastAsia"/>
      <w:noProof/>
    </w:rPr>
  </w:style>
  <w:style w:type="character" w:customStyle="1" w:styleId="EndNoteBibliographyChar">
    <w:name w:val="EndNote Bibliography Char"/>
    <w:basedOn w:val="TableTextChar0"/>
    <w:link w:val="EndNoteBibliography"/>
    <w:rsid w:val="000103FD"/>
    <w:rPr>
      <w:rFonts w:ascii="Arial Narrow" w:eastAsiaTheme="majorEastAsia" w:hAnsi="Arial Narrow" w:cstheme="majorBidi"/>
      <w:bCs w:val="0"/>
      <w:noProof/>
      <w:sz w:val="24"/>
      <w:szCs w:val="24"/>
    </w:rPr>
  </w:style>
  <w:style w:type="character" w:styleId="EndnoteReference">
    <w:name w:val="endnote reference"/>
    <w:basedOn w:val="DefaultParagraphFont"/>
    <w:semiHidden/>
    <w:unhideWhenUsed/>
    <w:rsid w:val="001E76A3"/>
    <w:rPr>
      <w:vertAlign w:val="superscript"/>
    </w:rPr>
  </w:style>
  <w:style w:type="character" w:styleId="Mention">
    <w:name w:val="Mention"/>
    <w:basedOn w:val="DefaultParagraphFont"/>
    <w:uiPriority w:val="99"/>
    <w:unhideWhenUsed/>
    <w:rsid w:val="00992F4B"/>
    <w:rPr>
      <w:color w:val="2B579A"/>
      <w:shd w:val="clear" w:color="auto" w:fill="E1DFDD"/>
    </w:rPr>
  </w:style>
  <w:style w:type="paragraph" w:customStyle="1" w:styleId="COMH2-non-numbered">
    <w:name w:val="COM H2 - non-numbered"/>
    <w:basedOn w:val="Heading2"/>
    <w:next w:val="Normal"/>
    <w:link w:val="COMH2-non-numberedChar"/>
    <w:rsid w:val="0077105B"/>
    <w:pPr>
      <w:keepNext/>
      <w:spacing w:before="120" w:after="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7105B"/>
    <w:rPr>
      <w:rFonts w:asciiTheme="minorHAnsi" w:eastAsiaTheme="majorEastAsia" w:hAnsiTheme="minorHAnsi" w:cstheme="majorBidi"/>
      <w:b/>
      <w:i/>
      <w:snapToGrid w:val="0"/>
      <w:spacing w:val="5"/>
      <w:kern w:val="28"/>
      <w:sz w:val="28"/>
      <w:szCs w:val="36"/>
      <w:lang w:eastAsia="en-US"/>
    </w:rPr>
  </w:style>
  <w:style w:type="paragraph" w:customStyle="1" w:styleId="COMH1-numbered">
    <w:name w:val="COM H1 - numbered"/>
    <w:next w:val="COMexecsummnumbered"/>
    <w:rsid w:val="00B1353A"/>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rsid w:val="00B1353A"/>
    <w:pPr>
      <w:spacing w:before="60" w:after="60"/>
      <w:ind w:left="720" w:hanging="720"/>
      <w:jc w:val="both"/>
    </w:pPr>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653">
      <w:bodyDiv w:val="1"/>
      <w:marLeft w:val="0"/>
      <w:marRight w:val="0"/>
      <w:marTop w:val="0"/>
      <w:marBottom w:val="0"/>
      <w:divBdr>
        <w:top w:val="none" w:sz="0" w:space="0" w:color="auto"/>
        <w:left w:val="none" w:sz="0" w:space="0" w:color="auto"/>
        <w:bottom w:val="none" w:sz="0" w:space="0" w:color="auto"/>
        <w:right w:val="none" w:sz="0" w:space="0" w:color="auto"/>
      </w:divBdr>
    </w:div>
    <w:div w:id="3034465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558024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4823425">
      <w:bodyDiv w:val="1"/>
      <w:marLeft w:val="0"/>
      <w:marRight w:val="0"/>
      <w:marTop w:val="0"/>
      <w:marBottom w:val="0"/>
      <w:divBdr>
        <w:top w:val="none" w:sz="0" w:space="0" w:color="auto"/>
        <w:left w:val="none" w:sz="0" w:space="0" w:color="auto"/>
        <w:bottom w:val="none" w:sz="0" w:space="0" w:color="auto"/>
        <w:right w:val="none" w:sz="0" w:space="0" w:color="auto"/>
      </w:divBdr>
    </w:div>
    <w:div w:id="459570181">
      <w:bodyDiv w:val="1"/>
      <w:marLeft w:val="0"/>
      <w:marRight w:val="0"/>
      <w:marTop w:val="0"/>
      <w:marBottom w:val="0"/>
      <w:divBdr>
        <w:top w:val="none" w:sz="0" w:space="0" w:color="auto"/>
        <w:left w:val="none" w:sz="0" w:space="0" w:color="auto"/>
        <w:bottom w:val="none" w:sz="0" w:space="0" w:color="auto"/>
        <w:right w:val="none" w:sz="0" w:space="0" w:color="auto"/>
      </w:divBdr>
    </w:div>
    <w:div w:id="467865188">
      <w:bodyDiv w:val="1"/>
      <w:marLeft w:val="0"/>
      <w:marRight w:val="0"/>
      <w:marTop w:val="0"/>
      <w:marBottom w:val="0"/>
      <w:divBdr>
        <w:top w:val="none" w:sz="0" w:space="0" w:color="auto"/>
        <w:left w:val="none" w:sz="0" w:space="0" w:color="auto"/>
        <w:bottom w:val="none" w:sz="0" w:space="0" w:color="auto"/>
        <w:right w:val="none" w:sz="0" w:space="0" w:color="auto"/>
      </w:divBdr>
    </w:div>
    <w:div w:id="516311445">
      <w:bodyDiv w:val="1"/>
      <w:marLeft w:val="0"/>
      <w:marRight w:val="0"/>
      <w:marTop w:val="0"/>
      <w:marBottom w:val="0"/>
      <w:divBdr>
        <w:top w:val="none" w:sz="0" w:space="0" w:color="auto"/>
        <w:left w:val="none" w:sz="0" w:space="0" w:color="auto"/>
        <w:bottom w:val="none" w:sz="0" w:space="0" w:color="auto"/>
        <w:right w:val="none" w:sz="0" w:space="0" w:color="auto"/>
      </w:divBdr>
    </w:div>
    <w:div w:id="539050384">
      <w:bodyDiv w:val="1"/>
      <w:marLeft w:val="0"/>
      <w:marRight w:val="0"/>
      <w:marTop w:val="0"/>
      <w:marBottom w:val="0"/>
      <w:divBdr>
        <w:top w:val="none" w:sz="0" w:space="0" w:color="auto"/>
        <w:left w:val="none" w:sz="0" w:space="0" w:color="auto"/>
        <w:bottom w:val="none" w:sz="0" w:space="0" w:color="auto"/>
        <w:right w:val="none" w:sz="0" w:space="0" w:color="auto"/>
      </w:divBdr>
    </w:div>
    <w:div w:id="580334366">
      <w:bodyDiv w:val="1"/>
      <w:marLeft w:val="0"/>
      <w:marRight w:val="0"/>
      <w:marTop w:val="0"/>
      <w:marBottom w:val="0"/>
      <w:divBdr>
        <w:top w:val="none" w:sz="0" w:space="0" w:color="auto"/>
        <w:left w:val="none" w:sz="0" w:space="0" w:color="auto"/>
        <w:bottom w:val="none" w:sz="0" w:space="0" w:color="auto"/>
        <w:right w:val="none" w:sz="0" w:space="0" w:color="auto"/>
      </w:divBdr>
    </w:div>
    <w:div w:id="623655127">
      <w:bodyDiv w:val="1"/>
      <w:marLeft w:val="0"/>
      <w:marRight w:val="0"/>
      <w:marTop w:val="0"/>
      <w:marBottom w:val="0"/>
      <w:divBdr>
        <w:top w:val="none" w:sz="0" w:space="0" w:color="auto"/>
        <w:left w:val="none" w:sz="0" w:space="0" w:color="auto"/>
        <w:bottom w:val="none" w:sz="0" w:space="0" w:color="auto"/>
        <w:right w:val="none" w:sz="0" w:space="0" w:color="auto"/>
      </w:divBdr>
    </w:div>
    <w:div w:id="659508195">
      <w:bodyDiv w:val="1"/>
      <w:marLeft w:val="0"/>
      <w:marRight w:val="0"/>
      <w:marTop w:val="0"/>
      <w:marBottom w:val="0"/>
      <w:divBdr>
        <w:top w:val="none" w:sz="0" w:space="0" w:color="auto"/>
        <w:left w:val="none" w:sz="0" w:space="0" w:color="auto"/>
        <w:bottom w:val="none" w:sz="0" w:space="0" w:color="auto"/>
        <w:right w:val="none" w:sz="0" w:space="0" w:color="auto"/>
      </w:divBdr>
    </w:div>
    <w:div w:id="666203611">
      <w:bodyDiv w:val="1"/>
      <w:marLeft w:val="0"/>
      <w:marRight w:val="0"/>
      <w:marTop w:val="0"/>
      <w:marBottom w:val="0"/>
      <w:divBdr>
        <w:top w:val="none" w:sz="0" w:space="0" w:color="auto"/>
        <w:left w:val="none" w:sz="0" w:space="0" w:color="auto"/>
        <w:bottom w:val="none" w:sz="0" w:space="0" w:color="auto"/>
        <w:right w:val="none" w:sz="0" w:space="0" w:color="auto"/>
      </w:divBdr>
    </w:div>
    <w:div w:id="693270097">
      <w:bodyDiv w:val="1"/>
      <w:marLeft w:val="0"/>
      <w:marRight w:val="0"/>
      <w:marTop w:val="0"/>
      <w:marBottom w:val="0"/>
      <w:divBdr>
        <w:top w:val="none" w:sz="0" w:space="0" w:color="auto"/>
        <w:left w:val="none" w:sz="0" w:space="0" w:color="auto"/>
        <w:bottom w:val="none" w:sz="0" w:space="0" w:color="auto"/>
        <w:right w:val="none" w:sz="0" w:space="0" w:color="auto"/>
      </w:divBdr>
    </w:div>
    <w:div w:id="742483092">
      <w:bodyDiv w:val="1"/>
      <w:marLeft w:val="0"/>
      <w:marRight w:val="0"/>
      <w:marTop w:val="0"/>
      <w:marBottom w:val="0"/>
      <w:divBdr>
        <w:top w:val="none" w:sz="0" w:space="0" w:color="auto"/>
        <w:left w:val="none" w:sz="0" w:space="0" w:color="auto"/>
        <w:bottom w:val="none" w:sz="0" w:space="0" w:color="auto"/>
        <w:right w:val="none" w:sz="0" w:space="0" w:color="auto"/>
      </w:divBdr>
    </w:div>
    <w:div w:id="758870652">
      <w:bodyDiv w:val="1"/>
      <w:marLeft w:val="0"/>
      <w:marRight w:val="0"/>
      <w:marTop w:val="0"/>
      <w:marBottom w:val="0"/>
      <w:divBdr>
        <w:top w:val="none" w:sz="0" w:space="0" w:color="auto"/>
        <w:left w:val="none" w:sz="0" w:space="0" w:color="auto"/>
        <w:bottom w:val="none" w:sz="0" w:space="0" w:color="auto"/>
        <w:right w:val="none" w:sz="0" w:space="0" w:color="auto"/>
      </w:divBdr>
    </w:div>
    <w:div w:id="80886045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9512444">
      <w:bodyDiv w:val="1"/>
      <w:marLeft w:val="0"/>
      <w:marRight w:val="0"/>
      <w:marTop w:val="0"/>
      <w:marBottom w:val="0"/>
      <w:divBdr>
        <w:top w:val="none" w:sz="0" w:space="0" w:color="auto"/>
        <w:left w:val="none" w:sz="0" w:space="0" w:color="auto"/>
        <w:bottom w:val="none" w:sz="0" w:space="0" w:color="auto"/>
        <w:right w:val="none" w:sz="0" w:space="0" w:color="auto"/>
      </w:divBdr>
    </w:div>
    <w:div w:id="88749397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789">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5968779">
      <w:bodyDiv w:val="1"/>
      <w:marLeft w:val="0"/>
      <w:marRight w:val="0"/>
      <w:marTop w:val="0"/>
      <w:marBottom w:val="0"/>
      <w:divBdr>
        <w:top w:val="none" w:sz="0" w:space="0" w:color="auto"/>
        <w:left w:val="none" w:sz="0" w:space="0" w:color="auto"/>
        <w:bottom w:val="none" w:sz="0" w:space="0" w:color="auto"/>
        <w:right w:val="none" w:sz="0" w:space="0" w:color="auto"/>
      </w:divBdr>
    </w:div>
    <w:div w:id="1216090947">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0289171">
      <w:bodyDiv w:val="1"/>
      <w:marLeft w:val="0"/>
      <w:marRight w:val="0"/>
      <w:marTop w:val="0"/>
      <w:marBottom w:val="0"/>
      <w:divBdr>
        <w:top w:val="none" w:sz="0" w:space="0" w:color="auto"/>
        <w:left w:val="none" w:sz="0" w:space="0" w:color="auto"/>
        <w:bottom w:val="none" w:sz="0" w:space="0" w:color="auto"/>
        <w:right w:val="none" w:sz="0" w:space="0" w:color="auto"/>
      </w:divBdr>
    </w:div>
    <w:div w:id="1331837661">
      <w:bodyDiv w:val="1"/>
      <w:marLeft w:val="0"/>
      <w:marRight w:val="0"/>
      <w:marTop w:val="0"/>
      <w:marBottom w:val="0"/>
      <w:divBdr>
        <w:top w:val="none" w:sz="0" w:space="0" w:color="auto"/>
        <w:left w:val="none" w:sz="0" w:space="0" w:color="auto"/>
        <w:bottom w:val="none" w:sz="0" w:space="0" w:color="auto"/>
        <w:right w:val="none" w:sz="0" w:space="0" w:color="auto"/>
      </w:divBdr>
    </w:div>
    <w:div w:id="1402680470">
      <w:bodyDiv w:val="1"/>
      <w:marLeft w:val="0"/>
      <w:marRight w:val="0"/>
      <w:marTop w:val="0"/>
      <w:marBottom w:val="0"/>
      <w:divBdr>
        <w:top w:val="none" w:sz="0" w:space="0" w:color="auto"/>
        <w:left w:val="none" w:sz="0" w:space="0" w:color="auto"/>
        <w:bottom w:val="none" w:sz="0" w:space="0" w:color="auto"/>
        <w:right w:val="none" w:sz="0" w:space="0" w:color="auto"/>
      </w:divBdr>
    </w:div>
    <w:div w:id="1402870549">
      <w:bodyDiv w:val="1"/>
      <w:marLeft w:val="0"/>
      <w:marRight w:val="0"/>
      <w:marTop w:val="0"/>
      <w:marBottom w:val="0"/>
      <w:divBdr>
        <w:top w:val="none" w:sz="0" w:space="0" w:color="auto"/>
        <w:left w:val="none" w:sz="0" w:space="0" w:color="auto"/>
        <w:bottom w:val="none" w:sz="0" w:space="0" w:color="auto"/>
        <w:right w:val="none" w:sz="0" w:space="0" w:color="auto"/>
      </w:divBdr>
    </w:div>
    <w:div w:id="1485003065">
      <w:bodyDiv w:val="1"/>
      <w:marLeft w:val="0"/>
      <w:marRight w:val="0"/>
      <w:marTop w:val="0"/>
      <w:marBottom w:val="0"/>
      <w:divBdr>
        <w:top w:val="none" w:sz="0" w:space="0" w:color="auto"/>
        <w:left w:val="none" w:sz="0" w:space="0" w:color="auto"/>
        <w:bottom w:val="none" w:sz="0" w:space="0" w:color="auto"/>
        <w:right w:val="none" w:sz="0" w:space="0" w:color="auto"/>
      </w:divBdr>
    </w:div>
    <w:div w:id="1553736338">
      <w:bodyDiv w:val="1"/>
      <w:marLeft w:val="0"/>
      <w:marRight w:val="0"/>
      <w:marTop w:val="0"/>
      <w:marBottom w:val="0"/>
      <w:divBdr>
        <w:top w:val="none" w:sz="0" w:space="0" w:color="auto"/>
        <w:left w:val="none" w:sz="0" w:space="0" w:color="auto"/>
        <w:bottom w:val="none" w:sz="0" w:space="0" w:color="auto"/>
        <w:right w:val="none" w:sz="0" w:space="0" w:color="auto"/>
      </w:divBdr>
    </w:div>
    <w:div w:id="1572230500">
      <w:bodyDiv w:val="1"/>
      <w:marLeft w:val="0"/>
      <w:marRight w:val="0"/>
      <w:marTop w:val="0"/>
      <w:marBottom w:val="0"/>
      <w:divBdr>
        <w:top w:val="none" w:sz="0" w:space="0" w:color="auto"/>
        <w:left w:val="none" w:sz="0" w:space="0" w:color="auto"/>
        <w:bottom w:val="none" w:sz="0" w:space="0" w:color="auto"/>
        <w:right w:val="none" w:sz="0" w:space="0" w:color="auto"/>
      </w:divBdr>
    </w:div>
    <w:div w:id="1627546520">
      <w:bodyDiv w:val="1"/>
      <w:marLeft w:val="0"/>
      <w:marRight w:val="0"/>
      <w:marTop w:val="0"/>
      <w:marBottom w:val="0"/>
      <w:divBdr>
        <w:top w:val="none" w:sz="0" w:space="0" w:color="auto"/>
        <w:left w:val="none" w:sz="0" w:space="0" w:color="auto"/>
        <w:bottom w:val="none" w:sz="0" w:space="0" w:color="auto"/>
        <w:right w:val="none" w:sz="0" w:space="0" w:color="auto"/>
      </w:divBdr>
    </w:div>
    <w:div w:id="1700274813">
      <w:bodyDiv w:val="1"/>
      <w:marLeft w:val="0"/>
      <w:marRight w:val="0"/>
      <w:marTop w:val="0"/>
      <w:marBottom w:val="0"/>
      <w:divBdr>
        <w:top w:val="none" w:sz="0" w:space="0" w:color="auto"/>
        <w:left w:val="none" w:sz="0" w:space="0" w:color="auto"/>
        <w:bottom w:val="none" w:sz="0" w:space="0" w:color="auto"/>
        <w:right w:val="none" w:sz="0" w:space="0" w:color="auto"/>
      </w:divBdr>
    </w:div>
    <w:div w:id="1732727999">
      <w:bodyDiv w:val="1"/>
      <w:marLeft w:val="0"/>
      <w:marRight w:val="0"/>
      <w:marTop w:val="0"/>
      <w:marBottom w:val="0"/>
      <w:divBdr>
        <w:top w:val="none" w:sz="0" w:space="0" w:color="auto"/>
        <w:left w:val="none" w:sz="0" w:space="0" w:color="auto"/>
        <w:bottom w:val="none" w:sz="0" w:space="0" w:color="auto"/>
        <w:right w:val="none" w:sz="0" w:space="0" w:color="auto"/>
      </w:divBdr>
    </w:div>
    <w:div w:id="1781292952">
      <w:bodyDiv w:val="1"/>
      <w:marLeft w:val="0"/>
      <w:marRight w:val="0"/>
      <w:marTop w:val="0"/>
      <w:marBottom w:val="0"/>
      <w:divBdr>
        <w:top w:val="none" w:sz="0" w:space="0" w:color="auto"/>
        <w:left w:val="none" w:sz="0" w:space="0" w:color="auto"/>
        <w:bottom w:val="none" w:sz="0" w:space="0" w:color="auto"/>
        <w:right w:val="none" w:sz="0" w:space="0" w:color="auto"/>
      </w:divBdr>
    </w:div>
    <w:div w:id="1786341221">
      <w:bodyDiv w:val="1"/>
      <w:marLeft w:val="0"/>
      <w:marRight w:val="0"/>
      <w:marTop w:val="0"/>
      <w:marBottom w:val="0"/>
      <w:divBdr>
        <w:top w:val="none" w:sz="0" w:space="0" w:color="auto"/>
        <w:left w:val="none" w:sz="0" w:space="0" w:color="auto"/>
        <w:bottom w:val="none" w:sz="0" w:space="0" w:color="auto"/>
        <w:right w:val="none" w:sz="0" w:space="0" w:color="auto"/>
      </w:divBdr>
    </w:div>
    <w:div w:id="1923371749">
      <w:bodyDiv w:val="1"/>
      <w:marLeft w:val="0"/>
      <w:marRight w:val="0"/>
      <w:marTop w:val="0"/>
      <w:marBottom w:val="0"/>
      <w:divBdr>
        <w:top w:val="none" w:sz="0" w:space="0" w:color="auto"/>
        <w:left w:val="none" w:sz="0" w:space="0" w:color="auto"/>
        <w:bottom w:val="none" w:sz="0" w:space="0" w:color="auto"/>
        <w:right w:val="none" w:sz="0" w:space="0" w:color="auto"/>
      </w:divBdr>
    </w:div>
    <w:div w:id="194710635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0039325">
      <w:bodyDiv w:val="1"/>
      <w:marLeft w:val="0"/>
      <w:marRight w:val="0"/>
      <w:marTop w:val="0"/>
      <w:marBottom w:val="0"/>
      <w:divBdr>
        <w:top w:val="none" w:sz="0" w:space="0" w:color="auto"/>
        <w:left w:val="none" w:sz="0" w:space="0" w:color="auto"/>
        <w:bottom w:val="none" w:sz="0" w:space="0" w:color="auto"/>
        <w:right w:val="none" w:sz="0" w:space="0" w:color="auto"/>
      </w:divBdr>
    </w:div>
    <w:div w:id="2071658523">
      <w:bodyDiv w:val="1"/>
      <w:marLeft w:val="0"/>
      <w:marRight w:val="0"/>
      <w:marTop w:val="0"/>
      <w:marBottom w:val="0"/>
      <w:divBdr>
        <w:top w:val="none" w:sz="0" w:space="0" w:color="auto"/>
        <w:left w:val="none" w:sz="0" w:space="0" w:color="auto"/>
        <w:bottom w:val="none" w:sz="0" w:space="0" w:color="auto"/>
        <w:right w:val="none" w:sz="0" w:space="0" w:color="auto"/>
      </w:divBdr>
    </w:div>
    <w:div w:id="2073889968">
      <w:bodyDiv w:val="1"/>
      <w:marLeft w:val="0"/>
      <w:marRight w:val="0"/>
      <w:marTop w:val="0"/>
      <w:marBottom w:val="0"/>
      <w:divBdr>
        <w:top w:val="none" w:sz="0" w:space="0" w:color="auto"/>
        <w:left w:val="none" w:sz="0" w:space="0" w:color="auto"/>
        <w:bottom w:val="none" w:sz="0" w:space="0" w:color="auto"/>
        <w:right w:val="none" w:sz="0" w:space="0" w:color="auto"/>
      </w:divBdr>
    </w:div>
    <w:div w:id="20812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anceraustralia.gov.au/cancer-types/liver-cancer/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F67D49A2-9232-43E0-9DCD-EEA5A0A45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AF4A8-BBB8-4B0D-A02C-B40997AC06B7}">
  <ds:schemaRefs>
    <ds:schemaRef ds:uri="http://schemas.microsoft.com/sharepoint/v3/contenttype/forms"/>
  </ds:schemaRefs>
</ds:datastoreItem>
</file>

<file path=customXml/itemProps3.xml><?xml version="1.0" encoding="utf-8"?>
<ds:datastoreItem xmlns:ds="http://schemas.openxmlformats.org/officeDocument/2006/customXml" ds:itemID="{3C9E5E79-19E6-4818-888B-D23144139F2C}">
  <ds:schemaRefs>
    <ds:schemaRef ds:uri="http://schemas.openxmlformats.org/officeDocument/2006/bibliography"/>
  </ds:schemaRefs>
</ds:datastoreItem>
</file>

<file path=customXml/itemProps4.xml><?xml version="1.0" encoding="utf-8"?>
<ds:datastoreItem xmlns:ds="http://schemas.openxmlformats.org/officeDocument/2006/customXml" ds:itemID="{0AA18D01-009D-4AEA-B299-90024A0FEC4D}">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11351</Words>
  <Characters>64706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75906</CharactersWithSpaces>
  <SharedDoc>false</SharedDoc>
  <HLinks>
    <vt:vector size="6" baseType="variant">
      <vt:variant>
        <vt:i4>6291496</vt:i4>
      </vt:variant>
      <vt:variant>
        <vt:i4>0</vt:i4>
      </vt:variant>
      <vt:variant>
        <vt:i4>0</vt:i4>
      </vt:variant>
      <vt:variant>
        <vt:i4>5</vt:i4>
      </vt:variant>
      <vt:variant>
        <vt:lpwstr>https://www.canceraustralia.gov.au/cancer-types/liver-cancer/statistics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2025-06-03T06:05:00Z</dcterms:created>
  <dcterms:modified xsi:type="dcterms:W3CDTF">2025-08-26T08:35:00Z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54fd80-e2ff-40dc-a7ce-a8751429c4f7_SiteId">
    <vt:lpwstr>e8911c26-cf9f-4a9c-878e-527807be8791</vt:lpwstr>
  </property>
  <property fmtid="{D5CDD505-2E9C-101B-9397-08002B2CF9AE}" pid="3" name="MSIP_Label_7454fd80-e2ff-40dc-a7ce-a8751429c4f7_Method">
    <vt:lpwstr>Privileged</vt:lpwstr>
  </property>
  <property fmtid="{D5CDD505-2E9C-101B-9397-08002B2CF9AE}" pid="4" name="MSIP_Label_7454fd80-e2ff-40dc-a7ce-a8751429c4f7_ContentBits">
    <vt:lpwstr>0</vt:lpwstr>
  </property>
  <property fmtid="{D5CDD505-2E9C-101B-9397-08002B2CF9AE}" pid="5" name="MSIP_Label_7454fd80-e2ff-40dc-a7ce-a8751429c4f7_ActionId">
    <vt:lpwstr>c24f3a4d-5837-45a6-aef4-f8e88766b4d1</vt:lpwstr>
  </property>
  <property fmtid="{D5CDD505-2E9C-101B-9397-08002B2CF9AE}" pid="6" name="MediaServiceImageTags">
    <vt:lpwstr/>
  </property>
  <property fmtid="{D5CDD505-2E9C-101B-9397-08002B2CF9AE}" pid="7" name="ContentTypeId">
    <vt:lpwstr>0x0101007FED174C5281F747A8037A05221D6DBD</vt:lpwstr>
  </property>
  <property fmtid="{D5CDD505-2E9C-101B-9397-08002B2CF9AE}" pid="8" name="MSIP_Label_7454fd80-e2ff-40dc-a7ce-a8751429c4f7_SetDate">
    <vt:lpwstr>2025-02-21T04:35:17Z</vt:lpwstr>
  </property>
  <property fmtid="{D5CDD505-2E9C-101B-9397-08002B2CF9AE}" pid="9" name="MSIP_Label_7454fd80-e2ff-40dc-a7ce-a8751429c4f7_Name">
    <vt:lpwstr>UTS-Confidential</vt:lpwstr>
  </property>
  <property fmtid="{D5CDD505-2E9C-101B-9397-08002B2CF9AE}" pid="10" name="MSIP_Label_7454fd80-e2ff-40dc-a7ce-a8751429c4f7_Enabled">
    <vt:lpwstr>true</vt:lpwstr>
  </property>
  <property fmtid="{D5CDD505-2E9C-101B-9397-08002B2CF9AE}" pid="11" name="MSIP_Label_7454fd80-e2ff-40dc-a7ce-a8751429c4f7_Tag">
    <vt:lpwstr>10, 2, 1, 1</vt:lpwstr>
  </property>
  <property fmtid="{D5CDD505-2E9C-101B-9397-08002B2CF9AE}" pid="12" name="ClassificationContentMarkingHeaderShapeIds">
    <vt:lpwstr>44449162,6f4cd43f,129e9c6d</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4d636d55,29a00384,19a8a581</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2025-08-26T08:16:26Z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40f64793-e9bf-40df-b9eb-b3ba91ab3d31</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